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ascii="Times New Roman" w:hAnsi="Times New Roman" w:eastAsia="Times New Roman" w:cs="Times New Roman"/>
          <w:b/>
          <w:bCs/>
          <w:sz w:val="24"/>
          <w:szCs w:val="24"/>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Contemporary Issues in Marketing Management: An Analysis of ByteDance</w:t>
      </w:r>
    </w:p>
    <w:p>
      <w:pPr>
        <w:spacing w:after="0" w:line="480" w:lineRule="auto"/>
        <w:rPr>
          <w:rFonts w:ascii="Times New Roman" w:hAnsi="Times New Roman" w:eastAsia="Times New Roman" w:cs="Times New Roman"/>
          <w:color w:val="000000"/>
          <w:sz w:val="24"/>
          <w:szCs w:val="24"/>
          <w:lang w:eastAsia="ru-RU"/>
        </w:rPr>
      </w:pPr>
      <w:bookmarkStart w:id="44" w:name="_GoBack"/>
      <w:bookmarkEnd w:id="44"/>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Times New Roman" w:cs="Times New Roman"/>
          <w:b/>
          <w:bCs/>
          <w:sz w:val="28"/>
          <w:szCs w:val="28"/>
          <w:lang w:val="en-US" w:eastAsia="en-GB"/>
        </w:rPr>
        <w:t>Class name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val="en-US" w:eastAsia="zh-CN"/>
        </w:rPr>
        <w:t>Yali Wang</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b/>
          <w:bCs/>
          <w:sz w:val="28"/>
          <w:szCs w:val="28"/>
          <w:lang w:val="en-US" w:eastAsia="zh-CN"/>
        </w:rPr>
        <w:t>Student Number:</w:t>
      </w:r>
      <w:r>
        <w:rPr>
          <w:rFonts w:hint="default" w:ascii="Times New Roman" w:hAnsi="Times New Roman" w:eastAsia="宋体" w:cs="Times New Roman"/>
          <w:sz w:val="28"/>
          <w:szCs w:val="28"/>
          <w:lang w:val="en-US" w:eastAsia="zh-CN"/>
        </w:rPr>
        <w:t>2229349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cs="Times New Roman"/>
          <w:b/>
          <w:bCs/>
          <w:sz w:val="28"/>
          <w:szCs w:val="28"/>
        </w:rPr>
        <w:t>Date of Submission:</w:t>
      </w:r>
      <w:r>
        <w:rPr>
          <w:rFonts w:hint="default" w:ascii="Times New Roman" w:hAnsi="Times New Roman" w:eastAsia="宋体" w:cs="Times New Roman"/>
          <w:sz w:val="28"/>
          <w:szCs w:val="28"/>
          <w:lang w:eastAsia="zh-CN"/>
        </w:rPr>
        <w:t>July 2023</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en-GB"/>
        </w:rPr>
      </w:pPr>
      <w:r>
        <w:rPr>
          <w:rFonts w:hint="default" w:ascii="Times New Roman" w:hAnsi="Times New Roman" w:eastAsia="宋体" w:cs="Times New Roman"/>
          <w:b/>
          <w:bCs/>
          <w:sz w:val="28"/>
          <w:szCs w:val="28"/>
          <w:lang w:val="en-US" w:eastAsia="zh-CN"/>
        </w:rPr>
        <w:t>Module Code:</w:t>
      </w:r>
      <w:r>
        <w:rPr>
          <w:rFonts w:hint="default" w:ascii="Times New Roman" w:hAnsi="Times New Roman" w:eastAsia="Times New Roman" w:cs="Times New Roman"/>
          <w:sz w:val="28"/>
          <w:szCs w:val="28"/>
          <w:lang w:val="en-US" w:eastAsia="en-GB"/>
        </w:rPr>
        <w:t>BMMB70</w:t>
      </w:r>
      <w:r>
        <w:rPr>
          <w:rFonts w:hint="default" w:ascii="Times New Roman" w:hAnsi="Times New Roman" w:eastAsia="Times New Roman" w:cs="Times New Roman"/>
          <w:sz w:val="28"/>
          <w:szCs w:val="28"/>
          <w:lang w:eastAsia="en-GB"/>
        </w:rPr>
        <w:t>12</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ascii="Arial" w:hAnsi="Arial" w:cs="Arial"/>
          <w:sz w:val="24"/>
          <w:szCs w:val="24"/>
        </w:rPr>
      </w:pPr>
      <w:r>
        <w:rPr>
          <w:rFonts w:hint="default" w:ascii="Times New Roman" w:hAnsi="Times New Roman" w:eastAsia="宋体" w:cs="Times New Roman"/>
          <w:b/>
          <w:bCs/>
          <w:sz w:val="28"/>
          <w:szCs w:val="28"/>
          <w:lang w:val="en-US" w:eastAsia="zh-CN"/>
        </w:rPr>
        <w:t>M</w:t>
      </w:r>
      <w:r>
        <w:rPr>
          <w:rFonts w:hint="default" w:ascii="Times New Roman" w:hAnsi="Times New Roman" w:cs="Times New Roman"/>
          <w:b/>
          <w:bCs/>
          <w:sz w:val="28"/>
          <w:szCs w:val="28"/>
        </w:rPr>
        <w:t xml:space="preserve">odule </w:t>
      </w:r>
      <w:r>
        <w:rPr>
          <w:rFonts w:hint="default" w:ascii="Times New Roman" w:hAnsi="Times New Roman" w:eastAsia="宋体" w:cs="Times New Roman"/>
          <w:b/>
          <w:bCs/>
          <w:sz w:val="28"/>
          <w:szCs w:val="28"/>
          <w:lang w:val="en-US" w:eastAsia="zh-CN"/>
        </w:rPr>
        <w:t>N</w:t>
      </w:r>
      <w:r>
        <w:rPr>
          <w:rFonts w:hint="default" w:ascii="Times New Roman" w:hAnsi="Times New Roman" w:cs="Times New Roman"/>
          <w:b/>
          <w:bCs/>
          <w:sz w:val="28"/>
          <w:szCs w:val="28"/>
        </w:rPr>
        <w:t>ame</w:t>
      </w:r>
      <w:r>
        <w:rPr>
          <w:rFonts w:hint="default" w:ascii="Times New Roman" w:hAnsi="Times New Roman" w:eastAsia="宋体" w:cs="Times New Roman"/>
          <w:b/>
          <w:bCs/>
          <w:sz w:val="28"/>
          <w:szCs w:val="28"/>
          <w:lang w:val="en-US" w:eastAsia="zh-CN"/>
        </w:rPr>
        <w:t>:</w:t>
      </w:r>
      <w:r>
        <w:rPr>
          <w:rFonts w:hint="default" w:ascii="Times New Roman" w:hAnsi="Times New Roman" w:eastAsia="Times New Roman" w:cs="Times New Roman"/>
          <w:sz w:val="28"/>
          <w:szCs w:val="28"/>
          <w:lang w:eastAsia="en-GB"/>
        </w:rPr>
        <w:t>Marketing</w:t>
      </w:r>
      <w:r>
        <w:rPr>
          <w:rFonts w:hint="default" w:ascii="Times New Roman" w:hAnsi="Times New Roman" w:eastAsia="Times New Roman" w:cs="Times New Roman"/>
          <w:sz w:val="28"/>
          <w:szCs w:val="28"/>
          <w:lang w:val="en-US" w:eastAsia="en-GB"/>
        </w:rPr>
        <w:t xml:space="preserve"> M</w:t>
      </w:r>
      <w:r>
        <w:rPr>
          <w:rFonts w:hint="eastAsia" w:ascii="Times New Roman" w:hAnsi="Times New Roman" w:eastAsia="宋体" w:cs="Times New Roman"/>
          <w:sz w:val="28"/>
          <w:szCs w:val="28"/>
          <w:lang w:val="en-US" w:eastAsia="zh-CN"/>
        </w:rPr>
        <w:t>anagement</w:t>
      </w:r>
    </w:p>
    <w:sdt>
      <w:sdtPr>
        <w:rPr>
          <w:rFonts w:hint="default" w:ascii="Times New Roman Bold" w:hAnsi="Times New Roman Bold" w:cs="Times New Roman Bold"/>
          <w:b/>
          <w:bCs/>
          <w:sz w:val="24"/>
          <w:szCs w:val="24"/>
        </w:rPr>
        <w:id w:val="1904559226"/>
        <w:docPartObj>
          <w:docPartGallery w:val="Table of Contents"/>
          <w:docPartUnique/>
        </w:docPartObj>
      </w:sdtPr>
      <w:sdtEndPr>
        <w:rPr>
          <w:rFonts w:asciiTheme="minorHAnsi" w:hAnsiTheme="minorHAnsi" w:eastAsiaTheme="minorHAnsi" w:cstheme="minorBidi"/>
          <w:b/>
          <w:bCs/>
          <w:color w:val="auto"/>
          <w:sz w:val="22"/>
          <w:szCs w:val="22"/>
        </w:rPr>
      </w:sdtEndPr>
      <w:sdtContent>
        <w:p>
          <w:pPr>
            <w:bidi w:val="0"/>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Table of Contents</w:t>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rPr>
              <w:rFonts w:ascii="Arial" w:hAnsi="Arial" w:cs="Arial"/>
              <w:sz w:val="24"/>
              <w:szCs w:val="24"/>
            </w:rPr>
            <w:fldChar w:fldCharType="begin"/>
          </w:r>
          <w:r>
            <w:rPr>
              <w:rFonts w:ascii="Arial" w:hAnsi="Arial" w:cs="Arial"/>
              <w:sz w:val="24"/>
              <w:szCs w:val="24"/>
            </w:rPr>
            <w:instrText xml:space="preserve"> HYPERLINK \l _Toc1409630924 </w:instrText>
          </w:r>
          <w:r>
            <w:rPr>
              <w:rFonts w:ascii="Arial" w:hAnsi="Arial" w:cs="Arial"/>
              <w:sz w:val="24"/>
              <w:szCs w:val="24"/>
            </w:rPr>
            <w:fldChar w:fldCharType="separate"/>
          </w:r>
          <w:r>
            <w:rPr>
              <w:rFonts w:hint="default" w:ascii="Times New Roman Bold" w:hAnsi="Times New Roman Bold" w:cs="Times New Roman Bold"/>
              <w:bCs/>
              <w:sz w:val="24"/>
              <w:szCs w:val="24"/>
            </w:rPr>
            <w:t>1.0 Introduction</w:t>
          </w:r>
          <w:r>
            <w:rPr>
              <w:sz w:val="24"/>
              <w:szCs w:val="24"/>
            </w:rPr>
            <w:tab/>
          </w:r>
          <w:r>
            <w:rPr>
              <w:sz w:val="24"/>
              <w:szCs w:val="24"/>
            </w:rPr>
            <w:fldChar w:fldCharType="begin"/>
          </w:r>
          <w:r>
            <w:rPr>
              <w:sz w:val="24"/>
              <w:szCs w:val="24"/>
            </w:rPr>
            <w:instrText xml:space="preserve"> PAGEREF _Toc1409630924 \h </w:instrText>
          </w:r>
          <w:r>
            <w:rPr>
              <w:sz w:val="24"/>
              <w:szCs w:val="24"/>
            </w:rPr>
            <w:fldChar w:fldCharType="separate"/>
          </w:r>
          <w:r>
            <w:rPr>
              <w:sz w:val="24"/>
              <w:szCs w:val="24"/>
            </w:rPr>
            <w:t>4</w:t>
          </w:r>
          <w:r>
            <w:rPr>
              <w:sz w:val="24"/>
              <w:szCs w:val="24"/>
            </w:rPr>
            <w:fldChar w:fldCharType="end"/>
          </w:r>
          <w:r>
            <w:rPr>
              <w:rFonts w:ascii="Arial" w:hAnsi="Arial" w:cs="Arial"/>
              <w:sz w:val="24"/>
              <w:szCs w:val="24"/>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_Toc627345964 </w:instrText>
          </w:r>
          <w:r>
            <w:rPr>
              <w:rFonts w:ascii="Arial" w:hAnsi="Arial" w:cs="Arial"/>
              <w:bCs/>
              <w:sz w:val="24"/>
              <w:szCs w:val="24"/>
            </w:rPr>
            <w:fldChar w:fldCharType="separate"/>
          </w:r>
          <w:r>
            <w:rPr>
              <w:rFonts w:hint="default" w:ascii="Times New Roman Bold" w:hAnsi="Times New Roman Bold" w:cs="Times New Roman Bold"/>
              <w:bCs/>
              <w:sz w:val="24"/>
              <w:szCs w:val="24"/>
            </w:rPr>
            <w:t>2.0 ByteDance’s Macro and Micro Environment Analysis</w:t>
          </w:r>
          <w:r>
            <w:rPr>
              <w:sz w:val="24"/>
              <w:szCs w:val="24"/>
            </w:rPr>
            <w:tab/>
          </w:r>
          <w:r>
            <w:rPr>
              <w:sz w:val="24"/>
              <w:szCs w:val="24"/>
            </w:rPr>
            <w:fldChar w:fldCharType="begin"/>
          </w:r>
          <w:r>
            <w:rPr>
              <w:sz w:val="24"/>
              <w:szCs w:val="24"/>
            </w:rPr>
            <w:instrText xml:space="preserve"> PAGEREF _Toc627345964 \h </w:instrText>
          </w:r>
          <w:r>
            <w:rPr>
              <w:sz w:val="24"/>
              <w:szCs w:val="24"/>
            </w:rPr>
            <w:fldChar w:fldCharType="separate"/>
          </w:r>
          <w:r>
            <w:rPr>
              <w:sz w:val="24"/>
              <w:szCs w:val="24"/>
            </w:rPr>
            <w:t>4</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_Toc1806393825 </w:instrText>
          </w:r>
          <w:r>
            <w:rPr>
              <w:rFonts w:ascii="Arial" w:hAnsi="Arial" w:cs="Arial"/>
              <w:bCs/>
              <w:sz w:val="24"/>
              <w:szCs w:val="24"/>
            </w:rPr>
            <w:fldChar w:fldCharType="separate"/>
          </w:r>
          <w:r>
            <w:rPr>
              <w:rFonts w:hint="default" w:ascii="Times New Roman Regular" w:hAnsi="Times New Roman Regular" w:cs="Times New Roman Regular"/>
              <w:sz w:val="24"/>
              <w:szCs w:val="24"/>
            </w:rPr>
            <w:t>2.1 ByteDance’s Marketing Mix</w:t>
          </w:r>
          <w:r>
            <w:rPr>
              <w:sz w:val="24"/>
              <w:szCs w:val="24"/>
            </w:rPr>
            <w:tab/>
          </w:r>
          <w:r>
            <w:rPr>
              <w:sz w:val="24"/>
              <w:szCs w:val="24"/>
            </w:rPr>
            <w:fldChar w:fldCharType="begin"/>
          </w:r>
          <w:r>
            <w:rPr>
              <w:sz w:val="24"/>
              <w:szCs w:val="24"/>
            </w:rPr>
            <w:instrText xml:space="preserve"> PAGEREF _Toc1806393825 \h </w:instrText>
          </w:r>
          <w:r>
            <w:rPr>
              <w:sz w:val="24"/>
              <w:szCs w:val="24"/>
            </w:rPr>
            <w:fldChar w:fldCharType="separate"/>
          </w:r>
          <w:r>
            <w:rPr>
              <w:sz w:val="24"/>
              <w:szCs w:val="24"/>
            </w:rPr>
            <w:t>4</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_Toc1084699136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2.2 Target Market</w:t>
          </w:r>
          <w:r>
            <w:rPr>
              <w:sz w:val="24"/>
              <w:szCs w:val="24"/>
            </w:rPr>
            <w:tab/>
          </w:r>
          <w:r>
            <w:rPr>
              <w:sz w:val="24"/>
              <w:szCs w:val="24"/>
            </w:rPr>
            <w:fldChar w:fldCharType="begin"/>
          </w:r>
          <w:r>
            <w:rPr>
              <w:sz w:val="24"/>
              <w:szCs w:val="24"/>
            </w:rPr>
            <w:instrText xml:space="preserve"> PAGEREF _Toc1084699136 \h </w:instrText>
          </w:r>
          <w:r>
            <w:rPr>
              <w:sz w:val="24"/>
              <w:szCs w:val="24"/>
            </w:rPr>
            <w:fldChar w:fldCharType="separate"/>
          </w:r>
          <w:r>
            <w:rPr>
              <w:sz w:val="24"/>
              <w:szCs w:val="24"/>
            </w:rPr>
            <w:t>5</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_Toc549699369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 The Marketing Mix</w:t>
          </w:r>
          <w:r>
            <w:rPr>
              <w:sz w:val="24"/>
              <w:szCs w:val="24"/>
            </w:rPr>
            <w:tab/>
          </w:r>
          <w:r>
            <w:rPr>
              <w:sz w:val="24"/>
              <w:szCs w:val="24"/>
            </w:rPr>
            <w:fldChar w:fldCharType="begin"/>
          </w:r>
          <w:r>
            <w:rPr>
              <w:sz w:val="24"/>
              <w:szCs w:val="24"/>
            </w:rPr>
            <w:instrText xml:space="preserve"> PAGEREF _Toc549699369 \h </w:instrText>
          </w:r>
          <w:r>
            <w:rPr>
              <w:sz w:val="24"/>
              <w:szCs w:val="24"/>
            </w:rPr>
            <w:fldChar w:fldCharType="separate"/>
          </w:r>
          <w:r>
            <w:rPr>
              <w:sz w:val="24"/>
              <w:szCs w:val="24"/>
            </w:rPr>
            <w:t>6</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_Toc322645389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2.3.1 Product Strategy</w:t>
          </w:r>
          <w:r>
            <w:rPr>
              <w:sz w:val="24"/>
              <w:szCs w:val="24"/>
            </w:rPr>
            <w:tab/>
          </w:r>
          <w:r>
            <w:rPr>
              <w:sz w:val="24"/>
              <w:szCs w:val="24"/>
            </w:rPr>
            <w:fldChar w:fldCharType="begin"/>
          </w:r>
          <w:r>
            <w:rPr>
              <w:sz w:val="24"/>
              <w:szCs w:val="24"/>
            </w:rPr>
            <w:instrText xml:space="preserve"> PAGEREF _Toc322645389 \h </w:instrText>
          </w:r>
          <w:r>
            <w:rPr>
              <w:sz w:val="24"/>
              <w:szCs w:val="24"/>
            </w:rPr>
            <w:fldChar w:fldCharType="separate"/>
          </w:r>
          <w:r>
            <w:rPr>
              <w:sz w:val="24"/>
              <w:szCs w:val="24"/>
            </w:rPr>
            <w:t>6</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_Toc304844248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2.3.2 Price Strategy</w:t>
          </w:r>
          <w:r>
            <w:rPr>
              <w:sz w:val="24"/>
              <w:szCs w:val="24"/>
            </w:rPr>
            <w:tab/>
          </w:r>
          <w:r>
            <w:rPr>
              <w:sz w:val="24"/>
              <w:szCs w:val="24"/>
            </w:rPr>
            <w:fldChar w:fldCharType="begin"/>
          </w:r>
          <w:r>
            <w:rPr>
              <w:sz w:val="24"/>
              <w:szCs w:val="24"/>
            </w:rPr>
            <w:instrText xml:space="preserve"> PAGEREF _Toc304844248 \h </w:instrText>
          </w:r>
          <w:r>
            <w:rPr>
              <w:sz w:val="24"/>
              <w:szCs w:val="24"/>
            </w:rPr>
            <w:fldChar w:fldCharType="separate"/>
          </w:r>
          <w:r>
            <w:rPr>
              <w:sz w:val="24"/>
              <w:szCs w:val="24"/>
            </w:rPr>
            <w:t>6</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_Toc1768778041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2.3.3 Place Strategy</w:t>
          </w:r>
          <w:r>
            <w:rPr>
              <w:sz w:val="24"/>
              <w:szCs w:val="24"/>
            </w:rPr>
            <w:tab/>
          </w:r>
          <w:r>
            <w:rPr>
              <w:sz w:val="24"/>
              <w:szCs w:val="24"/>
            </w:rPr>
            <w:fldChar w:fldCharType="begin"/>
          </w:r>
          <w:r>
            <w:rPr>
              <w:sz w:val="24"/>
              <w:szCs w:val="24"/>
            </w:rPr>
            <w:instrText xml:space="preserve"> PAGEREF _Toc1768778041 \h </w:instrText>
          </w:r>
          <w:r>
            <w:rPr>
              <w:sz w:val="24"/>
              <w:szCs w:val="24"/>
            </w:rPr>
            <w:fldChar w:fldCharType="separate"/>
          </w:r>
          <w:r>
            <w:rPr>
              <w:sz w:val="24"/>
              <w:szCs w:val="24"/>
            </w:rPr>
            <w:t>6</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_Toc236409666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2.3.4 Promotion Strategy</w:t>
          </w:r>
          <w:r>
            <w:rPr>
              <w:sz w:val="24"/>
              <w:szCs w:val="24"/>
            </w:rPr>
            <w:tab/>
          </w:r>
          <w:r>
            <w:rPr>
              <w:sz w:val="24"/>
              <w:szCs w:val="24"/>
            </w:rPr>
            <w:fldChar w:fldCharType="begin"/>
          </w:r>
          <w:r>
            <w:rPr>
              <w:sz w:val="24"/>
              <w:szCs w:val="24"/>
            </w:rPr>
            <w:instrText xml:space="preserve"> PAGEREF _Toc236409666 \h </w:instrText>
          </w:r>
          <w:r>
            <w:rPr>
              <w:sz w:val="24"/>
              <w:szCs w:val="24"/>
            </w:rPr>
            <w:fldChar w:fldCharType="separate"/>
          </w:r>
          <w:r>
            <w:rPr>
              <w:sz w:val="24"/>
              <w:szCs w:val="24"/>
            </w:rPr>
            <w:t>7</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_Toc492509512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 SWOT Analysis</w:t>
          </w:r>
          <w:r>
            <w:rPr>
              <w:sz w:val="24"/>
              <w:szCs w:val="24"/>
            </w:rPr>
            <w:tab/>
          </w:r>
          <w:r>
            <w:rPr>
              <w:sz w:val="24"/>
              <w:szCs w:val="24"/>
            </w:rPr>
            <w:fldChar w:fldCharType="begin"/>
          </w:r>
          <w:r>
            <w:rPr>
              <w:sz w:val="24"/>
              <w:szCs w:val="24"/>
            </w:rPr>
            <w:instrText xml:space="preserve"> PAGEREF _Toc492509512 \h </w:instrText>
          </w:r>
          <w:r>
            <w:rPr>
              <w:sz w:val="24"/>
              <w:szCs w:val="24"/>
            </w:rPr>
            <w:fldChar w:fldCharType="separate"/>
          </w:r>
          <w:r>
            <w:rPr>
              <w:sz w:val="24"/>
              <w:szCs w:val="24"/>
            </w:rPr>
            <w:t>8</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_Toc1205392646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2.4.1 Strengths</w:t>
          </w:r>
          <w:r>
            <w:rPr>
              <w:sz w:val="24"/>
              <w:szCs w:val="24"/>
            </w:rPr>
            <w:tab/>
          </w:r>
          <w:r>
            <w:rPr>
              <w:sz w:val="24"/>
              <w:szCs w:val="24"/>
            </w:rPr>
            <w:fldChar w:fldCharType="begin"/>
          </w:r>
          <w:r>
            <w:rPr>
              <w:sz w:val="24"/>
              <w:szCs w:val="24"/>
            </w:rPr>
            <w:instrText xml:space="preserve"> PAGEREF _Toc1205392646 \h </w:instrText>
          </w:r>
          <w:r>
            <w:rPr>
              <w:sz w:val="24"/>
              <w:szCs w:val="24"/>
            </w:rPr>
            <w:fldChar w:fldCharType="separate"/>
          </w:r>
          <w:r>
            <w:rPr>
              <w:sz w:val="24"/>
              <w:szCs w:val="24"/>
            </w:rPr>
            <w:t>8</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_Toc1820959171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2.4.2 Weaknesses</w:t>
          </w:r>
          <w:r>
            <w:rPr>
              <w:sz w:val="24"/>
              <w:szCs w:val="24"/>
            </w:rPr>
            <w:tab/>
          </w:r>
          <w:r>
            <w:rPr>
              <w:sz w:val="24"/>
              <w:szCs w:val="24"/>
            </w:rPr>
            <w:fldChar w:fldCharType="begin"/>
          </w:r>
          <w:r>
            <w:rPr>
              <w:sz w:val="24"/>
              <w:szCs w:val="24"/>
            </w:rPr>
            <w:instrText xml:space="preserve"> PAGEREF _Toc1820959171 \h </w:instrText>
          </w:r>
          <w:r>
            <w:rPr>
              <w:sz w:val="24"/>
              <w:szCs w:val="24"/>
            </w:rPr>
            <w:fldChar w:fldCharType="separate"/>
          </w:r>
          <w:r>
            <w:rPr>
              <w:sz w:val="24"/>
              <w:szCs w:val="24"/>
            </w:rPr>
            <w:t>8</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_Toc1071333600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2.4.3 Opportunities</w:t>
          </w:r>
          <w:r>
            <w:rPr>
              <w:sz w:val="24"/>
              <w:szCs w:val="24"/>
            </w:rPr>
            <w:tab/>
          </w:r>
          <w:r>
            <w:rPr>
              <w:sz w:val="24"/>
              <w:szCs w:val="24"/>
            </w:rPr>
            <w:fldChar w:fldCharType="begin"/>
          </w:r>
          <w:r>
            <w:rPr>
              <w:sz w:val="24"/>
              <w:szCs w:val="24"/>
            </w:rPr>
            <w:instrText xml:space="preserve"> PAGEREF _Toc1071333600 \h </w:instrText>
          </w:r>
          <w:r>
            <w:rPr>
              <w:sz w:val="24"/>
              <w:szCs w:val="24"/>
            </w:rPr>
            <w:fldChar w:fldCharType="separate"/>
          </w:r>
          <w:r>
            <w:rPr>
              <w:sz w:val="24"/>
              <w:szCs w:val="24"/>
            </w:rPr>
            <w:t>9</w:t>
          </w:r>
          <w:r>
            <w:rPr>
              <w:sz w:val="24"/>
              <w:szCs w:val="24"/>
            </w:rPr>
            <w:fldChar w:fldCharType="end"/>
          </w:r>
          <w:r>
            <w:rPr>
              <w:rFonts w:ascii="Arial" w:hAnsi="Arial" w:cs="Arial"/>
              <w:bCs/>
              <w:sz w:val="24"/>
              <w:szCs w:val="24"/>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_Toc1400918752 </w:instrText>
          </w:r>
          <w:r>
            <w:rPr>
              <w:rFonts w:ascii="Arial" w:hAnsi="Arial" w:cs="Arial"/>
              <w:bCs/>
              <w:sz w:val="24"/>
              <w:szCs w:val="24"/>
            </w:rPr>
            <w:fldChar w:fldCharType="separate"/>
          </w:r>
          <w:r>
            <w:rPr>
              <w:rFonts w:hint="default" w:ascii="Times New Roman Regular" w:hAnsi="Times New Roman Regular" w:cs="Times New Roman Regular"/>
              <w:sz w:val="24"/>
              <w:szCs w:val="24"/>
            </w:rPr>
            <w:t>2.4.4 Threats</w:t>
          </w:r>
          <w:r>
            <w:rPr>
              <w:sz w:val="24"/>
              <w:szCs w:val="24"/>
            </w:rPr>
            <w:tab/>
          </w:r>
          <w:r>
            <w:rPr>
              <w:sz w:val="24"/>
              <w:szCs w:val="24"/>
            </w:rPr>
            <w:fldChar w:fldCharType="begin"/>
          </w:r>
          <w:r>
            <w:rPr>
              <w:sz w:val="24"/>
              <w:szCs w:val="24"/>
            </w:rPr>
            <w:instrText xml:space="preserve"> PAGEREF _Toc1400918752 \h </w:instrText>
          </w:r>
          <w:r>
            <w:rPr>
              <w:sz w:val="24"/>
              <w:szCs w:val="24"/>
            </w:rPr>
            <w:fldChar w:fldCharType="separate"/>
          </w:r>
          <w:r>
            <w:rPr>
              <w:sz w:val="24"/>
              <w:szCs w:val="24"/>
            </w:rPr>
            <w:t>9</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_Toc230759156 </w:instrText>
          </w:r>
          <w:r>
            <w:rPr>
              <w:rFonts w:ascii="Arial" w:hAnsi="Arial" w:cs="Arial"/>
              <w:bCs/>
              <w:sz w:val="24"/>
              <w:szCs w:val="24"/>
            </w:rPr>
            <w:fldChar w:fldCharType="separate"/>
          </w:r>
          <w:r>
            <w:rPr>
              <w:rFonts w:hint="default" w:ascii="Times New Roman Regular" w:hAnsi="Times New Roman Regular" w:cs="Times New Roman Regular"/>
              <w:sz w:val="24"/>
              <w:szCs w:val="24"/>
            </w:rPr>
            <w:t>2.5 Porter’s Five Forces Analysis</w:t>
          </w:r>
          <w:r>
            <w:rPr>
              <w:sz w:val="24"/>
              <w:szCs w:val="24"/>
            </w:rPr>
            <w:tab/>
          </w:r>
          <w:r>
            <w:rPr>
              <w:sz w:val="24"/>
              <w:szCs w:val="24"/>
            </w:rPr>
            <w:fldChar w:fldCharType="begin"/>
          </w:r>
          <w:r>
            <w:rPr>
              <w:sz w:val="24"/>
              <w:szCs w:val="24"/>
            </w:rPr>
            <w:instrText xml:space="preserve"> PAGEREF _Toc230759156 \h </w:instrText>
          </w:r>
          <w:r>
            <w:rPr>
              <w:sz w:val="24"/>
              <w:szCs w:val="24"/>
            </w:rPr>
            <w:fldChar w:fldCharType="separate"/>
          </w:r>
          <w:r>
            <w:rPr>
              <w:sz w:val="24"/>
              <w:szCs w:val="24"/>
            </w:rPr>
            <w:t>10</w:t>
          </w:r>
          <w:r>
            <w:rPr>
              <w:sz w:val="24"/>
              <w:szCs w:val="24"/>
            </w:rPr>
            <w:fldChar w:fldCharType="end"/>
          </w:r>
          <w:r>
            <w:rPr>
              <w:rFonts w:ascii="Arial" w:hAnsi="Arial" w:cs="Arial"/>
              <w:bCs/>
              <w:sz w:val="24"/>
              <w:szCs w:val="24"/>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_Toc13668410 </w:instrText>
          </w:r>
          <w:r>
            <w:rPr>
              <w:rFonts w:ascii="Arial" w:hAnsi="Arial" w:cs="Arial"/>
              <w:bCs/>
              <w:sz w:val="24"/>
              <w:szCs w:val="24"/>
            </w:rPr>
            <w:fldChar w:fldCharType="separate"/>
          </w:r>
          <w:r>
            <w:rPr>
              <w:rFonts w:hint="default" w:ascii="Times New Roman Bold" w:hAnsi="Times New Roman Bold" w:cs="Times New Roman Bold"/>
              <w:bCs/>
              <w:sz w:val="24"/>
              <w:szCs w:val="24"/>
            </w:rPr>
            <w:t>3.0 The Challenges ByteDance Faces</w:t>
          </w:r>
          <w:r>
            <w:rPr>
              <w:sz w:val="24"/>
              <w:szCs w:val="24"/>
            </w:rPr>
            <w:tab/>
          </w:r>
          <w:r>
            <w:rPr>
              <w:sz w:val="24"/>
              <w:szCs w:val="24"/>
            </w:rPr>
            <w:fldChar w:fldCharType="begin"/>
          </w:r>
          <w:r>
            <w:rPr>
              <w:sz w:val="24"/>
              <w:szCs w:val="24"/>
            </w:rPr>
            <w:instrText xml:space="preserve"> PAGEREF _Toc13668410 \h </w:instrText>
          </w:r>
          <w:r>
            <w:rPr>
              <w:sz w:val="24"/>
              <w:szCs w:val="24"/>
            </w:rPr>
            <w:fldChar w:fldCharType="separate"/>
          </w:r>
          <w:r>
            <w:rPr>
              <w:sz w:val="24"/>
              <w:szCs w:val="24"/>
            </w:rPr>
            <w:t>12</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_Toc2091700288 </w:instrText>
          </w:r>
          <w:r>
            <w:rPr>
              <w:rFonts w:ascii="Arial" w:hAnsi="Arial" w:cs="Arial"/>
              <w:bCs/>
              <w:sz w:val="24"/>
              <w:szCs w:val="24"/>
            </w:rPr>
            <w:fldChar w:fldCharType="separate"/>
          </w:r>
          <w:r>
            <w:rPr>
              <w:rFonts w:hint="default" w:ascii="Times New Roman Regular" w:hAnsi="Times New Roman Regular" w:cs="Times New Roman Regular"/>
              <w:sz w:val="24"/>
              <w:szCs w:val="24"/>
            </w:rPr>
            <w:t>3.1 Privacy and Security Issues for Users</w:t>
          </w:r>
          <w:r>
            <w:rPr>
              <w:sz w:val="24"/>
              <w:szCs w:val="24"/>
            </w:rPr>
            <w:tab/>
          </w:r>
          <w:r>
            <w:rPr>
              <w:sz w:val="24"/>
              <w:szCs w:val="24"/>
            </w:rPr>
            <w:fldChar w:fldCharType="begin"/>
          </w:r>
          <w:r>
            <w:rPr>
              <w:sz w:val="24"/>
              <w:szCs w:val="24"/>
            </w:rPr>
            <w:instrText xml:space="preserve"> PAGEREF _Toc2091700288 \h </w:instrText>
          </w:r>
          <w:r>
            <w:rPr>
              <w:sz w:val="24"/>
              <w:szCs w:val="24"/>
            </w:rPr>
            <w:fldChar w:fldCharType="separate"/>
          </w:r>
          <w:r>
            <w:rPr>
              <w:sz w:val="24"/>
              <w:szCs w:val="24"/>
            </w:rPr>
            <w:t>12</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_Toc899439026 </w:instrText>
          </w:r>
          <w:r>
            <w:rPr>
              <w:rFonts w:ascii="Arial" w:hAnsi="Arial" w:cs="Arial"/>
              <w:bCs/>
              <w:sz w:val="24"/>
              <w:szCs w:val="24"/>
            </w:rPr>
            <w:fldChar w:fldCharType="separate"/>
          </w:r>
          <w:r>
            <w:rPr>
              <w:rFonts w:hint="default" w:ascii="Times New Roman Regular" w:hAnsi="Times New Roman Regular" w:cs="Times New Roman Regular"/>
              <w:sz w:val="24"/>
              <w:szCs w:val="24"/>
            </w:rPr>
            <w:t>3.2 The Challenge of Risk of User Churn</w:t>
          </w:r>
          <w:r>
            <w:rPr>
              <w:sz w:val="24"/>
              <w:szCs w:val="24"/>
            </w:rPr>
            <w:tab/>
          </w:r>
          <w:r>
            <w:rPr>
              <w:sz w:val="24"/>
              <w:szCs w:val="24"/>
            </w:rPr>
            <w:fldChar w:fldCharType="begin"/>
          </w:r>
          <w:r>
            <w:rPr>
              <w:sz w:val="24"/>
              <w:szCs w:val="24"/>
            </w:rPr>
            <w:instrText xml:space="preserve"> PAGEREF _Toc899439026 \h </w:instrText>
          </w:r>
          <w:r>
            <w:rPr>
              <w:sz w:val="24"/>
              <w:szCs w:val="24"/>
            </w:rPr>
            <w:fldChar w:fldCharType="separate"/>
          </w:r>
          <w:r>
            <w:rPr>
              <w:sz w:val="24"/>
              <w:szCs w:val="24"/>
            </w:rPr>
            <w:t>13</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_Toc734318749 </w:instrText>
          </w:r>
          <w:r>
            <w:rPr>
              <w:rFonts w:ascii="Arial" w:hAnsi="Arial" w:cs="Arial"/>
              <w:bCs/>
              <w:sz w:val="24"/>
              <w:szCs w:val="24"/>
            </w:rPr>
            <w:fldChar w:fldCharType="separate"/>
          </w:r>
          <w:r>
            <w:rPr>
              <w:rFonts w:hint="default" w:ascii="Times New Roman Regular" w:hAnsi="Times New Roman Regular" w:cs="Times New Roman Regular"/>
              <w:sz w:val="24"/>
              <w:szCs w:val="24"/>
            </w:rPr>
            <w:t>3.3 Regulatory Challenges</w:t>
          </w:r>
          <w:r>
            <w:rPr>
              <w:sz w:val="24"/>
              <w:szCs w:val="24"/>
            </w:rPr>
            <w:tab/>
          </w:r>
          <w:r>
            <w:rPr>
              <w:sz w:val="24"/>
              <w:szCs w:val="24"/>
            </w:rPr>
            <w:fldChar w:fldCharType="begin"/>
          </w:r>
          <w:r>
            <w:rPr>
              <w:sz w:val="24"/>
              <w:szCs w:val="24"/>
            </w:rPr>
            <w:instrText xml:space="preserve"> PAGEREF _Toc734318749 \h </w:instrText>
          </w:r>
          <w:r>
            <w:rPr>
              <w:sz w:val="24"/>
              <w:szCs w:val="24"/>
            </w:rPr>
            <w:fldChar w:fldCharType="separate"/>
          </w:r>
          <w:r>
            <w:rPr>
              <w:sz w:val="24"/>
              <w:szCs w:val="24"/>
            </w:rPr>
            <w:t>14</w:t>
          </w:r>
          <w:r>
            <w:rPr>
              <w:sz w:val="24"/>
              <w:szCs w:val="24"/>
            </w:rPr>
            <w:fldChar w:fldCharType="end"/>
          </w:r>
          <w:r>
            <w:rPr>
              <w:rFonts w:ascii="Arial" w:hAnsi="Arial" w:cs="Arial"/>
              <w:bCs/>
              <w:sz w:val="24"/>
              <w:szCs w:val="24"/>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_Toc106695134 </w:instrText>
          </w:r>
          <w:r>
            <w:rPr>
              <w:rFonts w:ascii="Arial" w:hAnsi="Arial" w:cs="Arial"/>
              <w:bCs/>
              <w:sz w:val="24"/>
              <w:szCs w:val="24"/>
            </w:rPr>
            <w:fldChar w:fldCharType="separate"/>
          </w:r>
          <w:r>
            <w:rPr>
              <w:rFonts w:hint="default" w:ascii="Times New Roman Bold" w:hAnsi="Times New Roman Bold" w:cs="Times New Roman Bold"/>
              <w:bCs/>
              <w:sz w:val="24"/>
              <w:szCs w:val="24"/>
            </w:rPr>
            <w:t>4.0 Recommendations for Improvement</w:t>
          </w:r>
          <w:r>
            <w:rPr>
              <w:sz w:val="24"/>
              <w:szCs w:val="24"/>
            </w:rPr>
            <w:tab/>
          </w:r>
          <w:r>
            <w:rPr>
              <w:sz w:val="24"/>
              <w:szCs w:val="24"/>
            </w:rPr>
            <w:fldChar w:fldCharType="begin"/>
          </w:r>
          <w:r>
            <w:rPr>
              <w:sz w:val="24"/>
              <w:szCs w:val="24"/>
            </w:rPr>
            <w:instrText xml:space="preserve"> PAGEREF _Toc106695134 \h </w:instrText>
          </w:r>
          <w:r>
            <w:rPr>
              <w:sz w:val="24"/>
              <w:szCs w:val="24"/>
            </w:rPr>
            <w:fldChar w:fldCharType="separate"/>
          </w:r>
          <w:r>
            <w:rPr>
              <w:sz w:val="24"/>
              <w:szCs w:val="24"/>
            </w:rPr>
            <w:t>16</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_Toc76271893 </w:instrText>
          </w:r>
          <w:r>
            <w:rPr>
              <w:rFonts w:ascii="Arial" w:hAnsi="Arial" w:cs="Arial"/>
              <w:bCs/>
              <w:sz w:val="24"/>
              <w:szCs w:val="24"/>
            </w:rPr>
            <w:fldChar w:fldCharType="separate"/>
          </w:r>
          <w:r>
            <w:rPr>
              <w:rFonts w:hint="default" w:ascii="Times New Roman Regular" w:hAnsi="Times New Roman Regular" w:cs="Times New Roman Regular"/>
              <w:sz w:val="24"/>
              <w:szCs w:val="24"/>
            </w:rPr>
            <w:t>4.1 The Solution to Privacy and Security Issues for Users</w:t>
          </w:r>
          <w:r>
            <w:rPr>
              <w:sz w:val="24"/>
              <w:szCs w:val="24"/>
            </w:rPr>
            <w:tab/>
          </w:r>
          <w:r>
            <w:rPr>
              <w:sz w:val="24"/>
              <w:szCs w:val="24"/>
            </w:rPr>
            <w:fldChar w:fldCharType="begin"/>
          </w:r>
          <w:r>
            <w:rPr>
              <w:sz w:val="24"/>
              <w:szCs w:val="24"/>
            </w:rPr>
            <w:instrText xml:space="preserve"> PAGEREF _Toc76271893 \h </w:instrText>
          </w:r>
          <w:r>
            <w:rPr>
              <w:sz w:val="24"/>
              <w:szCs w:val="24"/>
            </w:rPr>
            <w:fldChar w:fldCharType="separate"/>
          </w:r>
          <w:r>
            <w:rPr>
              <w:sz w:val="24"/>
              <w:szCs w:val="24"/>
            </w:rPr>
            <w:t>16</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_Toc2001452039 </w:instrText>
          </w:r>
          <w:r>
            <w:rPr>
              <w:rFonts w:ascii="Arial" w:hAnsi="Arial" w:cs="Arial"/>
              <w:bCs/>
              <w:sz w:val="24"/>
              <w:szCs w:val="24"/>
            </w:rPr>
            <w:fldChar w:fldCharType="separate"/>
          </w:r>
          <w:r>
            <w:rPr>
              <w:rFonts w:hint="default" w:ascii="Times New Roman Regular" w:hAnsi="Times New Roman Regular" w:cs="Times New Roman Regular"/>
              <w:sz w:val="24"/>
              <w:szCs w:val="24"/>
            </w:rPr>
            <w:t>4.2 The solution to the Challenge of Risk of User Churn</w:t>
          </w:r>
          <w:r>
            <w:rPr>
              <w:sz w:val="24"/>
              <w:szCs w:val="24"/>
            </w:rPr>
            <w:tab/>
          </w:r>
          <w:r>
            <w:rPr>
              <w:sz w:val="24"/>
              <w:szCs w:val="24"/>
            </w:rPr>
            <w:fldChar w:fldCharType="begin"/>
          </w:r>
          <w:r>
            <w:rPr>
              <w:sz w:val="24"/>
              <w:szCs w:val="24"/>
            </w:rPr>
            <w:instrText xml:space="preserve"> PAGEREF _Toc2001452039 \h </w:instrText>
          </w:r>
          <w:r>
            <w:rPr>
              <w:sz w:val="24"/>
              <w:szCs w:val="24"/>
            </w:rPr>
            <w:fldChar w:fldCharType="separate"/>
          </w:r>
          <w:r>
            <w:rPr>
              <w:sz w:val="24"/>
              <w:szCs w:val="24"/>
            </w:rPr>
            <w:t>17</w:t>
          </w:r>
          <w:r>
            <w:rPr>
              <w:sz w:val="24"/>
              <w:szCs w:val="24"/>
            </w:rPr>
            <w:fldChar w:fldCharType="end"/>
          </w:r>
          <w:r>
            <w:rPr>
              <w:rFonts w:ascii="Arial" w:hAnsi="Arial" w:cs="Arial"/>
              <w:bCs/>
              <w:sz w:val="24"/>
              <w:szCs w:val="24"/>
            </w:rPr>
            <w:fldChar w:fldCharType="end"/>
          </w:r>
        </w:p>
        <w:p>
          <w:pPr>
            <w:pStyle w:val="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_Toc220572865 </w:instrText>
          </w:r>
          <w:r>
            <w:rPr>
              <w:rFonts w:ascii="Arial" w:hAnsi="Arial" w:cs="Arial"/>
              <w:bCs/>
              <w:sz w:val="24"/>
              <w:szCs w:val="24"/>
            </w:rPr>
            <w:fldChar w:fldCharType="separate"/>
          </w:r>
          <w:r>
            <w:rPr>
              <w:rFonts w:hint="default" w:ascii="Times New Roman Regular" w:hAnsi="Times New Roman Regular" w:cs="Times New Roman Regular"/>
              <w:sz w:val="24"/>
              <w:szCs w:val="24"/>
            </w:rPr>
            <w:t>4.3 The Solution to Address Regulatory Challenges</w:t>
          </w:r>
          <w:r>
            <w:rPr>
              <w:sz w:val="24"/>
              <w:szCs w:val="24"/>
            </w:rPr>
            <w:tab/>
          </w:r>
          <w:r>
            <w:rPr>
              <w:sz w:val="24"/>
              <w:szCs w:val="24"/>
            </w:rPr>
            <w:fldChar w:fldCharType="begin"/>
          </w:r>
          <w:r>
            <w:rPr>
              <w:sz w:val="24"/>
              <w:szCs w:val="24"/>
            </w:rPr>
            <w:instrText xml:space="preserve"> PAGEREF _Toc220572865 \h </w:instrText>
          </w:r>
          <w:r>
            <w:rPr>
              <w:sz w:val="24"/>
              <w:szCs w:val="24"/>
            </w:rPr>
            <w:fldChar w:fldCharType="separate"/>
          </w:r>
          <w:r>
            <w:rPr>
              <w:sz w:val="24"/>
              <w:szCs w:val="24"/>
            </w:rPr>
            <w:t>18</w:t>
          </w:r>
          <w:r>
            <w:rPr>
              <w:sz w:val="24"/>
              <w:szCs w:val="24"/>
            </w:rPr>
            <w:fldChar w:fldCharType="end"/>
          </w:r>
          <w:r>
            <w:rPr>
              <w:rFonts w:ascii="Arial" w:hAnsi="Arial" w:cs="Arial"/>
              <w:bCs/>
              <w:sz w:val="24"/>
              <w:szCs w:val="24"/>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sz w:val="24"/>
              <w:szCs w:val="24"/>
            </w:rPr>
          </w:pPr>
          <w:r>
            <w:rPr>
              <w:rFonts w:ascii="Arial" w:hAnsi="Arial" w:cs="Arial"/>
              <w:bCs/>
              <w:sz w:val="24"/>
              <w:szCs w:val="24"/>
            </w:rPr>
            <w:fldChar w:fldCharType="begin"/>
          </w:r>
          <w:r>
            <w:rPr>
              <w:rFonts w:ascii="Arial" w:hAnsi="Arial" w:cs="Arial"/>
              <w:bCs/>
              <w:sz w:val="24"/>
              <w:szCs w:val="24"/>
            </w:rPr>
            <w:instrText xml:space="preserve"> HYPERLINK \l _Toc611367333 </w:instrText>
          </w:r>
          <w:r>
            <w:rPr>
              <w:rFonts w:ascii="Arial" w:hAnsi="Arial" w:cs="Arial"/>
              <w:bCs/>
              <w:sz w:val="24"/>
              <w:szCs w:val="24"/>
            </w:rPr>
            <w:fldChar w:fldCharType="separate"/>
          </w:r>
          <w:r>
            <w:rPr>
              <w:rFonts w:hint="default" w:ascii="Times New Roman Bold" w:hAnsi="Times New Roman Bold" w:cs="Times New Roman Bold"/>
              <w:bCs/>
              <w:sz w:val="24"/>
              <w:szCs w:val="24"/>
            </w:rPr>
            <w:t>5.0 Conclusion</w:t>
          </w:r>
          <w:r>
            <w:rPr>
              <w:sz w:val="24"/>
              <w:szCs w:val="24"/>
            </w:rPr>
            <w:tab/>
          </w:r>
          <w:r>
            <w:rPr>
              <w:sz w:val="24"/>
              <w:szCs w:val="24"/>
            </w:rPr>
            <w:fldChar w:fldCharType="begin"/>
          </w:r>
          <w:r>
            <w:rPr>
              <w:sz w:val="24"/>
              <w:szCs w:val="24"/>
            </w:rPr>
            <w:instrText xml:space="preserve"> PAGEREF _Toc611367333 \h </w:instrText>
          </w:r>
          <w:r>
            <w:rPr>
              <w:sz w:val="24"/>
              <w:szCs w:val="24"/>
            </w:rPr>
            <w:fldChar w:fldCharType="separate"/>
          </w:r>
          <w:r>
            <w:rPr>
              <w:sz w:val="24"/>
              <w:szCs w:val="24"/>
            </w:rPr>
            <w:t>20</w:t>
          </w:r>
          <w:r>
            <w:rPr>
              <w:sz w:val="24"/>
              <w:szCs w:val="24"/>
            </w:rPr>
            <w:fldChar w:fldCharType="end"/>
          </w:r>
          <w:r>
            <w:rPr>
              <w:rFonts w:ascii="Arial" w:hAnsi="Arial" w:cs="Arial"/>
              <w:bCs/>
              <w:sz w:val="24"/>
              <w:szCs w:val="24"/>
            </w:rPr>
            <w:fldChar w:fldCharType="end"/>
          </w:r>
        </w:p>
        <w:p>
          <w:pPr>
            <w:pStyle w:val="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pPr>
          <w:r>
            <w:rPr>
              <w:rFonts w:ascii="Arial" w:hAnsi="Arial" w:cs="Arial"/>
              <w:bCs/>
              <w:sz w:val="24"/>
              <w:szCs w:val="24"/>
            </w:rPr>
            <w:fldChar w:fldCharType="begin"/>
          </w:r>
          <w:r>
            <w:rPr>
              <w:rFonts w:ascii="Arial" w:hAnsi="Arial" w:cs="Arial"/>
              <w:bCs/>
              <w:sz w:val="24"/>
              <w:szCs w:val="24"/>
            </w:rPr>
            <w:instrText xml:space="preserve"> HYPERLINK \l _Toc1688998483 </w:instrText>
          </w:r>
          <w:r>
            <w:rPr>
              <w:rFonts w:ascii="Arial" w:hAnsi="Arial" w:cs="Arial"/>
              <w:bCs/>
              <w:sz w:val="24"/>
              <w:szCs w:val="24"/>
            </w:rPr>
            <w:fldChar w:fldCharType="separate"/>
          </w:r>
          <w:r>
            <w:rPr>
              <w:rFonts w:hint="default" w:ascii="Times New Roman Bold" w:hAnsi="Times New Roman Bold" w:cs="Times New Roman Bold"/>
              <w:bCs/>
              <w:sz w:val="24"/>
              <w:szCs w:val="24"/>
            </w:rPr>
            <w:t>6.0 References</w:t>
          </w:r>
          <w:r>
            <w:rPr>
              <w:sz w:val="24"/>
              <w:szCs w:val="24"/>
            </w:rPr>
            <w:tab/>
          </w:r>
          <w:r>
            <w:rPr>
              <w:sz w:val="24"/>
              <w:szCs w:val="24"/>
            </w:rPr>
            <w:fldChar w:fldCharType="begin"/>
          </w:r>
          <w:r>
            <w:rPr>
              <w:sz w:val="24"/>
              <w:szCs w:val="24"/>
            </w:rPr>
            <w:instrText xml:space="preserve"> PAGEREF _Toc1688998483 \h </w:instrText>
          </w:r>
          <w:r>
            <w:rPr>
              <w:sz w:val="24"/>
              <w:szCs w:val="24"/>
            </w:rPr>
            <w:fldChar w:fldCharType="separate"/>
          </w:r>
          <w:r>
            <w:rPr>
              <w:sz w:val="24"/>
              <w:szCs w:val="24"/>
            </w:rPr>
            <w:t>21</w:t>
          </w:r>
          <w:r>
            <w:rPr>
              <w:sz w:val="24"/>
              <w:szCs w:val="24"/>
            </w:rPr>
            <w:fldChar w:fldCharType="end"/>
          </w:r>
          <w:r>
            <w:rPr>
              <w:rFonts w:ascii="Arial" w:hAnsi="Arial" w:cs="Arial"/>
              <w:bCs/>
              <w:sz w:val="24"/>
              <w:szCs w:val="24"/>
            </w:rPr>
            <w:fldChar w:fldCharType="end"/>
          </w:r>
        </w:p>
        <w:p>
          <w:r>
            <w:rPr>
              <w:rFonts w:ascii="Arial" w:hAnsi="Arial" w:cs="Arial"/>
              <w:bCs/>
              <w:szCs w:val="24"/>
            </w:rPr>
            <w:fldChar w:fldCharType="end"/>
          </w:r>
        </w:p>
      </w:sdtContent>
    </w:sdt>
    <w:p>
      <w:pPr>
        <w:pStyle w:val="11"/>
        <w:spacing w:before="100" w:beforeAutospacing="1" w:after="100" w:afterAutospacing="1" w:line="480" w:lineRule="auto"/>
        <w:contextualSpacing/>
        <w:rPr>
          <w:rFonts w:ascii="Arial" w:hAnsi="Arial" w:cs="Arial"/>
          <w:sz w:val="24"/>
          <w:szCs w:val="24"/>
        </w:rPr>
      </w:pPr>
    </w:p>
    <w:p>
      <w:pPr>
        <w:spacing w:before="100" w:beforeAutospacing="1" w:after="100" w:afterAutospacing="1" w:line="480" w:lineRule="auto"/>
        <w:contextualSpacing/>
        <w:rPr>
          <w:rFonts w:ascii="Arial" w:hAnsi="Arial" w:cs="Arial"/>
          <w:sz w:val="24"/>
          <w:szCs w:val="24"/>
        </w:rPr>
      </w:pPr>
      <w:r>
        <w:rPr>
          <w:rFonts w:ascii="Arial" w:hAnsi="Arial" w:cs="Arial"/>
          <w:sz w:val="24"/>
          <w:szCs w:val="24"/>
        </w:rPr>
        <w:br w:type="page"/>
      </w:r>
    </w:p>
    <w:p>
      <w:pPr>
        <w:spacing w:before="100" w:beforeAutospacing="1" w:after="100" w:afterAutospacing="1" w:line="480" w:lineRule="auto"/>
        <w:contextualSpacing/>
        <w:jc w:val="left"/>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Executive Summary</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contextualSpacing/>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There is a rising political awareness surrounding national security issues posed by ByteDance and its subsidiary company TikTok. The public and lawmakers have the right to be worried; various data points are available, including the connection of ByteDance to its Chinese Communist Party and the social manipulation aspect. Efforts are made to limit these risks, including storing TikTok information on U.S. servers. There should be extra measures such as forced sales of the company operations and even completely banning ByteDance. The national security threat is among regulators' many challenges when protecting citizens using social media platforms. ByteDance is a helpful case study for examining the wider issues surrounding social media use. Misinformation is common from social media platforms, which poses serious issues for democracy. At present, it is difficult to hold social media organizations accountable. Ensuring user information is safe and not being exploited demands recommendations that can be taken together. This paper explores the policy solutions to address the issues ByteDance faces. </w:t>
      </w:r>
    </w:p>
    <w:p>
      <w:pPr>
        <w:spacing w:before="100" w:beforeAutospacing="1" w:after="100" w:afterAutospacing="1" w:line="480" w:lineRule="auto"/>
        <w:contextualSpacing/>
        <w:rPr>
          <w:rFonts w:ascii="Arial" w:hAnsi="Arial" w:cs="Arial"/>
          <w:b/>
          <w:sz w:val="24"/>
          <w:szCs w:val="24"/>
        </w:rPr>
      </w:pPr>
      <w:r>
        <w:rPr>
          <w:rFonts w:ascii="Arial" w:hAnsi="Arial" w:cs="Arial"/>
          <w:b/>
          <w:sz w:val="24"/>
          <w:szCs w:val="24"/>
        </w:rPr>
        <w:br w:type="page"/>
      </w:r>
    </w:p>
    <w:p>
      <w:pPr>
        <w:pStyle w:val="2"/>
        <w:bidi w:val="0"/>
        <w:rPr>
          <w:rFonts w:hint="default" w:ascii="Times New Roman Bold" w:hAnsi="Times New Roman Bold" w:cs="Times New Roman Bold"/>
          <w:b/>
          <w:bCs/>
          <w:color w:val="auto"/>
          <w:sz w:val="28"/>
          <w:szCs w:val="28"/>
        </w:rPr>
      </w:pPr>
      <w:bookmarkStart w:id="0" w:name="_Toc139557435"/>
      <w:bookmarkStart w:id="1" w:name="_Toc1409630924"/>
      <w:r>
        <w:rPr>
          <w:rFonts w:hint="default" w:ascii="Times New Roman Bold" w:hAnsi="Times New Roman Bold" w:cs="Times New Roman Bold"/>
          <w:b/>
          <w:bCs/>
          <w:color w:val="auto"/>
          <w:sz w:val="28"/>
          <w:szCs w:val="28"/>
        </w:rPr>
        <w:t>1.0 Introduction</w:t>
      </w:r>
      <w:bookmarkEnd w:id="0"/>
      <w:bookmarkEnd w:id="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eleven years old, ByteDance is the world's most valuable startup, shattering records for growth. With over 1.9 billion active users monthly in over 150 nations and a workforce of over 110,000, ByteDance recorded revenues worth $180 billion. ByteDance continues exploring new markets and areas, including education, games, and e-commerce. This paper explains the technology challenges ByteDance faces and provides policy recommendations to help the company succeed in the competitive business environment. This paper uses three key approaches. The first approach is to evaluate ByteDance’s marketing activity, which explains the importance of marketing and uses Porter's five forces and SWOT analysis to explain ByteDance's marketing. The second approach evaluates the shortcomings of ByteDance Company's marketing approach. The final part offers recommendations for improving the company's marketing strategy. </w:t>
      </w:r>
    </w:p>
    <w:p>
      <w:pPr>
        <w:pStyle w:val="2"/>
        <w:spacing w:before="100" w:beforeAutospacing="1" w:after="100" w:afterAutospacing="1" w:line="480" w:lineRule="auto"/>
        <w:contextualSpacing/>
        <w:jc w:val="left"/>
        <w:rPr>
          <w:rFonts w:hint="default" w:ascii="Times New Roman Bold" w:hAnsi="Times New Roman Bold" w:cs="Times New Roman Bold"/>
          <w:b/>
          <w:bCs/>
          <w:color w:val="auto"/>
          <w:sz w:val="28"/>
          <w:szCs w:val="28"/>
        </w:rPr>
      </w:pPr>
      <w:bookmarkStart w:id="2" w:name="_Toc139557436"/>
      <w:bookmarkStart w:id="3" w:name="_Toc627345964"/>
      <w:r>
        <w:rPr>
          <w:rFonts w:hint="default" w:ascii="Times New Roman Bold" w:hAnsi="Times New Roman Bold" w:cs="Times New Roman Bold"/>
          <w:b/>
          <w:bCs/>
          <w:color w:val="auto"/>
          <w:sz w:val="28"/>
          <w:szCs w:val="28"/>
        </w:rPr>
        <w:t>2.0 ByteDance’s Macro and Micro Environment Analysis</w:t>
      </w:r>
      <w:bookmarkEnd w:id="2"/>
      <w:bookmarkEnd w:id="3"/>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4" w:name="_Toc139557437"/>
      <w:bookmarkStart w:id="5" w:name="_Toc1806393825"/>
      <w:r>
        <w:rPr>
          <w:rFonts w:hint="default" w:ascii="Times New Roman Regular" w:hAnsi="Times New Roman Regular" w:cs="Times New Roman Regular"/>
          <w:color w:val="auto"/>
          <w:sz w:val="24"/>
          <w:szCs w:val="24"/>
        </w:rPr>
        <w:t>2.1 ByteDance’s Marketing</w:t>
      </w:r>
      <w:bookmarkEnd w:id="4"/>
      <w:r>
        <w:rPr>
          <w:rFonts w:hint="default" w:ascii="Times New Roman Regular" w:hAnsi="Times New Roman Regular" w:cs="Times New Roman Regular"/>
          <w:color w:val="auto"/>
          <w:sz w:val="24"/>
          <w:szCs w:val="24"/>
        </w:rPr>
        <w:t xml:space="preserve"> Mix</w:t>
      </w:r>
      <w:bookmarkEnd w:id="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Marketing mix is important because it helps a company to have consumer engagement. According to</w:t>
      </w:r>
      <w:r>
        <w:rPr>
          <w:rFonts w:hint="default" w:ascii="Times New Roman Regular" w:hAnsi="Times New Roman Regular" w:cs="Times New Roman Regular"/>
          <w:color w:val="222222"/>
          <w:sz w:val="24"/>
          <w:szCs w:val="24"/>
          <w:shd w:val="clear" w:color="auto" w:fill="FFFFFF"/>
        </w:rPr>
        <w:t xml:space="preserve"> Morgan</w:t>
      </w:r>
      <w:r>
        <w:rPr>
          <w:rFonts w:hint="default" w:ascii="Times New Roman Regular" w:hAnsi="Times New Roman Regular" w:cs="Times New Roman Regular"/>
          <w:sz w:val="24"/>
          <w:szCs w:val="24"/>
        </w:rPr>
        <w:t xml:space="preserve"> et al. (2019), marketing is an effective tool because customers are engaged by being informed of what they do not know and forming good content around the services and products. Marketing is also key for maintaining and building a reputation. With marketing, a company easily builds relationships between the business and its clients</w:t>
      </w:r>
      <w:r>
        <w:rPr>
          <w:rFonts w:hint="default" w:ascii="Times New Roman Regular" w:hAnsi="Times New Roman Regular" w:cs="Times New Roman Regular"/>
          <w:color w:val="222222"/>
          <w:sz w:val="24"/>
          <w:szCs w:val="24"/>
          <w:shd w:val="clear" w:color="auto" w:fill="FFFFFF"/>
        </w:rPr>
        <w:t xml:space="preserve"> (Morgan et al., 2019)</w:t>
      </w:r>
      <w:r>
        <w:rPr>
          <w:rFonts w:hint="default" w:ascii="Times New Roman Regular" w:hAnsi="Times New Roman Regular" w:cs="Times New Roman Regular"/>
          <w:sz w:val="24"/>
          <w:szCs w:val="24"/>
        </w:rPr>
        <w:t xml:space="preserve">. A business only grows when it has long-lasting relationships with clients. Marketing is also an effective tool for businesses to make informed decisions. ByteDance’s business success revolves around its effective marketing operations that have sustained its growth and profitability.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6" w:name="_Toc1084699136"/>
      <w:r>
        <w:rPr>
          <w:rFonts w:hint="default" w:ascii="Times New Roman Regular" w:hAnsi="Times New Roman Regular" w:cs="Times New Roman Regular"/>
          <w:color w:val="auto"/>
          <w:sz w:val="24"/>
          <w:szCs w:val="24"/>
        </w:rPr>
        <w:t>2.2 Target Market</w:t>
      </w:r>
      <w:bookmarkEnd w:id="6"/>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ByteDance's target market is primarily millennial users, especially those who enjoy using social media and are interested in creative content and personalised experiences. Their products, </w:t>
      </w:r>
      <w:r>
        <w:rPr>
          <w:rFonts w:hint="default" w:ascii="Times New Roman Regular" w:hAnsi="Times New Roman Regular" w:cs="Times New Roman Regular"/>
          <w:sz w:val="24"/>
          <w:szCs w:val="24"/>
        </w:rPr>
        <w:t>D</w:t>
      </w:r>
      <w:r>
        <w:rPr>
          <w:rFonts w:hint="default" w:ascii="Times New Roman Regular" w:hAnsi="Times New Roman Regular" w:cs="Times New Roman Regular"/>
          <w:sz w:val="24"/>
          <w:szCs w:val="24"/>
          <w:lang w:val="en-US" w:eastAsia="zh-Hans"/>
        </w:rPr>
        <w:t>ou</w:t>
      </w:r>
      <w:r>
        <w:rPr>
          <w:rFonts w:hint="default" w:ascii="Times New Roman Regular" w:hAnsi="Times New Roman Regular" w:cs="Times New Roman Regular"/>
          <w:sz w:val="24"/>
          <w:szCs w:val="24"/>
          <w:lang w:eastAsia="zh-Hans"/>
        </w:rPr>
        <w:t>yin</w:t>
      </w:r>
      <w:r>
        <w:rPr>
          <w:rFonts w:hint="default" w:ascii="Times New Roman Regular" w:hAnsi="Times New Roman Regular" w:cs="Times New Roman Regular"/>
          <w:sz w:val="24"/>
          <w:szCs w:val="24"/>
        </w:rPr>
        <w:t xml:space="preserve"> and TikTok, provide easy-to-use short video creation tools and personalised content recommendations. Algorithms are able to make recommendations based on the user's interests and behaviours, ensuring that they get content that matches their preferences. This includes dance, food, music, travel and other niche categories (Liu, 2022). This shows that the scope of ByteDance's target market has expanded. Unlike other competitors, ByteDance emphasises on creativity and personalisation, and secondly, they provide more accurate content recommendation and ad targeting through algorithms and data analytics, providing advertisers with higher placement results By segmenting the market in this way, ByteDance has gained high brand loyalty, a strong customer base and high sales revenue.</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7" w:name="_Toc549699369"/>
      <w:r>
        <w:rPr>
          <w:rFonts w:hint="default" w:ascii="Times New Roman Regular" w:hAnsi="Times New Roman Regular" w:cs="Times New Roman Regular"/>
          <w:color w:val="auto"/>
          <w:sz w:val="24"/>
          <w:szCs w:val="24"/>
        </w:rPr>
        <w:t>2.3 The Marketing Mix</w:t>
      </w:r>
      <w:bookmarkEnd w:id="7"/>
    </w:p>
    <w:p>
      <w:pPr>
        <w:pStyle w:val="4"/>
        <w:rPr>
          <w:rFonts w:hint="default" w:ascii="Times New Roman Regular" w:hAnsi="Times New Roman Regular" w:cs="Times New Roman Regular"/>
          <w:color w:val="auto"/>
        </w:rPr>
      </w:pPr>
      <w:bookmarkStart w:id="8" w:name="_Toc322645389"/>
      <w:r>
        <w:rPr>
          <w:rFonts w:hint="default" w:ascii="Times New Roman Regular" w:hAnsi="Times New Roman Regular" w:cs="Times New Roman Regular"/>
          <w:color w:val="auto"/>
        </w:rPr>
        <w:t>2.3.1 Product Strategy</w:t>
      </w:r>
      <w:bookmarkEnd w:id="8"/>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ByteDance has two product strategies. The first one is a high frequency optimization of its product provisions and features. ByteDance’s recommendation algorithm is its biggest highlight. The recommendations chooses high-quality videos, and shows them to users. This approach provides a multi-dimensional interactive gameplay. The second is the hot content marketing using topic challenge. Topic challenges are the topics that the company customizes for its partners; brand, super and regional challenges. </w:t>
      </w:r>
    </w:p>
    <w:p>
      <w:pPr>
        <w:pStyle w:val="4"/>
        <w:rPr>
          <w:rFonts w:hint="default" w:ascii="Times New Roman Regular" w:hAnsi="Times New Roman Regular" w:cs="Times New Roman Regular"/>
          <w:color w:val="auto"/>
        </w:rPr>
      </w:pPr>
      <w:bookmarkStart w:id="9" w:name="_Toc304844248"/>
      <w:r>
        <w:rPr>
          <w:rFonts w:hint="default" w:ascii="Times New Roman Regular" w:hAnsi="Times New Roman Regular" w:cs="Times New Roman Regular"/>
          <w:color w:val="auto"/>
        </w:rPr>
        <w:t>2.3.2 Price Strategy</w:t>
      </w:r>
      <w:bookmarkEnd w:id="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Various kinds of advertisement placement, using accurate algorithm recommendations, is an important aspect of revenue for the platform. ByteDance uses its short video pricing strategy. There are also official marketing service and professional commercialization. ByteDance owns a professional commercialization team which offers customized customer services. The Giant Engine also includes rich marketing resources.</w:t>
      </w:r>
    </w:p>
    <w:p>
      <w:pPr>
        <w:pStyle w:val="4"/>
        <w:rPr>
          <w:rFonts w:hint="default" w:ascii="Times New Roman Regular" w:hAnsi="Times New Roman Regular" w:cs="Times New Roman Regular"/>
          <w:color w:val="auto"/>
        </w:rPr>
      </w:pPr>
      <w:bookmarkStart w:id="10" w:name="_Toc1768778041"/>
      <w:r>
        <w:rPr>
          <w:rFonts w:hint="default" w:ascii="Times New Roman Regular" w:hAnsi="Times New Roman Regular" w:cs="Times New Roman Regular"/>
          <w:color w:val="auto"/>
        </w:rPr>
        <w:t>2.3.3 Place Strategy</w:t>
      </w:r>
      <w:bookmarkEnd w:id="10"/>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ByteDance has horizontally integrated its primary platform resources. Horizontal integration is when there is a connection of different internet products to accomplish mutual infusion. The company has also expanded its influence using ‘online topics and offline activities model. Most activities completed under the company are done using the online topic triggering, online heat continuation and online pre-heating models.</w:t>
      </w:r>
      <w:r>
        <w:rPr>
          <w:rFonts w:ascii="Arial" w:hAnsi="Arial" w:cs="Arial"/>
          <w:sz w:val="24"/>
          <w:szCs w:val="24"/>
        </w:rPr>
        <w:t xml:space="preserve"> </w:t>
      </w:r>
    </w:p>
    <w:p>
      <w:pPr>
        <w:pStyle w:val="4"/>
        <w:rPr>
          <w:rFonts w:hint="default" w:ascii="Times New Roman Regular" w:hAnsi="Times New Roman Regular" w:cs="Times New Roman Regular"/>
          <w:color w:val="auto"/>
        </w:rPr>
      </w:pPr>
      <w:bookmarkStart w:id="11" w:name="_Toc236409666"/>
      <w:r>
        <w:rPr>
          <w:rFonts w:hint="default" w:ascii="Times New Roman Regular" w:hAnsi="Times New Roman Regular" w:cs="Times New Roman Regular"/>
          <w:color w:val="auto"/>
        </w:rPr>
        <w:t>2.3.4 Promotion Strategy</w:t>
      </w:r>
      <w:bookmarkEnd w:id="1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company improves fan interaction using the OKR approach. ByteDance uses an SSP strategy, which focuses on accelerating new projects by offering immediate access to the best-in-class operations and technology. A few organizations have imitated the company's strategy successfully. The Objectives and Key Results (OKR) system is the first business enabler</w:t>
      </w:r>
      <w:r>
        <w:rPr>
          <w:rFonts w:hint="default" w:ascii="Times New Roman Regular" w:hAnsi="Times New Roman Regular" w:cs="Times New Roman Regular"/>
          <w:color w:val="222222"/>
          <w:sz w:val="24"/>
          <w:szCs w:val="24"/>
          <w:shd w:val="clear" w:color="auto" w:fill="FFFFFF"/>
        </w:rPr>
        <w:t xml:space="preserve"> (Stray et al. 2022)</w:t>
      </w:r>
      <w:r>
        <w:rPr>
          <w:rFonts w:hint="default" w:ascii="Times New Roman Regular" w:hAnsi="Times New Roman Regular" w:cs="Times New Roman Regular"/>
          <w:sz w:val="24"/>
          <w:szCs w:val="24"/>
        </w:rPr>
        <w:t xml:space="preserve">. ByteDance uses a strategy inspired by Google, emphasizing the need for a bi-monthly Objectives and Key Results system. According to </w:t>
      </w:r>
      <w:r>
        <w:rPr>
          <w:rFonts w:hint="default" w:ascii="Times New Roman Regular" w:hAnsi="Times New Roman Regular" w:cs="Times New Roman Regular"/>
          <w:color w:val="222222"/>
          <w:sz w:val="24"/>
          <w:szCs w:val="24"/>
          <w:shd w:val="clear" w:color="auto" w:fill="FFFFFF"/>
        </w:rPr>
        <w:t>Herkenrath</w:t>
      </w:r>
      <w:r>
        <w:rPr>
          <w:rFonts w:hint="default" w:ascii="Times New Roman Regular" w:hAnsi="Times New Roman Regular" w:cs="Times New Roman Regular"/>
          <w:sz w:val="24"/>
          <w:szCs w:val="24"/>
        </w:rPr>
        <w:t xml:space="preserve"> et al. (2023), the OKR system starts from the top, aligning the actions and priorities of the product teams and SSP. All OKRs are visible to everyone.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ByteDance eliminates group thinking through its OKR system. The second factor for ByteDance’s success is its flattened hierarchy. In order to enhance sharing and collaboration, ByteDance used its 360-degree performance assessment method. Unlike other Chinese-based companies, ByteDance does not use titles, and the flattened hierarchy helps workers focus on their duties rather than status. Workers have easy access to senior officials and receive help easily, which is facilitated through shared OKRs and not worrying about differences in titles. Mentorship is also done rapidly in ByteDance, especially among peers who see each other as working towards a common objective.</w:t>
      </w:r>
      <w:r>
        <w:rPr>
          <w:rFonts w:ascii="Arial" w:hAnsi="Arial" w:cs="Arial"/>
          <w:sz w:val="24"/>
          <w:szCs w:val="24"/>
        </w:rPr>
        <w:t xml:space="preserve">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12" w:name="_Toc139557438"/>
      <w:bookmarkStart w:id="13" w:name="_Toc492509512"/>
      <w:r>
        <w:rPr>
          <w:rFonts w:hint="default" w:ascii="Times New Roman Regular" w:hAnsi="Times New Roman Regular" w:cs="Times New Roman Regular"/>
          <w:color w:val="auto"/>
          <w:sz w:val="24"/>
          <w:szCs w:val="24"/>
        </w:rPr>
        <w:t>2.4 SWOT Analysis</w:t>
      </w:r>
      <w:bookmarkEnd w:id="12"/>
      <w:bookmarkEnd w:id="13"/>
    </w:p>
    <w:p>
      <w:pPr>
        <w:pStyle w:val="4"/>
        <w:rPr>
          <w:rFonts w:hint="default" w:ascii="Times New Roman Regular" w:hAnsi="Times New Roman Regular" w:cs="Times New Roman Regular"/>
          <w:color w:val="auto"/>
        </w:rPr>
      </w:pPr>
      <w:bookmarkStart w:id="14" w:name="_Toc139557439"/>
      <w:bookmarkStart w:id="15" w:name="_Toc1205392646"/>
      <w:r>
        <w:rPr>
          <w:rFonts w:hint="default" w:ascii="Times New Roman Regular" w:hAnsi="Times New Roman Regular" w:cs="Times New Roman Regular"/>
          <w:color w:val="auto"/>
        </w:rPr>
        <w:t>2.4.1 Strengths</w:t>
      </w:r>
      <w:bookmarkEnd w:id="14"/>
      <w:bookmarkEnd w:id="1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ByteDance has a wide user base. The company has a large user base gives the business a wide target audience (Auxier &amp; Anderson, 2021). At the same time, the platforms ByteDance uses and provides are known for focusing too much on user-generated content and creativity. This means all the content in the platform is original and engaging, frees the company's potential liability. ByteDance is also known for successfully integrating machine learning and AI into its operations and business strategy. Thus, offering advertisers precise, accurate user targeting and delivery help attract a bigger audience base (ICMR, 2020). This has helped to improve advertising efficiency and helped ByteDance to accomplish its marketing goals. </w:t>
      </w:r>
    </w:p>
    <w:p>
      <w:pPr>
        <w:pStyle w:val="4"/>
        <w:rPr>
          <w:rFonts w:hint="default" w:ascii="Times New Roman Regular" w:hAnsi="Times New Roman Regular" w:cs="Times New Roman Regular"/>
          <w:color w:val="auto"/>
        </w:rPr>
      </w:pPr>
      <w:bookmarkStart w:id="16" w:name="_Toc139557440"/>
      <w:bookmarkStart w:id="17" w:name="_Toc1820959171"/>
      <w:r>
        <w:rPr>
          <w:rFonts w:hint="default" w:ascii="Times New Roman Regular" w:hAnsi="Times New Roman Regular" w:cs="Times New Roman Regular"/>
          <w:color w:val="auto"/>
        </w:rPr>
        <w:t>2.4.2 Weaknesses</w:t>
      </w:r>
      <w:bookmarkEnd w:id="16"/>
      <w:bookmarkEnd w:id="1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Despite its popularity, ByteDance faces low brand recognition in some regions and countries. This means that ByteDance misses out heavily on profits in some industries and some countries. Since ByteDance is an online-based business, there is an unavoidable issue with privacy. Thus, users' rising security and privacy issues pose a serious weakness for ByteDance (Chan &amp; Hadero, 2023). This is a major weakness for ByteDance because it risks losing business and exposing large volumes of user data to unauthorized third parties. The third weakness of ByteDance is its ongoing issues surrounding policy risks and regulatory pressures in foreign countries</w:t>
      </w:r>
      <w:r>
        <w:rPr>
          <w:rFonts w:hint="default" w:ascii="Times New Roman Regular" w:hAnsi="Times New Roman Regular" w:cs="Times New Roman Regular"/>
          <w:color w:val="222222"/>
          <w:sz w:val="24"/>
          <w:szCs w:val="24"/>
          <w:shd w:val="clear" w:color="auto" w:fill="FFFFFF"/>
        </w:rPr>
        <w:t xml:space="preserve"> (Aragòn-Correa et al. 2020)</w:t>
      </w:r>
      <w:r>
        <w:rPr>
          <w:rFonts w:hint="default" w:ascii="Times New Roman Regular" w:hAnsi="Times New Roman Regular" w:cs="Times New Roman Regular"/>
          <w:sz w:val="24"/>
          <w:szCs w:val="24"/>
        </w:rPr>
        <w:t xml:space="preserve">. Its international expansion efforts have not been successful, with the company facing notable regulations and pressures that hamper its operations in international marketplaces. </w:t>
      </w:r>
    </w:p>
    <w:p>
      <w:pPr>
        <w:pStyle w:val="4"/>
        <w:rPr>
          <w:rFonts w:hint="default" w:ascii="Times New Roman Regular" w:hAnsi="Times New Roman Regular" w:cs="Times New Roman Regular"/>
          <w:color w:val="auto"/>
        </w:rPr>
      </w:pPr>
      <w:bookmarkStart w:id="18" w:name="_Toc139557441"/>
      <w:bookmarkStart w:id="19" w:name="_Toc1071333600"/>
      <w:r>
        <w:rPr>
          <w:rFonts w:hint="default" w:ascii="Times New Roman Regular" w:hAnsi="Times New Roman Regular" w:cs="Times New Roman Regular"/>
          <w:color w:val="auto"/>
        </w:rPr>
        <w:t>2.4.3 Opportunities</w:t>
      </w:r>
      <w:bookmarkEnd w:id="18"/>
      <w:bookmarkEnd w:id="1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faces some weaknesses that hamper its business growth and sustainability. However, there are marketing opportunities that should help ByteDance to succeed. The first opportunity for ByteDance to maximize its advertising platform and user data. This opportunity should help ByteDance to attract more advertisers and identify new opportunities within the marketing space. Another opportunity for ByteDance is to invest in emerging markets</w:t>
      </w:r>
      <w:r>
        <w:rPr>
          <w:rFonts w:hint="default" w:ascii="Times New Roman Regular" w:hAnsi="Times New Roman Regular" w:cs="Times New Roman Regular"/>
          <w:color w:val="222222"/>
          <w:sz w:val="24"/>
          <w:szCs w:val="24"/>
          <w:shd w:val="clear" w:color="auto" w:fill="FFFFFF"/>
        </w:rPr>
        <w:t xml:space="preserve"> (Paul et al. 2021)</w:t>
      </w:r>
      <w:r>
        <w:rPr>
          <w:rFonts w:hint="default" w:ascii="Times New Roman Regular" w:hAnsi="Times New Roman Regular" w:cs="Times New Roman Regular"/>
          <w:sz w:val="24"/>
          <w:szCs w:val="24"/>
        </w:rPr>
        <w:t>. ByteDance should be able to attract many more users when it offers localized content and services. The content should meet the demands of local consumers and comply with their local demands and cultures</w:t>
      </w:r>
      <w:r>
        <w:rPr>
          <w:rFonts w:hint="default" w:ascii="Times New Roman Regular" w:hAnsi="Times New Roman Regular" w:cs="Times New Roman Regular"/>
          <w:color w:val="222222"/>
          <w:sz w:val="24"/>
          <w:szCs w:val="24"/>
          <w:shd w:val="clear" w:color="auto" w:fill="FFFFFF"/>
        </w:rPr>
        <w:t xml:space="preserve"> (Paul, 2019)</w:t>
      </w:r>
      <w:r>
        <w:rPr>
          <w:rFonts w:hint="default" w:ascii="Times New Roman Regular" w:hAnsi="Times New Roman Regular" w:cs="Times New Roman Regular"/>
          <w:sz w:val="24"/>
          <w:szCs w:val="24"/>
        </w:rPr>
        <w:t xml:space="preserve">. The third opportunity for ByteDance is to improve user experience and further expand the user base by focusing on product improvement and technological innovation. </w:t>
      </w:r>
    </w:p>
    <w:p>
      <w:pPr>
        <w:pStyle w:val="4"/>
        <w:rPr>
          <w:rFonts w:hint="default" w:ascii="Times New Roman Regular" w:hAnsi="Times New Roman Regular" w:cs="Times New Roman Regular"/>
          <w:color w:val="auto"/>
        </w:rPr>
      </w:pPr>
      <w:bookmarkStart w:id="20" w:name="_Toc139557442"/>
      <w:bookmarkStart w:id="21" w:name="_Toc1400918752"/>
      <w:r>
        <w:rPr>
          <w:rFonts w:hint="default" w:ascii="Times New Roman Regular" w:hAnsi="Times New Roman Regular" w:cs="Times New Roman Regular"/>
          <w:color w:val="auto"/>
        </w:rPr>
        <w:t>2.4.4 Threats</w:t>
      </w:r>
      <w:bookmarkEnd w:id="20"/>
      <w:bookmarkEnd w:id="2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faces rivalry from established social media platforms, including Facebook, Snapchat, and Instagram. This challenge of intense business rivalry makes ByteDance find it completely difficult to dominate the marketplace (Liu, 2022). Another business threat ByteDance faces is the risk of user churn. ByteDance should continue offering engaging user content and features to retain existing users and attract newer ones. The political tensions between the U.S. and China, and in the Asia Pacific regions, threaten business success</w:t>
      </w:r>
      <w:r>
        <w:rPr>
          <w:rFonts w:hint="default" w:ascii="Times New Roman Regular" w:hAnsi="Times New Roman Regular" w:cs="Times New Roman Regular"/>
          <w:color w:val="222222"/>
          <w:sz w:val="24"/>
          <w:szCs w:val="24"/>
          <w:shd w:val="clear" w:color="auto" w:fill="FFFFFF"/>
        </w:rPr>
        <w:t xml:space="preserve"> (Kapustina et al. 2020)</w:t>
      </w:r>
      <w:r>
        <w:rPr>
          <w:rFonts w:hint="default" w:ascii="Times New Roman Regular" w:hAnsi="Times New Roman Regular" w:cs="Times New Roman Regular"/>
          <w:sz w:val="24"/>
          <w:szCs w:val="24"/>
        </w:rPr>
        <w:t xml:space="preserve">. Finally, ByteDance's Platforms encounter regulatory issues and temporary bans in various countries (Chan &amp; Hadero, 2023). These regions where ByteDance is limited include the U.S. and Indonesia.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2" w:name="_Toc139557443"/>
      <w:bookmarkStart w:id="23" w:name="_Toc230759156"/>
      <w:r>
        <w:rPr>
          <w:rFonts w:hint="default" w:ascii="Times New Roman Regular" w:hAnsi="Times New Roman Regular" w:cs="Times New Roman Regular"/>
          <w:color w:val="auto"/>
          <w:sz w:val="24"/>
          <w:szCs w:val="24"/>
        </w:rPr>
        <w:t>2.5 Porter’s Five Forces Analysis</w:t>
      </w:r>
      <w:bookmarkEnd w:id="22"/>
      <w:bookmarkEnd w:id="23"/>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Competitive Rivalry-This force explains the competition businesses face from rival firms in the same industry. According to Feldkamp (2022), this is a HIGH force as there is intense competition from rival, established firms that provide better services and user-generated content. ByteDance has a unique positioning because of its user-generated content.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The threat of new entrants-Any potential new entrants into a business affects its sustainability and operations. New entrants are observed mostly through firms entering new markets and attempting to disrupt the existing business order. This threat is LOW because of a high entry barrier (Lan, 2022). ByteDance, with its workforce base, profit returns, and revenue margins, has a strong market position. This helps ByteDance to continue operating without any threats of future irrelevance in the marketplace.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The threat of substitutes is mostly high whenever rival firms outside the industry provide more attractive and lower-cost products. Buyers are then allowed to make the performance/price tradeoff. This threat is MODERATE. There are alternatives in the marketplace that provide vital services (Anderson, 2020).</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Bargaining Power of Customers-This power is the belief that consumers easily apply pressures on companies to reduce the prices of products, increase quality, and even offer improved customer care services. This threat is LOW. This is because there are various product choices for consumers. The continuous innovation and value proposition by ByteDance gives the consumers low bargaining power because the company meets the ever-evolving consumer demands easily and readily.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Bargaining power of suppliers-This is the belief that suppliers could pressure organizations to reduce product availability or quality and even raise product prices. This force is MODERATE. ByteDance relies on technology and the content ecosystem. All content is user generated; therefore, there is no dependence on individual suppliers. </w:t>
      </w:r>
    </w:p>
    <w:p>
      <w:pPr>
        <w:spacing w:before="100" w:beforeAutospacing="1" w:after="100" w:afterAutospacing="1" w:line="480" w:lineRule="auto"/>
        <w:contextualSpacing/>
        <w:rPr>
          <w:rFonts w:hint="default" w:ascii="Times New Roman" w:hAnsi="Times New Roman" w:cs="Times New Roman"/>
          <w:i w:val="0"/>
          <w:iCs/>
          <w:sz w:val="24"/>
          <w:szCs w:val="24"/>
        </w:rPr>
      </w:pPr>
    </w:p>
    <w:p>
      <w:pPr>
        <w:spacing w:before="100" w:beforeAutospacing="1" w:after="100" w:afterAutospacing="1" w:line="480" w:lineRule="auto"/>
        <w:contextualSpacing/>
        <w:rPr>
          <w:rFonts w:hint="default" w:ascii="Times New Roman" w:hAnsi="Times New Roman" w:cs="Times New Roman"/>
          <w:i w:val="0"/>
          <w:iCs/>
          <w:sz w:val="24"/>
          <w:szCs w:val="24"/>
        </w:rPr>
      </w:pPr>
      <w:r>
        <w:rPr>
          <w:rFonts w:hint="default" w:ascii="Times New Roman" w:hAnsi="Times New Roman" w:cs="Times New Roman"/>
          <w:i w:val="0"/>
          <w:iCs/>
          <w:sz w:val="24"/>
          <w:szCs w:val="24"/>
        </w:rPr>
        <w:t xml:space="preserve">In summary, Porter's five forces framework identifies that the company uses social media for marketing activities. These include social commerce, data-driven personalization, and user-generated content. In this case, it is necessary that ByteDance addresses the high consumer bargaining power and manage the content creators’ high bargaining powers. Based on the SWOT analysis and Porter's five forces framework analysis, ByteDance uses social media as an effective marketing tool. The company should address its data privacy regulation issues and diversify its innovation capabilities to remain competitive. </w:t>
      </w:r>
    </w:p>
    <w:p>
      <w:pPr>
        <w:pStyle w:val="2"/>
        <w:bidi w:val="0"/>
        <w:rPr>
          <w:rFonts w:hint="default" w:ascii="Times New Roman Bold" w:hAnsi="Times New Roman Bold" w:cs="Times New Roman Bold"/>
          <w:b/>
          <w:bCs/>
          <w:color w:val="auto"/>
          <w:sz w:val="28"/>
          <w:szCs w:val="28"/>
        </w:rPr>
      </w:pPr>
      <w:bookmarkStart w:id="24" w:name="_Toc139557444"/>
      <w:bookmarkStart w:id="25" w:name="_Toc13668410"/>
      <w:r>
        <w:rPr>
          <w:rFonts w:hint="default" w:ascii="Times New Roman Bold" w:hAnsi="Times New Roman Bold" w:cs="Times New Roman Bold"/>
          <w:b/>
          <w:bCs/>
          <w:color w:val="auto"/>
          <w:sz w:val="28"/>
          <w:szCs w:val="28"/>
        </w:rPr>
        <w:t>3.0 The Challenges ByteDance Faces</w:t>
      </w:r>
      <w:bookmarkEnd w:id="24"/>
      <w:bookmarkEnd w:id="25"/>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6" w:name="_Toc139557445"/>
      <w:bookmarkStart w:id="27" w:name="_Toc2091700288"/>
      <w:r>
        <w:rPr>
          <w:rFonts w:hint="default" w:ascii="Times New Roman Regular" w:hAnsi="Times New Roman Regular" w:cs="Times New Roman Regular"/>
          <w:color w:val="auto"/>
          <w:sz w:val="24"/>
          <w:szCs w:val="24"/>
        </w:rPr>
        <w:t>3.1 Privacy and Security Issues for Users</w:t>
      </w:r>
      <w:bookmarkEnd w:id="26"/>
      <w:bookmarkEnd w:id="2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has been at the center of numerous security issues and privacy violations. ByteDance is regularly accused of posing major privacy risks and security threats to users. This resulted in private organizations and the U.S. government banning workers from using the applications on their work devices</w:t>
      </w:r>
      <w:r>
        <w:rPr>
          <w:rFonts w:hint="default" w:ascii="Times New Roman Regular" w:hAnsi="Times New Roman Regular" w:cs="Times New Roman Regular"/>
          <w:color w:val="222222"/>
          <w:sz w:val="24"/>
          <w:szCs w:val="24"/>
          <w:shd w:val="clear" w:color="auto" w:fill="FFFFFF"/>
        </w:rPr>
        <w:t xml:space="preserve"> (Marwick, 2022)</w:t>
      </w:r>
      <w:r>
        <w:rPr>
          <w:rFonts w:hint="default" w:ascii="Times New Roman Regular" w:hAnsi="Times New Roman Regular" w:cs="Times New Roman Regular"/>
          <w:sz w:val="24"/>
          <w:szCs w:val="24"/>
        </w:rPr>
        <w:t xml:space="preserve">. ByteDance gathers numerous data volumes. According to </w:t>
      </w:r>
      <w:r>
        <w:rPr>
          <w:rFonts w:hint="default" w:ascii="Times New Roman Regular" w:hAnsi="Times New Roman Regular" w:cs="Times New Roman Regular"/>
          <w:color w:val="222222"/>
          <w:sz w:val="24"/>
          <w:szCs w:val="24"/>
          <w:shd w:val="clear" w:color="auto" w:fill="FFFFFF"/>
        </w:rPr>
        <w:t>Fan</w:t>
      </w:r>
      <w:r>
        <w:rPr>
          <w:rFonts w:hint="default" w:ascii="Times New Roman Regular" w:hAnsi="Times New Roman Regular" w:cs="Times New Roman Regular"/>
          <w:sz w:val="24"/>
          <w:szCs w:val="24"/>
        </w:rPr>
        <w:t xml:space="preserve"> et al. (2023), ByteDance’s data pursuit does not involve collecting information about users’ preferences or tracking the content they share and like on the application. The company's privacy policy mentions that it gathers information one provides through composing, sending, and even receiving messages. ByteDance gathers messages and data and the content created or written that one does not share.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ByteDance maximizes all access permission granted, gathering information regarding the screen resolution and phone models, email addresses, contact lists, and phone locations. User data is stored in Singapore. China's law demands that ByteDance, like every other company, must submit user data on request. ByteDance gathers user information even when they have not used or installed the application</w:t>
      </w:r>
      <w:r>
        <w:rPr>
          <w:rFonts w:hint="default" w:ascii="Times New Roman Regular" w:hAnsi="Times New Roman Regular" w:cs="Times New Roman Regular"/>
          <w:color w:val="222222"/>
          <w:sz w:val="24"/>
          <w:szCs w:val="24"/>
          <w:shd w:val="clear" w:color="auto" w:fill="FFFFFF"/>
        </w:rPr>
        <w:t xml:space="preserve"> (Jia &amp; Ruan, 2020)</w:t>
      </w:r>
      <w:r>
        <w:rPr>
          <w:rFonts w:hint="default" w:ascii="Times New Roman Regular" w:hAnsi="Times New Roman Regular" w:cs="Times New Roman Regular"/>
          <w:sz w:val="24"/>
          <w:szCs w:val="24"/>
        </w:rPr>
        <w:t xml:space="preserve">. It collects peoples' data whether they need it or not. ByteDance's maximization of legal loopholes to carry out keylogging presents a major challenge.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28" w:name="_Toc139557446"/>
      <w:bookmarkStart w:id="29" w:name="_Toc899439026"/>
      <w:r>
        <w:rPr>
          <w:rFonts w:hint="default" w:ascii="Times New Roman Regular" w:hAnsi="Times New Roman Regular" w:cs="Times New Roman Regular"/>
          <w:color w:val="auto"/>
          <w:sz w:val="24"/>
          <w:szCs w:val="24"/>
        </w:rPr>
        <w:t>3.2 The Challenge of Risk of User Churn</w:t>
      </w:r>
      <w:bookmarkEnd w:id="28"/>
      <w:bookmarkEnd w:id="2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Staying abreast of consumer churn is an important necessity for a successful and healthy business. According to </w:t>
      </w:r>
      <w:r>
        <w:rPr>
          <w:rFonts w:hint="default" w:ascii="Times New Roman Regular" w:hAnsi="Times New Roman Regular" w:cs="Times New Roman Regular"/>
          <w:color w:val="222222"/>
          <w:sz w:val="24"/>
          <w:szCs w:val="24"/>
          <w:shd w:val="clear" w:color="auto" w:fill="FFFFFF"/>
        </w:rPr>
        <w:t>Edwine</w:t>
      </w:r>
      <w:r>
        <w:rPr>
          <w:rFonts w:hint="default" w:ascii="Times New Roman Regular" w:hAnsi="Times New Roman Regular" w:cs="Times New Roman Regular"/>
          <w:sz w:val="24"/>
          <w:szCs w:val="24"/>
        </w:rPr>
        <w:t xml:space="preserve"> et al. (2022), most organizations having subscription-based business models constantly monitor the churn rate among their consumer base. The costs of acquisition of new customers are high, making the predictive models for customer churn appealing as they help organizations to maintain existing clients at higher rates</w:t>
      </w:r>
      <w:r>
        <w:rPr>
          <w:rFonts w:hint="default" w:ascii="Times New Roman Regular" w:hAnsi="Times New Roman Regular" w:cs="Times New Roman Regular"/>
          <w:color w:val="222222"/>
          <w:sz w:val="24"/>
          <w:szCs w:val="24"/>
          <w:shd w:val="clear" w:color="auto" w:fill="FFFFFF"/>
        </w:rPr>
        <w:t xml:space="preserve"> (Becker et al. 2020)</w:t>
      </w:r>
      <w:r>
        <w:rPr>
          <w:rFonts w:hint="default" w:ascii="Times New Roman Regular" w:hAnsi="Times New Roman Regular" w:cs="Times New Roman Regular"/>
          <w:sz w:val="24"/>
          <w:szCs w:val="24"/>
        </w:rPr>
        <w:t xml:space="preserve">. For ByteDance, churn is whenever a customer terminates a subscription. The problem with churn rates is that ByteDance loses consumer trust and significant profit margins.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Customer churn is a rare event whenever a business is in good shape. </w:t>
      </w:r>
      <w:r>
        <w:rPr>
          <w:rFonts w:hint="default" w:ascii="Times New Roman Regular" w:hAnsi="Times New Roman Regular" w:cs="Times New Roman Regular"/>
          <w:color w:val="222222"/>
          <w:sz w:val="24"/>
          <w:szCs w:val="24"/>
          <w:shd w:val="clear" w:color="auto" w:fill="FFFFFF"/>
        </w:rPr>
        <w:t xml:space="preserve">Deligiannis &amp; Argyriou (2020) mention that </w:t>
      </w:r>
      <w:r>
        <w:rPr>
          <w:rFonts w:hint="default" w:ascii="Times New Roman Regular" w:hAnsi="Times New Roman Regular" w:cs="Times New Roman Regular"/>
          <w:sz w:val="24"/>
          <w:szCs w:val="24"/>
        </w:rPr>
        <w:t>this results in class imbalance, where various churner consumers are smaller than the majority. This class imbalance results in poor predictions because the machine models that maximize accuracy cannot define accuracy</w:t>
      </w:r>
      <w:r>
        <w:rPr>
          <w:rFonts w:hint="default" w:ascii="Times New Roman Regular" w:hAnsi="Times New Roman Regular" w:cs="Times New Roman Regular"/>
          <w:color w:val="222222"/>
          <w:sz w:val="24"/>
          <w:szCs w:val="24"/>
          <w:shd w:val="clear" w:color="auto" w:fill="FFFFFF"/>
        </w:rPr>
        <w:t xml:space="preserve"> (Faritha Banu et al. 2022)</w:t>
      </w:r>
      <w:r>
        <w:rPr>
          <w:rFonts w:hint="default" w:ascii="Times New Roman Regular" w:hAnsi="Times New Roman Regular" w:cs="Times New Roman Regular"/>
          <w:sz w:val="24"/>
          <w:szCs w:val="24"/>
        </w:rPr>
        <w:t xml:space="preserve">. The challenge caused by customer churn is a serious issue for ByteDance to consider and overcome because it is the definition between success and failure. A business cannot function without its customers. Given the high rates of privacy and security issues facing ByteDance, customer churn is predicted to cost the business huge financial losses.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0" w:name="_Toc139557447"/>
      <w:bookmarkStart w:id="31" w:name="_Toc734318749"/>
      <w:r>
        <w:rPr>
          <w:rFonts w:hint="default" w:ascii="Times New Roman Regular" w:hAnsi="Times New Roman Regular" w:cs="Times New Roman Regular"/>
          <w:color w:val="auto"/>
          <w:sz w:val="24"/>
          <w:szCs w:val="24"/>
        </w:rPr>
        <w:t>3.3 Regulatory Challenges</w:t>
      </w:r>
      <w:bookmarkEnd w:id="30"/>
      <w:bookmarkEnd w:id="3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Governments worldwide are attempting to ban ByteDance because it poses major security threats. Lawmakers across the U.S., Canada, and Europe have increased their efforts to limit TikTok access, a company owned by ByteDance</w:t>
      </w:r>
      <w:r>
        <w:rPr>
          <w:rFonts w:hint="default" w:ascii="Times New Roman Regular" w:hAnsi="Times New Roman Regular" w:cs="Times New Roman Regular"/>
          <w:color w:val="222222"/>
          <w:sz w:val="24"/>
          <w:szCs w:val="24"/>
          <w:shd w:val="clear" w:color="auto" w:fill="FFFFFF"/>
        </w:rPr>
        <w:t xml:space="preserve"> (Koleson, 2020)</w:t>
      </w:r>
      <w:r>
        <w:rPr>
          <w:rFonts w:hint="default" w:ascii="Times New Roman Regular" w:hAnsi="Times New Roman Regular" w:cs="Times New Roman Regular"/>
          <w:sz w:val="24"/>
          <w:szCs w:val="24"/>
        </w:rPr>
        <w:t xml:space="preserve">. These bans have mostly cited security threats. Governments are banning ByteDance because of its relationship with China. According to </w:t>
      </w:r>
      <w:r>
        <w:rPr>
          <w:rFonts w:hint="default" w:ascii="Times New Roman Regular" w:hAnsi="Times New Roman Regular" w:cs="Times New Roman Regular"/>
          <w:color w:val="222222"/>
          <w:sz w:val="24"/>
          <w:szCs w:val="24"/>
          <w:shd w:val="clear" w:color="auto" w:fill="FFFFFF"/>
        </w:rPr>
        <w:t xml:space="preserve">Wu &amp; Cen (2022), </w:t>
      </w:r>
      <w:r>
        <w:rPr>
          <w:rFonts w:hint="default" w:ascii="Times New Roman Regular" w:hAnsi="Times New Roman Regular" w:cs="Times New Roman Regular"/>
          <w:sz w:val="24"/>
          <w:szCs w:val="24"/>
        </w:rPr>
        <w:t xml:space="preserve">Regulators and lawmakers from the West have expressed concerns that ByteDance has placed sensitive user information, such as location data, in the Chinese government's hands. Regulators also point to laws allowing China to secretly demand information from Chinese agencies and citizens for its intelligence-collection efforts.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ascii="Arial" w:hAnsi="Arial" w:cs="Arial"/>
          <w:sz w:val="24"/>
          <w:szCs w:val="24"/>
        </w:rPr>
      </w:pPr>
      <w:r>
        <w:rPr>
          <w:rFonts w:hint="default" w:ascii="Times New Roman Regular" w:hAnsi="Times New Roman Regular" w:cs="Times New Roman Regular"/>
          <w:sz w:val="24"/>
          <w:szCs w:val="24"/>
        </w:rPr>
        <w:t>Lawmakers and regulators expressed concerns that China was using ByteDance, specifically TikTok, to collect data. According to</w:t>
      </w:r>
      <w:r>
        <w:rPr>
          <w:rFonts w:hint="default" w:ascii="Times New Roman Regular" w:hAnsi="Times New Roman Regular" w:cs="Times New Roman Regular"/>
          <w:color w:val="222222"/>
          <w:sz w:val="24"/>
          <w:szCs w:val="24"/>
          <w:shd w:val="clear" w:color="auto" w:fill="FFFFFF"/>
        </w:rPr>
        <w:t xml:space="preserve"> Jia &amp; Stan (2021),</w:t>
      </w:r>
      <w:r>
        <w:rPr>
          <w:rFonts w:hint="default" w:ascii="Times New Roman Regular" w:hAnsi="Times New Roman Regular" w:cs="Times New Roman Regular"/>
          <w:sz w:val="24"/>
          <w:szCs w:val="24"/>
        </w:rPr>
        <w:t xml:space="preserve"> India banned ByteDance in mid-2020, which led to the company losing a big market share. The Indian government cracked down on many Chinese-owned applications, arguing that these applications secretly transmitted user information to Chinese servers. Many other countries, such as Australia, Britain, and Canada, have banned ByteDance from official government devices. </w:t>
      </w:r>
      <w:r>
        <w:rPr>
          <w:rFonts w:hint="default" w:ascii="Times New Roman Regular" w:hAnsi="Times New Roman Regular" w:cs="Times New Roman Regular"/>
          <w:color w:val="222222"/>
          <w:sz w:val="24"/>
          <w:szCs w:val="24"/>
          <w:shd w:val="clear" w:color="auto" w:fill="FFFFFF"/>
        </w:rPr>
        <w:t xml:space="preserve">Clausius (2022) also mention that </w:t>
      </w:r>
      <w:r>
        <w:rPr>
          <w:rFonts w:hint="default" w:ascii="Times New Roman Regular" w:hAnsi="Times New Roman Regular" w:cs="Times New Roman Regular"/>
          <w:sz w:val="24"/>
          <w:szCs w:val="24"/>
        </w:rPr>
        <w:t xml:space="preserve">Since November, the U.S. has demanded that many states ban ByteDance and TikTok from colleges and government offices. The bans, however, are not part of personal devices. In this regard, the ban by governments and countries globally has caused serious issues for the company, including losing a bigger market share. These are the three major challenges that ByteDance and its subsidiary company TikTok must overcome to remain relevant in the competitive business environment. </w:t>
      </w:r>
    </w:p>
    <w:p>
      <w:pPr>
        <w:rPr>
          <w:rFonts w:hint="default" w:ascii="Times New Roman Bold" w:hAnsi="Times New Roman Bold" w:cs="Times New Roman Bold"/>
          <w:b/>
          <w:bCs/>
          <w:color w:val="auto"/>
          <w:sz w:val="28"/>
          <w:szCs w:val="28"/>
        </w:rPr>
      </w:pPr>
      <w:bookmarkStart w:id="32" w:name="_Toc139557448"/>
      <w:r>
        <w:rPr>
          <w:rFonts w:hint="default" w:ascii="Times New Roman Bold" w:hAnsi="Times New Roman Bold" w:cs="Times New Roman Bold"/>
          <w:b/>
          <w:bCs/>
          <w:color w:val="auto"/>
          <w:sz w:val="28"/>
          <w:szCs w:val="28"/>
        </w:rPr>
        <w:br w:type="page"/>
      </w:r>
    </w:p>
    <w:p>
      <w:pPr>
        <w:pStyle w:val="2"/>
        <w:bidi w:val="0"/>
        <w:rPr>
          <w:rFonts w:hint="default" w:ascii="Times New Roman Bold" w:hAnsi="Times New Roman Bold" w:cs="Times New Roman Bold"/>
          <w:b/>
          <w:bCs/>
          <w:color w:val="auto"/>
          <w:sz w:val="28"/>
          <w:szCs w:val="28"/>
        </w:rPr>
      </w:pPr>
      <w:bookmarkStart w:id="33" w:name="_Toc106695134"/>
      <w:r>
        <w:rPr>
          <w:rFonts w:hint="default" w:ascii="Times New Roman Bold" w:hAnsi="Times New Roman Bold" w:cs="Times New Roman Bold"/>
          <w:b/>
          <w:bCs/>
          <w:color w:val="auto"/>
          <w:sz w:val="28"/>
          <w:szCs w:val="28"/>
        </w:rPr>
        <w:t>4.0 Recommendations for Improvement</w:t>
      </w:r>
      <w:bookmarkEnd w:id="32"/>
      <w:bookmarkEnd w:id="33"/>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4" w:name="_Toc139557449"/>
      <w:bookmarkStart w:id="35" w:name="_Toc76271893"/>
      <w:r>
        <w:rPr>
          <w:rFonts w:hint="default" w:ascii="Times New Roman Regular" w:hAnsi="Times New Roman Regular" w:cs="Times New Roman Regular"/>
          <w:color w:val="auto"/>
          <w:sz w:val="24"/>
          <w:szCs w:val="24"/>
        </w:rPr>
        <w:t>4.1 The Solution to Privacy and Security Issues for Users</w:t>
      </w:r>
      <w:bookmarkEnd w:id="34"/>
      <w:bookmarkEnd w:id="35"/>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An analysis of the company’s digital marketing efforts shows a gap in the protection of its consumers. ByteDance can protect consumers from exploitation by improving encryption protection to give customers a good experience. According to </w:t>
      </w:r>
      <w:r>
        <w:rPr>
          <w:rFonts w:hint="default" w:ascii="Times New Roman Regular" w:hAnsi="Times New Roman Regular" w:cs="Times New Roman Regular"/>
          <w:color w:val="222222"/>
          <w:sz w:val="24"/>
          <w:szCs w:val="24"/>
          <w:shd w:val="clear" w:color="auto" w:fill="FFFFFF"/>
        </w:rPr>
        <w:t xml:space="preserve">Singh &amp; Kaur (2015), </w:t>
      </w:r>
      <w:r>
        <w:rPr>
          <w:rFonts w:hint="default" w:ascii="Times New Roman Regular" w:hAnsi="Times New Roman Regular" w:cs="Times New Roman Regular"/>
          <w:sz w:val="24"/>
          <w:szCs w:val="24"/>
        </w:rPr>
        <w:t>Encryption is key for businesses as it allows them to safeguard confidential data by turning them into a form that cannot be read without any keys. Encryption makes it difficult for criminals to steal and misuse information because only individuals with these keys can access them</w:t>
      </w:r>
      <w:r>
        <w:rPr>
          <w:rFonts w:hint="default" w:ascii="Times New Roman Regular" w:hAnsi="Times New Roman Regular" w:cs="Times New Roman Regular"/>
          <w:color w:val="222222"/>
          <w:sz w:val="24"/>
          <w:szCs w:val="24"/>
          <w:shd w:val="clear" w:color="auto" w:fill="FFFFFF"/>
        </w:rPr>
        <w:t xml:space="preserve"> (Singh &amp; Kaur, 2015)</w:t>
      </w:r>
      <w:r>
        <w:rPr>
          <w:rFonts w:hint="default" w:ascii="Times New Roman Regular" w:hAnsi="Times New Roman Regular" w:cs="Times New Roman Regular"/>
          <w:sz w:val="24"/>
          <w:szCs w:val="24"/>
        </w:rPr>
        <w:t xml:space="preserve">. For ByteDance, it should carry out a data audit to identify data throughout the organization. This data should be categorized based on the use case, accessibility need, and sensitivity. </w:t>
      </w:r>
    </w:p>
    <w:p>
      <w:pPr>
        <w:spacing w:before="100" w:beforeAutospacing="1" w:after="100" w:afterAutospacing="1" w:line="480" w:lineRule="auto"/>
        <w:contextualSpacing/>
        <w:rPr>
          <w:rFonts w:hint="default" w:ascii="Times New Roman Regular" w:hAnsi="Times New Roman Regular" w:cs="Times New Roman Regular"/>
          <w:color w:val="222222"/>
          <w:sz w:val="24"/>
          <w:szCs w:val="24"/>
          <w:shd w:val="clear" w:color="auto" w:fill="FFFFFF"/>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 xml:space="preserve">Maathavan &amp; Venkatraman (2022) mention that the data categorization should </w:t>
      </w:r>
      <w:r>
        <w:rPr>
          <w:rFonts w:hint="default" w:ascii="Times New Roman Regular" w:hAnsi="Times New Roman Regular" w:cs="Times New Roman Regular"/>
          <w:sz w:val="24"/>
          <w:szCs w:val="24"/>
        </w:rPr>
        <w:t>be followed by preparing a data inventory that helps the company understand the data that should be safeguarded and the compliance laws applicable. To give consumers the confidence required for success, ByteDance should form and publish a clear data usage and privacy policy. This aspect involves defining and implementing a clear data privacy policy and communicating it to every stakeholder</w:t>
      </w:r>
      <w:r>
        <w:rPr>
          <w:rFonts w:hint="default" w:ascii="Times New Roman Regular" w:hAnsi="Times New Roman Regular" w:cs="Times New Roman Regular"/>
          <w:color w:val="222222"/>
          <w:sz w:val="24"/>
          <w:szCs w:val="24"/>
          <w:shd w:val="clear" w:color="auto" w:fill="FFFFFF"/>
        </w:rPr>
        <w:t xml:space="preserve"> (Maathavan &amp; Venkatraman, 2022)</w:t>
      </w:r>
      <w:r>
        <w:rPr>
          <w:rFonts w:hint="default" w:ascii="Times New Roman Regular" w:hAnsi="Times New Roman Regular" w:cs="Times New Roman Regular"/>
          <w:sz w:val="24"/>
          <w:szCs w:val="24"/>
        </w:rPr>
        <w:t xml:space="preserve">. This policy must explain people allowed to access data and the method of access and clearly mention how data is used. Undertaking regular data backups and storing these backups in secure locations is mandatory. Even when ByteDance is the target of attacks, it can still access its data. </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6" w:name="_Toc139557450"/>
      <w:bookmarkStart w:id="37" w:name="_Toc2001452039"/>
      <w:r>
        <w:rPr>
          <w:rFonts w:hint="default" w:ascii="Times New Roman Regular" w:hAnsi="Times New Roman Regular" w:cs="Times New Roman Regular"/>
          <w:color w:val="auto"/>
          <w:sz w:val="24"/>
          <w:szCs w:val="24"/>
        </w:rPr>
        <w:t>4.2 The solution to the Challenge of Risk of User Churn</w:t>
      </w:r>
      <w:bookmarkEnd w:id="36"/>
      <w:bookmarkEnd w:id="37"/>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SWOT analysis, a major challenge ByteDance faces is the prospect of holding to its clients. The user churn will force customers to walk away from the company in case of challenges. ByteDance must focus on user feedback and market trends using data analysis, market insight, and user research. According to</w:t>
      </w:r>
      <w:r>
        <w:rPr>
          <w:rFonts w:hint="default" w:ascii="Times New Roman Regular" w:hAnsi="Times New Roman Regular" w:cs="Times New Roman Regular"/>
          <w:color w:val="222222"/>
          <w:sz w:val="24"/>
          <w:szCs w:val="24"/>
          <w:shd w:val="clear" w:color="auto" w:fill="FFFFFF"/>
        </w:rPr>
        <w:t xml:space="preserve"> Am et al. (2020),</w:t>
      </w:r>
      <w:r>
        <w:rPr>
          <w:rFonts w:hint="default" w:ascii="Times New Roman Regular" w:hAnsi="Times New Roman Regular" w:cs="Times New Roman Regular"/>
          <w:sz w:val="24"/>
          <w:szCs w:val="24"/>
        </w:rPr>
        <w:t xml:space="preserve"> this aspect involves constant innovation and quality improvement to meet the rising user needs. By listening to the immediate feedback users provide, the company would minimize churn</w:t>
      </w:r>
      <w:r>
        <w:rPr>
          <w:rFonts w:hint="default" w:ascii="Times New Roman Regular" w:hAnsi="Times New Roman Regular" w:cs="Times New Roman Regular"/>
          <w:color w:val="222222"/>
          <w:sz w:val="24"/>
          <w:szCs w:val="24"/>
          <w:shd w:val="clear" w:color="auto" w:fill="FFFFFF"/>
        </w:rPr>
        <w:t xml:space="preserve"> (Milner &amp; Furnham, 2017)</w:t>
      </w:r>
      <w:r>
        <w:rPr>
          <w:rFonts w:hint="default" w:ascii="Times New Roman Regular" w:hAnsi="Times New Roman Regular" w:cs="Times New Roman Regular"/>
          <w:sz w:val="24"/>
          <w:szCs w:val="24"/>
        </w:rPr>
        <w:t xml:space="preserve">. Regardless, an accurate churn prediction model helps the company enhance consumer feedback further while accommodating their needs (Borah et al., 2020). To improve churn prediction results, ByteDance must improve its training dataset and experiment with churn modeling through advanced hybrid approaches. ByteDance's present training dataset mostly comprises features computed through simple linear averaging. If there is a well-developed model, it will improve the company's responsiveness toward consumer feedback.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Besides, ByteDance must experiment with the modeling churn and use a dataset supported by features, including the customer usage statistics in their previous six months. According to </w:t>
      </w:r>
      <w:r>
        <w:rPr>
          <w:rFonts w:hint="default" w:ascii="Times New Roman Regular" w:hAnsi="Times New Roman Regular" w:cs="Times New Roman Regular"/>
          <w:color w:val="222222"/>
          <w:sz w:val="24"/>
          <w:szCs w:val="24"/>
          <w:shd w:val="clear" w:color="auto" w:fill="FFFFFF"/>
        </w:rPr>
        <w:t>Maan &amp; Maan (2023</w:t>
      </w:r>
      <w:r>
        <w:rPr>
          <w:rFonts w:hint="default" w:ascii="Times New Roman Regular" w:hAnsi="Times New Roman Regular" w:cs="Times New Roman Regular"/>
          <w:sz w:val="24"/>
          <w:szCs w:val="24"/>
        </w:rPr>
        <w:t>), churn modeling with these time series must help identify and incorporate more complicated consumer patterns into the churn prediction. This hybrid model method is useful because it helps identify the risks of consumer churn and the potential of turning them loyal</w:t>
      </w:r>
      <w:r>
        <w:rPr>
          <w:rFonts w:hint="default" w:ascii="Times New Roman Regular" w:hAnsi="Times New Roman Regular" w:cs="Times New Roman Regular"/>
          <w:color w:val="222222"/>
          <w:sz w:val="24"/>
          <w:szCs w:val="24"/>
          <w:shd w:val="clear" w:color="auto" w:fill="FFFFFF"/>
        </w:rPr>
        <w:t xml:space="preserve"> (Figalist et al., 2019)</w:t>
      </w:r>
      <w:r>
        <w:rPr>
          <w:rFonts w:hint="default" w:ascii="Times New Roman Regular" w:hAnsi="Times New Roman Regular" w:cs="Times New Roman Regular"/>
          <w:sz w:val="24"/>
          <w:szCs w:val="24"/>
        </w:rPr>
        <w:t>. Analyzing market trends is also important for overall business success and sustainability. Businesses succeed only when they have the best model to assess consumer demands and needs. The market demands are key for businesses to help ByteDance to understand consumer needs, which helps the company to remodel its activities.</w:t>
      </w:r>
    </w:p>
    <w:p>
      <w:pPr>
        <w:pStyle w:val="3"/>
        <w:spacing w:before="100" w:beforeAutospacing="1" w:after="100" w:afterAutospacing="1" w:line="480" w:lineRule="auto"/>
        <w:contextualSpacing/>
        <w:rPr>
          <w:rFonts w:hint="default" w:ascii="Times New Roman Regular" w:hAnsi="Times New Roman Regular" w:cs="Times New Roman Regular"/>
          <w:color w:val="auto"/>
          <w:sz w:val="24"/>
          <w:szCs w:val="24"/>
        </w:rPr>
      </w:pPr>
      <w:bookmarkStart w:id="38" w:name="_Toc139557451"/>
      <w:bookmarkStart w:id="39" w:name="_Toc220572865"/>
      <w:r>
        <w:rPr>
          <w:rFonts w:hint="default" w:ascii="Times New Roman Regular" w:hAnsi="Times New Roman Regular" w:cs="Times New Roman Regular"/>
          <w:color w:val="auto"/>
          <w:sz w:val="24"/>
          <w:szCs w:val="24"/>
        </w:rPr>
        <w:t>4.3 The Solution to Address Regulatory Challenges</w:t>
      </w:r>
      <w:bookmarkEnd w:id="38"/>
      <w:bookmarkEnd w:id="39"/>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target market analysis shows that ByteDance faces a major hindrance in its expansion efforts. This is because of the difficulties to navigate the complex marketplace. For the regulator requirements in various regions and countries, ByteDance must ensure its products and services comply with domestic laws. </w:t>
      </w:r>
      <w:r>
        <w:rPr>
          <w:rFonts w:hint="default" w:ascii="Times New Roman Regular" w:hAnsi="Times New Roman Regular" w:cs="Times New Roman Regular"/>
          <w:color w:val="222222"/>
          <w:sz w:val="24"/>
          <w:szCs w:val="24"/>
          <w:shd w:val="clear" w:color="auto" w:fill="FFFFFF"/>
        </w:rPr>
        <w:t xml:space="preserve">Ardigó (2019) mentions that </w:t>
      </w:r>
      <w:r>
        <w:rPr>
          <w:rFonts w:hint="default" w:ascii="Times New Roman Regular" w:hAnsi="Times New Roman Regular" w:cs="Times New Roman Regular"/>
          <w:sz w:val="24"/>
          <w:szCs w:val="24"/>
        </w:rPr>
        <w:t>this can be accomplished by actively collaborating with governments and regulators. As users post and watch videos, ByteDance collects data behind the scene, tracking users' online activities and preferences. ByteDance’s global growth and expansion has resulted in regulatory issues for countries globally. Governments have found it difficult to address the widening scope of digital regulations in China, from India, Pakistan, Japan, and the U.S. to Australia. This has set the stage for global data collection by China. As data is gathered without consent, the privacy of companies, government bodies, and individuals is at a huge risk, posing a serious national security threat</w:t>
      </w:r>
      <w:r>
        <w:rPr>
          <w:rFonts w:hint="default" w:ascii="Times New Roman Regular" w:hAnsi="Times New Roman Regular" w:cs="Times New Roman Regular"/>
          <w:color w:val="222222"/>
          <w:sz w:val="24"/>
          <w:szCs w:val="24"/>
          <w:shd w:val="clear" w:color="auto" w:fill="FFFFFF"/>
        </w:rPr>
        <w:t xml:space="preserve"> (Lincicome et al. 2023)</w:t>
      </w:r>
      <w:r>
        <w:rPr>
          <w:rFonts w:hint="default" w:ascii="Times New Roman Regular" w:hAnsi="Times New Roman Regular" w:cs="Times New Roman Regular"/>
          <w:sz w:val="24"/>
          <w:szCs w:val="24"/>
        </w:rPr>
        <w:t xml:space="preserve">. The wide digital landscape in China has produced a system that powerfully challenges democracies globally. A few governments have established and implemented a sustainable and clear local approach to manage data sharing among platforms, national governments, and users. </w:t>
      </w:r>
    </w:p>
    <w:p>
      <w:pPr>
        <w:spacing w:before="100" w:beforeAutospacing="1" w:after="100" w:afterAutospacing="1" w:line="480" w:lineRule="auto"/>
        <w:contextualSpacing/>
        <w:rPr>
          <w:rFonts w:hint="default" w:ascii="Times New Roman Regular" w:hAnsi="Times New Roman Regular" w:cs="Times New Roman Regular"/>
          <w:sz w:val="24"/>
          <w:szCs w:val="24"/>
        </w:rPr>
      </w:pP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These regulations are ineffective when they do not work internationally. </w:t>
      </w:r>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Therefore, governments must work together to create basic data-transfer agreements. For example, China and the EU should form guidelines on ways organizations deal with data transfer across borders. Countries must ensure they develop strong national data-protection laws. This implies re-prioritizing the national security issues above company growth and profits in other nations (Lin, 2022). Whenever it concerns the regulation of global technology organizations, financial issues are lower for tech importers</w:t>
      </w:r>
      <w:r>
        <w:rPr>
          <w:rFonts w:hint="default" w:ascii="Times New Roman Regular" w:hAnsi="Times New Roman Regular" w:cs="Times New Roman Regular"/>
          <w:color w:val="222222"/>
          <w:sz w:val="24"/>
          <w:szCs w:val="24"/>
          <w:shd w:val="clear" w:color="auto" w:fill="FFFFFF"/>
        </w:rPr>
        <w:t xml:space="preserve"> (Suda, 2020)</w:t>
      </w:r>
      <w:r>
        <w:rPr>
          <w:rFonts w:hint="default" w:ascii="Times New Roman Regular" w:hAnsi="Times New Roman Regular" w:cs="Times New Roman Regular"/>
          <w:sz w:val="24"/>
          <w:szCs w:val="24"/>
        </w:rPr>
        <w:t>. Wealthy nations should assist the less affluent ones in creating the technical infrastructure required for digital oversight</w:t>
      </w:r>
      <w:r>
        <w:rPr>
          <w:rFonts w:hint="default" w:ascii="Times New Roman Regular" w:hAnsi="Times New Roman Regular" w:cs="Times New Roman Regular"/>
          <w:color w:val="222222"/>
          <w:sz w:val="24"/>
          <w:szCs w:val="24"/>
          <w:shd w:val="clear" w:color="auto" w:fill="FFFFFF"/>
        </w:rPr>
        <w:t xml:space="preserve"> (Voss, 2022)</w:t>
      </w:r>
      <w:r>
        <w:rPr>
          <w:rFonts w:hint="default" w:ascii="Times New Roman Regular" w:hAnsi="Times New Roman Regular" w:cs="Times New Roman Regular"/>
          <w:sz w:val="24"/>
          <w:szCs w:val="24"/>
        </w:rPr>
        <w:t xml:space="preserve">. ByteDance should coordinate with other governments to help the company have better relationships with the company. These policies should help ByteDance understand the national security issues the company faces and create the right methods to deal with issues surrounding user data. </w:t>
      </w:r>
    </w:p>
    <w:p>
      <w:pPr>
        <w:rPr>
          <w:rFonts w:hint="default" w:ascii="Times New Roman Bold" w:hAnsi="Times New Roman Bold" w:cs="Times New Roman Bold"/>
          <w:b/>
          <w:bCs/>
          <w:color w:val="auto"/>
          <w:sz w:val="28"/>
          <w:szCs w:val="28"/>
        </w:rPr>
      </w:pPr>
      <w:bookmarkStart w:id="40" w:name="_Toc139557452"/>
      <w:r>
        <w:rPr>
          <w:rFonts w:hint="default" w:ascii="Times New Roman Bold" w:hAnsi="Times New Roman Bold" w:cs="Times New Roman Bold"/>
          <w:b/>
          <w:bCs/>
          <w:color w:val="auto"/>
          <w:sz w:val="28"/>
          <w:szCs w:val="28"/>
        </w:rPr>
        <w:br w:type="page"/>
      </w:r>
    </w:p>
    <w:p>
      <w:pPr>
        <w:pStyle w:val="2"/>
        <w:bidi w:val="0"/>
        <w:rPr>
          <w:rFonts w:hint="default" w:ascii="Times New Roman Bold" w:hAnsi="Times New Roman Bold" w:cs="Times New Roman Bold"/>
          <w:b/>
          <w:bCs/>
          <w:color w:val="auto"/>
          <w:sz w:val="28"/>
          <w:szCs w:val="28"/>
        </w:rPr>
      </w:pPr>
      <w:bookmarkStart w:id="41" w:name="_Toc611367333"/>
      <w:r>
        <w:rPr>
          <w:rFonts w:hint="default" w:ascii="Times New Roman Bold" w:hAnsi="Times New Roman Bold" w:cs="Times New Roman Bold"/>
          <w:b/>
          <w:bCs/>
          <w:color w:val="auto"/>
          <w:sz w:val="28"/>
          <w:szCs w:val="28"/>
        </w:rPr>
        <w:t>5.0 Conclusion</w:t>
      </w:r>
      <w:bookmarkEnd w:id="40"/>
      <w:bookmarkEnd w:id="41"/>
    </w:p>
    <w:p>
      <w:pPr>
        <w:spacing w:before="100" w:beforeAutospacing="1" w:after="100" w:afterAutospacing="1" w:line="480" w:lineRule="auto"/>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macro and micro business environment analysis of ByteDance demonstrates that the company has faced serious hurdles for over a decade. As identified, the challenges ByteDance faces include ensuring the quality of its content and data privacy issues. ByteDance also finds it difficult to leverage its impact on social media networks and reduce the perceived usefulness for users. The recommendations show that ByteDance must improve content quality and adopt a more refined content filtering method. This promotes high-quality content. According to these findings, ByteDance uses social media as a marketing platform to achieve a competitive advantage. At the same time, there is an option for ByteDance to develop its offerings better. ByteDance must focus on data privacy regulatory issues and diversifying innovative capabilities that should help the company. The core of the company's recommended strategies should revolve around addressing regulatory challenges. ByteDance should work with governments globally to find amicable solutions to national security priorities. ByteDance should also encrypt user data to overcome the threat posed by user privacy issues. If these issues are addressed, user churn risks will be reduced. These are the best recommendations that should help ByteDance to achieve business growth, sustainability, and success amid the backlash of exposing user data.</w:t>
      </w:r>
    </w:p>
    <w:p>
      <w:pPr>
        <w:spacing w:before="100" w:beforeAutospacing="1" w:after="100" w:afterAutospacing="1" w:line="480" w:lineRule="auto"/>
        <w:contextualSpacing/>
        <w:rPr>
          <w:rFonts w:ascii="Arial" w:hAnsi="Arial" w:cs="Arial" w:eastAsiaTheme="majorEastAsia"/>
          <w:b/>
          <w:sz w:val="24"/>
          <w:szCs w:val="24"/>
        </w:rPr>
      </w:pPr>
      <w:r>
        <w:rPr>
          <w:rFonts w:ascii="Arial" w:hAnsi="Arial" w:cs="Arial"/>
          <w:b/>
          <w:sz w:val="24"/>
          <w:szCs w:val="24"/>
        </w:rPr>
        <w:br w:type="page"/>
      </w:r>
    </w:p>
    <w:p>
      <w:pPr>
        <w:pStyle w:val="2"/>
        <w:bidi w:val="0"/>
        <w:rPr>
          <w:rFonts w:hint="default" w:ascii="Times New Roman Bold" w:hAnsi="Times New Roman Bold" w:cs="Times New Roman Bold"/>
          <w:b/>
          <w:bCs/>
          <w:color w:val="auto"/>
          <w:sz w:val="28"/>
          <w:szCs w:val="28"/>
        </w:rPr>
      </w:pPr>
      <w:bookmarkStart w:id="42" w:name="_Toc139557453"/>
      <w:bookmarkStart w:id="43" w:name="_Toc1688998483"/>
      <w:r>
        <w:rPr>
          <w:rFonts w:hint="default" w:ascii="Times New Roman Bold" w:hAnsi="Times New Roman Bold" w:cs="Times New Roman Bold"/>
          <w:b/>
          <w:bCs/>
          <w:color w:val="auto"/>
          <w:sz w:val="28"/>
          <w:szCs w:val="28"/>
        </w:rPr>
        <w:t>6.0 References</w:t>
      </w:r>
      <w:bookmarkEnd w:id="42"/>
      <w:bookmarkEnd w:id="43"/>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Am, J. B., Furstenthal, L., Jorge, F., &amp; Roth, E. (2020). Innovation in a crisis: Why it is more critical than ever. </w:t>
      </w:r>
      <w:r>
        <w:rPr>
          <w:rFonts w:hint="default" w:ascii="Times New Roman Italic" w:hAnsi="Times New Roman Italic" w:cs="Times New Roman Italic"/>
          <w:i/>
          <w:iCs w:val="0"/>
          <w:color w:val="222222"/>
          <w:sz w:val="24"/>
          <w:szCs w:val="24"/>
          <w:shd w:val="clear" w:color="auto" w:fill="FFFFFF"/>
        </w:rPr>
        <w:t>McKinsey &amp; Company.</w:t>
      </w:r>
      <w:r>
        <w:rPr>
          <w:rFonts w:hint="default" w:ascii="Times New Roman Italic" w:hAnsi="Times New Roman Italic" w:cs="Times New Roman Italic"/>
          <w:i/>
          <w:iCs w:val="0"/>
          <w:sz w:val="24"/>
          <w:szCs w:val="24"/>
        </w:rPr>
        <w:t xml:space="preserve"> </w:t>
      </w:r>
      <w:r>
        <w:rPr>
          <w:rFonts w:hint="default" w:ascii="Times New Roman" w:hAnsi="Times New Roman" w:cs="Times New Roman"/>
          <w:i w:val="0"/>
          <w:iCs/>
          <w:color w:val="222222"/>
          <w:sz w:val="24"/>
          <w:szCs w:val="24"/>
          <w:shd w:val="clear" w:color="auto" w:fill="FFFFFF"/>
        </w:rPr>
        <w:t>https://technologyleaders.co.uk/wp-content/uploads/2020/07/Innovation-in-a-crisis-Why-it-is-more-critical-than-ever.pdf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Aragòn-Correa, J. A., Marcus, A. A., &amp; Vogel, D. (2020). The effects of mandatory and voluntary regulatory pressures on firms’ environmental strategies: A review and recommendations for future research. </w:t>
      </w:r>
      <w:r>
        <w:rPr>
          <w:rFonts w:hint="default" w:ascii="Times New Roman Italic" w:hAnsi="Times New Roman Italic" w:cs="Times New Roman Italic"/>
          <w:i/>
          <w:iCs w:val="0"/>
          <w:color w:val="222222"/>
          <w:sz w:val="24"/>
          <w:szCs w:val="24"/>
          <w:shd w:val="clear" w:color="auto" w:fill="FFFFFF"/>
        </w:rPr>
        <w:t>Academy of Management Annals</w:t>
      </w:r>
      <w:r>
        <w:rPr>
          <w:rFonts w:hint="default" w:ascii="Times New Roman" w:hAnsi="Times New Roman" w:cs="Times New Roman"/>
          <w:i w:val="0"/>
          <w:iCs/>
          <w:color w:val="222222"/>
          <w:sz w:val="24"/>
          <w:szCs w:val="24"/>
          <w:shd w:val="clear" w:color="auto" w:fill="FFFFFF"/>
        </w:rPr>
        <w:t>, 14(1), 339-365. https://carlsonschool.umn.edu/sites/carlsonschool.umn.edu/files/2020-01/annals.2018.0014.pdf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Ardigó, I. A. (2019). </w:t>
      </w:r>
      <w:r>
        <w:rPr>
          <w:rFonts w:hint="default" w:ascii="Times New Roman Italic" w:hAnsi="Times New Roman Italic" w:cs="Times New Roman Italic"/>
          <w:i/>
          <w:iCs w:val="0"/>
          <w:color w:val="222222"/>
          <w:sz w:val="24"/>
          <w:szCs w:val="24"/>
          <w:shd w:val="clear" w:color="auto" w:fill="FFFFFF"/>
        </w:rPr>
        <w:t>Local government accountability mechanisms</w:t>
      </w:r>
      <w:r>
        <w:rPr>
          <w:rFonts w:hint="default" w:ascii="Times New Roman" w:hAnsi="Times New Roman" w:cs="Times New Roman"/>
          <w:i w:val="0"/>
          <w:iCs/>
          <w:color w:val="222222"/>
          <w:sz w:val="24"/>
          <w:szCs w:val="24"/>
          <w:shd w:val="clear" w:color="auto" w:fill="FFFFFF"/>
        </w:rPr>
        <w:t>. Transparency International..</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https://beta.u4.no/publications/local-government-accountability-mechanisms.pdf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Becker, J. U., Spann, M., &amp; Barrot, C. (2020). Impact of proactive postsales service and cross-selling activities on customer churn and service calls. </w:t>
      </w:r>
      <w:r>
        <w:rPr>
          <w:rFonts w:hint="default" w:ascii="Times New Roman Italic" w:hAnsi="Times New Roman Italic" w:cs="Times New Roman Italic"/>
          <w:i/>
          <w:iCs w:val="0"/>
          <w:color w:val="222222"/>
          <w:sz w:val="24"/>
          <w:szCs w:val="24"/>
          <w:shd w:val="clear" w:color="auto" w:fill="FFFFFF"/>
        </w:rPr>
        <w:t>Journal of Service Research</w:t>
      </w:r>
      <w:r>
        <w:rPr>
          <w:rFonts w:hint="default" w:ascii="Times New Roman" w:hAnsi="Times New Roman" w:cs="Times New Roman"/>
          <w:i w:val="0"/>
          <w:iCs/>
          <w:color w:val="222222"/>
          <w:sz w:val="24"/>
          <w:szCs w:val="24"/>
          <w:shd w:val="clear" w:color="auto" w:fill="FFFFFF"/>
        </w:rPr>
        <w:t>, 23(1), 53-69. https://scholar.google.com/scholar?output=instlink&amp;q=info:iBGC1lDhgtgJ:scholar.google.com/&amp;hl=en&amp;as_sdt=0,5&amp;as_ylo=2019&amp;scillfp=18101543144966749377&amp;oi=lle</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val="0"/>
          <w:color w:val="222222"/>
          <w:sz w:val="24"/>
          <w:szCs w:val="24"/>
          <w:shd w:val="clear" w:color="auto" w:fill="FFFFFF"/>
        </w:rPr>
      </w:pPr>
      <w:r>
        <w:rPr>
          <w:rFonts w:hint="default" w:ascii="Times New Roman" w:hAnsi="Times New Roman" w:cs="Times New Roman"/>
          <w:i w:val="0"/>
          <w:iCs w:val="0"/>
          <w:color w:val="222222"/>
          <w:sz w:val="24"/>
          <w:szCs w:val="24"/>
          <w:shd w:val="clear" w:color="auto" w:fill="FFFFFF"/>
        </w:rPr>
        <w:t>Borah, S. B., Prakhya, S., &amp; Sharma, A. (2020). Leveraging service recovery strategies to reduce customer churn in an emerging market. </w:t>
      </w:r>
      <w:r>
        <w:rPr>
          <w:rFonts w:hint="default" w:ascii="Times New Roman Italic" w:hAnsi="Times New Roman Italic" w:cs="Times New Roman Italic"/>
          <w:i/>
          <w:iCs/>
          <w:color w:val="222222"/>
          <w:sz w:val="24"/>
          <w:szCs w:val="24"/>
          <w:shd w:val="clear" w:color="auto" w:fill="FFFFFF"/>
        </w:rPr>
        <w:t>Journal of the Academy of Marketing Science</w:t>
      </w:r>
      <w:r>
        <w:rPr>
          <w:rFonts w:hint="default" w:ascii="Times New Roman" w:hAnsi="Times New Roman" w:cs="Times New Roman"/>
          <w:i w:val="0"/>
          <w:iCs w:val="0"/>
          <w:color w:val="222222"/>
          <w:sz w:val="24"/>
          <w:szCs w:val="24"/>
          <w:shd w:val="clear" w:color="auto" w:fill="FFFFFF"/>
        </w:rPr>
        <w:t>, 48, 848-868.</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color w:val="222222"/>
          <w:sz w:val="24"/>
          <w:szCs w:val="24"/>
          <w:shd w:val="clear" w:color="auto" w:fill="FFFFFF"/>
        </w:rPr>
        <w:t>https://mays.tamu.edu/center-for-retailing-studies/wp-content/uploads/sites/18/2021/03/LEVERAGING-SERVICE-RECOVERY-STRATEGIES-TO-REDUCE-CUSTOMER-CHURN-IN-AN-EMERGING-MARKET.pdf</w:t>
      </w:r>
    </w:p>
    <w:p>
      <w:pPr>
        <w:tabs>
          <w:tab w:val="left" w:pos="2751"/>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Clausius, M. (2022). The Banning of TikTok, and the Ban of Foreign Software for National Security Purposes. </w:t>
      </w:r>
      <w:r>
        <w:rPr>
          <w:rFonts w:hint="default" w:ascii="Times New Roman Italic" w:hAnsi="Times New Roman Italic" w:cs="Times New Roman Italic"/>
          <w:i/>
          <w:iCs w:val="0"/>
          <w:color w:val="222222"/>
          <w:sz w:val="24"/>
          <w:szCs w:val="24"/>
          <w:shd w:val="clear" w:color="auto" w:fill="FFFFFF"/>
        </w:rPr>
        <w:t>Wash. U. Global Stud. L. Rev</w:t>
      </w:r>
      <w:r>
        <w:rPr>
          <w:rFonts w:hint="default" w:ascii="Times New Roman" w:hAnsi="Times New Roman" w:cs="Times New Roman"/>
          <w:i w:val="0"/>
          <w:iCs/>
          <w:color w:val="222222"/>
          <w:sz w:val="24"/>
          <w:szCs w:val="24"/>
          <w:shd w:val="clear" w:color="auto" w:fill="FFFFFF"/>
        </w:rPr>
        <w:t>., 21, 273.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https://journals.library.wustl.edu/globalstudies/article/id/8751/download/pdf/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Deligiannis, A., &amp; Argyriou, C. (2020). Designing a Real-Time Data-Driven Customer Churn Risk Indicator for Subscription Commerce. </w:t>
      </w:r>
      <w:r>
        <w:rPr>
          <w:rFonts w:hint="default" w:ascii="Times New Roman Italic" w:hAnsi="Times New Roman Italic" w:cs="Times New Roman Italic"/>
          <w:i/>
          <w:iCs w:val="0"/>
          <w:color w:val="222222"/>
          <w:sz w:val="24"/>
          <w:szCs w:val="24"/>
          <w:shd w:val="clear" w:color="auto" w:fill="FFFFFF"/>
        </w:rPr>
        <w:t>International Journal of Information Engineering &amp; Electronic Business</w:t>
      </w:r>
      <w:r>
        <w:rPr>
          <w:rFonts w:hint="default" w:ascii="Times New Roman" w:hAnsi="Times New Roman" w:cs="Times New Roman"/>
          <w:i w:val="0"/>
          <w:iCs/>
          <w:color w:val="222222"/>
          <w:sz w:val="24"/>
          <w:szCs w:val="24"/>
          <w:shd w:val="clear" w:color="auto" w:fill="FFFFFF"/>
        </w:rPr>
        <w:t>, 12(4).</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researchgate.net/profile/Alexandros-Deligiannis-2/publication/343537513_Designing_a_Real-Time_Data-Driven_Customer_Churn_Risk_Indicator_for_Subscription_Commerce/links/5f2fca6b458515b7290fe0ba/Designing-a-Real-Time-Data-Driven-Customer-Churn-Risk-Indicator-for-Subscription-Commerce.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Edwine, N., Wang, W., Song, W., &amp; Ssebuggwawo, D. (2022). Detecting the risk of customer churn in telecom sector: a comparative study.</w:t>
      </w:r>
      <w:r>
        <w:rPr>
          <w:rFonts w:hint="default" w:ascii="Times New Roman Italic" w:hAnsi="Times New Roman Italic" w:cs="Times New Roman Italic"/>
          <w:i/>
          <w:iCs w:val="0"/>
          <w:color w:val="222222"/>
          <w:sz w:val="24"/>
          <w:szCs w:val="24"/>
          <w:shd w:val="clear" w:color="auto" w:fill="FFFFFF"/>
        </w:rPr>
        <w:t> Mathematical Problems in Engineering</w:t>
      </w:r>
      <w:r>
        <w:rPr>
          <w:rFonts w:hint="default" w:ascii="Times New Roman" w:hAnsi="Times New Roman" w:cs="Times New Roman"/>
          <w:i w:val="0"/>
          <w:iCs/>
          <w:color w:val="222222"/>
          <w:sz w:val="24"/>
          <w:szCs w:val="24"/>
          <w:shd w:val="clear" w:color="auto" w:fill="FFFFFF"/>
        </w:rPr>
        <w:t>, 2022.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https://www.hindawi.com/journals/mpe/2022/8534739/</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Fan, X., Luo, J., &amp; Wang, X. (2023, February). Understanding TikTok Usage: Communication Strategy of ByteDance Based on the Background of New Media. In </w:t>
      </w:r>
      <w:r>
        <w:rPr>
          <w:rFonts w:hint="default" w:ascii="Times New Roman Italic" w:hAnsi="Times New Roman Italic" w:cs="Times New Roman Italic"/>
          <w:i/>
          <w:iCs w:val="0"/>
          <w:color w:val="222222"/>
          <w:sz w:val="24"/>
          <w:szCs w:val="24"/>
          <w:shd w:val="clear" w:color="auto" w:fill="FFFFFF"/>
        </w:rPr>
        <w:t>2022 4th International Conference on Literature, Art and Human Development (ICLAHD 2022)</w:t>
      </w:r>
      <w:r>
        <w:rPr>
          <w:rFonts w:hint="default" w:ascii="Times New Roman" w:hAnsi="Times New Roman" w:cs="Times New Roman"/>
          <w:i w:val="0"/>
          <w:iCs/>
          <w:color w:val="222222"/>
          <w:sz w:val="24"/>
          <w:szCs w:val="24"/>
          <w:shd w:val="clear" w:color="auto" w:fill="FFFFFF"/>
        </w:rPr>
        <w:t> (pp. 226-236). Atlantis Press.</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https://www.atlantis-press.com/article/125984496.pdf</w:t>
      </w:r>
    </w:p>
    <w:p>
      <w:pPr>
        <w:tabs>
          <w:tab w:val="left" w:pos="720"/>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Faritha Banu, J., Neelakandan, S., Geetha, B. T., Selvalakshmi, V., Umadevi, A., &amp; Martinson, E. O. (2022). Artificial intelligence based customer churn prediction model for business markets. </w:t>
      </w:r>
      <w:r>
        <w:rPr>
          <w:rFonts w:hint="default" w:ascii="Times New Roman Italic" w:hAnsi="Times New Roman Italic" w:cs="Times New Roman Italic"/>
          <w:i/>
          <w:iCs w:val="0"/>
          <w:color w:val="222222"/>
          <w:sz w:val="24"/>
          <w:szCs w:val="24"/>
          <w:shd w:val="clear" w:color="auto" w:fill="FFFFFF"/>
        </w:rPr>
        <w:t>Computational Intelligence and Neuroscience</w:t>
      </w:r>
      <w:r>
        <w:rPr>
          <w:rFonts w:hint="default" w:ascii="Times New Roman" w:hAnsi="Times New Roman" w:cs="Times New Roman"/>
          <w:i w:val="0"/>
          <w:iCs/>
          <w:color w:val="222222"/>
          <w:sz w:val="24"/>
          <w:szCs w:val="24"/>
          <w:shd w:val="clear" w:color="auto" w:fill="FFFFFF"/>
        </w:rPr>
        <w:t>, 2022.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https://www.hindawi.com/journals/cin/2022/1703696/</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Figalist, I., Elsner, C., Bosch, J., &amp; Olsson, H. H. (2019). Customer churn prediction in B2B contexts. In </w:t>
      </w:r>
      <w:r>
        <w:rPr>
          <w:rFonts w:hint="default" w:ascii="Times New Roman Italic" w:hAnsi="Times New Roman Italic" w:cs="Times New Roman Italic"/>
          <w:i/>
          <w:iCs w:val="0"/>
          <w:color w:val="222222"/>
          <w:sz w:val="24"/>
          <w:szCs w:val="24"/>
          <w:shd w:val="clear" w:color="auto" w:fill="FFFFFF"/>
        </w:rPr>
        <w:t>Software Business: 10th International Conference, ICSOB 2019, Jyväskylä, Finland, November 18–20, 2019, Proceedings 10 </w:t>
      </w:r>
      <w:r>
        <w:rPr>
          <w:rFonts w:hint="default" w:ascii="Times New Roman" w:hAnsi="Times New Roman" w:cs="Times New Roman"/>
          <w:i w:val="0"/>
          <w:iCs/>
          <w:color w:val="222222"/>
          <w:sz w:val="24"/>
          <w:szCs w:val="24"/>
          <w:shd w:val="clear" w:color="auto" w:fill="FFFFFF"/>
        </w:rPr>
        <w:t>(pp. 378-386). Springer International Publishing.</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https://www.researchgate.net/profile/Helena-Olsson/publication/338950901_Customer_Churn_Prediction_in_B2B_Contexts/links/5e344a54299bf1cdb9025503/Customer-Churn-Prediction-in-B2B-Contexts.pdf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Herkenrath, C., Hoeborn, G., &amp; Stich, V. (2023). Why Companies Fail With Objectives And Key Results: An Analysis Of Implementation Frameworks. https://epub.fir.de/files/2505/fir_Why_companies_fail_Herkenrath_et_al_CPSL_2023.pdf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Jia, L., &amp; Ruan, L. (2020). Going global: Comparing Chinese mobile applications' data and user privacy governance at home and abroad. </w:t>
      </w:r>
      <w:r>
        <w:rPr>
          <w:rFonts w:hint="default" w:ascii="Times New Roman Italic" w:hAnsi="Times New Roman Italic" w:cs="Times New Roman Italic"/>
          <w:i/>
          <w:iCs w:val="0"/>
          <w:color w:val="222222"/>
          <w:sz w:val="24"/>
          <w:szCs w:val="24"/>
          <w:shd w:val="clear" w:color="auto" w:fill="FFFFFF"/>
        </w:rPr>
        <w:t>Internet policy review</w:t>
      </w:r>
      <w:r>
        <w:rPr>
          <w:rFonts w:hint="default" w:ascii="Times New Roman" w:hAnsi="Times New Roman" w:cs="Times New Roman"/>
          <w:i w:val="0"/>
          <w:iCs/>
          <w:color w:val="222222"/>
          <w:sz w:val="24"/>
          <w:szCs w:val="24"/>
          <w:shd w:val="clear" w:color="auto" w:fill="FFFFFF"/>
        </w:rPr>
        <w:t>, 9(3), 1-22. https://www.econstor.eu/bitstream/10419/224935/1/1733850600.pdf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Jia, P., &amp; Stan, C. (2021). Artificial intelligence factory, data risk, and vcs’ mediation: The case of bytedance, an ai-powered startup. </w:t>
      </w:r>
      <w:r>
        <w:rPr>
          <w:rFonts w:hint="default" w:ascii="Times New Roman Italic" w:hAnsi="Times New Roman Italic" w:cs="Times New Roman Italic"/>
          <w:i/>
          <w:iCs w:val="0"/>
          <w:color w:val="222222"/>
          <w:sz w:val="24"/>
          <w:szCs w:val="24"/>
          <w:shd w:val="clear" w:color="auto" w:fill="FFFFFF"/>
        </w:rPr>
        <w:t>Journal of Risk and Financial Management</w:t>
      </w:r>
      <w:r>
        <w:rPr>
          <w:rFonts w:hint="default" w:ascii="Times New Roman" w:hAnsi="Times New Roman" w:cs="Times New Roman"/>
          <w:i w:val="0"/>
          <w:iCs/>
          <w:color w:val="222222"/>
          <w:sz w:val="24"/>
          <w:szCs w:val="24"/>
          <w:shd w:val="clear" w:color="auto" w:fill="FFFFFF"/>
        </w:rPr>
        <w:t>, 14(5), 203.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https://www.mdpi.com/1911-8074/14/5/203/pdf</w:t>
      </w:r>
    </w:p>
    <w:p>
      <w:pPr>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Kapustina, L., Lipková, Ľ., Silin, Y., &amp; Drevalev, A. (2020). US-China trade war: Causes and outcomes. In </w:t>
      </w:r>
      <w:r>
        <w:rPr>
          <w:rFonts w:hint="default" w:ascii="Times New Roman Italic" w:hAnsi="Times New Roman Italic" w:cs="Times New Roman Italic"/>
          <w:i/>
          <w:iCs w:val="0"/>
          <w:color w:val="222222"/>
          <w:sz w:val="24"/>
          <w:szCs w:val="24"/>
          <w:shd w:val="clear" w:color="auto" w:fill="FFFFFF"/>
        </w:rPr>
        <w:t>SHS Web of Conferences</w:t>
      </w:r>
      <w:r>
        <w:rPr>
          <w:rFonts w:hint="default" w:ascii="Times New Roman" w:hAnsi="Times New Roman" w:cs="Times New Roman"/>
          <w:i w:val="0"/>
          <w:iCs/>
          <w:color w:val="222222"/>
          <w:sz w:val="24"/>
          <w:szCs w:val="24"/>
          <w:shd w:val="clear" w:color="auto" w:fill="FFFFFF"/>
        </w:rPr>
        <w:t> (Vol. 73, p. 01012). EDP Sciences. https://www.shs-conferences.org/articles/shsconf/pdf/2020/01/shsconf_ies_2019_01012.pdf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Koleson, J. (2020). TikTok is on the clock, will democracy stop?.</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https://scholarship.law.slu.edu/cgi/viewcontent.cgi?article=1042&amp;context=lawjournalonline</w:t>
      </w:r>
    </w:p>
    <w:p>
      <w:pPr>
        <w:spacing w:before="100" w:beforeAutospacing="1" w:after="100" w:afterAutospacing="1" w:line="480" w:lineRule="auto"/>
        <w:ind w:left="720" w:hanging="720"/>
        <w:contextualSpacing/>
        <w:rPr>
          <w:rFonts w:hint="default" w:ascii="Times New Roman" w:hAnsi="Times New Roman" w:cs="Times New Roman"/>
          <w:b w:val="0"/>
          <w:bCs w:val="0"/>
          <w:i w:val="0"/>
          <w:iCs/>
          <w:color w:val="222222"/>
          <w:sz w:val="24"/>
          <w:szCs w:val="24"/>
          <w:shd w:val="clear" w:color="auto" w:fill="FFFFFF"/>
        </w:rPr>
      </w:pPr>
      <w:r>
        <w:rPr>
          <w:rFonts w:hint="default" w:ascii="Times New Roman" w:hAnsi="Times New Roman" w:cs="Times New Roman"/>
          <w:b w:val="0"/>
          <w:bCs w:val="0"/>
          <w:i w:val="0"/>
          <w:iCs/>
          <w:color w:val="222222"/>
          <w:sz w:val="24"/>
          <w:szCs w:val="24"/>
          <w:shd w:val="clear" w:color="auto" w:fill="FFFFFF"/>
        </w:rPr>
        <w:t>Lin, H. Y. (2022). Integrate the hierarchical cluster elliptic curve key agreement with multiple secure data transfer modes into wireless sensor networks. </w:t>
      </w:r>
      <w:r>
        <w:rPr>
          <w:rFonts w:hint="default" w:ascii="Times New Roman Italic" w:hAnsi="Times New Roman Italic" w:cs="Times New Roman Italic"/>
          <w:b w:val="0"/>
          <w:bCs w:val="0"/>
          <w:i/>
          <w:iCs w:val="0"/>
          <w:color w:val="222222"/>
          <w:sz w:val="24"/>
          <w:szCs w:val="24"/>
          <w:shd w:val="clear" w:color="auto" w:fill="FFFFFF"/>
        </w:rPr>
        <w:t>Connection Science</w:t>
      </w:r>
      <w:r>
        <w:rPr>
          <w:rFonts w:hint="default" w:ascii="Times New Roman" w:hAnsi="Times New Roman" w:cs="Times New Roman"/>
          <w:b w:val="0"/>
          <w:bCs w:val="0"/>
          <w:i w:val="0"/>
          <w:iCs/>
          <w:color w:val="222222"/>
          <w:sz w:val="24"/>
          <w:szCs w:val="24"/>
          <w:shd w:val="clear" w:color="auto" w:fill="FFFFFF"/>
        </w:rPr>
        <w:t>, 34(1), 274-300.</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Lincicome, S., Packard, C., Huddleston, J., &amp; Duffield, W. (2023). “TikTok Legislation” Is a Blank Check for Government Encroachment Upon Americans’ Wealth, Privacy, and Safety.</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Liu, L. (2022). Social Media Marketing Strategy-The Case of Tik Tok. </w:t>
      </w:r>
      <w:r>
        <w:rPr>
          <w:rFonts w:hint="default" w:ascii="Times New Roman Italic" w:hAnsi="Times New Roman Italic" w:cs="Times New Roman Italic"/>
          <w:i/>
          <w:iCs w:val="0"/>
          <w:color w:val="222222"/>
          <w:sz w:val="24"/>
          <w:szCs w:val="24"/>
          <w:shd w:val="clear" w:color="auto" w:fill="FFFFFF"/>
        </w:rPr>
        <w:t>Highlights in Business, Economics and Management</w:t>
      </w:r>
      <w:r>
        <w:rPr>
          <w:rFonts w:hint="default" w:ascii="Times New Roman" w:hAnsi="Times New Roman" w:cs="Times New Roman"/>
          <w:i w:val="0"/>
          <w:iCs/>
          <w:color w:val="222222"/>
          <w:sz w:val="24"/>
          <w:szCs w:val="24"/>
          <w:shd w:val="clear" w:color="auto" w:fill="FFFFFF"/>
        </w:rPr>
        <w:t>, 2, 147-153.</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https://drpress.org/ojs/index.php/HBEM/article/view/2353/2255</w:t>
      </w:r>
    </w:p>
    <w:p>
      <w:pPr>
        <w:tabs>
          <w:tab w:val="left" w:pos="1999"/>
          <w:tab w:val="left" w:pos="2622"/>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Maan, J., &amp; Maan, H. (2023). Customer Churn Prediction Model using Explainable Machine Learning. </w:t>
      </w:r>
      <w:r>
        <w:rPr>
          <w:rFonts w:hint="default" w:ascii="Times New Roman Italic" w:hAnsi="Times New Roman Italic" w:cs="Times New Roman Italic"/>
          <w:i/>
          <w:iCs w:val="0"/>
          <w:color w:val="222222"/>
          <w:sz w:val="24"/>
          <w:szCs w:val="24"/>
          <w:shd w:val="clear" w:color="auto" w:fill="FFFFFF"/>
        </w:rPr>
        <w:t>arXiv preprint arXiv</w:t>
      </w:r>
      <w:r>
        <w:rPr>
          <w:rFonts w:hint="default" w:ascii="Times New Roman" w:hAnsi="Times New Roman" w:cs="Times New Roman"/>
          <w:i w:val="0"/>
          <w:iCs/>
          <w:color w:val="222222"/>
          <w:sz w:val="24"/>
          <w:szCs w:val="24"/>
          <w:shd w:val="clear" w:color="auto" w:fill="FFFFFF"/>
        </w:rPr>
        <w:t>:2303.00960. https://arxiv.org/pdf/2303.00960</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Maathavan, K. S. K., &amp; Venkatraman, S. (2022). A Secure Encrypted Classified Electronic Healthcare Data for Public Cloud Environment. </w:t>
      </w:r>
      <w:r>
        <w:rPr>
          <w:rFonts w:hint="default" w:ascii="Times New Roman Italic" w:hAnsi="Times New Roman Italic" w:cs="Times New Roman Italic"/>
          <w:i/>
          <w:iCs w:val="0"/>
          <w:color w:val="222222"/>
          <w:sz w:val="24"/>
          <w:szCs w:val="24"/>
          <w:shd w:val="clear" w:color="auto" w:fill="FFFFFF"/>
        </w:rPr>
        <w:t>Intelligent Automation &amp; Soft Computing</w:t>
      </w:r>
      <w:r>
        <w:rPr>
          <w:rFonts w:hint="default" w:ascii="Times New Roman" w:hAnsi="Times New Roman" w:cs="Times New Roman"/>
          <w:i w:val="0"/>
          <w:iCs/>
          <w:color w:val="222222"/>
          <w:sz w:val="24"/>
          <w:szCs w:val="24"/>
          <w:shd w:val="clear" w:color="auto" w:fill="FFFFFF"/>
        </w:rPr>
        <w:t>, 32(2).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https://cdn.techscience.cn/ueditor/files/iasc/TSP_IASC-32-2/TSP_IASC_22276/TSP_IASC_22276.pdf</w:t>
      </w:r>
    </w:p>
    <w:p>
      <w:pPr>
        <w:tabs>
          <w:tab w:val="left" w:pos="1913"/>
        </w:tabs>
        <w:spacing w:before="100" w:beforeAutospacing="1" w:after="100" w:afterAutospacing="1" w:line="480" w:lineRule="auto"/>
        <w:ind w:left="720" w:hanging="720"/>
        <w:contextualSpacing/>
        <w:rPr>
          <w:rFonts w:hint="default" w:ascii="Times New Roman" w:hAnsi="Times New Roman" w:cs="Times New Roman"/>
          <w:i w:val="0"/>
          <w:iCs/>
          <w:color w:val="222222"/>
          <w:sz w:val="24"/>
          <w:szCs w:val="24"/>
          <w:shd w:val="clear" w:color="auto" w:fill="FFFFFF"/>
        </w:rPr>
      </w:pPr>
      <w:r>
        <w:rPr>
          <w:rFonts w:hint="default" w:ascii="Times New Roman" w:hAnsi="Times New Roman" w:cs="Times New Roman"/>
          <w:i w:val="0"/>
          <w:iCs/>
          <w:color w:val="222222"/>
          <w:sz w:val="24"/>
          <w:szCs w:val="24"/>
          <w:shd w:val="clear" w:color="auto" w:fill="FFFFFF"/>
        </w:rPr>
        <w:t>Marwick, A. (2022). Privacy Without Power: What Privacy Research Can Learn from Surveillance Studies. </w:t>
      </w:r>
      <w:r>
        <w:rPr>
          <w:rFonts w:hint="default" w:ascii="Times New Roman Italic" w:hAnsi="Times New Roman Italic" w:cs="Times New Roman Italic"/>
          <w:i/>
          <w:iCs w:val="0"/>
          <w:color w:val="222222"/>
          <w:sz w:val="24"/>
          <w:szCs w:val="24"/>
          <w:shd w:val="clear" w:color="auto" w:fill="FFFFFF"/>
        </w:rPr>
        <w:t>Surveillance &amp; Society</w:t>
      </w:r>
      <w:r>
        <w:rPr>
          <w:rFonts w:hint="default" w:ascii="Times New Roman" w:hAnsi="Times New Roman" w:cs="Times New Roman"/>
          <w:i w:val="0"/>
          <w:iCs/>
          <w:color w:val="222222"/>
          <w:sz w:val="24"/>
          <w:szCs w:val="24"/>
          <w:shd w:val="clear" w:color="auto" w:fill="FFFFFF"/>
        </w:rPr>
        <w:t>, 20(4), 397-405.</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https://ojs.library.queensu.ca/index.php/surveillance-and-society/article/download/16009/10519</w:t>
      </w:r>
    </w:p>
    <w:p>
      <w:pPr>
        <w:spacing w:before="100" w:beforeAutospacing="1" w:after="100" w:afterAutospacing="1" w:line="480" w:lineRule="auto"/>
        <w:ind w:left="720" w:hanging="720"/>
        <w:contextualSpacing/>
        <w:rPr>
          <w:rFonts w:hint="default" w:ascii="Times New Roman" w:hAnsi="Times New Roman" w:cs="Times New Roman"/>
          <w:i w:val="0"/>
          <w:iCs/>
          <w:sz w:val="24"/>
          <w:szCs w:val="24"/>
        </w:rPr>
      </w:pPr>
      <w:r>
        <w:rPr>
          <w:rFonts w:hint="default" w:ascii="Times New Roman" w:hAnsi="Times New Roman" w:cs="Times New Roman"/>
          <w:i w:val="0"/>
          <w:iCs/>
          <w:color w:val="222222"/>
          <w:sz w:val="24"/>
          <w:szCs w:val="24"/>
          <w:shd w:val="clear" w:color="auto" w:fill="FFFFFF"/>
        </w:rPr>
        <w:t>Milner, R., &amp; Furnham, A. (2017). Measuring customer feedback, response and satisfaction. </w:t>
      </w:r>
      <w:r>
        <w:rPr>
          <w:rFonts w:hint="default" w:ascii="Times New Roman Italic" w:hAnsi="Times New Roman Italic" w:cs="Times New Roman Italic"/>
          <w:i/>
          <w:iCs w:val="0"/>
          <w:color w:val="222222"/>
          <w:sz w:val="24"/>
          <w:szCs w:val="24"/>
          <w:shd w:val="clear" w:color="auto" w:fill="FFFFFF"/>
        </w:rPr>
        <w:t>Psychology</w:t>
      </w:r>
      <w:r>
        <w:rPr>
          <w:rFonts w:hint="default" w:ascii="Times New Roman" w:hAnsi="Times New Roman" w:cs="Times New Roman"/>
          <w:i w:val="0"/>
          <w:iCs/>
          <w:color w:val="222222"/>
          <w:sz w:val="24"/>
          <w:szCs w:val="24"/>
          <w:shd w:val="clear" w:color="auto" w:fill="FFFFFF"/>
        </w:rPr>
        <w:t>, 8(3), 350-362.</w:t>
      </w:r>
      <w:r>
        <w:rPr>
          <w:rFonts w:hint="default" w:ascii="Times New Roman" w:hAnsi="Times New Roman" w:cs="Times New Roman"/>
          <w:i w:val="0"/>
          <w:iCs/>
          <w:sz w:val="24"/>
          <w:szCs w:val="24"/>
        </w:rPr>
        <w:t xml:space="preserve"> </w:t>
      </w:r>
      <w:r>
        <w:rPr>
          <w:rFonts w:hint="default" w:ascii="Times New Roman" w:hAnsi="Times New Roman" w:cs="Times New Roman"/>
          <w:i w:val="0"/>
          <w:iCs/>
          <w:color w:val="222222"/>
          <w:sz w:val="24"/>
          <w:szCs w:val="24"/>
          <w:shd w:val="clear" w:color="auto" w:fill="FFFFFF"/>
        </w:rPr>
        <w:t>https://www.scirp.org/journal/paperinformation.aspx?paperid=74100</w:t>
      </w:r>
    </w:p>
    <w:p>
      <w:pPr>
        <w:spacing w:before="100" w:beforeAutospacing="1" w:after="100" w:afterAutospacing="1" w:line="480" w:lineRule="auto"/>
        <w:ind w:left="720" w:hanging="720"/>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Morgan, N.A., Whitler, K.A., Feng, H. and Chari, S., 2019. Research in marketing strategy.</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Journal of the Academy of Marketing Science</w:t>
      </w:r>
      <w:r>
        <w:rPr>
          <w:rFonts w:hint="default" w:ascii="Times New Roman Italic" w:hAnsi="Times New Roman Italic" w:cs="Times New Roman Italic"/>
          <w:i/>
          <w:color w:val="222222"/>
          <w:sz w:val="24"/>
          <w:szCs w:val="24"/>
          <w:shd w:val="clear" w:color="auto" w:fill="FFFFFF"/>
        </w:rPr>
        <w:t>,</w:t>
      </w:r>
      <w:r>
        <w:rPr>
          <w:rFonts w:hint="default" w:ascii="Times New Roman" w:hAnsi="Times New Roman" w:cs="Times New Roman"/>
          <w:i w:val="0"/>
          <w:iCs/>
          <w:color w:val="222222"/>
          <w:sz w:val="24"/>
          <w:szCs w:val="24"/>
          <w:shd w:val="clear" w:color="auto" w:fill="FFFFFF"/>
        </w:rPr>
        <w:t> 47, pp.4-29.</w:t>
      </w:r>
      <w:r>
        <w:rPr>
          <w:rFonts w:hint="default" w:ascii="Times New Roman" w:hAnsi="Times New Roman" w:cs="Times New Roman"/>
          <w:i w:val="0"/>
          <w:iCs/>
          <w:sz w:val="24"/>
          <w:szCs w:val="24"/>
        </w:rPr>
        <w:t xml:space="preserve"> </w:t>
      </w:r>
      <w:r>
        <w:rPr>
          <w:rFonts w:hint="default" w:ascii="Times New Roman Regular" w:hAnsi="Times New Roman Regular" w:cs="Times New Roman Regular"/>
          <w:color w:val="222222"/>
          <w:sz w:val="24"/>
          <w:szCs w:val="24"/>
          <w:shd w:val="clear" w:color="auto" w:fill="FFFFFF"/>
        </w:rPr>
        <w:t>https://eprints.whiterose.ac.uk/136066/1/JAMS%20Final%20Version%20Unblinded.pdf?utm_source=summari</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Paul, J. (2019). Marketing in emerging markets: a review, theoretical synthesis and extension. </w:t>
      </w:r>
      <w:r>
        <w:rPr>
          <w:rFonts w:hint="default" w:ascii="Times New Roman Italic" w:hAnsi="Times New Roman Italic" w:cs="Times New Roman Italic"/>
          <w:i/>
          <w:iCs/>
          <w:color w:val="222222"/>
          <w:sz w:val="24"/>
          <w:szCs w:val="24"/>
          <w:shd w:val="clear" w:color="auto" w:fill="FFFFFF"/>
        </w:rPr>
        <w:t>International Journal of Emerging Markets</w:t>
      </w:r>
      <w:r>
        <w:rPr>
          <w:rFonts w:hint="default" w:ascii="Times New Roman Italic" w:hAnsi="Times New Roman Italic" w:cs="Times New Roman Italic"/>
          <w:i/>
          <w:color w:val="222222"/>
          <w:sz w:val="24"/>
          <w:szCs w:val="24"/>
          <w:shd w:val="clear" w:color="auto" w:fill="FFFFFF"/>
        </w:rPr>
        <w:t>, </w:t>
      </w:r>
      <w:r>
        <w:rPr>
          <w:rFonts w:hint="default" w:ascii="Times New Roman" w:hAnsi="Times New Roman" w:cs="Times New Roman"/>
          <w:i w:val="0"/>
          <w:iCs w:val="0"/>
          <w:color w:val="222222"/>
          <w:sz w:val="24"/>
          <w:szCs w:val="24"/>
          <w:shd w:val="clear" w:color="auto" w:fill="FFFFFF"/>
        </w:rPr>
        <w:t xml:space="preserve">15(3), </w:t>
      </w:r>
      <w:r>
        <w:rPr>
          <w:rFonts w:hint="default" w:ascii="Times New Roman Regular" w:hAnsi="Times New Roman Regular" w:cs="Times New Roman Regular"/>
          <w:color w:val="222222"/>
          <w:sz w:val="24"/>
          <w:szCs w:val="24"/>
          <w:shd w:val="clear" w:color="auto" w:fill="FFFFFF"/>
        </w:rPr>
        <w:t>446-468.https://www.academia.edu/download/60648803/Marketing_in_EM_IJ_of_EM20190919-46969-8d0yzk.pdf</w:t>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Paul, J., &amp; Feliciano-Cestero, M. M. (2021). Five decades of research on foreign direct investment by MNEs: An overview and research agenda.</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Journal of business research</w:t>
      </w:r>
      <w:r>
        <w:rPr>
          <w:rFonts w:ascii="Arial" w:hAnsi="Arial" w:cs="Arial"/>
          <w:color w:val="222222"/>
          <w:sz w:val="24"/>
          <w:szCs w:val="24"/>
          <w:shd w:val="clear" w:color="auto" w:fill="FFFFFF"/>
        </w:rPr>
        <w:t>, </w:t>
      </w:r>
      <w:r>
        <w:rPr>
          <w:rFonts w:hint="default" w:ascii="Times New Roman Regular" w:hAnsi="Times New Roman Regular" w:cs="Times New Roman Regular"/>
          <w:i/>
          <w:iCs/>
          <w:color w:val="222222"/>
          <w:sz w:val="24"/>
          <w:szCs w:val="24"/>
          <w:shd w:val="clear" w:color="auto" w:fill="FFFFFF"/>
        </w:rPr>
        <w:t>124</w:t>
      </w:r>
      <w:r>
        <w:rPr>
          <w:rFonts w:hint="default" w:ascii="Times New Roman Regular" w:hAnsi="Times New Roman Regular" w:cs="Times New Roman Regular"/>
          <w:color w:val="222222"/>
          <w:sz w:val="24"/>
          <w:szCs w:val="24"/>
          <w:shd w:val="clear" w:color="auto" w:fill="FFFFFF"/>
        </w:rPr>
        <w:t>,</w:t>
      </w:r>
      <w:r>
        <w:rPr>
          <w:rFonts w:hint="default" w:ascii="Times New Roman Regular" w:hAnsi="Times New Roman Regular" w:cs="Times New Roman Regular"/>
          <w:color w:val="222222"/>
          <w:sz w:val="24"/>
          <w:szCs w:val="24"/>
          <w:shd w:val="clear" w:color="auto" w:fill="FFFFFF"/>
        </w:rPr>
        <w:t xml:space="preserve"> 800-812. https://www.ncbi.nlm.nih.gov/pmc/articles/PMC7151309/</w:t>
      </w:r>
    </w:p>
    <w:p>
      <w:pPr>
        <w:tabs>
          <w:tab w:val="left" w:pos="1999"/>
          <w:tab w:val="left" w:pos="2622"/>
        </w:tabs>
        <w:spacing w:before="100" w:beforeAutospacing="1" w:after="100" w:afterAutospacing="1" w:line="480" w:lineRule="auto"/>
        <w:ind w:left="720" w:hanging="720"/>
        <w:contextualSpacing/>
        <w:rPr>
          <w:rFonts w:hint="default" w:ascii="Times New Roman Regular" w:hAnsi="Times New Roman Regular" w:cs="Times New Roman Regular"/>
          <w:sz w:val="24"/>
          <w:szCs w:val="24"/>
        </w:rPr>
      </w:pPr>
      <w:r>
        <w:rPr>
          <w:rFonts w:hint="default" w:ascii="Times New Roman Regular" w:hAnsi="Times New Roman Regular" w:cs="Times New Roman Regular"/>
          <w:color w:val="222222"/>
          <w:sz w:val="24"/>
          <w:szCs w:val="24"/>
          <w:shd w:val="clear" w:color="auto" w:fill="FFFFFF"/>
        </w:rPr>
        <w:t>Singh, P., &amp; Kaur, K. (2015, February). Database security using encryption. In</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2015 International Conference on Futuristic Trends on Computational Analysis and Knowledge Management (ABLAZE)</w:t>
      </w:r>
      <w:r>
        <w:rPr>
          <w:rFonts w:ascii="Arial" w:hAnsi="Arial" w:cs="Arial"/>
          <w:color w:val="222222"/>
          <w:sz w:val="24"/>
          <w:szCs w:val="24"/>
          <w:shd w:val="clear" w:color="auto" w:fill="FFFFFF"/>
        </w:rPr>
        <w:t> </w:t>
      </w:r>
      <w:r>
        <w:rPr>
          <w:rFonts w:hint="default" w:ascii="Times New Roman Regular" w:hAnsi="Times New Roman Regular" w:cs="Times New Roman Regular"/>
          <w:color w:val="222222"/>
          <w:sz w:val="24"/>
          <w:szCs w:val="24"/>
          <w:shd w:val="clear" w:color="auto" w:fill="FFFFFF"/>
        </w:rPr>
        <w:t>(pp. 353-358). IEEE.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https://www.researchgate.net/profile/Prabhsimran-Singh/publication/282925678_Database_security_using_encryption/links/580c8ef808ae2cb3a5da72aa/Database-security-using-encryption.pdf</w:t>
      </w:r>
      <w:r>
        <w:rPr>
          <w:rFonts w:hint="default" w:ascii="Times New Roman Regular" w:hAnsi="Times New Roman Regular" w:cs="Times New Roman Regular"/>
          <w:sz w:val="24"/>
          <w:szCs w:val="24"/>
        </w:rPr>
        <w:tab/>
      </w:r>
    </w:p>
    <w:p>
      <w:pPr>
        <w:spacing w:before="100" w:beforeAutospacing="1" w:after="100" w:afterAutospacing="1" w:line="480" w:lineRule="auto"/>
        <w:ind w:left="720" w:hanging="720"/>
        <w:contextualSpacing/>
        <w:rPr>
          <w:rFonts w:hint="default" w:ascii="Times New Roman Regular" w:hAnsi="Times New Roman Regular" w:cs="Times New Roman Regular"/>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Stray, V., Gundelsby, J. H., Ulfsnes, R., &amp; Brede Moe, N. (2022, May). How agile teams make Objectives and Key Results (OKRs) work. In </w:t>
      </w:r>
      <w:r>
        <w:rPr>
          <w:rFonts w:hint="default" w:ascii="Times New Roman Italic" w:hAnsi="Times New Roman Italic" w:cs="Times New Roman Italic"/>
          <w:i/>
          <w:iCs/>
          <w:color w:val="222222"/>
          <w:sz w:val="24"/>
          <w:szCs w:val="24"/>
          <w:shd w:val="clear" w:color="auto" w:fill="FFFFFF"/>
        </w:rPr>
        <w:t>Proceedings of the International Conference on Software and System Processes and International Conference on Global Software Engineering</w:t>
      </w:r>
      <w:r>
        <w:rPr>
          <w:rFonts w:ascii="Arial" w:hAnsi="Arial" w:cs="Arial"/>
          <w:color w:val="222222"/>
          <w:sz w:val="24"/>
          <w:szCs w:val="24"/>
          <w:shd w:val="clear" w:color="auto" w:fill="FFFFFF"/>
        </w:rPr>
        <w:t> </w:t>
      </w:r>
      <w:r>
        <w:rPr>
          <w:rFonts w:hint="default" w:ascii="Times New Roman Regular" w:hAnsi="Times New Roman Regular" w:cs="Times New Roman Regular"/>
          <w:color w:val="222222"/>
          <w:sz w:val="24"/>
          <w:szCs w:val="24"/>
          <w:shd w:val="clear" w:color="auto" w:fill="FFFFFF"/>
        </w:rPr>
        <w:t>(pp. 104-109).</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color w:val="222222"/>
          <w:sz w:val="24"/>
          <w:szCs w:val="24"/>
          <w:shd w:val="clear" w:color="auto" w:fill="FFFFFF"/>
        </w:rPr>
        <w:t xml:space="preserve">https://dl.acm.org/doi/pdf/10.1145/3529320.3529332 </w:t>
      </w:r>
    </w:p>
    <w:p>
      <w:pPr>
        <w:spacing w:before="100" w:beforeAutospacing="1" w:after="100" w:afterAutospacing="1" w:line="480" w:lineRule="auto"/>
        <w:ind w:left="720" w:hanging="720"/>
        <w:contextualSpacing/>
        <w:rPr>
          <w:rFonts w:hint="default" w:ascii="Times New Roman Italic" w:hAnsi="Times New Roman Italic" w:cs="Times New Roman Italic"/>
          <w:i/>
          <w:sz w:val="24"/>
          <w:szCs w:val="24"/>
        </w:rPr>
      </w:pPr>
      <w:r>
        <w:rPr>
          <w:rFonts w:hint="default" w:ascii="Times New Roman Regular" w:hAnsi="Times New Roman Regular" w:cs="Times New Roman Regular"/>
          <w:color w:val="222222"/>
          <w:sz w:val="24"/>
          <w:szCs w:val="24"/>
          <w:shd w:val="clear" w:color="auto" w:fill="FFFFFF"/>
        </w:rPr>
        <w:t>Suda, Y. (2020). Japan’s Personal Information Protection Policy Under Pressure: The Japan-EU Data Transfer Dialogue and Beyond.</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Asian Survey</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60</w:t>
      </w:r>
      <w:r>
        <w:rPr>
          <w:rFonts w:hint="default" w:ascii="Times New Roman Italic" w:hAnsi="Times New Roman Italic" w:cs="Times New Roman Italic"/>
          <w:i/>
          <w:color w:val="222222"/>
          <w:sz w:val="24"/>
          <w:szCs w:val="24"/>
          <w:shd w:val="clear" w:color="auto" w:fill="FFFFFF"/>
        </w:rPr>
        <w:t>(3), 510-533.</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https://observatoriolgpd.com/wp-content/uploads/2020/06/as.2020.60.3.510.pdf</w:t>
      </w:r>
    </w:p>
    <w:p>
      <w:pPr>
        <w:tabs>
          <w:tab w:val="left" w:pos="720"/>
        </w:tabs>
        <w:spacing w:before="100" w:beforeAutospacing="1" w:after="100" w:afterAutospacing="1" w:line="480" w:lineRule="auto"/>
        <w:ind w:left="720" w:hanging="720"/>
        <w:contextualSpacing/>
        <w:rPr>
          <w:rFonts w:hint="default" w:ascii="Times New Roman Italic" w:hAnsi="Times New Roman Italic" w:cs="Times New Roman Italic"/>
          <w:i/>
          <w:color w:val="222222"/>
          <w:sz w:val="24"/>
          <w:szCs w:val="24"/>
          <w:shd w:val="clear" w:color="auto" w:fill="FFFFFF"/>
        </w:rPr>
      </w:pPr>
      <w:r>
        <w:rPr>
          <w:rFonts w:hint="default" w:ascii="Times New Roman Regular" w:hAnsi="Times New Roman Regular" w:cs="Times New Roman Regular"/>
          <w:color w:val="222222"/>
          <w:sz w:val="24"/>
          <w:szCs w:val="24"/>
          <w:shd w:val="clear" w:color="auto" w:fill="FFFFFF"/>
        </w:rPr>
        <w:t>Voss, W. G. (2022). Transatlantic Data Transfer Compliance</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BUJ Sci. &amp; Tech. L.</w:t>
      </w:r>
      <w:r>
        <w:rPr>
          <w:rFonts w:ascii="Arial" w:hAnsi="Arial" w:cs="Arial"/>
          <w:color w:val="222222"/>
          <w:sz w:val="24"/>
          <w:szCs w:val="24"/>
          <w:shd w:val="clear" w:color="auto" w:fill="FFFFFF"/>
        </w:rPr>
        <w:t>, </w:t>
      </w:r>
      <w:r>
        <w:rPr>
          <w:rFonts w:hint="default" w:ascii="Times New Roman Italic" w:hAnsi="Times New Roman Italic" w:cs="Times New Roman Italic"/>
          <w:i/>
          <w:iCs/>
          <w:color w:val="222222"/>
          <w:sz w:val="24"/>
          <w:szCs w:val="24"/>
          <w:shd w:val="clear" w:color="auto" w:fill="FFFFFF"/>
        </w:rPr>
        <w:t>28</w:t>
      </w:r>
      <w:r>
        <w:rPr>
          <w:rFonts w:hint="default" w:ascii="Times New Roman Italic" w:hAnsi="Times New Roman Italic" w:cs="Times New Roman Italic"/>
          <w:i/>
          <w:color w:val="222222"/>
          <w:sz w:val="24"/>
          <w:szCs w:val="24"/>
          <w:shd w:val="clear" w:color="auto" w:fill="FFFFFF"/>
        </w:rPr>
        <w:t>, 158.</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https://hal.science/hal-03793307/document</w:t>
      </w:r>
    </w:p>
    <w:p>
      <w:pPr>
        <w:spacing w:before="100" w:beforeAutospacing="1" w:after="100" w:afterAutospacing="1" w:line="480" w:lineRule="auto"/>
        <w:ind w:left="720" w:hanging="720"/>
        <w:contextualSpacing/>
        <w:rPr>
          <w:rFonts w:hint="default" w:ascii="Times New Roman Italic" w:hAnsi="Times New Roman Italic" w:cs="Times New Roman Italic"/>
          <w:i/>
          <w:color w:val="222222"/>
          <w:sz w:val="24"/>
          <w:szCs w:val="24"/>
          <w:shd w:val="clear" w:color="auto" w:fill="FFFFFF"/>
        </w:rPr>
      </w:pPr>
      <w:r>
        <w:rPr>
          <w:rFonts w:hint="default" w:ascii="Times New Roman Italic" w:hAnsi="Times New Roman Italic" w:cs="Times New Roman Italic"/>
          <w:i/>
          <w:color w:val="222222"/>
          <w:sz w:val="24"/>
          <w:szCs w:val="24"/>
          <w:shd w:val="clear" w:color="auto" w:fill="FFFFFF"/>
        </w:rPr>
        <w:t>Wu, N., &amp; Cen, X. (2022). What Determines the Internationalization of Chinese Enterprises in Cultural and Creative Industry?: A Case Study of ByteDance.</w:t>
      </w:r>
      <w:r>
        <w:rPr>
          <w:rFonts w:hint="default" w:ascii="Times New Roman Italic" w:hAnsi="Times New Roman Italic" w:cs="Times New Roman Italic"/>
          <w:i/>
          <w:sz w:val="24"/>
          <w:szCs w:val="24"/>
        </w:rPr>
        <w:t xml:space="preserve"> </w:t>
      </w:r>
      <w:r>
        <w:rPr>
          <w:rFonts w:hint="default" w:ascii="Times New Roman Italic" w:hAnsi="Times New Roman Italic" w:cs="Times New Roman Italic"/>
          <w:i/>
          <w:color w:val="222222"/>
          <w:sz w:val="24"/>
          <w:szCs w:val="24"/>
          <w:shd w:val="clear" w:color="auto" w:fill="FFFFFF"/>
        </w:rPr>
        <w:t>https://www.diva-portal.org/smash/get/diva2:1688524/FULLTEXT01.pdf</w:t>
      </w: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0" w:usb3="00000000" w:csb0="0000019F"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Avenir Next Regular">
    <w:panose1 w:val="020B05030202020202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American Typewriter Regular">
    <w:panose1 w:val="02090604020004020304"/>
    <w:charset w:val="00"/>
    <w:family w:val="auto"/>
    <w:pitch w:val="default"/>
    <w:sig w:usb0="00000000" w:usb1="00000000" w:usb2="00000000" w:usb3="00000000" w:csb0="00000000" w:csb1="00000000"/>
  </w:font>
  <w:font w:name="Apple Braille Outline 6 Dot">
    <w:panose1 w:val="05000000000000000000"/>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l Nile Regular">
    <w:panose1 w:val="00000400000000000000"/>
    <w:charset w:val="00"/>
    <w:family w:val="auto"/>
    <w:pitch w:val="default"/>
    <w:sig w:usb0="00000000" w:usb1="00000000" w:usb2="00000000" w:usb3="00000000" w:csb0="00000000" w:csb1="00000000"/>
  </w:font>
  <w:font w:name="Arial Hebrew Regular">
    <w:panose1 w:val="00000000000000000000"/>
    <w:charset w:val="00"/>
    <w:family w:val="auto"/>
    <w:pitch w:val="default"/>
    <w:sig w:usb0="00000000" w:usb1="00000000" w:usb2="00000000" w:usb3="00000000" w:csb0="00000000" w:csb1="00000000"/>
  </w:font>
  <w:font w:name="Al Tarikh">
    <w:panose1 w:val="00000400000000000000"/>
    <w:charset w:val="00"/>
    <w:family w:val="auto"/>
    <w:pitch w:val="default"/>
    <w:sig w:usb0="00000000" w:usb1="00000000" w:usb2="00000000" w:usb3="00000000" w:csb0="00000000" w:csb1="00000000"/>
  </w:font>
  <w:font w:name="Andale Mono">
    <w:panose1 w:val="020B0509000000000004"/>
    <w:charset w:val="00"/>
    <w:family w:val="auto"/>
    <w:pitch w:val="default"/>
    <w:sig w:usb0="00000000" w:usb1="00000000" w:usb2="00000000" w:usb3="00000000" w:csb0="00000000" w:csb1="00000000"/>
  </w:font>
  <w:font w:name="方正仿宋_GB2312">
    <w:panose1 w:val="02000000000000000000"/>
    <w:charset w:val="86"/>
    <w:family w:val="auto"/>
    <w:pitch w:val="default"/>
    <w:sig w:usb0="00000000" w:usb1="00000000" w:usb2="00000000" w:usb3="00000000" w:csb0="00060000" w:csb1="00000000"/>
  </w:font>
  <w:font w:name="Apple Color Emoji">
    <w:panose1 w:val="000000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隶变-繁">
    <w:panose1 w:val="02010600040101010101"/>
    <w:charset w:val="86"/>
    <w:family w:val="auto"/>
    <w:pitch w:val="default"/>
    <w:sig w:usb0="00000000" w:usb1="00000000" w:usb2="00000000" w:usb3="00000000" w:csb0="00160000" w:csb1="00000000"/>
  </w:font>
  <w:font w:name="Apple Chancery">
    <w:panose1 w:val="03020702040506060504"/>
    <w:charset w:val="00"/>
    <w:family w:val="auto"/>
    <w:pitch w:val="default"/>
    <w:sig w:usb0="00000000" w:usb1="00000000" w:usb2="00000000" w:usb3="00000000" w:csb0="00000000" w:csb1="00000000"/>
  </w:font>
  <w:font w:name="Times New Roman Bold Italic">
    <w:panose1 w:val="02020603050405020304"/>
    <w:charset w:val="00"/>
    <w:family w:val="auto"/>
    <w:pitch w:val="default"/>
    <w:sig w:usb0="00000000" w:usb1="00000000" w:usb2="00000000" w:usb3="00000000" w:csb0="00000000" w:csb1="00000000"/>
  </w:font>
  <w:font w:name="Apple Symbols">
    <w:panose1 w:val="02000000000000000000"/>
    <w:charset w:val="00"/>
    <w:family w:val="auto"/>
    <w:pitch w:val="default"/>
    <w:sig w:usb0="00000000" w:usb1="00000000" w:usb2="00000000" w:usb3="00000000" w:csb0="00000000" w:csb1="00000000"/>
  </w:font>
  <w:font w:name="STHeiti Light">
    <w:panose1 w:val="02010600040101010101"/>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CC7D0F"/>
    <w:rsid w:val="7FCC7D0F"/>
    <w:rsid w:val="EF3F67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toc 3"/>
    <w:basedOn w:val="1"/>
    <w:next w:val="1"/>
    <w:unhideWhenUsed/>
    <w:uiPriority w:val="39"/>
    <w:pPr>
      <w:spacing w:after="100"/>
      <w:ind w:left="440"/>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customStyle="1" w:styleId="11">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2023-07-16T15:13:00Z</dcterms:created>
  <dc:creator>王</dc:creator>
  <cp:lastModifiedBy>王</cp:lastModifiedBy>
  <dcterms:modified xsi:type="dcterms:W3CDTF">2023-07-16T18:24:23Z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374189E66F6845418B98B364811D2341_41</vt:lpwstr>
  </property>
</Properties>
</file>