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Arial" w:eastAsiaTheme="minorHAnsi" w:hAnsi="Arial"/>
          <w:color w:val="4472C4" w:themeColor="accent1"/>
          <w:lang w:val="en-GB"/>
        </w:rPr>
        <w:id w:val="1015503851"/>
        <w:docPartObj>
          <w:docPartGallery w:val="Cover Pages"/>
          <w:docPartUnique/>
        </w:docPartObj>
      </w:sdtPr>
      <w:sdtEndPr>
        <w:rPr>
          <w:color w:val="auto"/>
        </w:rPr>
      </w:sdtEndPr>
      <w:sdtContent>
        <w:p w:rsidR="0026678D" w:rsidRDefault="0026678D">
          <w:pPr>
            <w:pStyle w:val="NoSpacing"/>
            <w:spacing w:before="1540" w:after="240"/>
            <w:jc w:val="center"/>
            <w:rPr>
              <w:color w:val="4472C4" w:themeColor="accent1"/>
            </w:rPr>
          </w:pPr>
          <w:r>
            <w:rPr>
              <w:noProof/>
              <w:color w:val="4472C4"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1417320" cy="750898"/>
                        </a:xfrm>
                        <a:prstGeom prst="rect">
                          <a:avLst/>
                        </a:prstGeom>
                        <a:noFill/>
                        <a:ln>
                          <a:noFill/>
                        </a:ln>
                      </pic:spPr>
                    </pic:pic>
                  </a:graphicData>
                </a:graphic>
              </wp:inline>
            </w:drawing>
          </w:r>
        </w:p>
        <w:p w:rsidR="0026678D" w:rsidRDefault="00944E57">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sdt>
            <w:sdtPr>
              <w:rPr>
                <w:rFonts w:asciiTheme="majorHAnsi" w:eastAsiaTheme="majorEastAsia" w:hAnsiTheme="majorHAnsi" w:cstheme="majorBidi"/>
                <w:caps/>
                <w:color w:val="4472C4" w:themeColor="accent1"/>
                <w:sz w:val="72"/>
                <w:szCs w:val="72"/>
              </w:rPr>
              <w:alias w:val="Title"/>
              <w:tag w:val=""/>
              <w:id w:val="1735040861"/>
              <w:placeholder>
                <w:docPart w:val="AD98A1C62C95459F8A780C24CBA31134"/>
              </w:placeholder>
              <w:dataBinding w:prefixMappings="xmlns:ns0='http://purl.org/dc/elements/1.1/' xmlns:ns1='http://schemas.openxmlformats.org/package/2006/metadata/core-properties' " w:xpath="/ns1:coreProperties[1]/ns0:title[1]" w:storeItemID="{6C3C8BC8-F283-45AE-878A-BAB7291924A1}"/>
              <w:text/>
            </w:sdtPr>
            <w:sdtContent>
              <w:r w:rsidR="0037443B">
                <w:rPr>
                  <w:rFonts w:asciiTheme="majorHAnsi" w:eastAsiaTheme="majorEastAsia" w:hAnsiTheme="majorHAnsi" w:cstheme="majorBidi"/>
                  <w:caps/>
                  <w:color w:val="4472C4" w:themeColor="accent1"/>
                  <w:sz w:val="72"/>
                  <w:szCs w:val="72"/>
                </w:rPr>
                <w:t>BMHP4003:</w:t>
              </w:r>
              <w:r w:rsidR="00976338">
                <w:rPr>
                  <w:rFonts w:asciiTheme="majorHAnsi" w:eastAsiaTheme="majorEastAsia" w:hAnsiTheme="majorHAnsi" w:cstheme="majorBidi"/>
                  <w:caps/>
                  <w:color w:val="4472C4" w:themeColor="accent1"/>
                  <w:sz w:val="72"/>
                  <w:szCs w:val="72"/>
                </w:rPr>
                <w:t xml:space="preserve"> </w:t>
              </w:r>
            </w:sdtContent>
          </w:sdt>
          <w:r w:rsidR="0026678D" w:rsidRPr="0026678D">
            <w:rPr>
              <w:rFonts w:asciiTheme="majorHAnsi" w:eastAsiaTheme="majorEastAsia" w:hAnsiTheme="majorHAnsi" w:cstheme="majorBidi"/>
              <w:caps/>
              <w:color w:val="4472C4" w:themeColor="accent1"/>
              <w:sz w:val="72"/>
              <w:szCs w:val="72"/>
            </w:rPr>
            <w:t>Psychology for Health and Social Care</w:t>
          </w:r>
        </w:p>
        <w:sdt>
          <w:sdtPr>
            <w:rPr>
              <w:color w:val="4472C4" w:themeColor="accent1"/>
              <w:sz w:val="28"/>
              <w:szCs w:val="28"/>
            </w:rPr>
            <w:alias w:val="Subtitle"/>
            <w:tag w:val=""/>
            <w:id w:val="328029620"/>
            <w:placeholder>
              <w:docPart w:val="EE4247D0DCD14FB29986B78B9A6CAB2E"/>
            </w:placeholder>
            <w:dataBinding w:prefixMappings="xmlns:ns0='http://purl.org/dc/elements/1.1/' xmlns:ns1='http://schemas.openxmlformats.org/package/2006/metadata/core-properties' " w:xpath="/ns1:coreProperties[1]/ns0:subject[1]" w:storeItemID="{6C3C8BC8-F283-45AE-878A-BAB7291924A1}"/>
            <w:text/>
          </w:sdtPr>
          <w:sdtContent>
            <w:p w:rsidR="0026678D" w:rsidRDefault="0026678D">
              <w:pPr>
                <w:pStyle w:val="NoSpacing"/>
                <w:jc w:val="center"/>
                <w:rPr>
                  <w:color w:val="4472C4" w:themeColor="accent1"/>
                  <w:sz w:val="28"/>
                  <w:szCs w:val="28"/>
                </w:rPr>
              </w:pPr>
              <w:r w:rsidRPr="0026678D">
                <w:rPr>
                  <w:color w:val="4472C4" w:themeColor="accent1"/>
                  <w:sz w:val="28"/>
                  <w:szCs w:val="28"/>
                </w:rPr>
                <w:t>Applying Psychological perspectives in Health and Social Care</w:t>
              </w:r>
              <w:r>
                <w:rPr>
                  <w:color w:val="4472C4" w:themeColor="accent1"/>
                  <w:sz w:val="28"/>
                  <w:szCs w:val="28"/>
                </w:rPr>
                <w:t xml:space="preserve">: Assessment </w:t>
              </w:r>
              <w:r w:rsidR="0037443B">
                <w:rPr>
                  <w:color w:val="4472C4" w:themeColor="accent1"/>
                  <w:sz w:val="28"/>
                  <w:szCs w:val="28"/>
                </w:rPr>
                <w:t>2</w:t>
              </w:r>
            </w:p>
          </w:sdtContent>
        </w:sdt>
        <w:p w:rsidR="0026678D" w:rsidRDefault="00944E57">
          <w:pPr>
            <w:pStyle w:val="NoSpacing"/>
            <w:spacing w:before="480"/>
            <w:jc w:val="center"/>
            <w:rPr>
              <w:color w:val="4472C4" w:themeColor="accent1"/>
            </w:rPr>
          </w:pPr>
          <w:r w:rsidRPr="00944E57">
            <w:rPr>
              <w:noProof/>
              <w:color w:val="4472C4" w:themeColor="accent1"/>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idth-percent:1000;mso-top-percent:850;mso-position-horizontal:center;mso-position-horizontal-relative:margin;mso-position-vertical-relative:page;mso-width-percent:100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rsidR="0026678D" w:rsidRDefault="0026678D">
                          <w:pPr>
                            <w:pStyle w:val="NoSpacing"/>
                            <w:spacing w:after="40"/>
                            <w:jc w:val="center"/>
                            <w:rPr>
                              <w:caps/>
                              <w:color w:val="4472C4" w:themeColor="accent1"/>
                              <w:sz w:val="28"/>
                              <w:szCs w:val="28"/>
                            </w:rPr>
                          </w:pPr>
                          <w:r>
                            <w:rPr>
                              <w:caps/>
                              <w:color w:val="4472C4" w:themeColor="accent1"/>
                              <w:sz w:val="28"/>
                              <w:szCs w:val="28"/>
                            </w:rPr>
                            <w:t>student name:</w:t>
                          </w:r>
                          <w:r w:rsidR="00976338">
                            <w:rPr>
                              <w:caps/>
                              <w:color w:val="4472C4" w:themeColor="accent1"/>
                              <w:sz w:val="28"/>
                              <w:szCs w:val="28"/>
                            </w:rPr>
                            <w:t>mariya georgieva</w:t>
                          </w:r>
                        </w:p>
                      </w:sdtContent>
                    </w:sdt>
                    <w:p w:rsidR="0026678D" w:rsidRDefault="00944E57">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37443B">
                            <w:rPr>
                              <w:caps/>
                              <w:color w:val="4472C4" w:themeColor="accent1"/>
                            </w:rPr>
                            <w:t>student id:</w:t>
                          </w:r>
                          <w:r w:rsidR="00976338">
                            <w:rPr>
                              <w:caps/>
                              <w:color w:val="4472C4" w:themeColor="accent1"/>
                            </w:rPr>
                            <w:t>1906952</w:t>
                          </w:r>
                        </w:sdtContent>
                      </w:sdt>
                    </w:p>
                    <w:p w:rsidR="0026678D" w:rsidRDefault="00944E57">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76338">
                            <w:rPr>
                              <w:color w:val="4472C4" w:themeColor="accent1"/>
                            </w:rPr>
                            <w:t xml:space="preserve">     </w:t>
                          </w:r>
                        </w:sdtContent>
                      </w:sdt>
                      <w:r w:rsidR="00976338">
                        <w:rPr>
                          <w:color w:val="4472C4" w:themeColor="accent1"/>
                        </w:rPr>
                        <w:t>LECTURER NAME : DIYA GANGULI</w:t>
                      </w:r>
                    </w:p>
                  </w:txbxContent>
                </v:textbox>
                <w10:wrap anchorx="margin" anchory="page"/>
              </v:shape>
            </w:pict>
          </w:r>
          <w:r w:rsidR="0026678D">
            <w:rPr>
              <w:noProof/>
              <w:color w:val="4472C4"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758952" cy="478932"/>
                        </a:xfrm>
                        <a:prstGeom prst="rect">
                          <a:avLst/>
                        </a:prstGeom>
                      </pic:spPr>
                    </pic:pic>
                  </a:graphicData>
                </a:graphic>
              </wp:inline>
            </w:drawing>
          </w:r>
        </w:p>
        <w:p w:rsidR="0026678D" w:rsidRDefault="0026678D">
          <w:pPr>
            <w:spacing w:after="160" w:line="259" w:lineRule="auto"/>
          </w:pPr>
          <w:r>
            <w:br w:type="page"/>
          </w:r>
        </w:p>
      </w:sdtContent>
    </w:sdt>
    <w:sdt>
      <w:sdtPr>
        <w:rPr>
          <w:rFonts w:ascii="Arial" w:eastAsiaTheme="minorHAnsi" w:hAnsi="Arial" w:cstheme="minorBidi"/>
          <w:color w:val="auto"/>
          <w:sz w:val="22"/>
          <w:szCs w:val="22"/>
          <w:lang w:val="en-GB"/>
        </w:rPr>
        <w:id w:val="1680932884"/>
        <w:docPartObj>
          <w:docPartGallery w:val="Table of Contents"/>
          <w:docPartUnique/>
        </w:docPartObj>
      </w:sdtPr>
      <w:sdtEndPr>
        <w:rPr>
          <w:b/>
          <w:bCs/>
          <w:noProof/>
        </w:rPr>
      </w:sdtEndPr>
      <w:sdtContent>
        <w:p w:rsidR="00FA5F46" w:rsidRDefault="00FA5F46">
          <w:pPr>
            <w:pStyle w:val="TOCHeading"/>
          </w:pPr>
          <w:r>
            <w:t>Table of Contents</w:t>
          </w:r>
        </w:p>
        <w:p w:rsidR="00F65EAE" w:rsidRDefault="00944E57">
          <w:pPr>
            <w:pStyle w:val="TOC1"/>
            <w:tabs>
              <w:tab w:val="right" w:leader="dot" w:pos="9016"/>
            </w:tabs>
            <w:rPr>
              <w:rFonts w:asciiTheme="minorHAnsi" w:eastAsiaTheme="minorEastAsia" w:hAnsiTheme="minorHAnsi"/>
              <w:noProof/>
              <w:lang w:eastAsia="en-GB"/>
            </w:rPr>
          </w:pPr>
          <w:r w:rsidRPr="00944E57">
            <w:fldChar w:fldCharType="begin"/>
          </w:r>
          <w:r w:rsidR="00FA5F46">
            <w:instrText xml:space="preserve"> TOC \o "1-3" \h \z \u </w:instrText>
          </w:r>
          <w:r w:rsidRPr="00944E57">
            <w:fldChar w:fldCharType="separate"/>
          </w:r>
          <w:hyperlink w:anchor="_Toc49442026" w:history="1">
            <w:r w:rsidR="00F65EAE" w:rsidRPr="009A2C81">
              <w:rPr>
                <w:rStyle w:val="Hyperlink"/>
                <w:noProof/>
              </w:rPr>
              <w:t>Introduction</w:t>
            </w:r>
            <w:r w:rsidR="00F65EAE">
              <w:rPr>
                <w:noProof/>
                <w:webHidden/>
              </w:rPr>
              <w:tab/>
            </w:r>
            <w:r>
              <w:rPr>
                <w:noProof/>
                <w:webHidden/>
              </w:rPr>
              <w:fldChar w:fldCharType="begin"/>
            </w:r>
            <w:r w:rsidR="00F65EAE">
              <w:rPr>
                <w:noProof/>
                <w:webHidden/>
              </w:rPr>
              <w:instrText xml:space="preserve"> PAGEREF _Toc49442026 \h </w:instrText>
            </w:r>
            <w:r>
              <w:rPr>
                <w:noProof/>
                <w:webHidden/>
              </w:rPr>
            </w:r>
            <w:r>
              <w:rPr>
                <w:noProof/>
                <w:webHidden/>
              </w:rPr>
              <w:fldChar w:fldCharType="separate"/>
            </w:r>
            <w:r w:rsidR="00BE262C">
              <w:rPr>
                <w:noProof/>
                <w:webHidden/>
              </w:rPr>
              <w:t>2</w:t>
            </w:r>
            <w:r>
              <w:rPr>
                <w:noProof/>
                <w:webHidden/>
              </w:rPr>
              <w:fldChar w:fldCharType="end"/>
            </w:r>
          </w:hyperlink>
        </w:p>
        <w:p w:rsidR="00F65EAE" w:rsidRDefault="00944E57">
          <w:pPr>
            <w:pStyle w:val="TOC1"/>
            <w:tabs>
              <w:tab w:val="right" w:leader="dot" w:pos="9016"/>
            </w:tabs>
            <w:rPr>
              <w:rFonts w:asciiTheme="minorHAnsi" w:eastAsiaTheme="minorEastAsia" w:hAnsiTheme="minorHAnsi"/>
              <w:noProof/>
              <w:lang w:eastAsia="en-GB"/>
            </w:rPr>
          </w:pPr>
          <w:hyperlink w:anchor="_Toc49442027" w:history="1">
            <w:r w:rsidR="00F65EAE" w:rsidRPr="009A2C81">
              <w:rPr>
                <w:rStyle w:val="Hyperlink"/>
                <w:noProof/>
              </w:rPr>
              <w:t>How aid standards are applied to ensure that people are considered in the practice of well-being and social attention</w:t>
            </w:r>
            <w:r w:rsidR="00F65EAE">
              <w:rPr>
                <w:noProof/>
                <w:webHidden/>
              </w:rPr>
              <w:tab/>
            </w:r>
            <w:r>
              <w:rPr>
                <w:noProof/>
                <w:webHidden/>
              </w:rPr>
              <w:fldChar w:fldCharType="begin"/>
            </w:r>
            <w:r w:rsidR="00F65EAE">
              <w:rPr>
                <w:noProof/>
                <w:webHidden/>
              </w:rPr>
              <w:instrText xml:space="preserve"> PAGEREF _Toc49442027 \h </w:instrText>
            </w:r>
            <w:r>
              <w:rPr>
                <w:noProof/>
                <w:webHidden/>
              </w:rPr>
            </w:r>
            <w:r>
              <w:rPr>
                <w:noProof/>
                <w:webHidden/>
              </w:rPr>
              <w:fldChar w:fldCharType="separate"/>
            </w:r>
            <w:r w:rsidR="00BE262C">
              <w:rPr>
                <w:noProof/>
                <w:webHidden/>
              </w:rPr>
              <w:t>2</w:t>
            </w:r>
            <w:r>
              <w:rPr>
                <w:noProof/>
                <w:webHidden/>
              </w:rPr>
              <w:fldChar w:fldCharType="end"/>
            </w:r>
          </w:hyperlink>
        </w:p>
        <w:p w:rsidR="00F65EAE" w:rsidRDefault="00944E57">
          <w:pPr>
            <w:pStyle w:val="TOC1"/>
            <w:tabs>
              <w:tab w:val="right" w:leader="dot" w:pos="9016"/>
            </w:tabs>
            <w:rPr>
              <w:rFonts w:asciiTheme="minorHAnsi" w:eastAsiaTheme="minorEastAsia" w:hAnsiTheme="minorHAnsi"/>
              <w:noProof/>
              <w:lang w:eastAsia="en-GB"/>
            </w:rPr>
          </w:pPr>
          <w:hyperlink w:anchor="_Toc49442028" w:history="1">
            <w:r w:rsidR="00F65EAE" w:rsidRPr="009A2C81">
              <w:rPr>
                <w:rStyle w:val="Hyperlink"/>
                <w:noProof/>
              </w:rPr>
              <w:t>The Life Stages and Relationships with Psychological Theories</w:t>
            </w:r>
            <w:r w:rsidR="00F65EAE">
              <w:rPr>
                <w:noProof/>
                <w:webHidden/>
              </w:rPr>
              <w:tab/>
            </w:r>
            <w:r>
              <w:rPr>
                <w:noProof/>
                <w:webHidden/>
              </w:rPr>
              <w:fldChar w:fldCharType="begin"/>
            </w:r>
            <w:r w:rsidR="00F65EAE">
              <w:rPr>
                <w:noProof/>
                <w:webHidden/>
              </w:rPr>
              <w:instrText xml:space="preserve"> PAGEREF _Toc49442028 \h </w:instrText>
            </w:r>
            <w:r>
              <w:rPr>
                <w:noProof/>
                <w:webHidden/>
              </w:rPr>
            </w:r>
            <w:r>
              <w:rPr>
                <w:noProof/>
                <w:webHidden/>
              </w:rPr>
              <w:fldChar w:fldCharType="separate"/>
            </w:r>
            <w:r w:rsidR="00BE262C">
              <w:rPr>
                <w:noProof/>
                <w:webHidden/>
              </w:rPr>
              <w:t>2</w:t>
            </w:r>
            <w:r>
              <w:rPr>
                <w:noProof/>
                <w:webHidden/>
              </w:rPr>
              <w:fldChar w:fldCharType="end"/>
            </w:r>
          </w:hyperlink>
        </w:p>
        <w:p w:rsidR="00F65EAE" w:rsidRDefault="00944E57">
          <w:pPr>
            <w:pStyle w:val="TOC2"/>
            <w:tabs>
              <w:tab w:val="right" w:leader="dot" w:pos="9016"/>
            </w:tabs>
            <w:rPr>
              <w:rFonts w:asciiTheme="minorHAnsi" w:eastAsiaTheme="minorEastAsia" w:hAnsiTheme="minorHAnsi"/>
              <w:noProof/>
              <w:lang w:eastAsia="en-GB"/>
            </w:rPr>
          </w:pPr>
          <w:hyperlink w:anchor="_Toc49442029" w:history="1">
            <w:r w:rsidR="00F65EAE" w:rsidRPr="009A2C81">
              <w:rPr>
                <w:rStyle w:val="Hyperlink"/>
                <w:noProof/>
              </w:rPr>
              <w:t>Benefit from following an individual focused methodology with clients of welfare and social care administrations</w:t>
            </w:r>
            <w:r w:rsidR="00F65EAE">
              <w:rPr>
                <w:noProof/>
                <w:webHidden/>
              </w:rPr>
              <w:tab/>
            </w:r>
            <w:r>
              <w:rPr>
                <w:noProof/>
                <w:webHidden/>
              </w:rPr>
              <w:fldChar w:fldCharType="begin"/>
            </w:r>
            <w:r w:rsidR="00F65EAE">
              <w:rPr>
                <w:noProof/>
                <w:webHidden/>
              </w:rPr>
              <w:instrText xml:space="preserve"> PAGEREF _Toc49442029 \h </w:instrText>
            </w:r>
            <w:r>
              <w:rPr>
                <w:noProof/>
                <w:webHidden/>
              </w:rPr>
            </w:r>
            <w:r>
              <w:rPr>
                <w:noProof/>
                <w:webHidden/>
              </w:rPr>
              <w:fldChar w:fldCharType="separate"/>
            </w:r>
            <w:r w:rsidR="00BE262C">
              <w:rPr>
                <w:noProof/>
                <w:webHidden/>
              </w:rPr>
              <w:t>3</w:t>
            </w:r>
            <w:r>
              <w:rPr>
                <w:noProof/>
                <w:webHidden/>
              </w:rPr>
              <w:fldChar w:fldCharType="end"/>
            </w:r>
          </w:hyperlink>
        </w:p>
        <w:p w:rsidR="00F65EAE" w:rsidRDefault="00944E57">
          <w:pPr>
            <w:pStyle w:val="TOC2"/>
            <w:tabs>
              <w:tab w:val="right" w:leader="dot" w:pos="9016"/>
            </w:tabs>
            <w:rPr>
              <w:rFonts w:asciiTheme="minorHAnsi" w:eastAsiaTheme="minorEastAsia" w:hAnsiTheme="minorHAnsi"/>
              <w:noProof/>
              <w:lang w:eastAsia="en-GB"/>
            </w:rPr>
          </w:pPr>
          <w:hyperlink w:anchor="_Toc49442030" w:history="1">
            <w:r w:rsidR="00F65EAE" w:rsidRPr="009A2C81">
              <w:rPr>
                <w:rStyle w:val="Hyperlink"/>
                <w:noProof/>
              </w:rPr>
              <w:t>Ethical issues and disagreements that may arise when considering, securing and ensuring the clients of welfare and social care administrations.</w:t>
            </w:r>
            <w:r w:rsidR="00F65EAE">
              <w:rPr>
                <w:noProof/>
                <w:webHidden/>
              </w:rPr>
              <w:tab/>
            </w:r>
            <w:r>
              <w:rPr>
                <w:noProof/>
                <w:webHidden/>
              </w:rPr>
              <w:fldChar w:fldCharType="begin"/>
            </w:r>
            <w:r w:rsidR="00F65EAE">
              <w:rPr>
                <w:noProof/>
                <w:webHidden/>
              </w:rPr>
              <w:instrText xml:space="preserve"> PAGEREF _Toc49442030 \h </w:instrText>
            </w:r>
            <w:r>
              <w:rPr>
                <w:noProof/>
                <w:webHidden/>
              </w:rPr>
            </w:r>
            <w:r>
              <w:rPr>
                <w:noProof/>
                <w:webHidden/>
              </w:rPr>
              <w:fldChar w:fldCharType="separate"/>
            </w:r>
            <w:r w:rsidR="00BE262C">
              <w:rPr>
                <w:noProof/>
                <w:webHidden/>
              </w:rPr>
              <w:t>4</w:t>
            </w:r>
            <w:r>
              <w:rPr>
                <w:noProof/>
                <w:webHidden/>
              </w:rPr>
              <w:fldChar w:fldCharType="end"/>
            </w:r>
          </w:hyperlink>
        </w:p>
        <w:p w:rsidR="00F65EAE" w:rsidRDefault="00944E57">
          <w:pPr>
            <w:pStyle w:val="TOC1"/>
            <w:tabs>
              <w:tab w:val="right" w:leader="dot" w:pos="9016"/>
            </w:tabs>
            <w:rPr>
              <w:rFonts w:asciiTheme="minorHAnsi" w:eastAsiaTheme="minorEastAsia" w:hAnsiTheme="minorHAnsi"/>
              <w:noProof/>
              <w:lang w:eastAsia="en-GB"/>
            </w:rPr>
          </w:pPr>
          <w:hyperlink w:anchor="_Toc49442031" w:history="1">
            <w:r w:rsidR="00F65EAE" w:rsidRPr="009A2C81">
              <w:rPr>
                <w:rStyle w:val="Hyperlink"/>
                <w:noProof/>
              </w:rPr>
              <w:t>The implementation of approaches, regulations, guidelines and training codes that are applicable to work in welfare and social attention</w:t>
            </w:r>
            <w:r w:rsidR="00F65EAE">
              <w:rPr>
                <w:noProof/>
                <w:webHidden/>
              </w:rPr>
              <w:tab/>
            </w:r>
            <w:r>
              <w:rPr>
                <w:noProof/>
                <w:webHidden/>
              </w:rPr>
              <w:fldChar w:fldCharType="begin"/>
            </w:r>
            <w:r w:rsidR="00F65EAE">
              <w:rPr>
                <w:noProof/>
                <w:webHidden/>
              </w:rPr>
              <w:instrText xml:space="preserve"> PAGEREF _Toc49442031 \h </w:instrText>
            </w:r>
            <w:r>
              <w:rPr>
                <w:noProof/>
                <w:webHidden/>
              </w:rPr>
            </w:r>
            <w:r>
              <w:rPr>
                <w:noProof/>
                <w:webHidden/>
              </w:rPr>
              <w:fldChar w:fldCharType="separate"/>
            </w:r>
            <w:r w:rsidR="00BE262C">
              <w:rPr>
                <w:noProof/>
                <w:webHidden/>
              </w:rPr>
              <w:t>4</w:t>
            </w:r>
            <w:r>
              <w:rPr>
                <w:noProof/>
                <w:webHidden/>
              </w:rPr>
              <w:fldChar w:fldCharType="end"/>
            </w:r>
          </w:hyperlink>
        </w:p>
        <w:p w:rsidR="00F65EAE" w:rsidRDefault="00944E57">
          <w:pPr>
            <w:pStyle w:val="TOC2"/>
            <w:tabs>
              <w:tab w:val="right" w:leader="dot" w:pos="9016"/>
            </w:tabs>
            <w:rPr>
              <w:rFonts w:asciiTheme="minorHAnsi" w:eastAsiaTheme="minorEastAsia" w:hAnsiTheme="minorHAnsi"/>
              <w:noProof/>
              <w:lang w:eastAsia="en-GB"/>
            </w:rPr>
          </w:pPr>
          <w:hyperlink w:anchor="_Toc49442032" w:history="1">
            <w:r w:rsidR="00F65EAE" w:rsidRPr="009A2C81">
              <w:rPr>
                <w:rStyle w:val="Hyperlink"/>
                <w:noProof/>
              </w:rPr>
              <w:t>How close strategies and techniques can be created in competition with national and strategic preconditions</w:t>
            </w:r>
            <w:r w:rsidR="00F65EAE">
              <w:rPr>
                <w:noProof/>
                <w:webHidden/>
              </w:rPr>
              <w:tab/>
            </w:r>
            <w:r>
              <w:rPr>
                <w:noProof/>
                <w:webHidden/>
              </w:rPr>
              <w:fldChar w:fldCharType="begin"/>
            </w:r>
            <w:r w:rsidR="00F65EAE">
              <w:rPr>
                <w:noProof/>
                <w:webHidden/>
              </w:rPr>
              <w:instrText xml:space="preserve"> PAGEREF _Toc49442032 \h </w:instrText>
            </w:r>
            <w:r>
              <w:rPr>
                <w:noProof/>
                <w:webHidden/>
              </w:rPr>
            </w:r>
            <w:r>
              <w:rPr>
                <w:noProof/>
                <w:webHidden/>
              </w:rPr>
              <w:fldChar w:fldCharType="separate"/>
            </w:r>
            <w:r w:rsidR="00BE262C">
              <w:rPr>
                <w:noProof/>
                <w:webHidden/>
              </w:rPr>
              <w:t>5</w:t>
            </w:r>
            <w:r>
              <w:rPr>
                <w:noProof/>
                <w:webHidden/>
              </w:rPr>
              <w:fldChar w:fldCharType="end"/>
            </w:r>
          </w:hyperlink>
        </w:p>
        <w:p w:rsidR="00F65EAE" w:rsidRDefault="00944E57">
          <w:pPr>
            <w:pStyle w:val="TOC2"/>
            <w:tabs>
              <w:tab w:val="right" w:leader="dot" w:pos="9016"/>
            </w:tabs>
            <w:rPr>
              <w:rFonts w:asciiTheme="minorHAnsi" w:eastAsiaTheme="minorEastAsia" w:hAnsiTheme="minorHAnsi"/>
              <w:noProof/>
              <w:lang w:eastAsia="en-GB"/>
            </w:rPr>
          </w:pPr>
          <w:hyperlink w:anchor="_Toc49442033" w:history="1">
            <w:r w:rsidR="00F65EAE" w:rsidRPr="009A2C81">
              <w:rPr>
                <w:rStyle w:val="Hyperlink"/>
                <w:noProof/>
              </w:rPr>
              <w:t>Further Regulations in Health and Social Care</w:t>
            </w:r>
            <w:r w:rsidR="00F65EAE">
              <w:rPr>
                <w:noProof/>
                <w:webHidden/>
              </w:rPr>
              <w:tab/>
            </w:r>
            <w:r>
              <w:rPr>
                <w:noProof/>
                <w:webHidden/>
              </w:rPr>
              <w:fldChar w:fldCharType="begin"/>
            </w:r>
            <w:r w:rsidR="00F65EAE">
              <w:rPr>
                <w:noProof/>
                <w:webHidden/>
              </w:rPr>
              <w:instrText xml:space="preserve"> PAGEREF _Toc49442033 \h </w:instrText>
            </w:r>
            <w:r>
              <w:rPr>
                <w:noProof/>
                <w:webHidden/>
              </w:rPr>
            </w:r>
            <w:r>
              <w:rPr>
                <w:noProof/>
                <w:webHidden/>
              </w:rPr>
              <w:fldChar w:fldCharType="separate"/>
            </w:r>
            <w:r w:rsidR="00BE262C">
              <w:rPr>
                <w:noProof/>
                <w:webHidden/>
              </w:rPr>
              <w:t>5</w:t>
            </w:r>
            <w:r>
              <w:rPr>
                <w:noProof/>
                <w:webHidden/>
              </w:rPr>
              <w:fldChar w:fldCharType="end"/>
            </w:r>
          </w:hyperlink>
        </w:p>
        <w:p w:rsidR="00F65EAE" w:rsidRDefault="00944E57">
          <w:pPr>
            <w:pStyle w:val="TOC1"/>
            <w:tabs>
              <w:tab w:val="right" w:leader="dot" w:pos="9016"/>
            </w:tabs>
            <w:rPr>
              <w:rFonts w:asciiTheme="minorHAnsi" w:eastAsiaTheme="minorEastAsia" w:hAnsiTheme="minorHAnsi"/>
              <w:noProof/>
              <w:lang w:eastAsia="en-GB"/>
            </w:rPr>
          </w:pPr>
          <w:hyperlink w:anchor="_Toc49442034" w:history="1">
            <w:r w:rsidR="00F65EAE" w:rsidRPr="009A2C81">
              <w:rPr>
                <w:rStyle w:val="Hyperlink"/>
                <w:noProof/>
              </w:rPr>
              <w:t>Conclusion</w:t>
            </w:r>
            <w:r w:rsidR="00F65EAE">
              <w:rPr>
                <w:noProof/>
                <w:webHidden/>
              </w:rPr>
              <w:tab/>
            </w:r>
            <w:r>
              <w:rPr>
                <w:noProof/>
                <w:webHidden/>
              </w:rPr>
              <w:fldChar w:fldCharType="begin"/>
            </w:r>
            <w:r w:rsidR="00F65EAE">
              <w:rPr>
                <w:noProof/>
                <w:webHidden/>
              </w:rPr>
              <w:instrText xml:space="preserve"> PAGEREF _Toc49442034 \h </w:instrText>
            </w:r>
            <w:r>
              <w:rPr>
                <w:noProof/>
                <w:webHidden/>
              </w:rPr>
            </w:r>
            <w:r>
              <w:rPr>
                <w:noProof/>
                <w:webHidden/>
              </w:rPr>
              <w:fldChar w:fldCharType="separate"/>
            </w:r>
            <w:r w:rsidR="00BE262C">
              <w:rPr>
                <w:noProof/>
                <w:webHidden/>
              </w:rPr>
              <w:t>5</w:t>
            </w:r>
            <w:r>
              <w:rPr>
                <w:noProof/>
                <w:webHidden/>
              </w:rPr>
              <w:fldChar w:fldCharType="end"/>
            </w:r>
          </w:hyperlink>
        </w:p>
        <w:p w:rsidR="00F65EAE" w:rsidRDefault="00944E57">
          <w:pPr>
            <w:pStyle w:val="TOC1"/>
            <w:tabs>
              <w:tab w:val="right" w:leader="dot" w:pos="9016"/>
            </w:tabs>
            <w:rPr>
              <w:rFonts w:asciiTheme="minorHAnsi" w:eastAsiaTheme="minorEastAsia" w:hAnsiTheme="minorHAnsi"/>
              <w:noProof/>
              <w:lang w:eastAsia="en-GB"/>
            </w:rPr>
          </w:pPr>
          <w:hyperlink w:anchor="_Toc49442035" w:history="1">
            <w:r w:rsidR="00F65EAE" w:rsidRPr="009A2C81">
              <w:rPr>
                <w:rStyle w:val="Hyperlink"/>
                <w:noProof/>
              </w:rPr>
              <w:t>References</w:t>
            </w:r>
            <w:r w:rsidR="00F65EAE">
              <w:rPr>
                <w:noProof/>
                <w:webHidden/>
              </w:rPr>
              <w:tab/>
            </w:r>
            <w:r>
              <w:rPr>
                <w:noProof/>
                <w:webHidden/>
              </w:rPr>
              <w:fldChar w:fldCharType="begin"/>
            </w:r>
            <w:r w:rsidR="00F65EAE">
              <w:rPr>
                <w:noProof/>
                <w:webHidden/>
              </w:rPr>
              <w:instrText xml:space="preserve"> PAGEREF _Toc49442035 \h </w:instrText>
            </w:r>
            <w:r>
              <w:rPr>
                <w:noProof/>
                <w:webHidden/>
              </w:rPr>
            </w:r>
            <w:r>
              <w:rPr>
                <w:noProof/>
                <w:webHidden/>
              </w:rPr>
              <w:fldChar w:fldCharType="separate"/>
            </w:r>
            <w:r w:rsidR="00BE262C">
              <w:rPr>
                <w:noProof/>
                <w:webHidden/>
              </w:rPr>
              <w:t>6</w:t>
            </w:r>
            <w:r>
              <w:rPr>
                <w:noProof/>
                <w:webHidden/>
              </w:rPr>
              <w:fldChar w:fldCharType="end"/>
            </w:r>
          </w:hyperlink>
        </w:p>
        <w:p w:rsidR="00FA5F46" w:rsidRDefault="00944E57">
          <w:r>
            <w:rPr>
              <w:b/>
              <w:bCs/>
              <w:noProof/>
            </w:rPr>
            <w:fldChar w:fldCharType="end"/>
          </w:r>
        </w:p>
      </w:sdtContent>
    </w:sdt>
    <w:p w:rsidR="00844443" w:rsidRDefault="00844443"/>
    <w:p w:rsidR="00610D6C" w:rsidRDefault="00610D6C"/>
    <w:p w:rsidR="00610D6C" w:rsidRDefault="00610D6C"/>
    <w:p w:rsidR="00610D6C" w:rsidRDefault="00610D6C"/>
    <w:p w:rsidR="00610D6C" w:rsidRDefault="00610D6C"/>
    <w:p w:rsidR="00610D6C" w:rsidRDefault="00610D6C"/>
    <w:p w:rsidR="00610D6C" w:rsidRDefault="00610D6C"/>
    <w:p w:rsidR="00610D6C" w:rsidRDefault="00610D6C"/>
    <w:p w:rsidR="00610D6C" w:rsidRDefault="00610D6C"/>
    <w:p w:rsidR="00610D6C" w:rsidRDefault="00610D6C"/>
    <w:p w:rsidR="00610D6C" w:rsidRDefault="00610D6C"/>
    <w:p w:rsidR="00610D6C" w:rsidRDefault="00610D6C"/>
    <w:p w:rsidR="00610D6C" w:rsidRDefault="00610D6C"/>
    <w:p w:rsidR="00610D6C" w:rsidRDefault="00610D6C"/>
    <w:p w:rsidR="00610D6C" w:rsidRDefault="00610D6C"/>
    <w:p w:rsidR="00610D6C" w:rsidRDefault="00610D6C" w:rsidP="00610D6C">
      <w:pPr>
        <w:pStyle w:val="Heading1"/>
      </w:pPr>
      <w:bookmarkStart w:id="0" w:name="_Toc49442026"/>
      <w:r>
        <w:lastRenderedPageBreak/>
        <w:t>Introduction</w:t>
      </w:r>
      <w:bookmarkEnd w:id="0"/>
    </w:p>
    <w:p w:rsidR="00BE262C" w:rsidRDefault="00BE262C" w:rsidP="00610D6C">
      <w:r w:rsidRPr="00BE262C">
        <w:t xml:space="preserve">In the field of government assistance and social perspective, </w:t>
      </w:r>
      <w:r w:rsidR="00976338">
        <w:t>different divisions</w:t>
      </w:r>
      <w:r w:rsidRPr="00BE262C">
        <w:t xml:space="preserve"> offer organizations to take care of the issues of the organization's customers. In this part, labo</w:t>
      </w:r>
      <w:r w:rsidR="00976338">
        <w:t>u</w:t>
      </w:r>
      <w:r w:rsidRPr="00BE262C">
        <w:t>rers apply the attitude of care to improve the request for the best organizations of their customers. This kind of organization is fundamental for the system, given that individuals are influenced by a few sorts of sicknesses that need support and care from social labo</w:t>
      </w:r>
      <w:r w:rsidR="00976338">
        <w:t>u</w:t>
      </w:r>
      <w:r w:rsidRPr="00BE262C">
        <w:t>rers and carers. What's more, these establishments are depended with the treatment and care of customers, while keeping up the protection of customers of the organization (Erickson and Millar, 2005). Persistent security is integral to the human administration</w:t>
      </w:r>
      <w:r w:rsidR="00976338">
        <w:t>'</w:t>
      </w:r>
      <w:r w:rsidRPr="00BE262C">
        <w:t xml:space="preserve">s section, given that there are various sorts of patient benefit infringement that can be both general and political (Cohen and Ezer, 2013). In such </w:t>
      </w:r>
      <w:r w:rsidR="00976338">
        <w:t xml:space="preserve">a </w:t>
      </w:r>
      <w:r w:rsidRPr="00BE262C">
        <w:t>manner, this article centres around the social issues experienced in the field of prosperity and social consideration.</w:t>
      </w:r>
    </w:p>
    <w:p w:rsidR="00610D6C" w:rsidRDefault="00610D6C" w:rsidP="00610D6C">
      <w:pPr>
        <w:pStyle w:val="Heading1"/>
      </w:pPr>
      <w:bookmarkStart w:id="1" w:name="_Toc49442027"/>
      <w:r>
        <w:t xml:space="preserve">How </w:t>
      </w:r>
      <w:r w:rsidR="00976338">
        <w:t xml:space="preserve">to </w:t>
      </w:r>
      <w:r>
        <w:t>aid standards are applied to ensure that people are considered in the practice of well-being and social attention</w:t>
      </w:r>
      <w:bookmarkEnd w:id="1"/>
    </w:p>
    <w:p w:rsidR="00BE262C" w:rsidRDefault="00BE262C" w:rsidP="00BE262C">
      <w:r>
        <w:t xml:space="preserve">The norms in the human administrations’ division are the standards and decide that give the individual straightforwardly what to do in his day by day errands. One of the principles of help in the region of clinical administrations is genuineness and consideration. In the social and clinical administrations industry, </w:t>
      </w:r>
      <w:r w:rsidR="00976338">
        <w:t>various individuals</w:t>
      </w:r>
      <w:r>
        <w:t xml:space="preserve"> originate from various foundations and are diverse as far as sex, sexual direction, race, age, and exacting convictions (Campinha-Bacote, 2003). This sort of complexity in the workplace requires every master to be cautious with this and to have the option to pre-adjust and consider in the affiliation. Understanding the individual complexities between the organization's customers is further critical to guaranteeing that quality organizations are given to all without the sort of partition. </w:t>
      </w:r>
    </w:p>
    <w:p w:rsidR="00610D6C" w:rsidRDefault="00BE262C" w:rsidP="00BE262C">
      <w:r>
        <w:t xml:space="preserve">The other norm of care is for the accomplices in the affiliation, yet notwithstanding the patients in the fragment of medication administrations. This kind of standard will permit the particular association to attempt to think about the self-administration of patients in the clinical facility and hereafter not to disregard their benefits (Entwistle et al., 2010). This assist manages with willing hereafter </w:t>
      </w:r>
      <w:r w:rsidR="00976338">
        <w:t xml:space="preserve">to </w:t>
      </w:r>
      <w:r>
        <w:t>empower patients to believe in their parental figures. The other sort of help rule is support</w:t>
      </w:r>
      <w:r w:rsidR="00976338">
        <w:t>ed</w:t>
      </w:r>
      <w:r>
        <w:t>. The show of patient strengthening is huge in the affiliation. This can be accomplished by orchestrating accessible resources for patients. By giving patients fundamental capacities and resources, parental figures can have the chance to self-oversee among patients. In this way, organization customers may have the chance to clarify more about their audit extends and have the option to explain different conditions influencing them (Ueckert et al., 2003).</w:t>
      </w:r>
    </w:p>
    <w:p w:rsidR="00610D6C" w:rsidRDefault="00F65EAE" w:rsidP="00F65EAE">
      <w:pPr>
        <w:pStyle w:val="Heading1"/>
      </w:pPr>
      <w:bookmarkStart w:id="2" w:name="_Toc49442028"/>
      <w:r>
        <w:t>The Life Stages and Relationships with Psychological Theories</w:t>
      </w:r>
      <w:bookmarkEnd w:id="2"/>
    </w:p>
    <w:p w:rsidR="00BE262C" w:rsidRDefault="00BE262C" w:rsidP="00BE262C">
      <w:r>
        <w:t>Eric Erickson proposed the psychosocial speculation of progress. In each period of Erickson's speculation, there is a psychosocial task that we should act to encounter a feeling of capacity. Eric Erickson, another researcher on the stage, acknowledged Freud's speculation and remedied it as a psychosocial theory. Erickson's psychosocial improvement speculation cent</w:t>
      </w:r>
      <w:r w:rsidR="00976338">
        <w:t>re</w:t>
      </w:r>
      <w:r>
        <w:t xml:space="preserve">s around the social thought of our advancement, instead of on its sexual nature. While Freud accepted that the character was framed exceptionally in pre-adulthood </w:t>
      </w:r>
      <w:r>
        <w:lastRenderedPageBreak/>
        <w:t xml:space="preserve">(Ballard, 2003), Erickson suggested that character advancement happen all through life. Erickson suggested how we associate with others is simply what influences our feeling of self or what he calls a character quality. </w:t>
      </w:r>
    </w:p>
    <w:p w:rsidR="00BE262C" w:rsidRDefault="00BE262C" w:rsidP="00BE262C">
      <w:r>
        <w:t>Erickson proposed that we are roused by the need to accomplish wellness in explicit pieces of our lives. As indicated by the psychosocial theory, we experience eight periods of progress throughout our lives, from the earliest starting point to late adulthood. At each phase</w:t>
      </w:r>
      <w:r w:rsidR="00976338">
        <w:t>,</w:t>
      </w:r>
      <w:r>
        <w:t xml:space="preserve"> there is a debate or undertaking that we have to characterize. The productive utilization of any imaginative undertaking makes a sentiment of wellness and a solid character. The failure to evaluate these undertakings brings out sentiments of deficiency. </w:t>
      </w:r>
    </w:p>
    <w:p w:rsidR="00BE262C" w:rsidRDefault="00BE262C" w:rsidP="00BE262C">
      <w:r>
        <w:t xml:space="preserve">As expressed by Erikson (1963), trust is essential for our improvement in the soonest arranges (birth as long as one year). Accordingly, the primary undertaking at this stage is trust against </w:t>
      </w:r>
      <w:r w:rsidR="00976338">
        <w:t xml:space="preserve">the </w:t>
      </w:r>
      <w:r>
        <w:t xml:space="preserve">question. Infants need their parental figures, so gatekeepers who are responsive and contact their new-conceived need assistance with the goal that the kid can construct a feeling of trust; their small kid will think of it as a shielded, not astonishing spot. Dormant parental figures who don't manage their infant's issues can incite sentiments of pressure, loathsomeness, and uncertainty; their kid may think of them as unconventional. </w:t>
      </w:r>
    </w:p>
    <w:p w:rsidR="00BE262C" w:rsidRDefault="00BE262C" w:rsidP="00BE262C">
      <w:r>
        <w:t xml:space="preserve">As little youngsters (ages 1-3) start to put resources into their existence, they find that they can control their exercises and follow nature to get results. They are starting to show away from explicit parts of nature, for example, food, toys and attire. The infant's fundamental assignment is to decide the issue of independence corresponding to disgrace and weakness, attempting to assemble freedom. This is the "I do it" stage. For instance, we may see a developing feeling of restraint in a 2-year-old who needs to pick his garments and get dressed. Notwithstanding the way that her outfits are probably not going to be fitting for the conditions, her commitment to such significant decisions influences her feeling of autonomy. At whatever point she is denied the chance to screen her condition, she may start to scrutinize her ability, which can trigger low certainty and sentiments of disgrace. </w:t>
      </w:r>
    </w:p>
    <w:p w:rsidR="00BE262C" w:rsidRDefault="00BE262C" w:rsidP="00BE262C">
      <w:r>
        <w:t xml:space="preserve">At the point when youngsters come to the pre-school stage (ages 3-6), they are set up to begin practices and announce their control over reality through social correspondence and play. As per Erikson, preschoolers need to decide the request for action as indicated by blame. By making sense of how to plan and accomplish objectives while interfacing with others, preschoolers can meet this assignment. Individuals who do this will make bravery and feel heading. People who are barren at this stage - with their goal or choked - can make sentiments of blame. </w:t>
      </w:r>
    </w:p>
    <w:p w:rsidR="00610D6C" w:rsidRDefault="00BE262C" w:rsidP="00BE262C">
      <w:r>
        <w:t>During the grade school stage (ages 6 to 12), kids face industry disappointment. Youngsters start to stand out from their companions to see how they have what is required. They either fabricate a feeling of pride and accomplishment in their home, sports, social activities and family life, or they feel auxiliary and lacking when they don't have the correct things. (Global Committee of Medical Journal Editors, 1995).</w:t>
      </w:r>
    </w:p>
    <w:p w:rsidR="00610D6C" w:rsidRDefault="00610D6C" w:rsidP="00610D6C">
      <w:pPr>
        <w:pStyle w:val="Heading2"/>
      </w:pPr>
      <w:bookmarkStart w:id="3" w:name="_Toc49442029"/>
      <w:r>
        <w:t>Benefit from following an individual focused methodology with clients of welfare and social care administrations</w:t>
      </w:r>
      <w:bookmarkEnd w:id="3"/>
    </w:p>
    <w:p w:rsidR="00BE262C" w:rsidRDefault="00BE262C" w:rsidP="00BE262C">
      <w:r>
        <w:t xml:space="preserve">The model of </w:t>
      </w:r>
      <w:r w:rsidR="00976338">
        <w:t xml:space="preserve">the </w:t>
      </w:r>
      <w:r>
        <w:t>individual-centred technique was principally evolved via Carl Rodgers, who generally cent</w:t>
      </w:r>
      <w:r w:rsidR="00976338">
        <w:t>re</w:t>
      </w:r>
      <w:r>
        <w:t xml:space="preserve">s around guaranteeing the security of the benefits of the organization's customers and settles on the particular decision that best suits their particular needs ( </w:t>
      </w:r>
      <w:r>
        <w:lastRenderedPageBreak/>
        <w:t xml:space="preserve">Means et al., 2013). In the drug administrations office, the organization's customers are firmly encouraged to acknowledge decisions that expansion their pride and security. In the United Kingdom, by far most of </w:t>
      </w:r>
      <w:r w:rsidR="00976338">
        <w:t xml:space="preserve">the </w:t>
      </w:r>
      <w:r>
        <w:t>by-laws, for instance, the Equality and Human Rights Acts, are intended to improve an individual-centred approach that gives upgraded consumer loyalty (NHS, 2013). It is accepted that the utilization of the individual</w:t>
      </w:r>
      <w:r w:rsidR="00976338">
        <w:t>-cent</w:t>
      </w:r>
      <w:r>
        <w:t xml:space="preserve">red approach extends the practicality of individuals from various scopes of cash and good establishments in the section of human administrations. This system further guarantees that the particular regions that need improvement in an individual are distinguished. Furthermore, it offers upkeep customers the ability to accomplish their objectives by giving the correct drug and items that address clinical issues. The individual-centred system further empowers customers to control their way of life by characterizing a particular strategy that meets their money related and ethnic necessities. </w:t>
      </w:r>
    </w:p>
    <w:p w:rsidR="00BE262C" w:rsidRDefault="00BE262C" w:rsidP="00BE262C">
      <w:r>
        <w:t xml:space="preserve">Moral issues and contradictions that may emerge while considering, making sure about and guaranteeing the customers of government assistance and social consideration organizations. </w:t>
      </w:r>
    </w:p>
    <w:p w:rsidR="00610D6C" w:rsidRDefault="00610D6C" w:rsidP="00610D6C">
      <w:pPr>
        <w:pStyle w:val="Heading2"/>
      </w:pPr>
      <w:bookmarkStart w:id="4" w:name="_Toc49442030"/>
      <w:r>
        <w:t>Ethical issues and disagreements that may arise when considering, securing and ensuring the clients of welfare and social care administrations.</w:t>
      </w:r>
      <w:bookmarkEnd w:id="4"/>
    </w:p>
    <w:p w:rsidR="00610D6C" w:rsidRDefault="00BE262C" w:rsidP="00610D6C">
      <w:r>
        <w:t>There are different good issues and clashes in the human administration</w:t>
      </w:r>
      <w:r w:rsidR="00976338">
        <w:t>'</w:t>
      </w:r>
      <w:r>
        <w:t>s office that influence the exercises of social parent figures. Moral issues, generally, lead to a situation in which at any rate two irritating choices must be made. In this manner, the social master is obliged to sort out one unequivocal good heading over the other, which generally repudiates the demonstrations of calling (Allen, 2012). This kind of situation is to a great extent experienced by organization suppliers when confronted with certain troublesome conditions. In the workplace, a social parent figure may experience the thought processes of an individual attempting to end their own life. The decision of the estimation of the individual is a genuine test for any expert. As indicated by the given demonstrations, social pros have the chance to limit the patient's entitlement to self-assurance, particularly during conditions that can prompt inescapable perils and setbacks (Allen, 2012).</w:t>
      </w:r>
    </w:p>
    <w:p w:rsidR="00610D6C" w:rsidRDefault="00610D6C" w:rsidP="00610D6C">
      <w:pPr>
        <w:pStyle w:val="Heading1"/>
      </w:pPr>
      <w:bookmarkStart w:id="5" w:name="_Toc49442031"/>
      <w:r>
        <w:t>The implementation of approaches, regulations, guidelines and training codes that are applicable to work in welfare and social attention</w:t>
      </w:r>
      <w:bookmarkEnd w:id="5"/>
    </w:p>
    <w:p w:rsidR="00610D6C" w:rsidRDefault="00BE262C" w:rsidP="00610D6C">
      <w:r w:rsidRPr="00BE262C">
        <w:t xml:space="preserve">As indicated by Tingle and Bark (2011), the UK NHS is continually checking on its guidelines, approaches, and rules to guarantee that they are in reality especially connected to advance in individuals' social, ethnic and money related foundations. These courses of action and rules, which are continually being created, expect to guarantee that the best organizations are given to the customers of the organization in the nation. Various organizations of various government disability undertakings are needed to be the ones who build up these guidelines and techniques in the workplace to guarantee that there </w:t>
      </w:r>
      <w:r w:rsidR="00976338">
        <w:t>are</w:t>
      </w:r>
      <w:r w:rsidRPr="00BE262C">
        <w:t xml:space="preserve"> efficiency and reasonability in their exercises. One of the regularizing demonstrations of worry in the government disability portion is the Data Protection Act of 1998.</w:t>
      </w:r>
      <w:r w:rsidR="00976338">
        <w:t xml:space="preserve"> </w:t>
      </w:r>
      <w:r w:rsidRPr="00BE262C">
        <w:t xml:space="preserve">This law controls the readiness of data for individuals from the government managed savings division. It guarantees individuals with the standard of stressing over how close the home data is prepared and permitted to move. </w:t>
      </w:r>
    </w:p>
    <w:p w:rsidR="00610D6C" w:rsidRDefault="00610D6C" w:rsidP="00610D6C">
      <w:pPr>
        <w:pStyle w:val="Heading2"/>
      </w:pPr>
      <w:bookmarkStart w:id="6" w:name="_Toc49442032"/>
      <w:r>
        <w:lastRenderedPageBreak/>
        <w:t>How close strategies and techniques can be created in competition with national and strategic preconditions</w:t>
      </w:r>
      <w:bookmarkEnd w:id="6"/>
    </w:p>
    <w:p w:rsidR="00610D6C" w:rsidRDefault="00BE262C" w:rsidP="00610D6C">
      <w:r w:rsidRPr="00BE262C">
        <w:t xml:space="preserve">Despite the fact that the execution and techniques set up by the organization can influence errands the nation over, approaches and strategies change, starting with one government managed savings home then onto the next (Tingle and Bark, 2011). These organizations are subsequently evolved by the organizations gave by an extraordinary home to clinical administrations in the different regions. These courses of action generally decide </w:t>
      </w:r>
      <w:r w:rsidR="00976338">
        <w:t>how</w:t>
      </w:r>
      <w:r w:rsidRPr="00BE262C">
        <w:t xml:space="preserve"> the assessment home is overseen and worked. Preceding the presentation of approaches and philosophies, cautious courses of action and procedures are made, and close by government disability homes are concentrated to locate the particular issues and inadequacies that require change (Abood, 2007). This technique is normally brought out through the joint endeavo</w:t>
      </w:r>
      <w:r w:rsidR="00976338">
        <w:t>u</w:t>
      </w:r>
      <w:r w:rsidRPr="00BE262C">
        <w:t>rs of the administration and the system that meets up to recognize the progressions that best meet the quick needs. Regardless, these nearby courses of action and techniques normally fill in as guidance for the public NHS methodology, including the particular social and clinical needs of individuals (Abood, 2007).</w:t>
      </w:r>
    </w:p>
    <w:p w:rsidR="00610D6C" w:rsidRDefault="00F65EAE" w:rsidP="00610D6C">
      <w:pPr>
        <w:pStyle w:val="Heading2"/>
      </w:pPr>
      <w:bookmarkStart w:id="7" w:name="_Toc49442033"/>
      <w:r>
        <w:t>Further Regulations in Health and Social Care</w:t>
      </w:r>
      <w:bookmarkEnd w:id="7"/>
    </w:p>
    <w:p w:rsidR="00610D6C" w:rsidRDefault="00BE262C" w:rsidP="00610D6C">
      <w:r w:rsidRPr="00BE262C">
        <w:t>The various frameworks and rules grasped by the administering body in the field of hum</w:t>
      </w:r>
      <w:r w:rsidR="00976338">
        <w:t>anitari</w:t>
      </w:r>
      <w:r w:rsidRPr="00BE262C">
        <w:t xml:space="preserve">an organizations have impacted the social and clinical part. These exhibits guarantee the advantages of the two clients and social thought providers. Approaches in like manner offer guidelines to both and open homes to ensure that patients are outfitted with the best affiliations. The 2006 Law on Vulnerable Groups, for example, is loosened up to various parts of the association and ensures that the advantages of frail social events are guaranteed by the general populace. The reason </w:t>
      </w:r>
      <w:r w:rsidR="00976338">
        <w:t>for</w:t>
      </w:r>
      <w:r w:rsidRPr="00BE262C">
        <w:t xml:space="preserve"> these systems further prompts the smooth working of protection organizations without hammering into various affiliations. Agents in the alliance can in like manner work agreeably without misusing the advantages of the association's clients in the connection (National Research Council, 2010). Subsequently, the procedures endeavour extraordinary work to ensure that the various activities in the social and human organizations division run adequately and ski</w:t>
      </w:r>
      <w:r w:rsidR="00976338">
        <w:t>l</w:t>
      </w:r>
      <w:r w:rsidRPr="00BE262C">
        <w:t>lfully.</w:t>
      </w:r>
    </w:p>
    <w:p w:rsidR="00610D6C" w:rsidRDefault="00610D6C" w:rsidP="00610D6C">
      <w:pPr>
        <w:pStyle w:val="Heading1"/>
      </w:pPr>
      <w:bookmarkStart w:id="8" w:name="_Toc49442034"/>
      <w:r>
        <w:t>Conclusion</w:t>
      </w:r>
      <w:bookmarkEnd w:id="8"/>
    </w:p>
    <w:p w:rsidR="00610D6C" w:rsidRDefault="00BE262C">
      <w:r w:rsidRPr="00BE262C">
        <w:t>Together they construct duties regarding satisfying the prerequisites for quality practice, experts from the social perspective must comprehend that their duty to the entire populace is huge and sensitive. This responsibility requires the most exceptional duty and promise to the flourishing of patients and accomplices and, also, single thriving. Labo</w:t>
      </w:r>
      <w:r w:rsidR="00976338">
        <w:t>u</w:t>
      </w:r>
      <w:r w:rsidRPr="00BE262C">
        <w:t>rers should cautiously observe the principles and camps and acquire consent in the act of thriving and social reflection and the guidelines built up by association. Thusly, thought suppliers need to feel submitted, unfaltering, obvious, satisfying, and glad to be important for the social concentration and continually attempting to make enhancements. Labo</w:t>
      </w:r>
      <w:r w:rsidR="00976338">
        <w:t>u</w:t>
      </w:r>
      <w:r w:rsidRPr="00BE262C">
        <w:t xml:space="preserve">rers can redesign their preparation by taking an interest in the readiness of such an investigation. </w:t>
      </w:r>
      <w:r w:rsidR="00976338">
        <w:t>T</w:t>
      </w:r>
      <w:r w:rsidRPr="00BE262C">
        <w:t>o adapt better and think about the fast advances and dynamic changes in their field, carers should be restored with the most recent information on thriving and social consideration.</w:t>
      </w:r>
    </w:p>
    <w:p w:rsidR="00610D6C" w:rsidRDefault="00610D6C" w:rsidP="00610D6C">
      <w:pPr>
        <w:pStyle w:val="Heading1"/>
      </w:pPr>
      <w:bookmarkStart w:id="9" w:name="_Toc49442035"/>
      <w:r>
        <w:lastRenderedPageBreak/>
        <w:t>References</w:t>
      </w:r>
      <w:bookmarkEnd w:id="9"/>
    </w:p>
    <w:p w:rsidR="00FA5F46" w:rsidRPr="00FA5F46" w:rsidRDefault="00FA5F46" w:rsidP="00FA5F46">
      <w:r w:rsidRPr="00FA5F46">
        <w:t>Abood, S. (2007). Influencing health care in the legislative arena. </w:t>
      </w:r>
      <w:r w:rsidRPr="00FA5F46">
        <w:rPr>
          <w:i/>
          <w:iCs/>
        </w:rPr>
        <w:t>Online Journal of Issues in Nursing</w:t>
      </w:r>
      <w:r w:rsidRPr="00FA5F46">
        <w:t>, </w:t>
      </w:r>
      <w:r w:rsidRPr="00FA5F46">
        <w:rPr>
          <w:i/>
          <w:iCs/>
        </w:rPr>
        <w:t>12</w:t>
      </w:r>
      <w:r w:rsidRPr="00FA5F46">
        <w:t>(</w:t>
      </w:r>
      <w:r w:rsidRPr="00FA5F46">
        <w:rPr>
          <w:b/>
          <w:bCs/>
        </w:rPr>
        <w:t>1</w:t>
      </w:r>
      <w:r w:rsidRPr="00FA5F46">
        <w:t>).</w:t>
      </w:r>
    </w:p>
    <w:p w:rsidR="00FA5F46" w:rsidRPr="00FA5F46" w:rsidRDefault="00FA5F46" w:rsidP="00FA5F46">
      <w:r w:rsidRPr="00FA5F46">
        <w:t>Allen, K. (2012). What is an ethical dilemma. </w:t>
      </w:r>
      <w:r w:rsidRPr="00FA5F46">
        <w:rPr>
          <w:i/>
          <w:iCs/>
        </w:rPr>
        <w:t>The New Social Worker</w:t>
      </w:r>
      <w:r w:rsidRPr="00FA5F46">
        <w:t>, </w:t>
      </w:r>
      <w:r w:rsidRPr="00FA5F46">
        <w:rPr>
          <w:i/>
          <w:iCs/>
        </w:rPr>
        <w:t>19</w:t>
      </w:r>
      <w:r w:rsidRPr="00FA5F46">
        <w:t>(2), 4-5.</w:t>
      </w:r>
    </w:p>
    <w:p w:rsidR="00FA5F46" w:rsidRPr="00FA5F46" w:rsidRDefault="00FA5F46" w:rsidP="00FA5F46">
      <w:r w:rsidRPr="00FA5F46">
        <w:t>Ballard, K. A. (2003). Patient safety: A shared responsibility. </w:t>
      </w:r>
      <w:r w:rsidRPr="00FA5F46">
        <w:rPr>
          <w:i/>
          <w:iCs/>
        </w:rPr>
        <w:t>Online Journal of Issues in Nursing</w:t>
      </w:r>
      <w:r w:rsidRPr="00FA5F46">
        <w:t>, </w:t>
      </w:r>
      <w:r w:rsidRPr="00FA5F46">
        <w:rPr>
          <w:i/>
          <w:iCs/>
        </w:rPr>
        <w:t>8</w:t>
      </w:r>
      <w:r w:rsidRPr="00FA5F46">
        <w:t>(</w:t>
      </w:r>
      <w:r w:rsidRPr="00FA5F46">
        <w:rPr>
          <w:b/>
          <w:bCs/>
        </w:rPr>
        <w:t>3</w:t>
      </w:r>
      <w:r w:rsidRPr="00FA5F46">
        <w:t>), 4.</w:t>
      </w:r>
    </w:p>
    <w:p w:rsidR="00FA5F46" w:rsidRPr="00FA5F46" w:rsidRDefault="00FA5F46" w:rsidP="00FA5F46">
      <w:r w:rsidRPr="00FA5F46">
        <w:t>Campinha-Bacote, J. (2003). Many faces: Addressing diversity in health care. </w:t>
      </w:r>
      <w:r w:rsidRPr="00FA5F46">
        <w:rPr>
          <w:i/>
          <w:iCs/>
        </w:rPr>
        <w:t>Online Journal of Issues in Nursing</w:t>
      </w:r>
      <w:r w:rsidRPr="00FA5F46">
        <w:t>, </w:t>
      </w:r>
      <w:r w:rsidRPr="00FA5F46">
        <w:rPr>
          <w:i/>
          <w:iCs/>
        </w:rPr>
        <w:t>8</w:t>
      </w:r>
      <w:r w:rsidRPr="00FA5F46">
        <w:t>(</w:t>
      </w:r>
      <w:r w:rsidRPr="00FA5F46">
        <w:rPr>
          <w:b/>
          <w:bCs/>
        </w:rPr>
        <w:t>1</w:t>
      </w:r>
      <w:r w:rsidRPr="00FA5F46">
        <w:t>), 3.</w:t>
      </w:r>
    </w:p>
    <w:p w:rsidR="00FA5F46" w:rsidRPr="00FA5F46" w:rsidRDefault="00FA5F46" w:rsidP="00FA5F46">
      <w:r w:rsidRPr="00FA5F46">
        <w:t>Entwistle, V. A., Carter, S. M., Cribb, A., &amp; McCaffery, K. (2010). Supporting patient autonomy: the importance of clinician-patient relationships. </w:t>
      </w:r>
      <w:r w:rsidRPr="00FA5F46">
        <w:rPr>
          <w:i/>
          <w:iCs/>
        </w:rPr>
        <w:t>Journal of general internal medicine</w:t>
      </w:r>
      <w:r w:rsidRPr="00FA5F46">
        <w:t>, </w:t>
      </w:r>
      <w:r w:rsidRPr="00FA5F46">
        <w:rPr>
          <w:i/>
          <w:iCs/>
        </w:rPr>
        <w:t>25</w:t>
      </w:r>
      <w:r w:rsidRPr="00FA5F46">
        <w:t>(</w:t>
      </w:r>
      <w:r w:rsidRPr="00FA5F46">
        <w:rPr>
          <w:b/>
          <w:bCs/>
        </w:rPr>
        <w:t>7</w:t>
      </w:r>
      <w:r w:rsidRPr="00FA5F46">
        <w:t>), 741-745.</w:t>
      </w:r>
    </w:p>
    <w:p w:rsidR="00FA5F46" w:rsidRPr="00FA5F46" w:rsidRDefault="00FA5F46" w:rsidP="00FA5F46">
      <w:r w:rsidRPr="00FA5F46">
        <w:t>International Committee of Medical Journal Editors. (1995). Protection of patients' rights to privacy. </w:t>
      </w:r>
      <w:r w:rsidRPr="00FA5F46">
        <w:rPr>
          <w:i/>
          <w:iCs/>
        </w:rPr>
        <w:t>BMJ: British Medical Journal</w:t>
      </w:r>
      <w:r w:rsidRPr="00FA5F46">
        <w:t>, </w:t>
      </w:r>
      <w:r w:rsidRPr="00FA5F46">
        <w:rPr>
          <w:i/>
          <w:iCs/>
        </w:rPr>
        <w:t>311</w:t>
      </w:r>
      <w:r w:rsidRPr="00FA5F46">
        <w:t>(</w:t>
      </w:r>
      <w:r w:rsidRPr="00FA5F46">
        <w:rPr>
          <w:b/>
          <w:bCs/>
        </w:rPr>
        <w:t>7015</w:t>
      </w:r>
      <w:r w:rsidRPr="00FA5F46">
        <w:t>), 1272.</w:t>
      </w:r>
    </w:p>
    <w:p w:rsidR="00FA5F46" w:rsidRPr="00FA5F46" w:rsidRDefault="00FA5F46" w:rsidP="00FA5F46">
      <w:r w:rsidRPr="00FA5F46">
        <w:t>NHS, (2013). Equality, Diversity and Human Rights Policy</w:t>
      </w:r>
      <w:r w:rsidRPr="00FA5F46">
        <w:rPr>
          <w:i/>
        </w:rPr>
        <w:t>. Southern Health NHS</w:t>
      </w:r>
      <w:r w:rsidRPr="00FA5F46">
        <w:t>. Retrieved</w:t>
      </w:r>
      <w:r>
        <w:t>f</w:t>
      </w:r>
      <w:r w:rsidRPr="00FA5F46">
        <w:t xml:space="preserve">from </w:t>
      </w:r>
      <w:hyperlink r:id="rId10" w:history="1">
        <w:r w:rsidRPr="00FA5F46">
          <w:rPr>
            <w:rStyle w:val="Hyperlink"/>
          </w:rPr>
          <w:t>http://www.southernhealth.nhs.uk/EasysiteWeb/getresource.axd?AssetID=44131&amp;type=Full&amp;servicetype=Attachment</w:t>
        </w:r>
      </w:hyperlink>
      <w:r>
        <w:t xml:space="preserve"> [Accessed: 10/08/2020].</w:t>
      </w:r>
    </w:p>
    <w:p w:rsidR="00FA5F46" w:rsidRPr="00FA5F46" w:rsidRDefault="00FA5F46" w:rsidP="00FA5F46">
      <w:r w:rsidRPr="00FA5F46">
        <w:t>Tingle, J., &amp; Bark, P. (2011). Patient Safety. </w:t>
      </w:r>
      <w:r w:rsidRPr="00FA5F46">
        <w:rPr>
          <w:i/>
          <w:iCs/>
        </w:rPr>
        <w:t>Law Policy and Practice (London: Routledge)</w:t>
      </w:r>
      <w:r w:rsidRPr="00FA5F46">
        <w:t>.</w:t>
      </w:r>
    </w:p>
    <w:p w:rsidR="00FA5F46" w:rsidRPr="00FA5F46" w:rsidRDefault="00FA5F46" w:rsidP="00FA5F46">
      <w:r w:rsidRPr="00FA5F46">
        <w:t>Ueckert, F., , M., Ataian, M., Tessmann, S., &amp;Prokosch, H. U. (2003). Empowerment of patients and communication with health care professionals through an electronic health record. </w:t>
      </w:r>
      <w:r w:rsidRPr="00FA5F46">
        <w:rPr>
          <w:i/>
          <w:iCs/>
        </w:rPr>
        <w:t>International journal of medical informatics</w:t>
      </w:r>
      <w:r w:rsidRPr="00FA5F46">
        <w:t>, </w:t>
      </w:r>
      <w:r w:rsidRPr="00FA5F46">
        <w:rPr>
          <w:i/>
          <w:iCs/>
        </w:rPr>
        <w:t>70</w:t>
      </w:r>
      <w:r w:rsidRPr="00FA5F46">
        <w:t>(</w:t>
      </w:r>
      <w:r w:rsidRPr="00FA5F46">
        <w:rPr>
          <w:b/>
          <w:bCs/>
        </w:rPr>
        <w:t>2</w:t>
      </w:r>
      <w:r w:rsidRPr="00FA5F46">
        <w:t>), 99-108.</w:t>
      </w:r>
    </w:p>
    <w:p w:rsidR="00610D6C" w:rsidRPr="00610D6C" w:rsidRDefault="00610D6C" w:rsidP="00610D6C"/>
    <w:p w:rsidR="00610D6C" w:rsidRDefault="00610D6C"/>
    <w:p w:rsidR="00610D6C" w:rsidRDefault="00610D6C"/>
    <w:p w:rsidR="00610D6C" w:rsidRDefault="00610D6C"/>
    <w:sectPr w:rsidR="00610D6C" w:rsidSect="0026678D">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33E3A" w:rsidRDefault="00D33E3A" w:rsidP="0026678D">
      <w:pPr>
        <w:spacing w:after="0" w:line="240" w:lineRule="auto"/>
      </w:pPr>
      <w:r>
        <w:separator/>
      </w:r>
    </w:p>
  </w:endnote>
  <w:endnote w:type="continuationSeparator" w:id="1">
    <w:p w:rsidR="00D33E3A" w:rsidRDefault="00D33E3A" w:rsidP="0026678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44078634"/>
      <w:docPartObj>
        <w:docPartGallery w:val="Page Numbers (Bottom of Page)"/>
        <w:docPartUnique/>
      </w:docPartObj>
    </w:sdtPr>
    <w:sdtEndPr>
      <w:rPr>
        <w:noProof/>
      </w:rPr>
    </w:sdtEndPr>
    <w:sdtContent>
      <w:p w:rsidR="0026678D" w:rsidRDefault="00944E57">
        <w:pPr>
          <w:pStyle w:val="Footer"/>
          <w:jc w:val="right"/>
        </w:pPr>
        <w:r>
          <w:fldChar w:fldCharType="begin"/>
        </w:r>
        <w:r w:rsidR="0026678D">
          <w:instrText xml:space="preserve"> PAGE   \* MERGEFORMAT </w:instrText>
        </w:r>
        <w:r>
          <w:fldChar w:fldCharType="separate"/>
        </w:r>
        <w:r w:rsidR="00976338">
          <w:rPr>
            <w:noProof/>
          </w:rPr>
          <w:t>6</w:t>
        </w:r>
        <w:r>
          <w:rPr>
            <w:noProof/>
          </w:rPr>
          <w:fldChar w:fldCharType="end"/>
        </w:r>
      </w:p>
    </w:sdtContent>
  </w:sdt>
  <w:p w:rsidR="0026678D" w:rsidRDefault="0026678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33E3A" w:rsidRDefault="00D33E3A" w:rsidP="0026678D">
      <w:pPr>
        <w:spacing w:after="0" w:line="240" w:lineRule="auto"/>
      </w:pPr>
      <w:r>
        <w:separator/>
      </w:r>
    </w:p>
  </w:footnote>
  <w:footnote w:type="continuationSeparator" w:id="1">
    <w:p w:rsidR="00D33E3A" w:rsidRDefault="00D33E3A" w:rsidP="0026678D">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MTY1MTE1sLQwNTU0NTNQ0lEKTi0uzszPAykwrAUAjMuh6iwAAAA="/>
  </w:docVars>
  <w:rsids>
    <w:rsidRoot w:val="00315EB1"/>
    <w:rsid w:val="00014C0D"/>
    <w:rsid w:val="00106360"/>
    <w:rsid w:val="00214162"/>
    <w:rsid w:val="00241A38"/>
    <w:rsid w:val="0026678D"/>
    <w:rsid w:val="00315EB1"/>
    <w:rsid w:val="0037443B"/>
    <w:rsid w:val="003A63CD"/>
    <w:rsid w:val="00517DE7"/>
    <w:rsid w:val="00610D6C"/>
    <w:rsid w:val="00844443"/>
    <w:rsid w:val="00944E57"/>
    <w:rsid w:val="0097139E"/>
    <w:rsid w:val="00976338"/>
    <w:rsid w:val="00A42913"/>
    <w:rsid w:val="00B649D4"/>
    <w:rsid w:val="00BE262C"/>
    <w:rsid w:val="00D33E3A"/>
    <w:rsid w:val="00DE5333"/>
    <w:rsid w:val="00E026CD"/>
    <w:rsid w:val="00F65EAE"/>
    <w:rsid w:val="00FA5F4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06360"/>
    <w:pPr>
      <w:spacing w:after="200" w:line="276" w:lineRule="auto"/>
    </w:pPr>
    <w:rPr>
      <w:rFonts w:ascii="Arial" w:hAnsi="Arial"/>
    </w:rPr>
  </w:style>
  <w:style w:type="paragraph" w:styleId="Heading1">
    <w:name w:val="heading 1"/>
    <w:basedOn w:val="Normal"/>
    <w:next w:val="Normal"/>
    <w:link w:val="Heading1Char"/>
    <w:uiPriority w:val="9"/>
    <w:qFormat/>
    <w:rsid w:val="00DE5333"/>
    <w:pPr>
      <w:keepNext/>
      <w:keepLines/>
      <w:spacing w:before="480" w:after="0"/>
      <w:outlineLvl w:val="0"/>
    </w:pPr>
    <w:rPr>
      <w:rFonts w:asciiTheme="majorHAnsi" w:eastAsiaTheme="majorEastAsia" w:hAnsiTheme="majorHAnsi" w:cstheme="majorBidi"/>
      <w:b/>
      <w:bCs/>
      <w:sz w:val="32"/>
      <w:szCs w:val="28"/>
    </w:rPr>
  </w:style>
  <w:style w:type="paragraph" w:styleId="Heading2">
    <w:name w:val="heading 2"/>
    <w:basedOn w:val="Normal"/>
    <w:next w:val="Normal"/>
    <w:link w:val="Heading2Char"/>
    <w:uiPriority w:val="9"/>
    <w:unhideWhenUsed/>
    <w:qFormat/>
    <w:rsid w:val="00E026CD"/>
    <w:pPr>
      <w:keepNext/>
      <w:keepLines/>
      <w:spacing w:before="40" w:after="0"/>
      <w:outlineLvl w:val="1"/>
    </w:pPr>
    <w:rPr>
      <w:rFonts w:asciiTheme="majorHAnsi" w:eastAsiaTheme="majorEastAsia" w:hAnsiTheme="majorHAnsi" w:cstheme="majorBidi"/>
      <w:b/>
      <w:color w:val="44546A" w:themeColor="text2"/>
      <w:sz w:val="28"/>
      <w:szCs w:val="26"/>
    </w:rPr>
  </w:style>
  <w:style w:type="paragraph" w:styleId="Heading3">
    <w:name w:val="heading 3"/>
    <w:basedOn w:val="Normal"/>
    <w:next w:val="Normal"/>
    <w:link w:val="Heading3Char"/>
    <w:uiPriority w:val="9"/>
    <w:unhideWhenUsed/>
    <w:qFormat/>
    <w:rsid w:val="0097139E"/>
    <w:pPr>
      <w:keepNext/>
      <w:keepLines/>
      <w:spacing w:before="40" w:after="0"/>
      <w:outlineLvl w:val="2"/>
    </w:pPr>
    <w:rPr>
      <w:rFonts w:asciiTheme="majorHAnsi" w:eastAsiaTheme="majorEastAsia" w:hAnsiTheme="majorHAnsi" w:cstheme="majorBidi"/>
      <w:color w:val="1F3763"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5333"/>
    <w:rPr>
      <w:rFonts w:asciiTheme="majorHAnsi" w:eastAsiaTheme="majorEastAsia" w:hAnsiTheme="majorHAnsi" w:cstheme="majorBidi"/>
      <w:b/>
      <w:bCs/>
      <w:sz w:val="32"/>
      <w:szCs w:val="28"/>
    </w:rPr>
  </w:style>
  <w:style w:type="character" w:customStyle="1" w:styleId="Heading2Char">
    <w:name w:val="Heading 2 Char"/>
    <w:basedOn w:val="DefaultParagraphFont"/>
    <w:link w:val="Heading2"/>
    <w:uiPriority w:val="9"/>
    <w:rsid w:val="00E026CD"/>
    <w:rPr>
      <w:rFonts w:asciiTheme="majorHAnsi" w:eastAsiaTheme="majorEastAsia" w:hAnsiTheme="majorHAnsi" w:cstheme="majorBidi"/>
      <w:b/>
      <w:color w:val="44546A" w:themeColor="text2"/>
      <w:sz w:val="28"/>
      <w:szCs w:val="26"/>
      <w:lang w:val="en-US"/>
    </w:rPr>
  </w:style>
  <w:style w:type="paragraph" w:styleId="Title">
    <w:name w:val="Title"/>
    <w:basedOn w:val="Normal"/>
    <w:next w:val="Normal"/>
    <w:link w:val="TitleChar"/>
    <w:uiPriority w:val="10"/>
    <w:qFormat/>
    <w:rsid w:val="00E026CD"/>
    <w:pPr>
      <w:spacing w:after="0"/>
      <w:contextualSpacing/>
    </w:pPr>
    <w:rPr>
      <w:rFonts w:asciiTheme="majorHAnsi" w:eastAsiaTheme="majorEastAsia" w:hAnsiTheme="majorHAnsi" w:cstheme="majorBidi"/>
      <w:spacing w:val="-10"/>
      <w:kern w:val="28"/>
      <w:sz w:val="40"/>
      <w:szCs w:val="56"/>
    </w:rPr>
  </w:style>
  <w:style w:type="character" w:customStyle="1" w:styleId="TitleChar">
    <w:name w:val="Title Char"/>
    <w:basedOn w:val="DefaultParagraphFont"/>
    <w:link w:val="Title"/>
    <w:uiPriority w:val="10"/>
    <w:rsid w:val="00E026CD"/>
    <w:rPr>
      <w:rFonts w:asciiTheme="majorHAnsi" w:eastAsiaTheme="majorEastAsia" w:hAnsiTheme="majorHAnsi" w:cstheme="majorBidi"/>
      <w:spacing w:val="-10"/>
      <w:kern w:val="28"/>
      <w:sz w:val="40"/>
      <w:szCs w:val="56"/>
      <w:lang w:val="en-US"/>
    </w:rPr>
  </w:style>
  <w:style w:type="character" w:customStyle="1" w:styleId="Heading3Char">
    <w:name w:val="Heading 3 Char"/>
    <w:basedOn w:val="DefaultParagraphFont"/>
    <w:link w:val="Heading3"/>
    <w:uiPriority w:val="9"/>
    <w:rsid w:val="0097139E"/>
    <w:rPr>
      <w:rFonts w:asciiTheme="majorHAnsi" w:eastAsiaTheme="majorEastAsia" w:hAnsiTheme="majorHAnsi" w:cstheme="majorBidi"/>
      <w:color w:val="1F3763" w:themeColor="accent1" w:themeShade="7F"/>
      <w:sz w:val="28"/>
      <w:szCs w:val="24"/>
    </w:rPr>
  </w:style>
  <w:style w:type="paragraph" w:styleId="Header">
    <w:name w:val="header"/>
    <w:basedOn w:val="Normal"/>
    <w:link w:val="HeaderChar"/>
    <w:uiPriority w:val="99"/>
    <w:unhideWhenUsed/>
    <w:rsid w:val="00266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678D"/>
    <w:rPr>
      <w:rFonts w:ascii="Arial" w:hAnsi="Arial"/>
    </w:rPr>
  </w:style>
  <w:style w:type="paragraph" w:styleId="Footer">
    <w:name w:val="footer"/>
    <w:basedOn w:val="Normal"/>
    <w:link w:val="FooterChar"/>
    <w:uiPriority w:val="99"/>
    <w:unhideWhenUsed/>
    <w:rsid w:val="00266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678D"/>
    <w:rPr>
      <w:rFonts w:ascii="Arial" w:hAnsi="Arial"/>
    </w:rPr>
  </w:style>
  <w:style w:type="paragraph" w:styleId="NoSpacing">
    <w:name w:val="No Spacing"/>
    <w:link w:val="NoSpacingChar"/>
    <w:uiPriority w:val="1"/>
    <w:qFormat/>
    <w:rsid w:val="0026678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678D"/>
    <w:rPr>
      <w:rFonts w:eastAsiaTheme="minorEastAsia"/>
      <w:lang w:val="en-US"/>
    </w:rPr>
  </w:style>
  <w:style w:type="character" w:styleId="Hyperlink">
    <w:name w:val="Hyperlink"/>
    <w:basedOn w:val="DefaultParagraphFont"/>
    <w:uiPriority w:val="99"/>
    <w:unhideWhenUsed/>
    <w:rsid w:val="00FA5F46"/>
    <w:rPr>
      <w:color w:val="0563C1" w:themeColor="hyperlink"/>
      <w:u w:val="single"/>
    </w:rPr>
  </w:style>
  <w:style w:type="character" w:customStyle="1" w:styleId="UnresolvedMention">
    <w:name w:val="Unresolved Mention"/>
    <w:basedOn w:val="DefaultParagraphFont"/>
    <w:uiPriority w:val="99"/>
    <w:semiHidden/>
    <w:unhideWhenUsed/>
    <w:rsid w:val="00FA5F46"/>
    <w:rPr>
      <w:color w:val="605E5C"/>
      <w:shd w:val="clear" w:color="auto" w:fill="E1DFDD"/>
    </w:rPr>
  </w:style>
  <w:style w:type="paragraph" w:styleId="TOCHeading">
    <w:name w:val="TOC Heading"/>
    <w:basedOn w:val="Heading1"/>
    <w:next w:val="Normal"/>
    <w:uiPriority w:val="39"/>
    <w:unhideWhenUsed/>
    <w:qFormat/>
    <w:rsid w:val="00FA5F46"/>
    <w:pPr>
      <w:spacing w:before="240" w:line="259" w:lineRule="auto"/>
      <w:outlineLvl w:val="9"/>
    </w:pPr>
    <w:rPr>
      <w:b w:val="0"/>
      <w:bCs w:val="0"/>
      <w:color w:val="2F5496" w:themeColor="accent1" w:themeShade="BF"/>
      <w:szCs w:val="32"/>
      <w:lang w:val="en-US"/>
    </w:rPr>
  </w:style>
  <w:style w:type="paragraph" w:styleId="TOC1">
    <w:name w:val="toc 1"/>
    <w:basedOn w:val="Normal"/>
    <w:next w:val="Normal"/>
    <w:autoRedefine/>
    <w:uiPriority w:val="39"/>
    <w:unhideWhenUsed/>
    <w:rsid w:val="00FA5F46"/>
    <w:pPr>
      <w:spacing w:after="100"/>
    </w:pPr>
  </w:style>
  <w:style w:type="paragraph" w:styleId="TOC2">
    <w:name w:val="toc 2"/>
    <w:basedOn w:val="Normal"/>
    <w:next w:val="Normal"/>
    <w:autoRedefine/>
    <w:uiPriority w:val="39"/>
    <w:unhideWhenUsed/>
    <w:rsid w:val="00FA5F46"/>
    <w:pPr>
      <w:spacing w:after="100"/>
      <w:ind w:left="220"/>
    </w:pPr>
  </w:style>
  <w:style w:type="paragraph" w:styleId="BalloonText">
    <w:name w:val="Balloon Text"/>
    <w:basedOn w:val="Normal"/>
    <w:link w:val="BalloonTextChar"/>
    <w:uiPriority w:val="99"/>
    <w:semiHidden/>
    <w:unhideWhenUsed/>
    <w:rsid w:val="009763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633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southernhealth.nhs.uk/EasysiteWeb/getresource.axd?AssetID=44131&amp;type=Full&amp;servicetype=Attachmen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docPart>
      <w:docPartPr>
        <w:name w:val="AD98A1C62C95459F8A780C24CBA31134"/>
        <w:category>
          <w:name w:val="General"/>
          <w:gallery w:val="placeholder"/>
        </w:category>
        <w:types>
          <w:type w:val="bbPlcHdr"/>
        </w:types>
        <w:behaviors>
          <w:behavior w:val="content"/>
        </w:behaviors>
        <w:guid w:val="{7562DA74-8FD7-4ADE-B272-89F9F86621CE}"/>
      </w:docPartPr>
      <w:docPartBody>
        <w:p w:rsidR="00C5261B" w:rsidRDefault="00C31CEF" w:rsidP="00C31CEF">
          <w:pPr>
            <w:pStyle w:val="AD98A1C62C95459F8A780C24CBA31134"/>
          </w:pPr>
          <w:r>
            <w:rPr>
              <w:rFonts w:asciiTheme="majorHAnsi" w:eastAsiaTheme="majorEastAsia" w:hAnsiTheme="majorHAnsi" w:cstheme="majorBidi"/>
              <w:caps/>
              <w:color w:val="4F81BD" w:themeColor="accent1"/>
              <w:sz w:val="80"/>
              <w:szCs w:val="80"/>
            </w:rPr>
            <w:t>[Document title]</w:t>
          </w:r>
        </w:p>
      </w:docPartBody>
    </w:docPart>
  </w:docParts>
</w:glossaryDocument>
</file>

<file path=word/glossary/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31CEF"/>
    <w:rsid w:val="0019685C"/>
    <w:rsid w:val="0046511E"/>
    <w:rsid w:val="0047523E"/>
    <w:rsid w:val="00A91E83"/>
    <w:rsid w:val="00B419E1"/>
    <w:rsid w:val="00B85A9F"/>
    <w:rsid w:val="00C31CEF"/>
    <w:rsid w:val="00C5261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523E"/>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98A1C62C95459F8A780C24CBA31134">
    <w:name w:val="AD98A1C62C95459F8A780C24CBA31134"/>
    <w:rsid w:val="00C31CEF"/>
  </w:style>
  <w:style w:type="paragraph" w:customStyle="1" w:styleId="EE4247D0DCD14FB29986B78B9A6CAB2E">
    <w:name w:val="EE4247D0DCD14FB29986B78B9A6CAB2E"/>
    <w:rsid w:val="00C31CEF"/>
  </w:style>
</w:styles>
</file>

<file path=word/glossary/webSettings.xml><?xml version="1.0" encoding="utf-8"?>
<w:webSettings xmlns:r="http://schemas.openxmlformats.org/officeDocument/2006/relationships" xmlns:w="http://schemas.openxmlformats.org/wordprocessingml/2006/main">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name:mariya georgieva</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88B8D6-48B6-4EEC-AB06-BBBAC09FFE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Pages>
  <Words>2539</Words>
  <Characters>14475</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BMHP4003:</vt:lpstr>
    </vt:vector>
  </TitlesOfParts>
  <Company>student id:1906952</Company>
  <LinksUpToDate>false</LinksUpToDate>
  <CharactersWithSpaces>16981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BMHP4003: </dc:title>
  <dc:subject>Applying Psychological perspectives in Health and Social Care: Assessment 2</dc:subject>
  <dc:creator>Mariya Georgieva</dc:creator>
  <cp:keywords/>
  <dc:description/>
  <cp:lastModifiedBy>DELL</cp:lastModifiedBy>
  <dcterms:created xsi:type="dcterms:W3CDTF">2020-08-23T15:15:00Z</dcterms:created>
  <dcterms:modified xsi:type="dcterms:W3CDTF">2020-09-02T18:30:00Z</dcterms:modified>
</cp:coreProperties>
</file>