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Times New Roman" w:hAnsi="Times New Roman"/>
          <w:sz w:val="2"/>
          <w:lang w:eastAsia="ja-JP"/>
        </w:rPr>
        <w:id w:val="-1105500039"/>
        <w:docPartObj>
          <w:docPartGallery w:val="Cover Pages"/>
          <w:docPartUnique/>
        </w:docPartObj>
      </w:sdtPr>
      <w:sdtEndPr>
        <w:rPr>
          <w:b/>
          <w:bCs/>
          <w:sz w:val="24"/>
        </w:rPr>
      </w:sdtEndPr>
      <w:sdtContent>
        <w:p w14:paraId="6ED6F586" w14:textId="121F8A6B" w:rsidR="00834F0B" w:rsidRDefault="00834F0B">
          <w:pPr>
            <w:pStyle w:val="Frspaiere"/>
            <w:rPr>
              <w:sz w:val="2"/>
            </w:rPr>
          </w:pPr>
        </w:p>
        <w:p w14:paraId="47961A4D" w14:textId="37269161" w:rsidR="00834F0B" w:rsidRPr="00A856D8" w:rsidRDefault="00834F0B">
          <w:pPr>
            <w:rPr>
              <w:b/>
              <w:bCs/>
              <w:sz w:val="28"/>
              <w:szCs w:val="24"/>
            </w:rPr>
          </w:pPr>
        </w:p>
        <w:p w14:paraId="38E382B8" w14:textId="77777777" w:rsidR="00A856D8" w:rsidRPr="00A856D8" w:rsidRDefault="00A856D8" w:rsidP="00A856D8">
          <w:pPr>
            <w:spacing w:line="276" w:lineRule="auto"/>
            <w:jc w:val="center"/>
            <w:rPr>
              <w:b/>
              <w:bCs/>
              <w:sz w:val="32"/>
              <w:szCs w:val="28"/>
            </w:rPr>
          </w:pPr>
          <w:r w:rsidRPr="00A856D8">
            <w:rPr>
              <w:b/>
              <w:bCs/>
              <w:sz w:val="32"/>
              <w:szCs w:val="28"/>
            </w:rPr>
            <w:t>BMIH6007 International Meetings Management for the Hotel Industry</w:t>
          </w:r>
        </w:p>
        <w:p w14:paraId="2F805F1F" w14:textId="77777777" w:rsidR="00A856D8" w:rsidRPr="00A856D8" w:rsidRDefault="00A856D8" w:rsidP="00A856D8">
          <w:pPr>
            <w:spacing w:line="276" w:lineRule="auto"/>
            <w:jc w:val="center"/>
            <w:rPr>
              <w:b/>
              <w:bCs/>
              <w:sz w:val="28"/>
              <w:szCs w:val="24"/>
            </w:rPr>
          </w:pPr>
          <w:r w:rsidRPr="00A856D8">
            <w:rPr>
              <w:b/>
              <w:bCs/>
              <w:sz w:val="28"/>
              <w:szCs w:val="24"/>
            </w:rPr>
            <w:t>Presentation Handout</w:t>
          </w:r>
        </w:p>
        <w:p w14:paraId="783CBEC4" w14:textId="77777777" w:rsidR="00A856D8" w:rsidRPr="00A856D8" w:rsidRDefault="00A856D8">
          <w:pPr>
            <w:spacing w:line="276" w:lineRule="auto"/>
            <w:jc w:val="left"/>
            <w:rPr>
              <w:b/>
              <w:bCs/>
              <w:sz w:val="28"/>
              <w:szCs w:val="24"/>
            </w:rPr>
          </w:pPr>
        </w:p>
        <w:p w14:paraId="450DDE7A" w14:textId="77777777" w:rsidR="00A856D8" w:rsidRPr="00A856D8" w:rsidRDefault="00A856D8">
          <w:pPr>
            <w:spacing w:line="276" w:lineRule="auto"/>
            <w:jc w:val="left"/>
            <w:rPr>
              <w:b/>
              <w:bCs/>
              <w:sz w:val="28"/>
              <w:szCs w:val="24"/>
            </w:rPr>
          </w:pPr>
        </w:p>
        <w:p w14:paraId="2BDB7732" w14:textId="77777777" w:rsidR="00A856D8" w:rsidRPr="00A856D8" w:rsidRDefault="00A856D8">
          <w:pPr>
            <w:spacing w:line="276" w:lineRule="auto"/>
            <w:jc w:val="left"/>
            <w:rPr>
              <w:b/>
              <w:bCs/>
              <w:sz w:val="28"/>
              <w:szCs w:val="24"/>
            </w:rPr>
          </w:pPr>
        </w:p>
        <w:p w14:paraId="34E607F6" w14:textId="77777777" w:rsidR="00A856D8" w:rsidRPr="00A856D8" w:rsidRDefault="00A856D8">
          <w:pPr>
            <w:spacing w:line="276" w:lineRule="auto"/>
            <w:jc w:val="left"/>
            <w:rPr>
              <w:b/>
              <w:bCs/>
              <w:sz w:val="28"/>
              <w:szCs w:val="24"/>
            </w:rPr>
          </w:pPr>
        </w:p>
        <w:p w14:paraId="5A11A055" w14:textId="79028FF0" w:rsidR="00A856D8" w:rsidRPr="00A856D8" w:rsidRDefault="00C5008D">
          <w:pPr>
            <w:spacing w:line="276" w:lineRule="auto"/>
            <w:jc w:val="left"/>
            <w:rPr>
              <w:b/>
              <w:bCs/>
              <w:sz w:val="28"/>
              <w:szCs w:val="24"/>
            </w:rPr>
          </w:pPr>
          <w:r>
            <w:rPr>
              <w:b/>
              <w:bCs/>
              <w:sz w:val="28"/>
              <w:szCs w:val="24"/>
            </w:rPr>
            <w:t xml:space="preserve">Lecturer name:Christopher Wiilkin </w:t>
          </w:r>
        </w:p>
        <w:p w14:paraId="60C51A02" w14:textId="77E5E9B4" w:rsidR="00A856D8" w:rsidRPr="00A856D8" w:rsidRDefault="00A856D8">
          <w:pPr>
            <w:spacing w:line="276" w:lineRule="auto"/>
            <w:jc w:val="left"/>
            <w:rPr>
              <w:b/>
              <w:bCs/>
              <w:sz w:val="28"/>
              <w:szCs w:val="24"/>
            </w:rPr>
          </w:pPr>
          <w:r w:rsidRPr="00A856D8">
            <w:rPr>
              <w:b/>
              <w:bCs/>
              <w:sz w:val="28"/>
              <w:szCs w:val="24"/>
            </w:rPr>
            <w:t>Student’s Name:</w:t>
          </w:r>
          <w:r w:rsidR="001A219E">
            <w:rPr>
              <w:b/>
              <w:bCs/>
              <w:sz w:val="28"/>
              <w:szCs w:val="24"/>
            </w:rPr>
            <w:t xml:space="preserve">Florin Vasilica Mecic </w:t>
          </w:r>
        </w:p>
        <w:p w14:paraId="40E0EABA" w14:textId="55814124" w:rsidR="00834F0B" w:rsidRPr="00C5008D" w:rsidRDefault="00A856D8">
          <w:pPr>
            <w:spacing w:line="276" w:lineRule="auto"/>
            <w:jc w:val="left"/>
            <w:rPr>
              <w:b/>
              <w:bCs/>
              <w:sz w:val="28"/>
              <w:szCs w:val="24"/>
            </w:rPr>
          </w:pPr>
          <w:r w:rsidRPr="00A856D8">
            <w:rPr>
              <w:b/>
              <w:bCs/>
              <w:sz w:val="28"/>
              <w:szCs w:val="24"/>
            </w:rPr>
            <w:t>Student’s ID:</w:t>
          </w:r>
          <w:r w:rsidR="00C5008D">
            <w:rPr>
              <w:b/>
              <w:bCs/>
              <w:sz w:val="28"/>
              <w:szCs w:val="24"/>
            </w:rPr>
            <w:t>2215417</w:t>
          </w:r>
          <w:r w:rsidR="00834F0B">
            <w:rPr>
              <w:b/>
              <w:bCs/>
            </w:rPr>
            <w:br w:type="page"/>
          </w:r>
        </w:p>
      </w:sdtContent>
    </w:sdt>
    <w:sdt>
      <w:sdtPr>
        <w:rPr>
          <w:rFonts w:ascii="Times New Roman" w:eastAsiaTheme="minorEastAsia" w:hAnsi="Times New Roman" w:cstheme="minorBidi"/>
          <w:color w:val="auto"/>
          <w:sz w:val="24"/>
          <w:szCs w:val="22"/>
          <w:lang w:eastAsia="ja-JP"/>
        </w:rPr>
        <w:id w:val="39348430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FDDD77A" w14:textId="605082E5" w:rsidR="00A856D8" w:rsidRPr="00A856D8" w:rsidRDefault="00A856D8" w:rsidP="00A856D8">
          <w:pPr>
            <w:pStyle w:val="Titlucuprins"/>
            <w:jc w:val="center"/>
            <w:rPr>
              <w:rFonts w:ascii="Times New Roman" w:hAnsi="Times New Roman" w:cs="Times New Roman"/>
              <w:b/>
              <w:bCs/>
            </w:rPr>
          </w:pPr>
          <w:r w:rsidRPr="00A856D8">
            <w:rPr>
              <w:rFonts w:ascii="Times New Roman" w:hAnsi="Times New Roman" w:cs="Times New Roman"/>
              <w:b/>
              <w:bCs/>
            </w:rPr>
            <w:t>Table of Contents</w:t>
          </w:r>
        </w:p>
        <w:p w14:paraId="51919BBA" w14:textId="1424761B" w:rsidR="00B80515" w:rsidRDefault="00A856D8">
          <w:pPr>
            <w:pStyle w:val="Cuprins1"/>
            <w:tabs>
              <w:tab w:val="right" w:leader="dot" w:pos="9350"/>
            </w:tabs>
            <w:rPr>
              <w:rFonts w:asciiTheme="minorHAnsi" w:hAnsiTheme="minorHAnsi"/>
              <w:noProof/>
              <w:kern w:val="2"/>
              <w:szCs w:val="24"/>
              <w:lang w:eastAsia="en-US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0195064" w:history="1">
            <w:r w:rsidR="00B80515" w:rsidRPr="00C5363C">
              <w:rPr>
                <w:rStyle w:val="Hyperlink"/>
                <w:noProof/>
              </w:rPr>
              <w:t>Slide 1: Title Slide</w:t>
            </w:r>
            <w:r w:rsidR="00B80515">
              <w:rPr>
                <w:noProof/>
                <w:webHidden/>
              </w:rPr>
              <w:tab/>
            </w:r>
            <w:r w:rsidR="00B80515">
              <w:rPr>
                <w:noProof/>
                <w:webHidden/>
              </w:rPr>
              <w:fldChar w:fldCharType="begin"/>
            </w:r>
            <w:r w:rsidR="00B80515">
              <w:rPr>
                <w:noProof/>
                <w:webHidden/>
              </w:rPr>
              <w:instrText xml:space="preserve"> PAGEREF _Toc190195064 \h </w:instrText>
            </w:r>
            <w:r w:rsidR="00B80515">
              <w:rPr>
                <w:noProof/>
                <w:webHidden/>
              </w:rPr>
            </w:r>
            <w:r w:rsidR="00B80515">
              <w:rPr>
                <w:noProof/>
                <w:webHidden/>
              </w:rPr>
              <w:fldChar w:fldCharType="separate"/>
            </w:r>
            <w:r w:rsidR="00B80515">
              <w:rPr>
                <w:noProof/>
                <w:webHidden/>
              </w:rPr>
              <w:t>2</w:t>
            </w:r>
            <w:r w:rsidR="00B80515">
              <w:rPr>
                <w:noProof/>
                <w:webHidden/>
              </w:rPr>
              <w:fldChar w:fldCharType="end"/>
            </w:r>
          </w:hyperlink>
        </w:p>
        <w:p w14:paraId="5A10038A" w14:textId="2A60E6D3" w:rsidR="00B80515" w:rsidRDefault="00B80515">
          <w:pPr>
            <w:pStyle w:val="Cuprins1"/>
            <w:tabs>
              <w:tab w:val="right" w:leader="dot" w:pos="9350"/>
            </w:tabs>
            <w:rPr>
              <w:rFonts w:asciiTheme="minorHAnsi" w:hAnsiTheme="minorHAnsi"/>
              <w:noProof/>
              <w:kern w:val="2"/>
              <w:szCs w:val="24"/>
              <w:lang w:eastAsia="en-US"/>
              <w14:ligatures w14:val="standardContextual"/>
            </w:rPr>
          </w:pPr>
          <w:hyperlink w:anchor="_Toc190195065" w:history="1">
            <w:r w:rsidRPr="00C5363C">
              <w:rPr>
                <w:rStyle w:val="Hyperlink"/>
                <w:noProof/>
              </w:rPr>
              <w:t>Slide 2: Event 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_Toc190195065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649E39" w14:textId="4710CFE1" w:rsidR="00B80515" w:rsidRDefault="00B80515">
          <w:pPr>
            <w:pStyle w:val="Cuprins1"/>
            <w:tabs>
              <w:tab w:val="right" w:leader="dot" w:pos="9350"/>
            </w:tabs>
            <w:rPr>
              <w:rFonts w:asciiTheme="minorHAnsi" w:hAnsiTheme="minorHAnsi"/>
              <w:noProof/>
              <w:kern w:val="2"/>
              <w:szCs w:val="24"/>
              <w:lang w:eastAsia="en-US"/>
              <w14:ligatures w14:val="standardContextual"/>
            </w:rPr>
          </w:pPr>
          <w:hyperlink w:anchor="_Toc190195066" w:history="1">
            <w:r w:rsidRPr="00C5363C">
              <w:rPr>
                <w:rStyle w:val="Hyperlink"/>
                <w:noProof/>
              </w:rPr>
              <w:t>Slide 3: Event Content and Context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_Toc190195066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16C96C" w14:textId="6AF45C5C" w:rsidR="00B80515" w:rsidRDefault="00B80515">
          <w:pPr>
            <w:pStyle w:val="Cuprins1"/>
            <w:tabs>
              <w:tab w:val="right" w:leader="dot" w:pos="9350"/>
            </w:tabs>
            <w:rPr>
              <w:rFonts w:asciiTheme="minorHAnsi" w:hAnsiTheme="minorHAnsi"/>
              <w:noProof/>
              <w:kern w:val="2"/>
              <w:szCs w:val="24"/>
              <w:lang w:eastAsia="en-US"/>
              <w14:ligatures w14:val="standardContextual"/>
            </w:rPr>
          </w:pPr>
          <w:hyperlink w:anchor="_Toc190195067" w:history="1">
            <w:r w:rsidRPr="00C5363C">
              <w:rPr>
                <w:rStyle w:val="Hyperlink"/>
                <w:noProof/>
              </w:rPr>
              <w:t>Slide 4: Market Factors – Target Audience and Demand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_Toc190195067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3A1079" w14:textId="14E10178" w:rsidR="00B80515" w:rsidRDefault="00B80515">
          <w:pPr>
            <w:pStyle w:val="Cuprins1"/>
            <w:tabs>
              <w:tab w:val="right" w:leader="dot" w:pos="9350"/>
            </w:tabs>
            <w:rPr>
              <w:rFonts w:asciiTheme="minorHAnsi" w:hAnsiTheme="minorHAnsi"/>
              <w:noProof/>
              <w:kern w:val="2"/>
              <w:szCs w:val="24"/>
              <w:lang w:eastAsia="en-US"/>
              <w14:ligatures w14:val="standardContextual"/>
            </w:rPr>
          </w:pPr>
          <w:hyperlink w:anchor="_Toc190195068" w:history="1">
            <w:r w:rsidRPr="00C5363C">
              <w:rPr>
                <w:rStyle w:val="Hyperlink"/>
                <w:noProof/>
              </w:rPr>
              <w:t>Slide 5: Market Factors – Competition and Marketing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_Toc190195068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96BC71" w14:textId="2C7F42F5" w:rsidR="00B80515" w:rsidRDefault="00B80515">
          <w:pPr>
            <w:pStyle w:val="Cuprins1"/>
            <w:tabs>
              <w:tab w:val="right" w:leader="dot" w:pos="9350"/>
            </w:tabs>
            <w:rPr>
              <w:rFonts w:asciiTheme="minorHAnsi" w:hAnsiTheme="minorHAnsi"/>
              <w:noProof/>
              <w:kern w:val="2"/>
              <w:szCs w:val="24"/>
              <w:lang w:eastAsia="en-US"/>
              <w14:ligatures w14:val="standardContextual"/>
            </w:rPr>
          </w:pPr>
          <w:hyperlink w:anchor="_Toc190195069" w:history="1">
            <w:r w:rsidRPr="00C5363C">
              <w:rPr>
                <w:rStyle w:val="Hyperlink"/>
                <w:noProof/>
              </w:rPr>
              <w:t>Slide 6: Operational Factors – Venue Suitability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_Toc190195069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C7DD4C" w14:textId="5C5D4D1C" w:rsidR="00B80515" w:rsidRDefault="00B80515">
          <w:pPr>
            <w:pStyle w:val="Cuprins1"/>
            <w:tabs>
              <w:tab w:val="right" w:leader="dot" w:pos="9350"/>
            </w:tabs>
            <w:rPr>
              <w:rFonts w:asciiTheme="minorHAnsi" w:hAnsiTheme="minorHAnsi"/>
              <w:noProof/>
              <w:kern w:val="2"/>
              <w:szCs w:val="24"/>
              <w:lang w:eastAsia="en-US"/>
              <w14:ligatures w14:val="standardContextual"/>
            </w:rPr>
          </w:pPr>
          <w:hyperlink w:anchor="_Toc190195070" w:history="1">
            <w:r w:rsidRPr="00C5363C">
              <w:rPr>
                <w:rStyle w:val="Hyperlink"/>
                <w:noProof/>
              </w:rPr>
              <w:t>Slide 7: Operational Factors – Staffing and 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_Toc190195070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816076" w14:textId="7B9AC12B" w:rsidR="00B80515" w:rsidRDefault="00B80515">
          <w:pPr>
            <w:pStyle w:val="Cuprins1"/>
            <w:tabs>
              <w:tab w:val="right" w:leader="dot" w:pos="9350"/>
            </w:tabs>
            <w:rPr>
              <w:rFonts w:asciiTheme="minorHAnsi" w:hAnsiTheme="minorHAnsi"/>
              <w:noProof/>
              <w:kern w:val="2"/>
              <w:szCs w:val="24"/>
              <w:lang w:eastAsia="en-US"/>
              <w14:ligatures w14:val="standardContextual"/>
            </w:rPr>
          </w:pPr>
          <w:hyperlink w:anchor="_Toc190195071" w:history="1">
            <w:r w:rsidRPr="00C5363C">
              <w:rPr>
                <w:rStyle w:val="Hyperlink"/>
                <w:noProof/>
              </w:rPr>
              <w:t>Slide 8: Financial Factors – Predicted Costs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_Toc190195071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5E5D06" w14:textId="75E0B48D" w:rsidR="00B80515" w:rsidRDefault="00B80515">
          <w:pPr>
            <w:pStyle w:val="Cuprins1"/>
            <w:tabs>
              <w:tab w:val="right" w:leader="dot" w:pos="9350"/>
            </w:tabs>
            <w:rPr>
              <w:rFonts w:asciiTheme="minorHAnsi" w:hAnsiTheme="minorHAnsi"/>
              <w:noProof/>
              <w:kern w:val="2"/>
              <w:szCs w:val="24"/>
              <w:lang w:eastAsia="en-US"/>
              <w14:ligatures w14:val="standardContextual"/>
            </w:rPr>
          </w:pPr>
          <w:hyperlink w:anchor="_Toc190195072" w:history="1">
            <w:r w:rsidRPr="00C5363C">
              <w:rPr>
                <w:rStyle w:val="Hyperlink"/>
                <w:noProof/>
              </w:rPr>
              <w:t>Slide 9: Financial Factors – Predicted Revenue and Funding 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_Toc190195072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23649B" w14:textId="0C2F2C4E" w:rsidR="00B80515" w:rsidRDefault="00B80515">
          <w:pPr>
            <w:pStyle w:val="Cuprins1"/>
            <w:tabs>
              <w:tab w:val="right" w:leader="dot" w:pos="9350"/>
            </w:tabs>
            <w:rPr>
              <w:rFonts w:asciiTheme="minorHAnsi" w:hAnsiTheme="minorHAnsi"/>
              <w:noProof/>
              <w:kern w:val="2"/>
              <w:szCs w:val="24"/>
              <w:lang w:eastAsia="en-US"/>
              <w14:ligatures w14:val="standardContextual"/>
            </w:rPr>
          </w:pPr>
          <w:hyperlink w:anchor="_Toc190195073" w:history="1">
            <w:r w:rsidRPr="00C5363C">
              <w:rPr>
                <w:rStyle w:val="Hyperlink"/>
                <w:noProof/>
              </w:rPr>
              <w:t>Slide 10: Conclusion and Next Steps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_Toc190195073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D75558" w14:textId="1C827EB9" w:rsidR="00B80515" w:rsidRDefault="00B80515">
          <w:pPr>
            <w:pStyle w:val="Cuprins1"/>
            <w:tabs>
              <w:tab w:val="right" w:leader="dot" w:pos="9350"/>
            </w:tabs>
            <w:rPr>
              <w:rFonts w:asciiTheme="minorHAnsi" w:hAnsiTheme="minorHAnsi"/>
              <w:noProof/>
              <w:kern w:val="2"/>
              <w:szCs w:val="24"/>
              <w:lang w:eastAsia="en-US"/>
              <w14:ligatures w14:val="standardContextual"/>
            </w:rPr>
          </w:pPr>
          <w:hyperlink w:anchor="_Toc190195074" w:history="1">
            <w:r w:rsidRPr="00C5363C">
              <w:rPr>
                <w:rStyle w:val="Hyperlink"/>
                <w:noProof/>
              </w:rPr>
              <w:t>Slide 11: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_Toc190195074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A022F0" w14:textId="5CF1CBF0" w:rsidR="00A856D8" w:rsidRDefault="00A856D8">
          <w:r>
            <w:rPr>
              <w:b/>
              <w:bCs/>
              <w:noProof/>
            </w:rPr>
            <w:fldChar w:fldCharType="end"/>
          </w:r>
        </w:p>
      </w:sdtContent>
    </w:sdt>
    <w:p w14:paraId="0277CFD0" w14:textId="20719800" w:rsidR="00834F0B" w:rsidRDefault="00834F0B" w:rsidP="00540C46">
      <w:pPr>
        <w:rPr>
          <w:b/>
          <w:bCs/>
        </w:rPr>
      </w:pPr>
      <w:r>
        <w:rPr>
          <w:b/>
          <w:bCs/>
        </w:rPr>
        <w:br w:type="page"/>
      </w:r>
    </w:p>
    <w:p w14:paraId="3366C5F0" w14:textId="4905E6E6" w:rsidR="00540C46" w:rsidRDefault="00540C46" w:rsidP="00834F0B">
      <w:pPr>
        <w:pStyle w:val="Titlu1"/>
        <w:rPr>
          <w:b w:val="0"/>
        </w:rPr>
      </w:pPr>
      <w:bookmarkStart w:id="0" w:name="_Toc190195064"/>
      <w:r w:rsidRPr="00540C46">
        <w:t>Slide 1: Title Slide</w:t>
      </w:r>
      <w:bookmarkEnd w:id="0"/>
    </w:p>
    <w:p w14:paraId="32CF3938" w14:textId="3FAAA2B5" w:rsidR="00834F0B" w:rsidRPr="00540C46" w:rsidRDefault="006A2083" w:rsidP="00540C46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1030D1B9" wp14:editId="29E98FF4">
            <wp:extent cx="5943600" cy="334264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lide1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C469F9" w14:textId="369235B4" w:rsidR="00540C46" w:rsidRPr="00540C46" w:rsidRDefault="00540C46" w:rsidP="00540C46">
      <w:r w:rsidRPr="00540C46">
        <w:t xml:space="preserve">Good </w:t>
      </w:r>
      <w:r w:rsidR="00E01FBB">
        <w:t>day</w:t>
      </w:r>
      <w:r w:rsidRPr="00540C46">
        <w:t xml:space="preserve">, everyone. </w:t>
      </w:r>
      <w:r w:rsidR="00E01FBB">
        <w:t>T</w:t>
      </w:r>
      <w:r w:rsidRPr="00540C46">
        <w:t>oday</w:t>
      </w:r>
      <w:r w:rsidR="00A856D8">
        <w:t>,</w:t>
      </w:r>
      <w:r w:rsidRPr="00540C46">
        <w:t xml:space="preserve"> I will present the feasibility study for an event we</w:t>
      </w:r>
      <w:r w:rsidR="00E01FBB">
        <w:t xml:space="preserve"> a</w:t>
      </w:r>
      <w:r w:rsidRPr="00540C46">
        <w:t>re calling the</w:t>
      </w:r>
      <w:r w:rsidRPr="00E01FBB">
        <w:t xml:space="preserve"> Winter Business Forum: Innovations for the Season Ahead. </w:t>
      </w:r>
      <w:r w:rsidR="00E01FBB" w:rsidRPr="00E01FBB">
        <w:t>The event will take place at the Sage Gateshead in Newcastle and will showcase expert guest speakers and winter-themed business innovations. Let me guide you through the event’s concept, target audience, operations, financial breakdown, and next steps.</w:t>
      </w:r>
    </w:p>
    <w:p w14:paraId="72222A81" w14:textId="77777777" w:rsidR="00540C46" w:rsidRPr="00540C46" w:rsidRDefault="00540C46" w:rsidP="00540C46"/>
    <w:p w14:paraId="3350CB5C" w14:textId="77777777" w:rsidR="00834F0B" w:rsidRDefault="00834F0B" w:rsidP="00540C46">
      <w:pPr>
        <w:rPr>
          <w:b/>
          <w:bCs/>
        </w:rPr>
      </w:pPr>
      <w:r>
        <w:rPr>
          <w:b/>
          <w:bCs/>
        </w:rPr>
        <w:br w:type="page"/>
      </w:r>
    </w:p>
    <w:p w14:paraId="23C587C8" w14:textId="5258CA2C" w:rsidR="00540C46" w:rsidRDefault="00540C46" w:rsidP="00834F0B">
      <w:pPr>
        <w:pStyle w:val="Titlu1"/>
      </w:pPr>
      <w:bookmarkStart w:id="1" w:name="_Toc190195065"/>
      <w:r w:rsidRPr="00540C46">
        <w:t>Slide 2: Event Overview</w:t>
      </w:r>
      <w:bookmarkEnd w:id="1"/>
    </w:p>
    <w:p w14:paraId="01694805" w14:textId="569E2D91" w:rsidR="00834F0B" w:rsidRPr="00540C46" w:rsidRDefault="006A2083" w:rsidP="00540C46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0D46F011" wp14:editId="10DD74F8">
            <wp:extent cx="5943600" cy="334264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lide2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F6D34D" w14:textId="76EA49F9" w:rsidR="00540C46" w:rsidRPr="00540C46" w:rsidRDefault="002D7A82" w:rsidP="00540C46">
      <w:r w:rsidRPr="002D7A82">
        <w:t>The Winter Business Forum will last 2–3 days and be a combination of conference, networking and exhibition. The overarching theme is creative innovations for business in the winter months (</w:t>
      </w:r>
      <w:r w:rsidR="00A856D8">
        <w:t>such as</w:t>
      </w:r>
      <w:r w:rsidRPr="002D7A82">
        <w:t xml:space="preserve"> sustainable energy initiatives for winter, winter tourism, and winter business strategies)</w:t>
      </w:r>
      <w:r w:rsidR="00852721">
        <w:t xml:space="preserve"> (NewcastleGateshead Convention Bureau, 2024)</w:t>
      </w:r>
      <w:r w:rsidRPr="002D7A82">
        <w:t>. The main collective audience for this event consists of international business professionals, tech leaders, sustainability experts, investors and government officials, all coming together to discuss and solve pressing winter</w:t>
      </w:r>
      <w:r>
        <w:t xml:space="preserve"> </w:t>
      </w:r>
      <w:r w:rsidRPr="002D7A82">
        <w:t>challenges.</w:t>
      </w:r>
    </w:p>
    <w:p w14:paraId="77153465" w14:textId="77777777" w:rsidR="00540C46" w:rsidRPr="00540C46" w:rsidRDefault="00540C46" w:rsidP="00540C46"/>
    <w:p w14:paraId="6DE64D62" w14:textId="77777777" w:rsidR="00834F0B" w:rsidRDefault="00834F0B" w:rsidP="00540C46">
      <w:pPr>
        <w:rPr>
          <w:b/>
          <w:bCs/>
        </w:rPr>
      </w:pPr>
      <w:r>
        <w:rPr>
          <w:b/>
          <w:bCs/>
        </w:rPr>
        <w:br w:type="page"/>
      </w:r>
    </w:p>
    <w:p w14:paraId="0387F79D" w14:textId="792725E9" w:rsidR="00540C46" w:rsidRDefault="00540C46" w:rsidP="00834F0B">
      <w:pPr>
        <w:pStyle w:val="Titlu1"/>
      </w:pPr>
      <w:bookmarkStart w:id="2" w:name="_Toc190195066"/>
      <w:r w:rsidRPr="00540C46">
        <w:t>Slide 3: Event Content and Context</w:t>
      </w:r>
      <w:bookmarkEnd w:id="2"/>
    </w:p>
    <w:p w14:paraId="792F5CD3" w14:textId="2DE7F4D0" w:rsidR="00834F0B" w:rsidRPr="00540C46" w:rsidRDefault="006A2083" w:rsidP="00540C46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36A79BC4" wp14:editId="085351A6">
            <wp:extent cx="5943600" cy="334264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lide3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32EB53" w14:textId="2CD9B98F" w:rsidR="00540C46" w:rsidRPr="00540C46" w:rsidRDefault="00540C46" w:rsidP="00540C46">
      <w:r w:rsidRPr="00540C46">
        <w:t xml:space="preserve">The event will provide </w:t>
      </w:r>
      <w:r w:rsidRPr="00E01FBB">
        <w:t>keynote speeches</w:t>
      </w:r>
      <w:r w:rsidR="00E01FBB" w:rsidRPr="00E01FBB">
        <w:t>, panels and plenty of networking for industry leaders to exchange their knowledge. Practical business solutions will be addressed in workshops, and an exhibition area will highlight innovative companies with winter-themed products and services. The format of the event will consist of 2-3 full days of speakers and discussions on everything winter-related</w:t>
      </w:r>
      <w:r w:rsidR="00A856D8">
        <w:t>,</w:t>
      </w:r>
      <w:r w:rsidR="00E01FBB" w:rsidRPr="00E01FBB">
        <w:t xml:space="preserve"> from energy solutions to winter tourism development, creating an immersive environment for learning and collaboration.</w:t>
      </w:r>
    </w:p>
    <w:p w14:paraId="467A85DA" w14:textId="77777777" w:rsidR="00540C46" w:rsidRPr="00540C46" w:rsidRDefault="00540C46" w:rsidP="00540C46"/>
    <w:p w14:paraId="095C8E2E" w14:textId="77777777" w:rsidR="00834F0B" w:rsidRDefault="00834F0B" w:rsidP="00540C46">
      <w:pPr>
        <w:rPr>
          <w:b/>
          <w:bCs/>
        </w:rPr>
      </w:pPr>
      <w:r>
        <w:rPr>
          <w:b/>
          <w:bCs/>
        </w:rPr>
        <w:br w:type="page"/>
      </w:r>
    </w:p>
    <w:p w14:paraId="656DC699" w14:textId="222F3DA4" w:rsidR="00540C46" w:rsidRDefault="00540C46" w:rsidP="00834F0B">
      <w:pPr>
        <w:pStyle w:val="Titlu1"/>
      </w:pPr>
      <w:bookmarkStart w:id="3" w:name="_Toc190195067"/>
      <w:r w:rsidRPr="00540C46">
        <w:t>Slide 4: Market Factors – Target Audience and Demand</w:t>
      </w:r>
      <w:bookmarkEnd w:id="3"/>
    </w:p>
    <w:p w14:paraId="083AD8CF" w14:textId="0664EFA2" w:rsidR="00834F0B" w:rsidRPr="00540C46" w:rsidRDefault="006A2083" w:rsidP="00540C46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6949DC76" wp14:editId="569955BD">
            <wp:extent cx="5943600" cy="334264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lide4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68C395" w14:textId="039FE72F" w:rsidR="00540C46" w:rsidRPr="00540C46" w:rsidRDefault="00540C46" w:rsidP="00540C46">
      <w:r w:rsidRPr="00540C46">
        <w:t xml:space="preserve">Our </w:t>
      </w:r>
      <w:r w:rsidRPr="00E01FBB">
        <w:t xml:space="preserve">target audience includes professionals from </w:t>
      </w:r>
      <w:r w:rsidR="00E01FBB">
        <w:t xml:space="preserve">the </w:t>
      </w:r>
      <w:r w:rsidRPr="00E01FBB">
        <w:t>energy, tech, sustainability, and tourism</w:t>
      </w:r>
      <w:r w:rsidRPr="00540C46">
        <w:t xml:space="preserve"> sectors. </w:t>
      </w:r>
      <w:r w:rsidR="00E01FBB" w:rsidRPr="00E01FBB">
        <w:t>We</w:t>
      </w:r>
      <w:r w:rsidR="002D7A82">
        <w:t xml:space="preserve"> a</w:t>
      </w:r>
      <w:r w:rsidR="00E01FBB" w:rsidRPr="00E01FBB">
        <w:t xml:space="preserve">re also aiming </w:t>
      </w:r>
      <w:r w:rsidR="002D7A82">
        <w:t>to</w:t>
      </w:r>
      <w:r w:rsidR="002D7A82" w:rsidRPr="002D7A82">
        <w:t xml:space="preserve"> target investors and government representatives involved in sustainable development. Demand is set to increase for winter tourism and </w:t>
      </w:r>
      <w:r w:rsidR="002D7A82">
        <w:t>sustainability-focused</w:t>
      </w:r>
      <w:r w:rsidR="002D7A82" w:rsidRPr="002D7A82">
        <w:t xml:space="preserve"> events, especially those with hybrid formats</w:t>
      </w:r>
      <w:r w:rsidR="00852721">
        <w:t xml:space="preserve"> (Strauss, 2022)</w:t>
      </w:r>
      <w:r w:rsidR="002D7A82" w:rsidRPr="002D7A82">
        <w:t xml:space="preserve">. It enables us to communicate with a larger audience </w:t>
      </w:r>
      <w:r w:rsidR="002D7A82">
        <w:t>on</w:t>
      </w:r>
      <w:r w:rsidR="002D7A82" w:rsidRPr="002D7A82">
        <w:t> </w:t>
      </w:r>
      <w:r w:rsidR="002D7A82">
        <w:t>a</w:t>
      </w:r>
      <w:r w:rsidR="002D7A82" w:rsidRPr="002D7A82">
        <w:t xml:space="preserve"> global scale</w:t>
      </w:r>
      <w:r w:rsidR="00852721">
        <w:t xml:space="preserve"> (Allen, Harris and Jago, 2022)</w:t>
      </w:r>
      <w:r w:rsidR="002D7A82" w:rsidRPr="002D7A82">
        <w:t>. Given the increasing demand for both in-person and remote participation,</w:t>
      </w:r>
      <w:r w:rsidR="002D7A82">
        <w:t xml:space="preserve"> we are hoping to allow</w:t>
      </w:r>
      <w:r w:rsidR="002D7A82" w:rsidRPr="002D7A82">
        <w:t xml:space="preserve"> the hybrid format for attendance in person or online.</w:t>
      </w:r>
    </w:p>
    <w:p w14:paraId="31240977" w14:textId="77777777" w:rsidR="00540C46" w:rsidRPr="00540C46" w:rsidRDefault="00540C46" w:rsidP="00540C46"/>
    <w:p w14:paraId="37496D67" w14:textId="77777777" w:rsidR="00834F0B" w:rsidRDefault="00834F0B" w:rsidP="00540C46">
      <w:pPr>
        <w:rPr>
          <w:b/>
          <w:bCs/>
        </w:rPr>
      </w:pPr>
      <w:r>
        <w:rPr>
          <w:b/>
          <w:bCs/>
        </w:rPr>
        <w:br w:type="page"/>
      </w:r>
    </w:p>
    <w:p w14:paraId="4E8BE801" w14:textId="52057AEB" w:rsidR="00540C46" w:rsidRDefault="00540C46" w:rsidP="00834F0B">
      <w:pPr>
        <w:pStyle w:val="Titlu1"/>
      </w:pPr>
      <w:bookmarkStart w:id="4" w:name="_Toc190195068"/>
      <w:r w:rsidRPr="00540C46">
        <w:t>Slide 5: Market Factors – Competition and Marketing</w:t>
      </w:r>
      <w:bookmarkEnd w:id="4"/>
    </w:p>
    <w:p w14:paraId="5AB8C7E4" w14:textId="369BACD0" w:rsidR="00834F0B" w:rsidRPr="00540C46" w:rsidRDefault="006A2083" w:rsidP="00540C46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0D4186E0" wp14:editId="1BB963C4">
            <wp:extent cx="5943600" cy="334264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lide5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9AB733" w14:textId="757B5855" w:rsidR="002D7A82" w:rsidRDefault="002D7A82" w:rsidP="00540C46">
      <w:r w:rsidRPr="002D7A82">
        <w:t>When it comes to competition, we</w:t>
      </w:r>
      <w:r w:rsidR="00A856D8">
        <w:t xml:space="preserve"> wi</w:t>
      </w:r>
      <w:r w:rsidRPr="002D7A82">
        <w:t>ll be competing against other MICE</w:t>
      </w:r>
      <w:r>
        <w:t xml:space="preserve"> </w:t>
      </w:r>
      <w:r w:rsidRPr="002D7A82">
        <w:t xml:space="preserve">(Meetings, incentives, conferences </w:t>
      </w:r>
      <w:r>
        <w:t>and</w:t>
      </w:r>
      <w:r w:rsidRPr="002D7A82">
        <w:t xml:space="preserve"> exhibitions) events </w:t>
      </w:r>
      <w:r w:rsidR="00852721">
        <w:t>during</w:t>
      </w:r>
      <w:r w:rsidRPr="002D7A82">
        <w:t xml:space="preserve"> the winter cold, such as sustainability summits and winter tourism conferences</w:t>
      </w:r>
      <w:r w:rsidR="00852721">
        <w:t xml:space="preserve"> (Reshetnikova and Magomedov, 2019)</w:t>
      </w:r>
      <w:r w:rsidRPr="002D7A82">
        <w:t>. However, what sets our event apart is our focus on winter innovations and the hybrid format</w:t>
      </w:r>
      <w:r w:rsidR="00834F0B">
        <w:t>. T</w:t>
      </w:r>
      <w:r w:rsidRPr="002D7A82">
        <w:t>his year</w:t>
      </w:r>
      <w:r w:rsidR="00A856D8">
        <w:t>,</w:t>
      </w:r>
      <w:r w:rsidRPr="002D7A82">
        <w:t xml:space="preserve"> </w:t>
      </w:r>
      <w:r w:rsidR="00834F0B">
        <w:t>we are going to offer</w:t>
      </w:r>
      <w:r w:rsidRPr="002D7A82">
        <w:t xml:space="preserve"> both on-site and online engagement. For marketing, we will use social media, industry journals, and partnerships with </w:t>
      </w:r>
      <w:r>
        <w:t>sustainability organisations</w:t>
      </w:r>
      <w:r w:rsidRPr="002D7A82">
        <w:t xml:space="preserve">. Featured early bird tickets </w:t>
      </w:r>
      <w:r>
        <w:t xml:space="preserve">and </w:t>
      </w:r>
      <w:r w:rsidRPr="002D7A82">
        <w:t>speaker spotlights and worked with industry influencers to</w:t>
      </w:r>
      <w:r w:rsidR="00834F0B">
        <w:t xml:space="preserve"> </w:t>
      </w:r>
      <w:r w:rsidR="00834F0B" w:rsidRPr="00540C46">
        <w:t>increase visibility</w:t>
      </w:r>
      <w:r w:rsidRPr="002D7A82">
        <w:t xml:space="preserve"> </w:t>
      </w:r>
      <w:r w:rsidR="00834F0B">
        <w:t xml:space="preserve">and </w:t>
      </w:r>
      <w:r w:rsidRPr="002D7A82">
        <w:t>help spread the word</w:t>
      </w:r>
      <w:r w:rsidR="00852721">
        <w:t xml:space="preserve"> (Nikolskaya et al., 2017)</w:t>
      </w:r>
      <w:r w:rsidRPr="002D7A82">
        <w:t>.</w:t>
      </w:r>
    </w:p>
    <w:p w14:paraId="6E0DE09B" w14:textId="77777777" w:rsidR="00540C46" w:rsidRPr="00540C46" w:rsidRDefault="00540C46" w:rsidP="00540C46"/>
    <w:p w14:paraId="32D68CF6" w14:textId="77777777" w:rsidR="00834F0B" w:rsidRDefault="00834F0B" w:rsidP="00540C46">
      <w:pPr>
        <w:rPr>
          <w:b/>
          <w:bCs/>
        </w:rPr>
      </w:pPr>
      <w:r>
        <w:rPr>
          <w:b/>
          <w:bCs/>
        </w:rPr>
        <w:br w:type="page"/>
      </w:r>
    </w:p>
    <w:p w14:paraId="256E9F4F" w14:textId="64552E1A" w:rsidR="00540C46" w:rsidRDefault="00540C46" w:rsidP="00834F0B">
      <w:pPr>
        <w:pStyle w:val="Titlu1"/>
      </w:pPr>
      <w:bookmarkStart w:id="5" w:name="_Toc190195069"/>
      <w:r w:rsidRPr="00540C46">
        <w:t>Slide 6: Operational Factors – Venue Suitability</w:t>
      </w:r>
      <w:bookmarkEnd w:id="5"/>
    </w:p>
    <w:p w14:paraId="16A6AFB7" w14:textId="3A1CCEBA" w:rsidR="00834F0B" w:rsidRPr="00540C46" w:rsidRDefault="006A2083" w:rsidP="00540C46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7E337987" wp14:editId="4136E33E">
            <wp:extent cx="5943600" cy="334264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lide6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77AF97" w14:textId="266C3DBD" w:rsidR="00834F0B" w:rsidRDefault="00540C46" w:rsidP="00540C46">
      <w:r w:rsidRPr="00540C46">
        <w:t>We</w:t>
      </w:r>
      <w:r w:rsidR="00834F0B">
        <w:t xml:space="preserve"> ha</w:t>
      </w:r>
      <w:r w:rsidRPr="00540C46">
        <w:t>ve chosen</w:t>
      </w:r>
      <w:r w:rsidR="00834F0B">
        <w:t xml:space="preserve"> </w:t>
      </w:r>
      <w:r w:rsidR="00834F0B" w:rsidRPr="00834F0B">
        <w:t>The Sage Gateshead in Newcastle for its central location and iconic design. The venue’s glass architecture will provide a lovely backdrop for winter-themed lighting</w:t>
      </w:r>
      <w:r w:rsidR="00852721">
        <w:t xml:space="preserve"> (NewcastleGateshead Convention Bureau, 2024)</w:t>
      </w:r>
      <w:r w:rsidR="00834F0B" w:rsidRPr="00834F0B">
        <w:t xml:space="preserve">. The venue provides adaptable spaces for more than 500 guests, making it suitable for our conference, networking, and exhibition spaces. </w:t>
      </w:r>
      <w:r w:rsidR="00834F0B">
        <w:t>In addition, m</w:t>
      </w:r>
      <w:r w:rsidR="00834F0B" w:rsidRPr="00834F0B">
        <w:t>aking it ideal for a hybrid event, the Sage is also well-equipped with state-of-the-art AV technology</w:t>
      </w:r>
      <w:r w:rsidR="00834F0B">
        <w:t xml:space="preserve"> (</w:t>
      </w:r>
      <w:r w:rsidR="00834F0B" w:rsidRPr="00834F0B">
        <w:t>Audiovisual technology</w:t>
      </w:r>
      <w:r w:rsidR="00834F0B">
        <w:t>)</w:t>
      </w:r>
      <w:r w:rsidR="00834F0B" w:rsidRPr="00834F0B">
        <w:t xml:space="preserve">. </w:t>
      </w:r>
      <w:r w:rsidR="00834F0B" w:rsidRPr="00540C46">
        <w:t>The venue is easily accessible</w:t>
      </w:r>
      <w:r w:rsidR="00852721">
        <w:t xml:space="preserve"> (VisitBritain, 2025)</w:t>
      </w:r>
      <w:r w:rsidR="00834F0B">
        <w:t>.</w:t>
      </w:r>
      <w:r w:rsidR="00834F0B" w:rsidRPr="00540C46">
        <w:t xml:space="preserve"> </w:t>
      </w:r>
      <w:r w:rsidR="00834F0B" w:rsidRPr="00834F0B">
        <w:t>There are good public transport links to the venue, which also has great parking for everyone.</w:t>
      </w:r>
    </w:p>
    <w:p w14:paraId="4A18ED9A" w14:textId="77777777" w:rsidR="00540C46" w:rsidRPr="00540C46" w:rsidRDefault="00540C46" w:rsidP="00540C46"/>
    <w:p w14:paraId="02304AAE" w14:textId="77777777" w:rsidR="00834F0B" w:rsidRDefault="00834F0B" w:rsidP="00540C46">
      <w:pPr>
        <w:rPr>
          <w:b/>
          <w:bCs/>
        </w:rPr>
      </w:pPr>
      <w:r>
        <w:rPr>
          <w:b/>
          <w:bCs/>
        </w:rPr>
        <w:br w:type="page"/>
      </w:r>
    </w:p>
    <w:p w14:paraId="39600F07" w14:textId="5CAD5F5D" w:rsidR="00540C46" w:rsidRDefault="00540C46" w:rsidP="00834F0B">
      <w:pPr>
        <w:pStyle w:val="Titlu1"/>
      </w:pPr>
      <w:bookmarkStart w:id="6" w:name="_Toc190195070"/>
      <w:r w:rsidRPr="00540C46">
        <w:t>Slide 7: Operational Factors – Staffing and Resources</w:t>
      </w:r>
      <w:bookmarkEnd w:id="6"/>
    </w:p>
    <w:p w14:paraId="593452DC" w14:textId="5149FAAC" w:rsidR="00834F0B" w:rsidRPr="00540C46" w:rsidRDefault="006A2083" w:rsidP="00540C46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1E22849C" wp14:editId="7351845C">
            <wp:extent cx="5943600" cy="334264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lide7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2D5077" w14:textId="385E352A" w:rsidR="00540C46" w:rsidRPr="00540C46" w:rsidRDefault="00540C46" w:rsidP="00540C46">
      <w:r w:rsidRPr="00540C46">
        <w:t xml:space="preserve">Staffing will include </w:t>
      </w:r>
      <w:r w:rsidRPr="00834F0B">
        <w:t>event coordinators, AV technicians, catering staff, security, and customer service representatives</w:t>
      </w:r>
      <w:r w:rsidR="00852721">
        <w:t xml:space="preserve"> (Davidson, 2018)</w:t>
      </w:r>
      <w:r w:rsidRPr="00834F0B">
        <w:t>.</w:t>
      </w:r>
      <w:r w:rsidRPr="00540C46">
        <w:t xml:space="preserve"> </w:t>
      </w:r>
      <w:r w:rsidR="00852721" w:rsidRPr="002C007D">
        <w:t>Employees need skills in event logistics, audio-visual setup, customer service, and hybrid technology</w:t>
      </w:r>
      <w:r w:rsidR="00852721">
        <w:t xml:space="preserve"> (Udupa, 2022)</w:t>
      </w:r>
      <w:r w:rsidR="00852721" w:rsidRPr="002C007D">
        <w:t>.</w:t>
      </w:r>
      <w:r w:rsidR="00852721">
        <w:t xml:space="preserve"> </w:t>
      </w:r>
      <w:r w:rsidRPr="00540C46">
        <w:t>We</w:t>
      </w:r>
      <w:r w:rsidR="00834F0B">
        <w:t xml:space="preserve"> wi</w:t>
      </w:r>
      <w:r w:rsidRPr="00540C46">
        <w:t xml:space="preserve">ll also </w:t>
      </w:r>
      <w:r w:rsidR="00834F0B" w:rsidRPr="00834F0B">
        <w:t>need IT support for the hybrid format, too</w:t>
      </w:r>
      <w:r w:rsidRPr="00540C46">
        <w:t xml:space="preserve">. </w:t>
      </w:r>
      <w:r w:rsidR="00834F0B" w:rsidRPr="00834F0B">
        <w:t>In terms of resources, we are going to provide winter-themed catering (</w:t>
      </w:r>
      <w:r w:rsidR="00834F0B">
        <w:t>such as</w:t>
      </w:r>
      <w:r w:rsidR="00834F0B" w:rsidRPr="00834F0B">
        <w:t xml:space="preserve"> mulled wine </w:t>
      </w:r>
      <w:r w:rsidR="00834F0B">
        <w:t xml:space="preserve">and </w:t>
      </w:r>
      <w:r w:rsidR="00834F0B" w:rsidRPr="00834F0B">
        <w:t>seasonal soups) and winter decorations (</w:t>
      </w:r>
      <w:r w:rsidR="00834F0B">
        <w:t>such as</w:t>
      </w:r>
      <w:r w:rsidR="00834F0B" w:rsidRPr="00834F0B">
        <w:t xml:space="preserve"> snowflakes and warm lighting). We</w:t>
      </w:r>
      <w:r w:rsidR="00834F0B">
        <w:t xml:space="preserve"> wi</w:t>
      </w:r>
      <w:r w:rsidR="00834F0B" w:rsidRPr="00834F0B">
        <w:t>ll make sure we have strong Wi-Fi and virtual streaming technology for seamless hybrid participation.</w:t>
      </w:r>
    </w:p>
    <w:p w14:paraId="2674C5AA" w14:textId="77777777" w:rsidR="00540C46" w:rsidRPr="00540C46" w:rsidRDefault="00540C46" w:rsidP="00540C46"/>
    <w:p w14:paraId="5BFF7433" w14:textId="77777777" w:rsidR="00834F0B" w:rsidRDefault="00834F0B" w:rsidP="00540C46">
      <w:pPr>
        <w:rPr>
          <w:b/>
          <w:bCs/>
        </w:rPr>
      </w:pPr>
      <w:r>
        <w:rPr>
          <w:b/>
          <w:bCs/>
        </w:rPr>
        <w:br w:type="page"/>
      </w:r>
    </w:p>
    <w:p w14:paraId="68CFDBD4" w14:textId="2B439D8A" w:rsidR="00540C46" w:rsidRDefault="00540C46" w:rsidP="00834F0B">
      <w:pPr>
        <w:pStyle w:val="Titlu1"/>
      </w:pPr>
      <w:bookmarkStart w:id="7" w:name="_Toc190195071"/>
      <w:r w:rsidRPr="00540C46">
        <w:t>Slide 8: Financial Factors – Predicted Costs</w:t>
      </w:r>
      <w:bookmarkEnd w:id="7"/>
    </w:p>
    <w:p w14:paraId="23AF3445" w14:textId="23A04F7F" w:rsidR="00834F0B" w:rsidRPr="00540C46" w:rsidRDefault="006A2083" w:rsidP="00540C46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58168504" wp14:editId="737BFC73">
            <wp:extent cx="5943600" cy="334264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lide8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314263" w14:textId="2FC55C15" w:rsidR="00540C46" w:rsidRPr="00540C46" w:rsidRDefault="00834F0B" w:rsidP="00540C46">
      <w:r>
        <w:t xml:space="preserve">We have estimated an overall cost for the event. </w:t>
      </w:r>
      <w:r w:rsidR="00540C46" w:rsidRPr="00540C46">
        <w:t>The predicted costs for the event in</w:t>
      </w:r>
      <w:r w:rsidR="00540C46" w:rsidRPr="00834F0B">
        <w:t xml:space="preserve">clude venue rental at £7,000, staffing at £5,000, marketing at £2,000, catering for £4,500, and technology setup at £3,000. </w:t>
      </w:r>
      <w:r w:rsidRPr="00834F0B">
        <w:t>These costs will include the operational expenses needed for the event to run smoothly and provide value to attendees</w:t>
      </w:r>
      <w:r w:rsidR="00852721">
        <w:t xml:space="preserve"> (Davidson, 2018)</w:t>
      </w:r>
      <w:r w:rsidRPr="00834F0B">
        <w:t>.</w:t>
      </w:r>
    </w:p>
    <w:p w14:paraId="41CC98CC" w14:textId="77777777" w:rsidR="00540C46" w:rsidRPr="00540C46" w:rsidRDefault="00540C46" w:rsidP="00540C46"/>
    <w:p w14:paraId="1BFB45BA" w14:textId="77777777" w:rsidR="00834F0B" w:rsidRDefault="00834F0B" w:rsidP="00540C46">
      <w:pPr>
        <w:rPr>
          <w:b/>
          <w:bCs/>
        </w:rPr>
      </w:pPr>
      <w:r>
        <w:rPr>
          <w:b/>
          <w:bCs/>
        </w:rPr>
        <w:br w:type="page"/>
      </w:r>
    </w:p>
    <w:p w14:paraId="610E92DD" w14:textId="5589A13B" w:rsidR="00540C46" w:rsidRDefault="00540C46" w:rsidP="00834F0B">
      <w:pPr>
        <w:pStyle w:val="Titlu1"/>
      </w:pPr>
      <w:bookmarkStart w:id="8" w:name="_Toc190195072"/>
      <w:r w:rsidRPr="00540C46">
        <w:t>Slide 9: Financial Factors – Predicted Revenue and Funding Sources</w:t>
      </w:r>
      <w:bookmarkEnd w:id="8"/>
    </w:p>
    <w:p w14:paraId="0823A197" w14:textId="29215348" w:rsidR="00834F0B" w:rsidRPr="00540C46" w:rsidRDefault="006A2083" w:rsidP="00540C46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7E84AD52" wp14:editId="104B6564">
            <wp:extent cx="5943600" cy="334264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lide10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251070" w14:textId="2448D636" w:rsidR="00540C46" w:rsidRPr="00540C46" w:rsidRDefault="00834F0B" w:rsidP="00540C46">
      <w:r w:rsidRPr="00834F0B">
        <w:t xml:space="preserve">Estimated ticket sales per show will generate revenue of £15,000 from </w:t>
      </w:r>
      <w:r>
        <w:t xml:space="preserve">the </w:t>
      </w:r>
      <w:r w:rsidRPr="00834F0B">
        <w:t>sale of 300 tickets, sponsorship revenue of £10,000 arising from brands in relevant space, and exhibitor revenue of £5,000.</w:t>
      </w:r>
      <w:r>
        <w:t xml:space="preserve"> </w:t>
      </w:r>
      <w:r w:rsidR="00540C46" w:rsidRPr="00540C46">
        <w:t xml:space="preserve">Funding sources will include </w:t>
      </w:r>
      <w:r w:rsidR="00540C46" w:rsidRPr="00834F0B">
        <w:t xml:space="preserve">sponsors, ticket sales, and </w:t>
      </w:r>
      <w:r w:rsidRPr="00834F0B">
        <w:t>potential</w:t>
      </w:r>
      <w:r w:rsidR="00540C46" w:rsidRPr="00834F0B">
        <w:t xml:space="preserve"> grants</w:t>
      </w:r>
      <w:r w:rsidR="00540C46" w:rsidRPr="00540C46">
        <w:t xml:space="preserve"> related to sustainability and tourism.</w:t>
      </w:r>
    </w:p>
    <w:p w14:paraId="33F45E99" w14:textId="77777777" w:rsidR="00540C46" w:rsidRPr="00540C46" w:rsidRDefault="00540C46" w:rsidP="00540C46"/>
    <w:p w14:paraId="2F971F2A" w14:textId="77777777" w:rsidR="00834F0B" w:rsidRDefault="00834F0B" w:rsidP="00540C46">
      <w:pPr>
        <w:rPr>
          <w:b/>
          <w:bCs/>
        </w:rPr>
      </w:pPr>
      <w:r>
        <w:rPr>
          <w:b/>
          <w:bCs/>
        </w:rPr>
        <w:br w:type="page"/>
      </w:r>
    </w:p>
    <w:p w14:paraId="40DDD91E" w14:textId="57B400FF" w:rsidR="00540C46" w:rsidRDefault="00540C46" w:rsidP="00834F0B">
      <w:pPr>
        <w:pStyle w:val="Titlu1"/>
      </w:pPr>
      <w:bookmarkStart w:id="9" w:name="_Toc190195073"/>
      <w:r w:rsidRPr="00540C46">
        <w:t>Slide 10: Conclusion and Next Steps</w:t>
      </w:r>
      <w:bookmarkEnd w:id="9"/>
    </w:p>
    <w:p w14:paraId="07A7AB42" w14:textId="5EFD7BC2" w:rsidR="00834F0B" w:rsidRPr="00540C46" w:rsidRDefault="006A2083" w:rsidP="00540C46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3D81A821" wp14:editId="6FBA07C6">
            <wp:extent cx="5943600" cy="334264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lide11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DF1CF5" w14:textId="11BDFFF1" w:rsidR="00540C46" w:rsidRPr="00540C46" w:rsidRDefault="00540C46" w:rsidP="00540C46">
      <w:r w:rsidRPr="00540C46">
        <w:t>In conclusion,</w:t>
      </w:r>
      <w:r w:rsidR="00834F0B" w:rsidRPr="00834F0B">
        <w:t xml:space="preserve"> the Winter Business Forum at The Sage Gateshead is an achievable event with excellent market demand, a different hybrid solution to corporate meeting needs, and a world-class venue to host it. We have examined both the operational and financial perspectives and made it work. </w:t>
      </w:r>
      <w:r w:rsidR="00834F0B">
        <w:t>However,</w:t>
      </w:r>
      <w:r w:rsidR="00834F0B" w:rsidRPr="00834F0B">
        <w:t xml:space="preserve"> after deciding </w:t>
      </w:r>
      <w:r w:rsidR="00834F0B">
        <w:t xml:space="preserve">on </w:t>
      </w:r>
      <w:r w:rsidR="00834F0B" w:rsidRPr="00834F0B">
        <w:t xml:space="preserve">a few of the higher-level components, </w:t>
      </w:r>
      <w:r w:rsidR="00834F0B">
        <w:t xml:space="preserve">the </w:t>
      </w:r>
      <w:r w:rsidR="00834F0B" w:rsidRPr="00834F0B">
        <w:t xml:space="preserve">next steps include securing sponsorships, hammering out the date for the event, </w:t>
      </w:r>
      <w:r w:rsidR="00834F0B">
        <w:t xml:space="preserve">and </w:t>
      </w:r>
      <w:r w:rsidR="00834F0B" w:rsidRPr="00834F0B">
        <w:t>establishing marketing campaigns. We are eager to advance and look forward to seeing you all there.</w:t>
      </w:r>
      <w:r w:rsidRPr="00540C46">
        <w:t xml:space="preserve"> Thank you!</w:t>
      </w:r>
    </w:p>
    <w:p w14:paraId="7AC1ED5E" w14:textId="77777777" w:rsidR="00834F0B" w:rsidRDefault="00834F0B">
      <w:r>
        <w:br w:type="page"/>
      </w:r>
    </w:p>
    <w:p w14:paraId="1F669A4E" w14:textId="21920B22" w:rsidR="001A270E" w:rsidRDefault="00834F0B" w:rsidP="00834F0B">
      <w:pPr>
        <w:pStyle w:val="Titlu1"/>
      </w:pPr>
      <w:bookmarkStart w:id="10" w:name="_Toc190195074"/>
      <w:r>
        <w:t>Slide 11: References</w:t>
      </w:r>
      <w:bookmarkEnd w:id="10"/>
    </w:p>
    <w:p w14:paraId="061AFD3B" w14:textId="14B18F01" w:rsidR="00834F0B" w:rsidRDefault="006A2083">
      <w:r>
        <w:rPr>
          <w:noProof/>
        </w:rPr>
        <w:drawing>
          <wp:inline distT="0" distB="0" distL="0" distR="0" wp14:anchorId="7AC7CBDD" wp14:editId="2CC4BC2E">
            <wp:extent cx="5943600" cy="334264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lide11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34F0B" w:rsidSect="00834F0B">
      <w:headerReference w:type="default" r:id="rId17"/>
      <w:footerReference w:type="default" r:id="rId18"/>
      <w:headerReference w:type="first" r:id="rId19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799126" w14:textId="77777777" w:rsidR="003B2F48" w:rsidRDefault="003B2F48" w:rsidP="00A856D8">
      <w:pPr>
        <w:spacing w:after="0" w:line="240" w:lineRule="auto"/>
      </w:pPr>
      <w:r>
        <w:separator/>
      </w:r>
    </w:p>
  </w:endnote>
  <w:endnote w:type="continuationSeparator" w:id="0">
    <w:p w14:paraId="61B87902" w14:textId="77777777" w:rsidR="003B2F48" w:rsidRDefault="003B2F48" w:rsidP="00A856D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5450701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7F7F118" w14:textId="4DAC8D9D" w:rsidR="00A856D8" w:rsidRDefault="00A856D8">
        <w:pPr>
          <w:pStyle w:val="Subsol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A2083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4F9B27C1" w14:textId="77777777" w:rsidR="00A856D8" w:rsidRDefault="00A856D8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3ED642" w14:textId="77777777" w:rsidR="003B2F48" w:rsidRDefault="003B2F48" w:rsidP="00A856D8">
      <w:pPr>
        <w:spacing w:after="0" w:line="240" w:lineRule="auto"/>
      </w:pPr>
      <w:r>
        <w:separator/>
      </w:r>
    </w:p>
  </w:footnote>
  <w:footnote w:type="continuationSeparator" w:id="0">
    <w:p w14:paraId="53A68E16" w14:textId="77777777" w:rsidR="003B2F48" w:rsidRDefault="003B2F48" w:rsidP="00A856D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31911D" w14:textId="638A7751" w:rsidR="00A856D8" w:rsidRDefault="00A856D8">
    <w:pPr>
      <w:pStyle w:val="Antet"/>
    </w:pPr>
    <w:r>
      <w:rPr>
        <w:noProof/>
      </w:rPr>
      <w:drawing>
        <wp:inline distT="0" distB="0" distL="0" distR="0" wp14:anchorId="52104082" wp14:editId="37E2FFC9">
          <wp:extent cx="684198" cy="254000"/>
          <wp:effectExtent l="0" t="0" r="1905" b="0"/>
          <wp:docPr id="1540468482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540468482" name="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690671" cy="256403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A57661" w14:textId="2E0282FB" w:rsidR="00A856D8" w:rsidRDefault="00A856D8">
    <w:pPr>
      <w:pStyle w:val="Antet"/>
    </w:pPr>
    <w:r>
      <w:rPr>
        <w:noProof/>
      </w:rPr>
      <w:drawing>
        <wp:inline distT="0" distB="0" distL="0" distR="0" wp14:anchorId="3167A4F6" wp14:editId="703039AC">
          <wp:extent cx="2847975" cy="1057275"/>
          <wp:effectExtent l="0" t="0" r="9525" b="9525"/>
          <wp:docPr id="3970487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970487" name="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2847975" cy="10572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30"/>
  <w:removePersonalInformation/>
  <w:removeDateAndTime/>
  <w:proofState w:spelling="clean"/>
  <w:revisionView w:inkAnnotations="0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2MDY3sTQwNLMwNDS0NDZX0lEKTi0uzszPAykwrAUA0g51vSwAAAA="/>
  </w:docVars>
  <w:rsids>
    <w:rsidRoot w:val="00540C46"/>
    <w:rsid w:val="000A6A2C"/>
    <w:rsid w:val="001A219E"/>
    <w:rsid w:val="001A270E"/>
    <w:rsid w:val="00247726"/>
    <w:rsid w:val="002D7A82"/>
    <w:rsid w:val="003B2F48"/>
    <w:rsid w:val="00460B78"/>
    <w:rsid w:val="00540C46"/>
    <w:rsid w:val="00633C3B"/>
    <w:rsid w:val="006A2083"/>
    <w:rsid w:val="007951EF"/>
    <w:rsid w:val="00834F0B"/>
    <w:rsid w:val="00852721"/>
    <w:rsid w:val="00A338A3"/>
    <w:rsid w:val="00A737ED"/>
    <w:rsid w:val="00A856D8"/>
    <w:rsid w:val="00AF26FC"/>
    <w:rsid w:val="00B80515"/>
    <w:rsid w:val="00C5008D"/>
    <w:rsid w:val="00DA36D1"/>
    <w:rsid w:val="00E01F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,"/>
  <w:listSeparator w:val=";"/>
  <w14:docId w14:val="0C533E59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4F0B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Titlu1">
    <w:name w:val="heading 1"/>
    <w:basedOn w:val="Normal"/>
    <w:next w:val="Normal"/>
    <w:link w:val="Titlu1Caracter"/>
    <w:autoRedefine/>
    <w:uiPriority w:val="9"/>
    <w:qFormat/>
    <w:rsid w:val="00834F0B"/>
    <w:pPr>
      <w:keepNext/>
      <w:keepLines/>
      <w:spacing w:before="240" w:after="0"/>
      <w:outlineLvl w:val="0"/>
    </w:pPr>
    <w:rPr>
      <w:rFonts w:eastAsiaTheme="majorEastAsia" w:cstheme="majorBidi"/>
      <w:b/>
      <w:color w:val="365F91" w:themeColor="accent1" w:themeShade="BF"/>
      <w:sz w:val="32"/>
      <w:szCs w:val="32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834F0B"/>
    <w:rPr>
      <w:rFonts w:ascii="Times New Roman" w:eastAsiaTheme="majorEastAsia" w:hAnsi="Times New Roman" w:cstheme="majorBidi"/>
      <w:b/>
      <w:color w:val="365F91" w:themeColor="accent1" w:themeShade="BF"/>
      <w:sz w:val="32"/>
      <w:szCs w:val="32"/>
    </w:rPr>
  </w:style>
  <w:style w:type="paragraph" w:styleId="Frspaiere">
    <w:name w:val="No Spacing"/>
    <w:link w:val="FrspaiereCaracter"/>
    <w:uiPriority w:val="1"/>
    <w:qFormat/>
    <w:rsid w:val="00834F0B"/>
    <w:pPr>
      <w:spacing w:after="0" w:line="240" w:lineRule="auto"/>
    </w:pPr>
    <w:rPr>
      <w:lang w:eastAsia="en-US"/>
    </w:rPr>
  </w:style>
  <w:style w:type="character" w:customStyle="1" w:styleId="FrspaiereCaracter">
    <w:name w:val="Fără spațiere Caracter"/>
    <w:basedOn w:val="Fontdeparagrafimplicit"/>
    <w:link w:val="Frspaiere"/>
    <w:uiPriority w:val="1"/>
    <w:rsid w:val="00834F0B"/>
    <w:rPr>
      <w:lang w:eastAsia="en-US"/>
    </w:rPr>
  </w:style>
  <w:style w:type="paragraph" w:styleId="Antet">
    <w:name w:val="header"/>
    <w:basedOn w:val="Normal"/>
    <w:link w:val="AntetCaracter"/>
    <w:uiPriority w:val="99"/>
    <w:unhideWhenUsed/>
    <w:rsid w:val="00A856D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A856D8"/>
    <w:rPr>
      <w:rFonts w:ascii="Times New Roman" w:hAnsi="Times New Roman"/>
      <w:sz w:val="24"/>
    </w:rPr>
  </w:style>
  <w:style w:type="paragraph" w:styleId="Subsol">
    <w:name w:val="footer"/>
    <w:basedOn w:val="Normal"/>
    <w:link w:val="SubsolCaracter"/>
    <w:uiPriority w:val="99"/>
    <w:unhideWhenUsed/>
    <w:rsid w:val="00A856D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A856D8"/>
    <w:rPr>
      <w:rFonts w:ascii="Times New Roman" w:hAnsi="Times New Roman"/>
      <w:sz w:val="24"/>
    </w:rPr>
  </w:style>
  <w:style w:type="paragraph" w:styleId="Titlucuprins">
    <w:name w:val="TOC Heading"/>
    <w:basedOn w:val="Titlu1"/>
    <w:next w:val="Normal"/>
    <w:uiPriority w:val="39"/>
    <w:unhideWhenUsed/>
    <w:qFormat/>
    <w:rsid w:val="00A856D8"/>
    <w:pPr>
      <w:spacing w:line="259" w:lineRule="auto"/>
      <w:jc w:val="left"/>
      <w:outlineLvl w:val="9"/>
    </w:pPr>
    <w:rPr>
      <w:rFonts w:asciiTheme="majorHAnsi" w:hAnsiTheme="majorHAnsi"/>
      <w:b w:val="0"/>
      <w:lang w:eastAsia="en-US"/>
    </w:rPr>
  </w:style>
  <w:style w:type="paragraph" w:styleId="Cuprins1">
    <w:name w:val="toc 1"/>
    <w:basedOn w:val="Normal"/>
    <w:next w:val="Normal"/>
    <w:autoRedefine/>
    <w:uiPriority w:val="39"/>
    <w:unhideWhenUsed/>
    <w:rsid w:val="00A856D8"/>
    <w:pPr>
      <w:spacing w:after="100"/>
    </w:pPr>
  </w:style>
  <w:style w:type="character" w:styleId="Hyperlink">
    <w:name w:val="Hyperlink"/>
    <w:basedOn w:val="Fontdeparagrafimplicit"/>
    <w:uiPriority w:val="99"/>
    <w:unhideWhenUsed/>
    <w:rsid w:val="00A856D8"/>
    <w:rPr>
      <w:color w:val="0000FF" w:themeColor="hyperlink"/>
      <w:u w:val="single"/>
    </w:rPr>
  </w:style>
  <w:style w:type="paragraph" w:styleId="TextnBalon">
    <w:name w:val="Balloon Text"/>
    <w:basedOn w:val="Normal"/>
    <w:link w:val="TextnBalonCaracter"/>
    <w:uiPriority w:val="99"/>
    <w:semiHidden/>
    <w:unhideWhenUsed/>
    <w:rsid w:val="006A208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6A2083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12101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 /><Relationship Id="rId13" Type="http://schemas.openxmlformats.org/officeDocument/2006/relationships/image" Target="media/image7.PNG" /><Relationship Id="rId18" Type="http://schemas.openxmlformats.org/officeDocument/2006/relationships/footer" Target="footer1.xml" /><Relationship Id="rId3" Type="http://schemas.openxmlformats.org/officeDocument/2006/relationships/settings" Target="settings.xml" /><Relationship Id="rId21" Type="http://schemas.openxmlformats.org/officeDocument/2006/relationships/theme" Target="theme/theme1.xml" /><Relationship Id="rId7" Type="http://schemas.openxmlformats.org/officeDocument/2006/relationships/image" Target="media/image1.PNG" /><Relationship Id="rId12" Type="http://schemas.openxmlformats.org/officeDocument/2006/relationships/image" Target="media/image6.PNG" /><Relationship Id="rId17" Type="http://schemas.openxmlformats.org/officeDocument/2006/relationships/header" Target="header1.xml" /><Relationship Id="rId2" Type="http://schemas.openxmlformats.org/officeDocument/2006/relationships/styles" Target="styles.xml" /><Relationship Id="rId16" Type="http://schemas.openxmlformats.org/officeDocument/2006/relationships/image" Target="media/image10.PNG" /><Relationship Id="rId20" Type="http://schemas.openxmlformats.org/officeDocument/2006/relationships/fontTable" Target="fontTable.xml" /><Relationship Id="rId1" Type="http://schemas.openxmlformats.org/officeDocument/2006/relationships/customXml" Target="../customXml/item1.xml" /><Relationship Id="rId6" Type="http://schemas.openxmlformats.org/officeDocument/2006/relationships/endnotes" Target="endnotes.xml" /><Relationship Id="rId11" Type="http://schemas.openxmlformats.org/officeDocument/2006/relationships/image" Target="media/image5.PNG" /><Relationship Id="rId5" Type="http://schemas.openxmlformats.org/officeDocument/2006/relationships/footnotes" Target="footnotes.xml" /><Relationship Id="rId15" Type="http://schemas.openxmlformats.org/officeDocument/2006/relationships/image" Target="media/image9.PNG" /><Relationship Id="rId10" Type="http://schemas.openxmlformats.org/officeDocument/2006/relationships/image" Target="media/image4.PNG" /><Relationship Id="rId19" Type="http://schemas.openxmlformats.org/officeDocument/2006/relationships/header" Target="header2.xml" /><Relationship Id="rId4" Type="http://schemas.openxmlformats.org/officeDocument/2006/relationships/webSettings" Target="webSettings.xml" /><Relationship Id="rId9" Type="http://schemas.openxmlformats.org/officeDocument/2006/relationships/image" Target="media/image3.PNG" /><Relationship Id="rId14" Type="http://schemas.openxmlformats.org/officeDocument/2006/relationships/image" Target="media/image8.PNG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1.png" 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1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1ECD9E8-1DFA-4654-AD37-9291137CB821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902</Words>
  <Characters>6243</Characters>
  <Application>Microsoft Office Word</Application>
  <DocSecurity>0</DocSecurity>
  <Lines>52</Lines>
  <Paragraphs>14</Paragraphs>
  <ScaleCrop>false</ScaleCrop>
  <Company/>
  <LinksUpToDate>false</LinksUpToDate>
  <CharactersWithSpaces>7131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2025-02-25T19:03:00Z</dcterms:created>
  <dcterms:modified xsi:type="dcterms:W3CDTF">2025-02-25T19:03:00Z</dcterms:modified>
</cp:coreProperties>
</file>