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535A" w:rsidRPr="000136DC" w:rsidRDefault="000136DC" w:rsidP="000136DC">
      <w:pPr>
        <w:spacing w:line="360" w:lineRule="auto"/>
        <w:jc w:val="center"/>
        <w:rPr>
          <w:b/>
          <w:sz w:val="36"/>
          <w:szCs w:val="24"/>
        </w:rPr>
      </w:pPr>
      <w:r w:rsidRPr="000136DC">
        <w:rPr>
          <w:b/>
          <w:sz w:val="36"/>
          <w:szCs w:val="24"/>
        </w:rPr>
        <w:t>Module: Strategic Management</w:t>
      </w:r>
    </w:p>
    <w:p w:rsidR="000136DC" w:rsidRPr="000136DC" w:rsidRDefault="000136DC" w:rsidP="000136DC">
      <w:pPr>
        <w:spacing w:line="360" w:lineRule="auto"/>
        <w:jc w:val="center"/>
        <w:rPr>
          <w:b/>
          <w:sz w:val="28"/>
          <w:szCs w:val="24"/>
        </w:rPr>
      </w:pPr>
      <w:r w:rsidRPr="000136DC">
        <w:rPr>
          <w:b/>
          <w:sz w:val="28"/>
          <w:szCs w:val="24"/>
        </w:rPr>
        <w:t>Module Code: LCMB7003</w:t>
      </w:r>
    </w:p>
    <w:p w:rsidR="00584CD1" w:rsidRDefault="00584CD1"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Default="008C4993" w:rsidP="00584CD1">
      <w:pPr>
        <w:spacing w:line="360" w:lineRule="auto"/>
        <w:jc w:val="both"/>
        <w:rPr>
          <w:sz w:val="24"/>
          <w:szCs w:val="24"/>
        </w:rPr>
      </w:pPr>
    </w:p>
    <w:p w:rsidR="008C4993" w:rsidRPr="00584CD1" w:rsidRDefault="008C4993" w:rsidP="00584CD1">
      <w:pPr>
        <w:spacing w:line="360" w:lineRule="auto"/>
        <w:jc w:val="both"/>
        <w:rPr>
          <w:sz w:val="24"/>
          <w:szCs w:val="24"/>
        </w:rPr>
      </w:pPr>
    </w:p>
    <w:p w:rsidR="00FB612A" w:rsidRDefault="00FB612A" w:rsidP="00584CD1">
      <w:pPr>
        <w:spacing w:line="360" w:lineRule="auto"/>
        <w:jc w:val="both"/>
        <w:rPr>
          <w:b/>
          <w:sz w:val="32"/>
          <w:szCs w:val="24"/>
        </w:rPr>
      </w:pPr>
    </w:p>
    <w:p w:rsidR="00F579C6" w:rsidRDefault="00F579C6" w:rsidP="00584CD1">
      <w:pPr>
        <w:spacing w:line="360" w:lineRule="auto"/>
        <w:jc w:val="both"/>
        <w:rPr>
          <w:sz w:val="24"/>
          <w:szCs w:val="24"/>
        </w:rPr>
      </w:pPr>
    </w:p>
    <w:sdt>
      <w:sdtPr>
        <w:id w:val="-154868136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C3F36" w:rsidRDefault="008C3F36" w:rsidP="008C3F36">
          <w:pPr>
            <w:pStyle w:val="TOCHeading"/>
            <w:jc w:val="center"/>
          </w:pPr>
          <w:r>
            <w:t>Table of Contents</w:t>
          </w:r>
        </w:p>
        <w:p w:rsidR="008C3F36" w:rsidRDefault="008C3F3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924088" w:history="1">
            <w:r w:rsidRPr="00A21721">
              <w:rPr>
                <w:rStyle w:val="Hyperlink"/>
                <w:noProof/>
              </w:rPr>
              <w:t>Introduction</w:t>
            </w:r>
            <w:r>
              <w:rPr>
                <w:noProof/>
                <w:webHidden/>
              </w:rPr>
              <w:tab/>
            </w:r>
            <w:r>
              <w:rPr>
                <w:noProof/>
                <w:webHidden/>
              </w:rPr>
              <w:fldChar w:fldCharType="begin"/>
            </w:r>
            <w:r>
              <w:rPr>
                <w:noProof/>
                <w:webHidden/>
              </w:rPr>
              <w:instrText xml:space="preserve"> PAGEREF _Toc71924088 \h </w:instrText>
            </w:r>
            <w:r>
              <w:rPr>
                <w:noProof/>
                <w:webHidden/>
              </w:rPr>
            </w:r>
            <w:r>
              <w:rPr>
                <w:noProof/>
                <w:webHidden/>
              </w:rPr>
              <w:fldChar w:fldCharType="separate"/>
            </w:r>
            <w:r>
              <w:rPr>
                <w:noProof/>
                <w:webHidden/>
              </w:rPr>
              <w:t>3</w:t>
            </w:r>
            <w:r>
              <w:rPr>
                <w:noProof/>
                <w:webHidden/>
              </w:rPr>
              <w:fldChar w:fldCharType="end"/>
            </w:r>
          </w:hyperlink>
        </w:p>
        <w:p w:rsidR="008C3F36" w:rsidRDefault="008C3F36">
          <w:pPr>
            <w:pStyle w:val="TOC1"/>
            <w:tabs>
              <w:tab w:val="right" w:leader="dot" w:pos="9016"/>
            </w:tabs>
            <w:rPr>
              <w:rFonts w:eastAsiaTheme="minorEastAsia"/>
              <w:noProof/>
              <w:lang w:eastAsia="en-GB"/>
            </w:rPr>
          </w:pPr>
          <w:hyperlink w:anchor="_Toc71924089" w:history="1">
            <w:r w:rsidRPr="00A21721">
              <w:rPr>
                <w:rStyle w:val="Hyperlink"/>
                <w:noProof/>
              </w:rPr>
              <w:t>Business Model of GSK</w:t>
            </w:r>
            <w:r>
              <w:rPr>
                <w:noProof/>
                <w:webHidden/>
              </w:rPr>
              <w:tab/>
            </w:r>
            <w:r>
              <w:rPr>
                <w:noProof/>
                <w:webHidden/>
              </w:rPr>
              <w:fldChar w:fldCharType="begin"/>
            </w:r>
            <w:r>
              <w:rPr>
                <w:noProof/>
                <w:webHidden/>
              </w:rPr>
              <w:instrText xml:space="preserve"> PAGEREF _Toc71924089 \h </w:instrText>
            </w:r>
            <w:r>
              <w:rPr>
                <w:noProof/>
                <w:webHidden/>
              </w:rPr>
            </w:r>
            <w:r>
              <w:rPr>
                <w:noProof/>
                <w:webHidden/>
              </w:rPr>
              <w:fldChar w:fldCharType="separate"/>
            </w:r>
            <w:r>
              <w:rPr>
                <w:noProof/>
                <w:webHidden/>
              </w:rPr>
              <w:t>5</w:t>
            </w:r>
            <w:r>
              <w:rPr>
                <w:noProof/>
                <w:webHidden/>
              </w:rPr>
              <w:fldChar w:fldCharType="end"/>
            </w:r>
          </w:hyperlink>
        </w:p>
        <w:p w:rsidR="008C3F36" w:rsidRDefault="008C3F36">
          <w:pPr>
            <w:pStyle w:val="TOC2"/>
            <w:tabs>
              <w:tab w:val="right" w:leader="dot" w:pos="9016"/>
            </w:tabs>
            <w:rPr>
              <w:rFonts w:eastAsiaTheme="minorEastAsia"/>
              <w:noProof/>
              <w:lang w:eastAsia="en-GB"/>
            </w:rPr>
          </w:pPr>
          <w:hyperlink w:anchor="_Toc71924090" w:history="1">
            <w:r w:rsidRPr="00A21721">
              <w:rPr>
                <w:rStyle w:val="Hyperlink"/>
                <w:noProof/>
              </w:rPr>
              <w:t>Purpose and strategy of GSK</w:t>
            </w:r>
            <w:r>
              <w:rPr>
                <w:noProof/>
                <w:webHidden/>
              </w:rPr>
              <w:tab/>
            </w:r>
            <w:r>
              <w:rPr>
                <w:noProof/>
                <w:webHidden/>
              </w:rPr>
              <w:fldChar w:fldCharType="begin"/>
            </w:r>
            <w:r>
              <w:rPr>
                <w:noProof/>
                <w:webHidden/>
              </w:rPr>
              <w:instrText xml:space="preserve"> PAGEREF _Toc71924090 \h </w:instrText>
            </w:r>
            <w:r>
              <w:rPr>
                <w:noProof/>
                <w:webHidden/>
              </w:rPr>
            </w:r>
            <w:r>
              <w:rPr>
                <w:noProof/>
                <w:webHidden/>
              </w:rPr>
              <w:fldChar w:fldCharType="separate"/>
            </w:r>
            <w:r>
              <w:rPr>
                <w:noProof/>
                <w:webHidden/>
              </w:rPr>
              <w:t>5</w:t>
            </w:r>
            <w:r>
              <w:rPr>
                <w:noProof/>
                <w:webHidden/>
              </w:rPr>
              <w:fldChar w:fldCharType="end"/>
            </w:r>
          </w:hyperlink>
        </w:p>
        <w:p w:rsidR="008C3F36" w:rsidRDefault="008C3F36">
          <w:pPr>
            <w:pStyle w:val="TOC2"/>
            <w:tabs>
              <w:tab w:val="right" w:leader="dot" w:pos="9016"/>
            </w:tabs>
            <w:rPr>
              <w:rFonts w:eastAsiaTheme="minorEastAsia"/>
              <w:noProof/>
              <w:lang w:eastAsia="en-GB"/>
            </w:rPr>
          </w:pPr>
          <w:hyperlink w:anchor="_Toc71924091" w:history="1">
            <w:r w:rsidRPr="00A21721">
              <w:rPr>
                <w:rStyle w:val="Hyperlink"/>
                <w:noProof/>
              </w:rPr>
              <w:t>Long-term priorities of GSK</w:t>
            </w:r>
            <w:r>
              <w:rPr>
                <w:noProof/>
                <w:webHidden/>
              </w:rPr>
              <w:tab/>
            </w:r>
            <w:r>
              <w:rPr>
                <w:noProof/>
                <w:webHidden/>
              </w:rPr>
              <w:fldChar w:fldCharType="begin"/>
            </w:r>
            <w:r>
              <w:rPr>
                <w:noProof/>
                <w:webHidden/>
              </w:rPr>
              <w:instrText xml:space="preserve"> PAGEREF _Toc71924091 \h </w:instrText>
            </w:r>
            <w:r>
              <w:rPr>
                <w:noProof/>
                <w:webHidden/>
              </w:rPr>
            </w:r>
            <w:r>
              <w:rPr>
                <w:noProof/>
                <w:webHidden/>
              </w:rPr>
              <w:fldChar w:fldCharType="separate"/>
            </w:r>
            <w:r>
              <w:rPr>
                <w:noProof/>
                <w:webHidden/>
              </w:rPr>
              <w:t>5</w:t>
            </w:r>
            <w:r>
              <w:rPr>
                <w:noProof/>
                <w:webHidden/>
              </w:rPr>
              <w:fldChar w:fldCharType="end"/>
            </w:r>
          </w:hyperlink>
        </w:p>
        <w:p w:rsidR="008C3F36" w:rsidRDefault="008C3F36">
          <w:pPr>
            <w:pStyle w:val="TOC2"/>
            <w:tabs>
              <w:tab w:val="right" w:leader="dot" w:pos="9016"/>
            </w:tabs>
            <w:rPr>
              <w:rFonts w:eastAsiaTheme="minorEastAsia"/>
              <w:noProof/>
              <w:lang w:eastAsia="en-GB"/>
            </w:rPr>
          </w:pPr>
          <w:hyperlink w:anchor="_Toc71924092" w:history="1">
            <w:r w:rsidRPr="00A21721">
              <w:rPr>
                <w:rStyle w:val="Hyperlink"/>
                <w:noProof/>
              </w:rPr>
              <w:t>Capital allocation</w:t>
            </w:r>
            <w:r>
              <w:rPr>
                <w:noProof/>
                <w:webHidden/>
              </w:rPr>
              <w:tab/>
            </w:r>
            <w:r>
              <w:rPr>
                <w:noProof/>
                <w:webHidden/>
              </w:rPr>
              <w:fldChar w:fldCharType="begin"/>
            </w:r>
            <w:r>
              <w:rPr>
                <w:noProof/>
                <w:webHidden/>
              </w:rPr>
              <w:instrText xml:space="preserve"> PAGEREF _Toc71924092 \h </w:instrText>
            </w:r>
            <w:r>
              <w:rPr>
                <w:noProof/>
                <w:webHidden/>
              </w:rPr>
            </w:r>
            <w:r>
              <w:rPr>
                <w:noProof/>
                <w:webHidden/>
              </w:rPr>
              <w:fldChar w:fldCharType="separate"/>
            </w:r>
            <w:r>
              <w:rPr>
                <w:noProof/>
                <w:webHidden/>
              </w:rPr>
              <w:t>6</w:t>
            </w:r>
            <w:r>
              <w:rPr>
                <w:noProof/>
                <w:webHidden/>
              </w:rPr>
              <w:fldChar w:fldCharType="end"/>
            </w:r>
          </w:hyperlink>
        </w:p>
        <w:p w:rsidR="008C3F36" w:rsidRDefault="008C3F36">
          <w:pPr>
            <w:pStyle w:val="TOC1"/>
            <w:tabs>
              <w:tab w:val="right" w:leader="dot" w:pos="9016"/>
            </w:tabs>
            <w:rPr>
              <w:rFonts w:eastAsiaTheme="minorEastAsia"/>
              <w:noProof/>
              <w:lang w:eastAsia="en-GB"/>
            </w:rPr>
          </w:pPr>
          <w:hyperlink w:anchor="_Toc71924093" w:history="1">
            <w:r w:rsidRPr="00A21721">
              <w:rPr>
                <w:rStyle w:val="Hyperlink"/>
                <w:noProof/>
              </w:rPr>
              <w:t>Central issues GSK facing</w:t>
            </w:r>
            <w:r>
              <w:rPr>
                <w:noProof/>
                <w:webHidden/>
              </w:rPr>
              <w:tab/>
            </w:r>
            <w:r>
              <w:rPr>
                <w:noProof/>
                <w:webHidden/>
              </w:rPr>
              <w:fldChar w:fldCharType="begin"/>
            </w:r>
            <w:r>
              <w:rPr>
                <w:noProof/>
                <w:webHidden/>
              </w:rPr>
              <w:instrText xml:space="preserve"> PAGEREF _Toc71924093 \h </w:instrText>
            </w:r>
            <w:r>
              <w:rPr>
                <w:noProof/>
                <w:webHidden/>
              </w:rPr>
            </w:r>
            <w:r>
              <w:rPr>
                <w:noProof/>
                <w:webHidden/>
              </w:rPr>
              <w:fldChar w:fldCharType="separate"/>
            </w:r>
            <w:r>
              <w:rPr>
                <w:noProof/>
                <w:webHidden/>
              </w:rPr>
              <w:t>7</w:t>
            </w:r>
            <w:r>
              <w:rPr>
                <w:noProof/>
                <w:webHidden/>
              </w:rPr>
              <w:fldChar w:fldCharType="end"/>
            </w:r>
          </w:hyperlink>
        </w:p>
        <w:p w:rsidR="008C3F36" w:rsidRDefault="008C3F36">
          <w:pPr>
            <w:pStyle w:val="TOC2"/>
            <w:tabs>
              <w:tab w:val="right" w:leader="dot" w:pos="9016"/>
            </w:tabs>
            <w:rPr>
              <w:rFonts w:eastAsiaTheme="minorEastAsia"/>
              <w:noProof/>
              <w:lang w:eastAsia="en-GB"/>
            </w:rPr>
          </w:pPr>
          <w:hyperlink w:anchor="_Toc71924094" w:history="1">
            <w:r w:rsidRPr="00A21721">
              <w:rPr>
                <w:rStyle w:val="Hyperlink"/>
                <w:noProof/>
              </w:rPr>
              <w:t>PESTEL analysis</w:t>
            </w:r>
            <w:r>
              <w:rPr>
                <w:noProof/>
                <w:webHidden/>
              </w:rPr>
              <w:tab/>
            </w:r>
            <w:r>
              <w:rPr>
                <w:noProof/>
                <w:webHidden/>
              </w:rPr>
              <w:fldChar w:fldCharType="begin"/>
            </w:r>
            <w:r>
              <w:rPr>
                <w:noProof/>
                <w:webHidden/>
              </w:rPr>
              <w:instrText xml:space="preserve"> PAGEREF _Toc71924094 \h </w:instrText>
            </w:r>
            <w:r>
              <w:rPr>
                <w:noProof/>
                <w:webHidden/>
              </w:rPr>
            </w:r>
            <w:r>
              <w:rPr>
                <w:noProof/>
                <w:webHidden/>
              </w:rPr>
              <w:fldChar w:fldCharType="separate"/>
            </w:r>
            <w:r>
              <w:rPr>
                <w:noProof/>
                <w:webHidden/>
              </w:rPr>
              <w:t>7</w:t>
            </w:r>
            <w:r>
              <w:rPr>
                <w:noProof/>
                <w:webHidden/>
              </w:rPr>
              <w:fldChar w:fldCharType="end"/>
            </w:r>
          </w:hyperlink>
        </w:p>
        <w:p w:rsidR="008C3F36" w:rsidRDefault="008C3F36">
          <w:pPr>
            <w:pStyle w:val="TOC2"/>
            <w:tabs>
              <w:tab w:val="right" w:leader="dot" w:pos="9016"/>
            </w:tabs>
            <w:rPr>
              <w:rFonts w:eastAsiaTheme="minorEastAsia"/>
              <w:noProof/>
              <w:lang w:eastAsia="en-GB"/>
            </w:rPr>
          </w:pPr>
          <w:hyperlink w:anchor="_Toc71924095" w:history="1">
            <w:r w:rsidRPr="00A21721">
              <w:rPr>
                <w:rStyle w:val="Hyperlink"/>
                <w:noProof/>
              </w:rPr>
              <w:t>Stakeholder analysis: Mendelows</w:t>
            </w:r>
            <w:r>
              <w:rPr>
                <w:noProof/>
                <w:webHidden/>
              </w:rPr>
              <w:tab/>
            </w:r>
            <w:r>
              <w:rPr>
                <w:noProof/>
                <w:webHidden/>
              </w:rPr>
              <w:fldChar w:fldCharType="begin"/>
            </w:r>
            <w:r>
              <w:rPr>
                <w:noProof/>
                <w:webHidden/>
              </w:rPr>
              <w:instrText xml:space="preserve"> PAGEREF _Toc71924095 \h </w:instrText>
            </w:r>
            <w:r>
              <w:rPr>
                <w:noProof/>
                <w:webHidden/>
              </w:rPr>
            </w:r>
            <w:r>
              <w:rPr>
                <w:noProof/>
                <w:webHidden/>
              </w:rPr>
              <w:fldChar w:fldCharType="separate"/>
            </w:r>
            <w:r>
              <w:rPr>
                <w:noProof/>
                <w:webHidden/>
              </w:rPr>
              <w:t>9</w:t>
            </w:r>
            <w:r>
              <w:rPr>
                <w:noProof/>
                <w:webHidden/>
              </w:rPr>
              <w:fldChar w:fldCharType="end"/>
            </w:r>
          </w:hyperlink>
        </w:p>
        <w:p w:rsidR="008C3F36" w:rsidRDefault="008C3F36">
          <w:pPr>
            <w:pStyle w:val="TOC2"/>
            <w:tabs>
              <w:tab w:val="right" w:leader="dot" w:pos="9016"/>
            </w:tabs>
            <w:rPr>
              <w:rFonts w:eastAsiaTheme="minorEastAsia"/>
              <w:noProof/>
              <w:lang w:eastAsia="en-GB"/>
            </w:rPr>
          </w:pPr>
          <w:hyperlink w:anchor="_Toc71924096" w:history="1">
            <w:r w:rsidRPr="00A21721">
              <w:rPr>
                <w:rStyle w:val="Hyperlink"/>
                <w:noProof/>
              </w:rPr>
              <w:t>Porter’s Five Forces Model</w:t>
            </w:r>
            <w:r>
              <w:rPr>
                <w:noProof/>
                <w:webHidden/>
              </w:rPr>
              <w:tab/>
            </w:r>
            <w:r>
              <w:rPr>
                <w:noProof/>
                <w:webHidden/>
              </w:rPr>
              <w:fldChar w:fldCharType="begin"/>
            </w:r>
            <w:r>
              <w:rPr>
                <w:noProof/>
                <w:webHidden/>
              </w:rPr>
              <w:instrText xml:space="preserve"> PAGEREF _Toc71924096 \h </w:instrText>
            </w:r>
            <w:r>
              <w:rPr>
                <w:noProof/>
                <w:webHidden/>
              </w:rPr>
            </w:r>
            <w:r>
              <w:rPr>
                <w:noProof/>
                <w:webHidden/>
              </w:rPr>
              <w:fldChar w:fldCharType="separate"/>
            </w:r>
            <w:r>
              <w:rPr>
                <w:noProof/>
                <w:webHidden/>
              </w:rPr>
              <w:t>11</w:t>
            </w:r>
            <w:r>
              <w:rPr>
                <w:noProof/>
                <w:webHidden/>
              </w:rPr>
              <w:fldChar w:fldCharType="end"/>
            </w:r>
          </w:hyperlink>
        </w:p>
        <w:p w:rsidR="008C3F36" w:rsidRDefault="008C3F36">
          <w:pPr>
            <w:pStyle w:val="TOC2"/>
            <w:tabs>
              <w:tab w:val="right" w:leader="dot" w:pos="9016"/>
            </w:tabs>
            <w:rPr>
              <w:rFonts w:eastAsiaTheme="minorEastAsia"/>
              <w:noProof/>
              <w:lang w:eastAsia="en-GB"/>
            </w:rPr>
          </w:pPr>
          <w:hyperlink w:anchor="_Toc71924097" w:history="1">
            <w:r w:rsidRPr="00A21721">
              <w:rPr>
                <w:rStyle w:val="Hyperlink"/>
                <w:noProof/>
              </w:rPr>
              <w:t>Value Chain Model</w:t>
            </w:r>
            <w:r>
              <w:rPr>
                <w:noProof/>
                <w:webHidden/>
              </w:rPr>
              <w:tab/>
            </w:r>
            <w:r>
              <w:rPr>
                <w:noProof/>
                <w:webHidden/>
              </w:rPr>
              <w:fldChar w:fldCharType="begin"/>
            </w:r>
            <w:r>
              <w:rPr>
                <w:noProof/>
                <w:webHidden/>
              </w:rPr>
              <w:instrText xml:space="preserve"> PAGEREF _Toc71924097 \h </w:instrText>
            </w:r>
            <w:r>
              <w:rPr>
                <w:noProof/>
                <w:webHidden/>
              </w:rPr>
            </w:r>
            <w:r>
              <w:rPr>
                <w:noProof/>
                <w:webHidden/>
              </w:rPr>
              <w:fldChar w:fldCharType="separate"/>
            </w:r>
            <w:r>
              <w:rPr>
                <w:noProof/>
                <w:webHidden/>
              </w:rPr>
              <w:t>13</w:t>
            </w:r>
            <w:r>
              <w:rPr>
                <w:noProof/>
                <w:webHidden/>
              </w:rPr>
              <w:fldChar w:fldCharType="end"/>
            </w:r>
          </w:hyperlink>
        </w:p>
        <w:p w:rsidR="008C3F36" w:rsidRDefault="008C3F36">
          <w:pPr>
            <w:pStyle w:val="TOC2"/>
            <w:tabs>
              <w:tab w:val="right" w:leader="dot" w:pos="9016"/>
            </w:tabs>
            <w:rPr>
              <w:rFonts w:eastAsiaTheme="minorEastAsia"/>
              <w:noProof/>
              <w:lang w:eastAsia="en-GB"/>
            </w:rPr>
          </w:pPr>
          <w:hyperlink w:anchor="_Toc71924098" w:history="1">
            <w:r w:rsidRPr="00A21721">
              <w:rPr>
                <w:rStyle w:val="Hyperlink"/>
                <w:noProof/>
              </w:rPr>
              <w:t>McKinsey 7S model</w:t>
            </w:r>
            <w:r>
              <w:rPr>
                <w:noProof/>
                <w:webHidden/>
              </w:rPr>
              <w:tab/>
            </w:r>
            <w:r>
              <w:rPr>
                <w:noProof/>
                <w:webHidden/>
              </w:rPr>
              <w:fldChar w:fldCharType="begin"/>
            </w:r>
            <w:r>
              <w:rPr>
                <w:noProof/>
                <w:webHidden/>
              </w:rPr>
              <w:instrText xml:space="preserve"> PAGEREF _Toc71924098 \h </w:instrText>
            </w:r>
            <w:r>
              <w:rPr>
                <w:noProof/>
                <w:webHidden/>
              </w:rPr>
            </w:r>
            <w:r>
              <w:rPr>
                <w:noProof/>
                <w:webHidden/>
              </w:rPr>
              <w:fldChar w:fldCharType="separate"/>
            </w:r>
            <w:r>
              <w:rPr>
                <w:noProof/>
                <w:webHidden/>
              </w:rPr>
              <w:t>15</w:t>
            </w:r>
            <w:r>
              <w:rPr>
                <w:noProof/>
                <w:webHidden/>
              </w:rPr>
              <w:fldChar w:fldCharType="end"/>
            </w:r>
          </w:hyperlink>
        </w:p>
        <w:p w:rsidR="008C3F36" w:rsidRDefault="008C3F36">
          <w:pPr>
            <w:pStyle w:val="TOC2"/>
            <w:tabs>
              <w:tab w:val="right" w:leader="dot" w:pos="9016"/>
            </w:tabs>
            <w:rPr>
              <w:rFonts w:eastAsiaTheme="minorEastAsia"/>
              <w:noProof/>
              <w:lang w:eastAsia="en-GB"/>
            </w:rPr>
          </w:pPr>
          <w:hyperlink w:anchor="_Toc71924099" w:history="1">
            <w:r w:rsidRPr="00A21721">
              <w:rPr>
                <w:rStyle w:val="Hyperlink"/>
                <w:noProof/>
              </w:rPr>
              <w:t>SWOT analysis</w:t>
            </w:r>
            <w:r>
              <w:rPr>
                <w:noProof/>
                <w:webHidden/>
              </w:rPr>
              <w:tab/>
            </w:r>
            <w:r>
              <w:rPr>
                <w:noProof/>
                <w:webHidden/>
              </w:rPr>
              <w:fldChar w:fldCharType="begin"/>
            </w:r>
            <w:r>
              <w:rPr>
                <w:noProof/>
                <w:webHidden/>
              </w:rPr>
              <w:instrText xml:space="preserve"> PAGEREF _Toc71924099 \h </w:instrText>
            </w:r>
            <w:r>
              <w:rPr>
                <w:noProof/>
                <w:webHidden/>
              </w:rPr>
            </w:r>
            <w:r>
              <w:rPr>
                <w:noProof/>
                <w:webHidden/>
              </w:rPr>
              <w:fldChar w:fldCharType="separate"/>
            </w:r>
            <w:r>
              <w:rPr>
                <w:noProof/>
                <w:webHidden/>
              </w:rPr>
              <w:t>17</w:t>
            </w:r>
            <w:r>
              <w:rPr>
                <w:noProof/>
                <w:webHidden/>
              </w:rPr>
              <w:fldChar w:fldCharType="end"/>
            </w:r>
          </w:hyperlink>
        </w:p>
        <w:p w:rsidR="008C3F36" w:rsidRDefault="008C3F36">
          <w:pPr>
            <w:pStyle w:val="TOC1"/>
            <w:tabs>
              <w:tab w:val="right" w:leader="dot" w:pos="9016"/>
            </w:tabs>
            <w:rPr>
              <w:rFonts w:eastAsiaTheme="minorEastAsia"/>
              <w:noProof/>
              <w:lang w:eastAsia="en-GB"/>
            </w:rPr>
          </w:pPr>
          <w:hyperlink w:anchor="_Toc71924100" w:history="1">
            <w:r w:rsidRPr="00A21721">
              <w:rPr>
                <w:rStyle w:val="Hyperlink"/>
                <w:noProof/>
              </w:rPr>
              <w:t>Strategic Options for GSK</w:t>
            </w:r>
            <w:r>
              <w:rPr>
                <w:noProof/>
                <w:webHidden/>
              </w:rPr>
              <w:tab/>
            </w:r>
            <w:r>
              <w:rPr>
                <w:noProof/>
                <w:webHidden/>
              </w:rPr>
              <w:fldChar w:fldCharType="begin"/>
            </w:r>
            <w:r>
              <w:rPr>
                <w:noProof/>
                <w:webHidden/>
              </w:rPr>
              <w:instrText xml:space="preserve"> PAGEREF _Toc71924100 \h </w:instrText>
            </w:r>
            <w:r>
              <w:rPr>
                <w:noProof/>
                <w:webHidden/>
              </w:rPr>
            </w:r>
            <w:r>
              <w:rPr>
                <w:noProof/>
                <w:webHidden/>
              </w:rPr>
              <w:fldChar w:fldCharType="separate"/>
            </w:r>
            <w:r>
              <w:rPr>
                <w:noProof/>
                <w:webHidden/>
              </w:rPr>
              <w:t>19</w:t>
            </w:r>
            <w:r>
              <w:rPr>
                <w:noProof/>
                <w:webHidden/>
              </w:rPr>
              <w:fldChar w:fldCharType="end"/>
            </w:r>
          </w:hyperlink>
        </w:p>
        <w:p w:rsidR="008C3F36" w:rsidRDefault="008C3F36">
          <w:pPr>
            <w:pStyle w:val="TOC2"/>
            <w:tabs>
              <w:tab w:val="right" w:leader="dot" w:pos="9016"/>
            </w:tabs>
            <w:rPr>
              <w:rFonts w:eastAsiaTheme="minorEastAsia"/>
              <w:noProof/>
              <w:lang w:eastAsia="en-GB"/>
            </w:rPr>
          </w:pPr>
          <w:hyperlink w:anchor="_Toc71924101" w:history="1">
            <w:r w:rsidRPr="00A21721">
              <w:rPr>
                <w:rStyle w:val="Hyperlink"/>
                <w:noProof/>
              </w:rPr>
              <w:t>Porter’s Generic Strategies</w:t>
            </w:r>
            <w:r>
              <w:rPr>
                <w:noProof/>
                <w:webHidden/>
              </w:rPr>
              <w:tab/>
            </w:r>
            <w:r>
              <w:rPr>
                <w:noProof/>
                <w:webHidden/>
              </w:rPr>
              <w:fldChar w:fldCharType="begin"/>
            </w:r>
            <w:r>
              <w:rPr>
                <w:noProof/>
                <w:webHidden/>
              </w:rPr>
              <w:instrText xml:space="preserve"> PAGEREF _Toc71924101 \h </w:instrText>
            </w:r>
            <w:r>
              <w:rPr>
                <w:noProof/>
                <w:webHidden/>
              </w:rPr>
            </w:r>
            <w:r>
              <w:rPr>
                <w:noProof/>
                <w:webHidden/>
              </w:rPr>
              <w:fldChar w:fldCharType="separate"/>
            </w:r>
            <w:r>
              <w:rPr>
                <w:noProof/>
                <w:webHidden/>
              </w:rPr>
              <w:t>19</w:t>
            </w:r>
            <w:r>
              <w:rPr>
                <w:noProof/>
                <w:webHidden/>
              </w:rPr>
              <w:fldChar w:fldCharType="end"/>
            </w:r>
          </w:hyperlink>
        </w:p>
        <w:p w:rsidR="008C3F36" w:rsidRDefault="008C3F36">
          <w:pPr>
            <w:pStyle w:val="TOC2"/>
            <w:tabs>
              <w:tab w:val="right" w:leader="dot" w:pos="9016"/>
            </w:tabs>
            <w:rPr>
              <w:rFonts w:eastAsiaTheme="minorEastAsia"/>
              <w:noProof/>
              <w:lang w:eastAsia="en-GB"/>
            </w:rPr>
          </w:pPr>
          <w:hyperlink w:anchor="_Toc71924102" w:history="1">
            <w:r w:rsidRPr="00A21721">
              <w:rPr>
                <w:rStyle w:val="Hyperlink"/>
                <w:noProof/>
              </w:rPr>
              <w:t>Ansoff Growth Matrix</w:t>
            </w:r>
            <w:r>
              <w:rPr>
                <w:noProof/>
                <w:webHidden/>
              </w:rPr>
              <w:tab/>
            </w:r>
            <w:r>
              <w:rPr>
                <w:noProof/>
                <w:webHidden/>
              </w:rPr>
              <w:fldChar w:fldCharType="begin"/>
            </w:r>
            <w:r>
              <w:rPr>
                <w:noProof/>
                <w:webHidden/>
              </w:rPr>
              <w:instrText xml:space="preserve"> PAGEREF _Toc71924102 \h </w:instrText>
            </w:r>
            <w:r>
              <w:rPr>
                <w:noProof/>
                <w:webHidden/>
              </w:rPr>
            </w:r>
            <w:r>
              <w:rPr>
                <w:noProof/>
                <w:webHidden/>
              </w:rPr>
              <w:fldChar w:fldCharType="separate"/>
            </w:r>
            <w:r>
              <w:rPr>
                <w:noProof/>
                <w:webHidden/>
              </w:rPr>
              <w:t>20</w:t>
            </w:r>
            <w:r>
              <w:rPr>
                <w:noProof/>
                <w:webHidden/>
              </w:rPr>
              <w:fldChar w:fldCharType="end"/>
            </w:r>
          </w:hyperlink>
        </w:p>
        <w:p w:rsidR="008C3F36" w:rsidRDefault="008C3F36">
          <w:pPr>
            <w:pStyle w:val="TOC2"/>
            <w:tabs>
              <w:tab w:val="right" w:leader="dot" w:pos="9016"/>
            </w:tabs>
            <w:rPr>
              <w:rFonts w:eastAsiaTheme="minorEastAsia"/>
              <w:noProof/>
              <w:lang w:eastAsia="en-GB"/>
            </w:rPr>
          </w:pPr>
          <w:hyperlink w:anchor="_Toc71924103" w:history="1">
            <w:r w:rsidRPr="00A21721">
              <w:rPr>
                <w:rStyle w:val="Hyperlink"/>
                <w:noProof/>
              </w:rPr>
              <w:t>Strategic Clock</w:t>
            </w:r>
            <w:r>
              <w:rPr>
                <w:noProof/>
                <w:webHidden/>
              </w:rPr>
              <w:tab/>
            </w:r>
            <w:r>
              <w:rPr>
                <w:noProof/>
                <w:webHidden/>
              </w:rPr>
              <w:fldChar w:fldCharType="begin"/>
            </w:r>
            <w:r>
              <w:rPr>
                <w:noProof/>
                <w:webHidden/>
              </w:rPr>
              <w:instrText xml:space="preserve"> PAGEREF _Toc71924103 \h </w:instrText>
            </w:r>
            <w:r>
              <w:rPr>
                <w:noProof/>
                <w:webHidden/>
              </w:rPr>
            </w:r>
            <w:r>
              <w:rPr>
                <w:noProof/>
                <w:webHidden/>
              </w:rPr>
              <w:fldChar w:fldCharType="separate"/>
            </w:r>
            <w:r>
              <w:rPr>
                <w:noProof/>
                <w:webHidden/>
              </w:rPr>
              <w:t>21</w:t>
            </w:r>
            <w:r>
              <w:rPr>
                <w:noProof/>
                <w:webHidden/>
              </w:rPr>
              <w:fldChar w:fldCharType="end"/>
            </w:r>
          </w:hyperlink>
        </w:p>
        <w:p w:rsidR="008C3F36" w:rsidRDefault="008C3F36">
          <w:pPr>
            <w:pStyle w:val="TOC1"/>
            <w:tabs>
              <w:tab w:val="right" w:leader="dot" w:pos="9016"/>
            </w:tabs>
            <w:rPr>
              <w:rFonts w:eastAsiaTheme="minorEastAsia"/>
              <w:noProof/>
              <w:lang w:eastAsia="en-GB"/>
            </w:rPr>
          </w:pPr>
          <w:hyperlink w:anchor="_Toc71924104" w:history="1">
            <w:r w:rsidRPr="00A21721">
              <w:rPr>
                <w:rStyle w:val="Hyperlink"/>
                <w:noProof/>
              </w:rPr>
              <w:t>Conclusion and recommendations</w:t>
            </w:r>
            <w:r>
              <w:rPr>
                <w:noProof/>
                <w:webHidden/>
              </w:rPr>
              <w:tab/>
            </w:r>
            <w:r>
              <w:rPr>
                <w:noProof/>
                <w:webHidden/>
              </w:rPr>
              <w:fldChar w:fldCharType="begin"/>
            </w:r>
            <w:r>
              <w:rPr>
                <w:noProof/>
                <w:webHidden/>
              </w:rPr>
              <w:instrText xml:space="preserve"> PAGEREF _Toc71924104 \h </w:instrText>
            </w:r>
            <w:r>
              <w:rPr>
                <w:noProof/>
                <w:webHidden/>
              </w:rPr>
            </w:r>
            <w:r>
              <w:rPr>
                <w:noProof/>
                <w:webHidden/>
              </w:rPr>
              <w:fldChar w:fldCharType="separate"/>
            </w:r>
            <w:r>
              <w:rPr>
                <w:noProof/>
                <w:webHidden/>
              </w:rPr>
              <w:t>23</w:t>
            </w:r>
            <w:r>
              <w:rPr>
                <w:noProof/>
                <w:webHidden/>
              </w:rPr>
              <w:fldChar w:fldCharType="end"/>
            </w:r>
          </w:hyperlink>
        </w:p>
        <w:p w:rsidR="008C3F36" w:rsidRDefault="008C3F36">
          <w:pPr>
            <w:pStyle w:val="TOC2"/>
            <w:tabs>
              <w:tab w:val="right" w:leader="dot" w:pos="9016"/>
            </w:tabs>
            <w:rPr>
              <w:rFonts w:eastAsiaTheme="minorEastAsia"/>
              <w:noProof/>
              <w:lang w:eastAsia="en-GB"/>
            </w:rPr>
          </w:pPr>
          <w:hyperlink w:anchor="_Toc71924105" w:history="1">
            <w:r w:rsidRPr="00A21721">
              <w:rPr>
                <w:rStyle w:val="Hyperlink"/>
                <w:noProof/>
              </w:rPr>
              <w:t>Conclusion</w:t>
            </w:r>
            <w:r>
              <w:rPr>
                <w:noProof/>
                <w:webHidden/>
              </w:rPr>
              <w:tab/>
            </w:r>
            <w:r>
              <w:rPr>
                <w:noProof/>
                <w:webHidden/>
              </w:rPr>
              <w:fldChar w:fldCharType="begin"/>
            </w:r>
            <w:r>
              <w:rPr>
                <w:noProof/>
                <w:webHidden/>
              </w:rPr>
              <w:instrText xml:space="preserve"> PAGEREF _Toc71924105 \h </w:instrText>
            </w:r>
            <w:r>
              <w:rPr>
                <w:noProof/>
                <w:webHidden/>
              </w:rPr>
            </w:r>
            <w:r>
              <w:rPr>
                <w:noProof/>
                <w:webHidden/>
              </w:rPr>
              <w:fldChar w:fldCharType="separate"/>
            </w:r>
            <w:r>
              <w:rPr>
                <w:noProof/>
                <w:webHidden/>
              </w:rPr>
              <w:t>23</w:t>
            </w:r>
            <w:r>
              <w:rPr>
                <w:noProof/>
                <w:webHidden/>
              </w:rPr>
              <w:fldChar w:fldCharType="end"/>
            </w:r>
          </w:hyperlink>
        </w:p>
        <w:p w:rsidR="008C3F36" w:rsidRDefault="008C3F36">
          <w:pPr>
            <w:pStyle w:val="TOC2"/>
            <w:tabs>
              <w:tab w:val="right" w:leader="dot" w:pos="9016"/>
            </w:tabs>
            <w:rPr>
              <w:rFonts w:eastAsiaTheme="minorEastAsia"/>
              <w:noProof/>
              <w:lang w:eastAsia="en-GB"/>
            </w:rPr>
          </w:pPr>
          <w:hyperlink w:anchor="_Toc71924106" w:history="1">
            <w:r w:rsidRPr="00A21721">
              <w:rPr>
                <w:rStyle w:val="Hyperlink"/>
                <w:noProof/>
              </w:rPr>
              <w:t>Recommendations</w:t>
            </w:r>
            <w:r>
              <w:rPr>
                <w:noProof/>
                <w:webHidden/>
              </w:rPr>
              <w:tab/>
            </w:r>
            <w:r>
              <w:rPr>
                <w:noProof/>
                <w:webHidden/>
              </w:rPr>
              <w:fldChar w:fldCharType="begin"/>
            </w:r>
            <w:r>
              <w:rPr>
                <w:noProof/>
                <w:webHidden/>
              </w:rPr>
              <w:instrText xml:space="preserve"> PAGEREF _Toc71924106 \h </w:instrText>
            </w:r>
            <w:r>
              <w:rPr>
                <w:noProof/>
                <w:webHidden/>
              </w:rPr>
            </w:r>
            <w:r>
              <w:rPr>
                <w:noProof/>
                <w:webHidden/>
              </w:rPr>
              <w:fldChar w:fldCharType="separate"/>
            </w:r>
            <w:r>
              <w:rPr>
                <w:noProof/>
                <w:webHidden/>
              </w:rPr>
              <w:t>24</w:t>
            </w:r>
            <w:r>
              <w:rPr>
                <w:noProof/>
                <w:webHidden/>
              </w:rPr>
              <w:fldChar w:fldCharType="end"/>
            </w:r>
          </w:hyperlink>
        </w:p>
        <w:p w:rsidR="008C3F36" w:rsidRDefault="008C3F36">
          <w:pPr>
            <w:pStyle w:val="TOC1"/>
            <w:tabs>
              <w:tab w:val="right" w:leader="dot" w:pos="9016"/>
            </w:tabs>
            <w:rPr>
              <w:rFonts w:eastAsiaTheme="minorEastAsia"/>
              <w:noProof/>
              <w:lang w:eastAsia="en-GB"/>
            </w:rPr>
          </w:pPr>
          <w:hyperlink w:anchor="_Toc71924107" w:history="1">
            <w:r w:rsidRPr="00A21721">
              <w:rPr>
                <w:rStyle w:val="Hyperlink"/>
                <w:noProof/>
              </w:rPr>
              <w:t>References</w:t>
            </w:r>
            <w:r>
              <w:rPr>
                <w:noProof/>
                <w:webHidden/>
              </w:rPr>
              <w:tab/>
            </w:r>
            <w:r>
              <w:rPr>
                <w:noProof/>
                <w:webHidden/>
              </w:rPr>
              <w:fldChar w:fldCharType="begin"/>
            </w:r>
            <w:r>
              <w:rPr>
                <w:noProof/>
                <w:webHidden/>
              </w:rPr>
              <w:instrText xml:space="preserve"> PAGEREF _Toc71924107 \h </w:instrText>
            </w:r>
            <w:r>
              <w:rPr>
                <w:noProof/>
                <w:webHidden/>
              </w:rPr>
            </w:r>
            <w:r>
              <w:rPr>
                <w:noProof/>
                <w:webHidden/>
              </w:rPr>
              <w:fldChar w:fldCharType="separate"/>
            </w:r>
            <w:r>
              <w:rPr>
                <w:noProof/>
                <w:webHidden/>
              </w:rPr>
              <w:t>25</w:t>
            </w:r>
            <w:r>
              <w:rPr>
                <w:noProof/>
                <w:webHidden/>
              </w:rPr>
              <w:fldChar w:fldCharType="end"/>
            </w:r>
          </w:hyperlink>
        </w:p>
        <w:p w:rsidR="008C3F36" w:rsidRDefault="008C3F36">
          <w:r>
            <w:rPr>
              <w:b/>
              <w:bCs/>
              <w:noProof/>
            </w:rPr>
            <w:fldChar w:fldCharType="end"/>
          </w:r>
        </w:p>
      </w:sdtContent>
    </w:sdt>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FB612A" w:rsidRPr="00C124AD" w:rsidRDefault="00FB612A" w:rsidP="007E64DD">
      <w:pPr>
        <w:pStyle w:val="Heading1"/>
      </w:pPr>
      <w:bookmarkStart w:id="0" w:name="_Toc71924088"/>
      <w:r w:rsidRPr="00C124AD">
        <w:lastRenderedPageBreak/>
        <w:t>Introduction</w:t>
      </w:r>
      <w:bookmarkEnd w:id="0"/>
    </w:p>
    <w:p w:rsidR="00FB612A" w:rsidRDefault="002069B1" w:rsidP="00584CD1">
      <w:pPr>
        <w:spacing w:line="360" w:lineRule="auto"/>
        <w:jc w:val="both"/>
        <w:rPr>
          <w:sz w:val="24"/>
          <w:szCs w:val="24"/>
        </w:rPr>
      </w:pPr>
      <w:r>
        <w:rPr>
          <w:sz w:val="24"/>
          <w:szCs w:val="24"/>
        </w:rPr>
        <w:t>Business strategies refer to critically formulating the approaches and methods required to reach the objectives and goals (</w:t>
      </w:r>
      <w:proofErr w:type="spellStart"/>
      <w:r w:rsidR="005A0DA4" w:rsidRPr="00753846">
        <w:rPr>
          <w:rFonts w:cstheme="minorHAnsi"/>
          <w:sz w:val="24"/>
          <w:szCs w:val="24"/>
          <w:shd w:val="clear" w:color="auto" w:fill="FFFFFF"/>
        </w:rPr>
        <w:t>Lasserre</w:t>
      </w:r>
      <w:proofErr w:type="spellEnd"/>
      <w:r w:rsidR="005A0DA4" w:rsidRPr="00753846">
        <w:rPr>
          <w:rFonts w:cstheme="minorHAnsi"/>
          <w:sz w:val="24"/>
          <w:szCs w:val="24"/>
          <w:shd w:val="clear" w:color="auto" w:fill="FFFFFF"/>
        </w:rPr>
        <w:t>,</w:t>
      </w:r>
      <w:r w:rsidR="005A0DA4">
        <w:rPr>
          <w:rFonts w:cstheme="minorHAnsi"/>
          <w:sz w:val="24"/>
          <w:szCs w:val="24"/>
          <w:shd w:val="clear" w:color="auto" w:fill="FFFFFF"/>
        </w:rPr>
        <w:t xml:space="preserve"> 2017</w:t>
      </w:r>
      <w:r>
        <w:rPr>
          <w:sz w:val="24"/>
          <w:szCs w:val="24"/>
        </w:rPr>
        <w:t xml:space="preserve">). </w:t>
      </w:r>
      <w:r w:rsidR="009F46B2">
        <w:rPr>
          <w:sz w:val="24"/>
          <w:szCs w:val="24"/>
        </w:rPr>
        <w:t>Business strategies can also be defined as a set of action plans that help a company to reach the business objectives.</w:t>
      </w:r>
      <w:r w:rsidR="00292CEE">
        <w:rPr>
          <w:sz w:val="24"/>
          <w:szCs w:val="24"/>
        </w:rPr>
        <w:t xml:space="preserve"> Companies exert extensive efforts in making business strategies because without strategies a company cannot build upon competitive advantage (</w:t>
      </w:r>
      <w:proofErr w:type="spellStart"/>
      <w:r w:rsidR="005A0DA4" w:rsidRPr="00753846">
        <w:rPr>
          <w:rFonts w:cstheme="minorHAnsi"/>
          <w:sz w:val="24"/>
          <w:szCs w:val="24"/>
          <w:shd w:val="clear" w:color="auto" w:fill="FFFFFF"/>
        </w:rPr>
        <w:t>Lasserre</w:t>
      </w:r>
      <w:proofErr w:type="spellEnd"/>
      <w:r w:rsidR="005A0DA4" w:rsidRPr="00753846">
        <w:rPr>
          <w:rFonts w:cstheme="minorHAnsi"/>
          <w:sz w:val="24"/>
          <w:szCs w:val="24"/>
          <w:shd w:val="clear" w:color="auto" w:fill="FFFFFF"/>
        </w:rPr>
        <w:t>,</w:t>
      </w:r>
      <w:r w:rsidR="005A0DA4">
        <w:rPr>
          <w:rFonts w:cstheme="minorHAnsi"/>
          <w:sz w:val="24"/>
          <w:szCs w:val="24"/>
          <w:shd w:val="clear" w:color="auto" w:fill="FFFFFF"/>
        </w:rPr>
        <w:t xml:space="preserve"> 2017</w:t>
      </w:r>
      <w:r w:rsidR="00292CEE">
        <w:rPr>
          <w:sz w:val="24"/>
          <w:szCs w:val="24"/>
        </w:rPr>
        <w:t>).</w:t>
      </w:r>
      <w:r w:rsidR="009F46B2">
        <w:rPr>
          <w:sz w:val="24"/>
          <w:szCs w:val="24"/>
        </w:rPr>
        <w:t xml:space="preserve"> </w:t>
      </w:r>
      <w:r w:rsidR="00CF53B8">
        <w:rPr>
          <w:sz w:val="24"/>
          <w:szCs w:val="24"/>
        </w:rPr>
        <w:t>Prior to formulating the business strategy, assessing the external and internal business environment is important because formulation of the business strategy will depend on the internal and external business environment (</w:t>
      </w:r>
      <w:proofErr w:type="spellStart"/>
      <w:r w:rsidR="005A0DA4">
        <w:rPr>
          <w:rFonts w:cstheme="minorHAnsi"/>
          <w:sz w:val="24"/>
          <w:szCs w:val="24"/>
          <w:shd w:val="clear" w:color="auto" w:fill="FFFFFF"/>
        </w:rPr>
        <w:t>Katsioloudes</w:t>
      </w:r>
      <w:proofErr w:type="spellEnd"/>
      <w:r w:rsidR="005A0DA4">
        <w:rPr>
          <w:rFonts w:cstheme="minorHAnsi"/>
          <w:sz w:val="24"/>
          <w:szCs w:val="24"/>
          <w:shd w:val="clear" w:color="auto" w:fill="FFFFFF"/>
        </w:rPr>
        <w:t xml:space="preserve"> &amp; </w:t>
      </w:r>
      <w:proofErr w:type="spellStart"/>
      <w:r w:rsidR="005A0DA4">
        <w:rPr>
          <w:rFonts w:cstheme="minorHAnsi"/>
          <w:sz w:val="24"/>
          <w:szCs w:val="24"/>
          <w:shd w:val="clear" w:color="auto" w:fill="FFFFFF"/>
        </w:rPr>
        <w:t>Abouhanian</w:t>
      </w:r>
      <w:proofErr w:type="spellEnd"/>
      <w:r w:rsidR="005A0DA4">
        <w:rPr>
          <w:rFonts w:cstheme="minorHAnsi"/>
          <w:sz w:val="24"/>
          <w:szCs w:val="24"/>
          <w:shd w:val="clear" w:color="auto" w:fill="FFFFFF"/>
        </w:rPr>
        <w:t>, 2009</w:t>
      </w:r>
      <w:r w:rsidR="00CF53B8">
        <w:rPr>
          <w:sz w:val="24"/>
          <w:szCs w:val="24"/>
        </w:rPr>
        <w:t>)</w:t>
      </w:r>
      <w:r w:rsidR="00B22ECD">
        <w:rPr>
          <w:sz w:val="24"/>
          <w:szCs w:val="24"/>
        </w:rPr>
        <w:t xml:space="preserve">. </w:t>
      </w:r>
      <w:r w:rsidR="0089140A">
        <w:rPr>
          <w:sz w:val="24"/>
          <w:szCs w:val="24"/>
        </w:rPr>
        <w:t>This asserts that critical analysis and scanning of the internal and external</w:t>
      </w:r>
      <w:r w:rsidR="006477CE">
        <w:rPr>
          <w:sz w:val="24"/>
          <w:szCs w:val="24"/>
        </w:rPr>
        <w:t xml:space="preserve"> business</w:t>
      </w:r>
      <w:r w:rsidR="0089140A">
        <w:rPr>
          <w:sz w:val="24"/>
          <w:szCs w:val="24"/>
        </w:rPr>
        <w:t xml:space="preserve"> </w:t>
      </w:r>
      <w:r w:rsidR="006477CE">
        <w:rPr>
          <w:sz w:val="24"/>
          <w:szCs w:val="24"/>
        </w:rPr>
        <w:t xml:space="preserve">environment is the key </w:t>
      </w:r>
      <w:r w:rsidR="005F01EC">
        <w:rPr>
          <w:sz w:val="24"/>
          <w:szCs w:val="24"/>
        </w:rPr>
        <w:t>to formulating succession business strategies because the inputs from the internal and external business environment make the strategic formulation timely, and effective.</w:t>
      </w:r>
    </w:p>
    <w:p w:rsidR="00EB75F3" w:rsidRDefault="009B1679" w:rsidP="00584CD1">
      <w:pPr>
        <w:spacing w:line="360" w:lineRule="auto"/>
        <w:jc w:val="both"/>
        <w:rPr>
          <w:sz w:val="24"/>
          <w:szCs w:val="24"/>
        </w:rPr>
      </w:pPr>
      <w:r>
        <w:rPr>
          <w:sz w:val="24"/>
          <w:szCs w:val="24"/>
        </w:rPr>
        <w:t xml:space="preserve">External environment refers to the factors and surrounding environment that </w:t>
      </w:r>
      <w:r w:rsidR="00EF3B40">
        <w:rPr>
          <w:sz w:val="24"/>
          <w:szCs w:val="24"/>
        </w:rPr>
        <w:t>are beyond the control of the business (</w:t>
      </w:r>
      <w:r w:rsidR="00FD3EC2" w:rsidRPr="00753846">
        <w:rPr>
          <w:rFonts w:cstheme="minorHAnsi"/>
          <w:sz w:val="24"/>
          <w:szCs w:val="24"/>
          <w:shd w:val="clear" w:color="auto" w:fill="FFFFFF"/>
        </w:rPr>
        <w:t>Pearce &amp; John,</w:t>
      </w:r>
      <w:r w:rsidR="00FD3EC2">
        <w:rPr>
          <w:rFonts w:cstheme="minorHAnsi"/>
          <w:sz w:val="24"/>
          <w:szCs w:val="24"/>
          <w:shd w:val="clear" w:color="auto" w:fill="FFFFFF"/>
        </w:rPr>
        <w:t xml:space="preserve"> 2011</w:t>
      </w:r>
      <w:r w:rsidR="00EF3B40">
        <w:rPr>
          <w:sz w:val="24"/>
          <w:szCs w:val="24"/>
        </w:rPr>
        <w:t xml:space="preserve">). This can also be termed as macro-environment. </w:t>
      </w:r>
      <w:r w:rsidR="007E6498">
        <w:rPr>
          <w:sz w:val="24"/>
          <w:szCs w:val="24"/>
        </w:rPr>
        <w:t>The most significant implication of the macro-environment is that this external environment cannot be controlled because the elements that constitute the macro-environment include external economic and political environment, competitive environment, technological environment etc. (</w:t>
      </w:r>
      <w:proofErr w:type="spellStart"/>
      <w:r w:rsidR="005A0DA4" w:rsidRPr="00753846">
        <w:rPr>
          <w:rFonts w:cstheme="minorHAnsi"/>
          <w:sz w:val="24"/>
          <w:szCs w:val="24"/>
          <w:shd w:val="clear" w:color="auto" w:fill="FFFFFF"/>
        </w:rPr>
        <w:t>Lasserre</w:t>
      </w:r>
      <w:proofErr w:type="spellEnd"/>
      <w:r w:rsidR="005A0DA4" w:rsidRPr="00753846">
        <w:rPr>
          <w:rFonts w:cstheme="minorHAnsi"/>
          <w:sz w:val="24"/>
          <w:szCs w:val="24"/>
          <w:shd w:val="clear" w:color="auto" w:fill="FFFFFF"/>
        </w:rPr>
        <w:t>,</w:t>
      </w:r>
      <w:r w:rsidR="005A0DA4">
        <w:rPr>
          <w:rFonts w:cstheme="minorHAnsi"/>
          <w:sz w:val="24"/>
          <w:szCs w:val="24"/>
          <w:shd w:val="clear" w:color="auto" w:fill="FFFFFF"/>
        </w:rPr>
        <w:t xml:space="preserve"> 2017</w:t>
      </w:r>
      <w:r w:rsidR="007E6498">
        <w:rPr>
          <w:sz w:val="24"/>
          <w:szCs w:val="24"/>
        </w:rPr>
        <w:t xml:space="preserve">). </w:t>
      </w:r>
      <w:r w:rsidR="00451C93">
        <w:rPr>
          <w:sz w:val="24"/>
          <w:szCs w:val="24"/>
        </w:rPr>
        <w:t xml:space="preserve">All these factors are beyond the control of a business. </w:t>
      </w:r>
      <w:r w:rsidR="005A0DA4">
        <w:rPr>
          <w:sz w:val="24"/>
          <w:szCs w:val="24"/>
        </w:rPr>
        <w:t xml:space="preserve">Therefore, </w:t>
      </w:r>
      <w:proofErr w:type="spellStart"/>
      <w:r w:rsidR="005A0DA4">
        <w:rPr>
          <w:rFonts w:cstheme="minorHAnsi"/>
          <w:sz w:val="24"/>
          <w:szCs w:val="24"/>
          <w:shd w:val="clear" w:color="auto" w:fill="FFFFFF"/>
        </w:rPr>
        <w:t>Katsioloudes</w:t>
      </w:r>
      <w:proofErr w:type="spellEnd"/>
      <w:r w:rsidR="005A0DA4">
        <w:rPr>
          <w:rFonts w:cstheme="minorHAnsi"/>
          <w:sz w:val="24"/>
          <w:szCs w:val="24"/>
          <w:shd w:val="clear" w:color="auto" w:fill="FFFFFF"/>
        </w:rPr>
        <w:t xml:space="preserve"> &amp; </w:t>
      </w:r>
      <w:proofErr w:type="spellStart"/>
      <w:r w:rsidR="005A0DA4">
        <w:rPr>
          <w:rFonts w:cstheme="minorHAnsi"/>
          <w:sz w:val="24"/>
          <w:szCs w:val="24"/>
          <w:shd w:val="clear" w:color="auto" w:fill="FFFFFF"/>
        </w:rPr>
        <w:t>Abouhanian</w:t>
      </w:r>
      <w:proofErr w:type="spellEnd"/>
      <w:r w:rsidR="005A0DA4" w:rsidRPr="00753846">
        <w:rPr>
          <w:rFonts w:cstheme="minorHAnsi"/>
          <w:sz w:val="24"/>
          <w:szCs w:val="24"/>
          <w:shd w:val="clear" w:color="auto" w:fill="FFFFFF"/>
        </w:rPr>
        <w:t xml:space="preserve"> </w:t>
      </w:r>
      <w:r w:rsidR="005A0DA4">
        <w:rPr>
          <w:rFonts w:cstheme="minorHAnsi"/>
          <w:sz w:val="24"/>
          <w:szCs w:val="24"/>
          <w:shd w:val="clear" w:color="auto" w:fill="FFFFFF"/>
        </w:rPr>
        <w:t>(2009)</w:t>
      </w:r>
      <w:r w:rsidR="005A0DA4">
        <w:rPr>
          <w:sz w:val="24"/>
          <w:szCs w:val="24"/>
        </w:rPr>
        <w:t xml:space="preserve"> </w:t>
      </w:r>
      <w:r w:rsidR="00F919C0">
        <w:rPr>
          <w:sz w:val="24"/>
          <w:szCs w:val="24"/>
        </w:rPr>
        <w:t xml:space="preserve">have suggested that </w:t>
      </w:r>
      <w:r w:rsidR="005250BA">
        <w:rPr>
          <w:sz w:val="24"/>
          <w:szCs w:val="24"/>
        </w:rPr>
        <w:t xml:space="preserve">business organisations should not exert efforts to control and moderate the external environment, rather it is highly recommended that businesses should </w:t>
      </w:r>
      <w:r w:rsidR="00F229F8">
        <w:rPr>
          <w:sz w:val="24"/>
          <w:szCs w:val="24"/>
        </w:rPr>
        <w:t xml:space="preserve">make required changes </w:t>
      </w:r>
      <w:r w:rsidR="00180431">
        <w:rPr>
          <w:sz w:val="24"/>
          <w:szCs w:val="24"/>
        </w:rPr>
        <w:t>to comply with the external factors.</w:t>
      </w:r>
    </w:p>
    <w:p w:rsidR="004B3FA4" w:rsidRDefault="00293F72" w:rsidP="00584CD1">
      <w:pPr>
        <w:spacing w:line="360" w:lineRule="auto"/>
        <w:jc w:val="both"/>
        <w:rPr>
          <w:sz w:val="24"/>
          <w:szCs w:val="24"/>
        </w:rPr>
      </w:pPr>
      <w:r>
        <w:rPr>
          <w:sz w:val="24"/>
          <w:szCs w:val="24"/>
        </w:rPr>
        <w:t>Internal environment and capabilities refer to the internal environment of a firm and it includes the internal capabilities, human resources, infrastructures, organisational culture, and key capabilities of the business (</w:t>
      </w:r>
      <w:r w:rsidR="00B05160" w:rsidRPr="00753846">
        <w:rPr>
          <w:rFonts w:cstheme="minorHAnsi"/>
          <w:sz w:val="24"/>
          <w:szCs w:val="24"/>
          <w:shd w:val="clear" w:color="auto" w:fill="FFFFFF"/>
        </w:rPr>
        <w:t>Pearce &amp; John,</w:t>
      </w:r>
      <w:r w:rsidR="00B05160">
        <w:rPr>
          <w:rFonts w:cstheme="minorHAnsi"/>
          <w:sz w:val="24"/>
          <w:szCs w:val="24"/>
          <w:shd w:val="clear" w:color="auto" w:fill="FFFFFF"/>
        </w:rPr>
        <w:t xml:space="preserve"> 2011</w:t>
      </w:r>
      <w:r>
        <w:rPr>
          <w:sz w:val="24"/>
          <w:szCs w:val="24"/>
        </w:rPr>
        <w:t xml:space="preserve">). </w:t>
      </w:r>
      <w:r w:rsidR="008A5020">
        <w:rPr>
          <w:sz w:val="24"/>
          <w:szCs w:val="24"/>
        </w:rPr>
        <w:t>Assessing the internal environment is also important because it helps a company to un</w:t>
      </w:r>
      <w:r w:rsidR="00582A4A">
        <w:rPr>
          <w:sz w:val="24"/>
          <w:szCs w:val="24"/>
        </w:rPr>
        <w:t xml:space="preserve">derstand the internal resources, capabilities, and infrastructures. Understanding these capabilities and resources are the key to formulating successful business </w:t>
      </w:r>
      <w:r w:rsidR="003503B2">
        <w:rPr>
          <w:sz w:val="24"/>
          <w:szCs w:val="24"/>
        </w:rPr>
        <w:t>strategies</w:t>
      </w:r>
      <w:r w:rsidR="00582A4A">
        <w:rPr>
          <w:sz w:val="24"/>
          <w:szCs w:val="24"/>
        </w:rPr>
        <w:t xml:space="preserve">. </w:t>
      </w:r>
      <w:r w:rsidR="00007D96">
        <w:rPr>
          <w:sz w:val="24"/>
          <w:szCs w:val="24"/>
        </w:rPr>
        <w:t>This is a report on business strategy that will be divided mainly in four sections. The first section will introduce the business case</w:t>
      </w:r>
      <w:r w:rsidR="00544A94">
        <w:rPr>
          <w:sz w:val="24"/>
          <w:szCs w:val="24"/>
        </w:rPr>
        <w:t xml:space="preserve"> and the business model of the selected company. Second section will critically assess the major factors that the business case has been facing. </w:t>
      </w:r>
      <w:r w:rsidR="00142F83">
        <w:rPr>
          <w:sz w:val="24"/>
          <w:szCs w:val="24"/>
        </w:rPr>
        <w:t xml:space="preserve">The third section will analyse the strategic directions </w:t>
      </w:r>
      <w:r w:rsidR="00142F83">
        <w:rPr>
          <w:sz w:val="24"/>
          <w:szCs w:val="24"/>
        </w:rPr>
        <w:lastRenderedPageBreak/>
        <w:t>for the selected business case. Finally, the report will end with conclusion and a set of recommendations.</w:t>
      </w:r>
    </w:p>
    <w:p w:rsidR="00EB1B7C" w:rsidRDefault="00F26C74" w:rsidP="00584CD1">
      <w:pPr>
        <w:spacing w:line="360" w:lineRule="auto"/>
        <w:jc w:val="both"/>
        <w:rPr>
          <w:rFonts w:cstheme="minorHAnsi"/>
          <w:sz w:val="24"/>
          <w:szCs w:val="24"/>
        </w:rPr>
      </w:pPr>
      <w:r>
        <w:rPr>
          <w:sz w:val="24"/>
          <w:szCs w:val="24"/>
        </w:rPr>
        <w:t>All these issues and aspect will be contextualised on a pharmaceutical company named</w:t>
      </w:r>
      <w:r w:rsidR="00E21087">
        <w:rPr>
          <w:sz w:val="24"/>
          <w:szCs w:val="24"/>
        </w:rPr>
        <w:t xml:space="preserve"> </w:t>
      </w:r>
      <w:r w:rsidR="006A56C8">
        <w:rPr>
          <w:sz w:val="24"/>
          <w:szCs w:val="24"/>
        </w:rPr>
        <w:t>GlaxoSmithKline</w:t>
      </w:r>
      <w:r w:rsidR="00E21087">
        <w:rPr>
          <w:sz w:val="24"/>
          <w:szCs w:val="24"/>
        </w:rPr>
        <w:t xml:space="preserve"> or briefly called GSK. The business model of GSK is given in the following secti</w:t>
      </w:r>
      <w:r w:rsidR="005543BE">
        <w:rPr>
          <w:sz w:val="24"/>
          <w:szCs w:val="24"/>
        </w:rPr>
        <w:t>on.</w:t>
      </w:r>
      <w:r w:rsidR="00B2648A">
        <w:rPr>
          <w:sz w:val="24"/>
          <w:szCs w:val="24"/>
        </w:rPr>
        <w:t xml:space="preserve"> GSK is a British Pharmaceutical, health and nutrition based </w:t>
      </w:r>
      <w:r w:rsidR="00B2648A" w:rsidRPr="00B2648A">
        <w:rPr>
          <w:i/>
          <w:sz w:val="24"/>
          <w:szCs w:val="24"/>
        </w:rPr>
        <w:t>Fortune 500</w:t>
      </w:r>
      <w:r w:rsidR="00B2648A">
        <w:rPr>
          <w:sz w:val="24"/>
          <w:szCs w:val="24"/>
        </w:rPr>
        <w:t xml:space="preserve"> multinational company (GlaxoSmithKline plc. 2021). </w:t>
      </w:r>
      <w:r w:rsidR="00097206">
        <w:rPr>
          <w:sz w:val="24"/>
          <w:szCs w:val="24"/>
        </w:rPr>
        <w:t>GSK is the 10</w:t>
      </w:r>
      <w:r w:rsidR="00097206" w:rsidRPr="00097206">
        <w:rPr>
          <w:sz w:val="24"/>
          <w:szCs w:val="24"/>
          <w:vertAlign w:val="superscript"/>
        </w:rPr>
        <w:t>th</w:t>
      </w:r>
      <w:r w:rsidR="00097206">
        <w:rPr>
          <w:sz w:val="24"/>
          <w:szCs w:val="24"/>
        </w:rPr>
        <w:t xml:space="preserve"> largest pharmaceuticals company in the world with presence in more than 96 markets in all the continents of the world (GlaxoSmithKline plc. 2021). </w:t>
      </w:r>
      <w:r w:rsidR="002D06B1">
        <w:rPr>
          <w:sz w:val="24"/>
          <w:szCs w:val="24"/>
        </w:rPr>
        <w:t xml:space="preserve">Generating a turnover of </w:t>
      </w:r>
      <w:r w:rsidR="002D06B1">
        <w:rPr>
          <w:rFonts w:cstheme="minorHAnsi"/>
          <w:sz w:val="24"/>
          <w:szCs w:val="24"/>
        </w:rPr>
        <w:t>£34 billion and operating revenue of £9 billion in 2020, GSK has employed more than 94,000 people globally among which above 12,000 scientists work in the R&amp;D sections around the world</w:t>
      </w:r>
      <w:r w:rsidR="00ED08DD">
        <w:rPr>
          <w:rFonts w:cstheme="minorHAnsi"/>
          <w:sz w:val="24"/>
          <w:szCs w:val="24"/>
        </w:rPr>
        <w:t xml:space="preserve"> (</w:t>
      </w:r>
      <w:r w:rsidR="00ED08DD">
        <w:rPr>
          <w:sz w:val="24"/>
          <w:szCs w:val="24"/>
        </w:rPr>
        <w:t>GlaxoSmithKline plc. 2021</w:t>
      </w:r>
      <w:r w:rsidR="00926436">
        <w:rPr>
          <w:rFonts w:cstheme="minorHAnsi"/>
          <w:sz w:val="24"/>
          <w:szCs w:val="24"/>
        </w:rPr>
        <w:t>).</w:t>
      </w:r>
    </w:p>
    <w:p w:rsidR="00232517" w:rsidRDefault="00232517" w:rsidP="00584CD1">
      <w:pPr>
        <w:spacing w:line="360" w:lineRule="auto"/>
        <w:jc w:val="both"/>
        <w:rPr>
          <w:rFonts w:cstheme="minorHAnsi"/>
          <w:sz w:val="24"/>
          <w:szCs w:val="24"/>
        </w:rPr>
      </w:pPr>
    </w:p>
    <w:p w:rsidR="00232517" w:rsidRDefault="00232517" w:rsidP="00584CD1">
      <w:pPr>
        <w:spacing w:line="360" w:lineRule="auto"/>
        <w:jc w:val="both"/>
        <w:rPr>
          <w:rFonts w:cstheme="minorHAnsi"/>
          <w:sz w:val="24"/>
          <w:szCs w:val="24"/>
        </w:rPr>
      </w:pPr>
    </w:p>
    <w:p w:rsidR="00232517" w:rsidRDefault="00232517" w:rsidP="00584CD1">
      <w:pPr>
        <w:spacing w:line="360" w:lineRule="auto"/>
        <w:jc w:val="both"/>
        <w:rPr>
          <w:rFonts w:cstheme="minorHAnsi"/>
          <w:sz w:val="24"/>
          <w:szCs w:val="24"/>
        </w:rPr>
      </w:pPr>
    </w:p>
    <w:p w:rsidR="00232517" w:rsidRDefault="00232517" w:rsidP="00584CD1">
      <w:pPr>
        <w:spacing w:line="360" w:lineRule="auto"/>
        <w:jc w:val="both"/>
        <w:rPr>
          <w:rFonts w:cstheme="minorHAnsi"/>
          <w:sz w:val="24"/>
          <w:szCs w:val="24"/>
        </w:rPr>
      </w:pPr>
    </w:p>
    <w:p w:rsidR="00232517" w:rsidRDefault="00232517" w:rsidP="00584CD1">
      <w:pPr>
        <w:spacing w:line="360" w:lineRule="auto"/>
        <w:jc w:val="both"/>
        <w:rPr>
          <w:rFonts w:cstheme="minorHAnsi"/>
          <w:sz w:val="24"/>
          <w:szCs w:val="24"/>
        </w:rPr>
      </w:pPr>
    </w:p>
    <w:p w:rsidR="00232517" w:rsidRDefault="00232517" w:rsidP="00584CD1">
      <w:pPr>
        <w:spacing w:line="360" w:lineRule="auto"/>
        <w:jc w:val="both"/>
        <w:rPr>
          <w:rFonts w:cstheme="minorHAnsi"/>
          <w:sz w:val="24"/>
          <w:szCs w:val="24"/>
        </w:rPr>
      </w:pPr>
    </w:p>
    <w:p w:rsidR="00232517" w:rsidRDefault="00232517" w:rsidP="00584CD1">
      <w:pPr>
        <w:spacing w:line="360" w:lineRule="auto"/>
        <w:jc w:val="both"/>
        <w:rPr>
          <w:rFonts w:cstheme="minorHAnsi"/>
          <w:sz w:val="24"/>
          <w:szCs w:val="24"/>
        </w:rPr>
      </w:pPr>
    </w:p>
    <w:p w:rsidR="00232517" w:rsidRDefault="00232517" w:rsidP="00584CD1">
      <w:pPr>
        <w:spacing w:line="360" w:lineRule="auto"/>
        <w:jc w:val="both"/>
        <w:rPr>
          <w:rFonts w:cstheme="minorHAnsi"/>
          <w:sz w:val="24"/>
          <w:szCs w:val="24"/>
        </w:rPr>
      </w:pPr>
    </w:p>
    <w:p w:rsidR="00232517" w:rsidRDefault="00232517" w:rsidP="00584CD1">
      <w:pPr>
        <w:spacing w:line="360" w:lineRule="auto"/>
        <w:jc w:val="both"/>
        <w:rPr>
          <w:rFonts w:cstheme="minorHAnsi"/>
          <w:sz w:val="24"/>
          <w:szCs w:val="24"/>
        </w:rPr>
      </w:pPr>
    </w:p>
    <w:p w:rsidR="00232517" w:rsidRDefault="00232517" w:rsidP="00584CD1">
      <w:pPr>
        <w:spacing w:line="360" w:lineRule="auto"/>
        <w:jc w:val="both"/>
        <w:rPr>
          <w:rFonts w:cstheme="minorHAnsi"/>
          <w:sz w:val="24"/>
          <w:szCs w:val="24"/>
        </w:rPr>
      </w:pPr>
    </w:p>
    <w:p w:rsidR="00232517" w:rsidRDefault="00232517" w:rsidP="00584CD1">
      <w:pPr>
        <w:spacing w:line="360" w:lineRule="auto"/>
        <w:jc w:val="both"/>
        <w:rPr>
          <w:rFonts w:cstheme="minorHAnsi"/>
          <w:sz w:val="24"/>
          <w:szCs w:val="24"/>
        </w:rPr>
      </w:pPr>
    </w:p>
    <w:p w:rsidR="00232517" w:rsidRDefault="00232517" w:rsidP="00584CD1">
      <w:pPr>
        <w:spacing w:line="360" w:lineRule="auto"/>
        <w:jc w:val="both"/>
        <w:rPr>
          <w:rFonts w:cstheme="minorHAnsi"/>
          <w:sz w:val="24"/>
          <w:szCs w:val="24"/>
        </w:rPr>
      </w:pPr>
    </w:p>
    <w:p w:rsidR="00232517" w:rsidRDefault="00232517" w:rsidP="00584CD1">
      <w:pPr>
        <w:spacing w:line="360" w:lineRule="auto"/>
        <w:jc w:val="both"/>
        <w:rPr>
          <w:sz w:val="24"/>
          <w:szCs w:val="24"/>
        </w:rPr>
      </w:pPr>
    </w:p>
    <w:p w:rsidR="00FB612A" w:rsidRPr="00C124AD" w:rsidRDefault="00FB612A" w:rsidP="007E64DD">
      <w:pPr>
        <w:pStyle w:val="Heading1"/>
      </w:pPr>
      <w:bookmarkStart w:id="1" w:name="_Toc71924089"/>
      <w:r w:rsidRPr="00C124AD">
        <w:lastRenderedPageBreak/>
        <w:t>Business Model of GSK</w:t>
      </w:r>
      <w:bookmarkEnd w:id="1"/>
    </w:p>
    <w:p w:rsidR="00FB612A" w:rsidRDefault="007D52D2" w:rsidP="00584CD1">
      <w:pPr>
        <w:spacing w:line="360" w:lineRule="auto"/>
        <w:jc w:val="both"/>
        <w:rPr>
          <w:sz w:val="24"/>
          <w:szCs w:val="24"/>
        </w:rPr>
      </w:pPr>
      <w:r>
        <w:rPr>
          <w:sz w:val="24"/>
          <w:szCs w:val="24"/>
        </w:rPr>
        <w:t>The operations management of GSK span from identifying the opportunity and market gap, researching, developing, testing medicines, discovering, taking regulatory approvals, and finally commercialising the developed products (GlaxoSmithKline plc. 2021, P-3).</w:t>
      </w:r>
    </w:p>
    <w:p w:rsidR="00F854E2" w:rsidRPr="00BC21FC" w:rsidRDefault="00BC21FC" w:rsidP="007E64DD">
      <w:pPr>
        <w:pStyle w:val="Heading2"/>
      </w:pPr>
      <w:bookmarkStart w:id="2" w:name="_Toc71924090"/>
      <w:r w:rsidRPr="00BC21FC">
        <w:t>Purpose and strategy of GSK</w:t>
      </w:r>
      <w:bookmarkEnd w:id="2"/>
    </w:p>
    <w:p w:rsidR="00300C2E" w:rsidRDefault="00300C2E" w:rsidP="00584CD1">
      <w:pPr>
        <w:spacing w:line="360" w:lineRule="auto"/>
        <w:jc w:val="both"/>
        <w:rPr>
          <w:sz w:val="24"/>
          <w:szCs w:val="24"/>
        </w:rPr>
      </w:pPr>
      <w:r>
        <w:rPr>
          <w:sz w:val="24"/>
          <w:szCs w:val="24"/>
        </w:rPr>
        <w:t xml:space="preserve">The key purpose of GSK is </w:t>
      </w:r>
      <w:r w:rsidR="00FB4971">
        <w:rPr>
          <w:sz w:val="24"/>
          <w:szCs w:val="24"/>
        </w:rPr>
        <w:t xml:space="preserve">enhance the quality of human lives by helping people do more, feel better, and live longer (GlaxoSmithKline plc. 2021, P-3). </w:t>
      </w:r>
      <w:r w:rsidR="00625C6C">
        <w:rPr>
          <w:sz w:val="24"/>
          <w:szCs w:val="24"/>
        </w:rPr>
        <w:t xml:space="preserve">This is the core value that determine rest of the business and operational activities of GSK. </w:t>
      </w:r>
      <w:r w:rsidR="008E03FD">
        <w:rPr>
          <w:sz w:val="24"/>
          <w:szCs w:val="24"/>
        </w:rPr>
        <w:t xml:space="preserve">To achieve this core purpose GSK has devoted much of its resources and energy in R&amp;D. The company has invested more than </w:t>
      </w:r>
      <w:r w:rsidR="008E03FD">
        <w:rPr>
          <w:rFonts w:cstheme="minorHAnsi"/>
          <w:sz w:val="24"/>
          <w:szCs w:val="24"/>
        </w:rPr>
        <w:t>£4.5 billion in R&amp;D in 2020 and it developed 40 new medicines in FY 2020 (</w:t>
      </w:r>
      <w:r w:rsidR="008E03FD">
        <w:rPr>
          <w:sz w:val="24"/>
          <w:szCs w:val="24"/>
        </w:rPr>
        <w:t>GlaxoSmithKline plc. 2021</w:t>
      </w:r>
      <w:r w:rsidR="008E03FD">
        <w:rPr>
          <w:rFonts w:cstheme="minorHAnsi"/>
          <w:sz w:val="24"/>
          <w:szCs w:val="24"/>
        </w:rPr>
        <w:t>).</w:t>
      </w:r>
    </w:p>
    <w:p w:rsidR="00BC21FC" w:rsidRPr="00BC21FC" w:rsidRDefault="00BC21FC" w:rsidP="007E64DD">
      <w:pPr>
        <w:pStyle w:val="Heading2"/>
      </w:pPr>
      <w:bookmarkStart w:id="3" w:name="_Toc71924091"/>
      <w:r w:rsidRPr="00BC21FC">
        <w:t>Long-term priorities of GSK</w:t>
      </w:r>
      <w:bookmarkEnd w:id="3"/>
    </w:p>
    <w:p w:rsidR="00BC21FC" w:rsidRDefault="00A64047" w:rsidP="00584CD1">
      <w:pPr>
        <w:spacing w:line="360" w:lineRule="auto"/>
        <w:jc w:val="both"/>
        <w:rPr>
          <w:sz w:val="24"/>
          <w:szCs w:val="24"/>
        </w:rPr>
      </w:pPr>
      <w:r>
        <w:rPr>
          <w:sz w:val="24"/>
          <w:szCs w:val="24"/>
        </w:rPr>
        <w:t>Innovation is the core and sustainable priorities of GSK</w:t>
      </w:r>
      <w:r w:rsidR="00367905">
        <w:rPr>
          <w:sz w:val="24"/>
          <w:szCs w:val="24"/>
        </w:rPr>
        <w:t xml:space="preserve"> (GlaxoSmithKline plc. 2021, P-3)</w:t>
      </w:r>
      <w:r>
        <w:rPr>
          <w:sz w:val="24"/>
          <w:szCs w:val="24"/>
        </w:rPr>
        <w:t xml:space="preserve">. </w:t>
      </w:r>
      <w:r w:rsidR="00B35BAB">
        <w:rPr>
          <w:sz w:val="24"/>
          <w:szCs w:val="24"/>
        </w:rPr>
        <w:t>Therefore, the company has an extensive organisational culture and structure supporti</w:t>
      </w:r>
      <w:r w:rsidR="00DD4E74">
        <w:rPr>
          <w:sz w:val="24"/>
          <w:szCs w:val="24"/>
        </w:rPr>
        <w:t>ng a highly innovative culture.</w:t>
      </w:r>
    </w:p>
    <w:p w:rsidR="00DD4E74" w:rsidRDefault="00DD4E74" w:rsidP="00DD4E74">
      <w:pPr>
        <w:spacing w:line="360" w:lineRule="auto"/>
        <w:jc w:val="center"/>
        <w:rPr>
          <w:sz w:val="24"/>
          <w:szCs w:val="24"/>
        </w:rPr>
      </w:pPr>
      <w:r>
        <w:rPr>
          <w:noProof/>
          <w:sz w:val="24"/>
          <w:szCs w:val="24"/>
          <w:lang w:eastAsia="en-GB"/>
        </w:rPr>
        <w:drawing>
          <wp:inline distT="0" distB="0" distL="0" distR="0" wp14:anchorId="7054C4D8" wp14:editId="7F1090F2">
            <wp:extent cx="5486400" cy="3200400"/>
            <wp:effectExtent l="0" t="114300" r="0" b="1333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4D3C4D" w:rsidRDefault="00DD4E74" w:rsidP="00DD4E74">
      <w:pPr>
        <w:spacing w:line="360" w:lineRule="auto"/>
        <w:jc w:val="center"/>
        <w:rPr>
          <w:sz w:val="24"/>
          <w:szCs w:val="24"/>
        </w:rPr>
      </w:pPr>
      <w:r>
        <w:rPr>
          <w:sz w:val="24"/>
          <w:szCs w:val="24"/>
        </w:rPr>
        <w:t>Figure 1: The long-term priorities of GSK (GlaxoSmithKline plc. 2021, P-3)</w:t>
      </w:r>
    </w:p>
    <w:p w:rsidR="00DD4E74" w:rsidRDefault="00134DAF" w:rsidP="00584CD1">
      <w:pPr>
        <w:spacing w:line="360" w:lineRule="auto"/>
        <w:jc w:val="both"/>
        <w:rPr>
          <w:sz w:val="24"/>
          <w:szCs w:val="24"/>
        </w:rPr>
      </w:pPr>
      <w:r>
        <w:rPr>
          <w:sz w:val="24"/>
          <w:szCs w:val="24"/>
        </w:rPr>
        <w:t>The priority factors as demonstrated on above figure determine and shape the organisational culture, value, and innovation system at GSK.</w:t>
      </w:r>
    </w:p>
    <w:p w:rsidR="00BC21FC" w:rsidRPr="00BC21FC" w:rsidRDefault="00BC21FC" w:rsidP="007E64DD">
      <w:pPr>
        <w:pStyle w:val="Heading2"/>
      </w:pPr>
      <w:bookmarkStart w:id="4" w:name="_Toc71924092"/>
      <w:r w:rsidRPr="00BC21FC">
        <w:lastRenderedPageBreak/>
        <w:t>Capital allocation</w:t>
      </w:r>
      <w:bookmarkEnd w:id="4"/>
    </w:p>
    <w:p w:rsidR="00BC21FC" w:rsidRDefault="009937D1" w:rsidP="00584CD1">
      <w:pPr>
        <w:spacing w:line="360" w:lineRule="auto"/>
        <w:jc w:val="both"/>
        <w:rPr>
          <w:sz w:val="24"/>
          <w:szCs w:val="24"/>
        </w:rPr>
      </w:pPr>
      <w:r>
        <w:rPr>
          <w:sz w:val="24"/>
          <w:szCs w:val="24"/>
        </w:rPr>
        <w:t xml:space="preserve">The cash generation capability of GSK is empowered by innovation, performance, and trust. All these factors lead to improved cash performance. </w:t>
      </w:r>
      <w:r w:rsidR="00DD274F">
        <w:rPr>
          <w:sz w:val="24"/>
          <w:szCs w:val="24"/>
        </w:rPr>
        <w:t>In the utilisation of the cash asset, GSK emphasises on R&amp;D, new product development and innovation manufacturing again</w:t>
      </w:r>
      <w:r w:rsidR="00600B96">
        <w:rPr>
          <w:sz w:val="24"/>
          <w:szCs w:val="24"/>
        </w:rPr>
        <w:t xml:space="preserve"> (GlaxoSmithKline plc. 2021, P-4)</w:t>
      </w:r>
      <w:r w:rsidR="00DD274F">
        <w:rPr>
          <w:sz w:val="24"/>
          <w:szCs w:val="24"/>
        </w:rPr>
        <w:t>.</w:t>
      </w:r>
      <w:r w:rsidR="00B847A3">
        <w:rPr>
          <w:sz w:val="24"/>
          <w:szCs w:val="24"/>
        </w:rPr>
        <w:t xml:space="preserve"> </w:t>
      </w:r>
    </w:p>
    <w:p w:rsidR="00C0562E" w:rsidRDefault="00C0562E" w:rsidP="00492FFD">
      <w:pPr>
        <w:spacing w:line="360" w:lineRule="auto"/>
        <w:jc w:val="center"/>
        <w:rPr>
          <w:sz w:val="24"/>
          <w:szCs w:val="24"/>
        </w:rPr>
      </w:pPr>
      <w:r>
        <w:rPr>
          <w:noProof/>
          <w:lang w:eastAsia="en-GB"/>
        </w:rPr>
        <w:drawing>
          <wp:inline distT="0" distB="0" distL="0" distR="0" wp14:anchorId="39958522" wp14:editId="38212E83">
            <wp:extent cx="6304347" cy="257175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36097" cy="2584702"/>
                    </a:xfrm>
                    <a:prstGeom prst="rect">
                      <a:avLst/>
                    </a:prstGeom>
                  </pic:spPr>
                </pic:pic>
              </a:graphicData>
            </a:graphic>
          </wp:inline>
        </w:drawing>
      </w:r>
    </w:p>
    <w:p w:rsidR="008A204F" w:rsidRDefault="00C0562E" w:rsidP="00492FFD">
      <w:pPr>
        <w:spacing w:line="360" w:lineRule="auto"/>
        <w:jc w:val="center"/>
        <w:rPr>
          <w:sz w:val="24"/>
          <w:szCs w:val="24"/>
        </w:rPr>
      </w:pPr>
      <w:r>
        <w:rPr>
          <w:sz w:val="24"/>
          <w:szCs w:val="24"/>
        </w:rPr>
        <w:t>Figure 2: Capital allocation priorities of GSK (GlaxoSmithKline plc. 2021, P-4)</w:t>
      </w:r>
    </w:p>
    <w:p w:rsidR="00600B96" w:rsidRDefault="00600B96" w:rsidP="00584CD1">
      <w:pPr>
        <w:spacing w:line="360" w:lineRule="auto"/>
        <w:jc w:val="both"/>
        <w:rPr>
          <w:sz w:val="24"/>
          <w:szCs w:val="24"/>
        </w:rPr>
      </w:pPr>
      <w:r>
        <w:rPr>
          <w:sz w:val="24"/>
          <w:szCs w:val="24"/>
        </w:rPr>
        <w:t>Above figure 2 shows that GSK has emphasised on new product development with the utilisation of the generated cash flow.</w:t>
      </w:r>
      <w:r w:rsidR="00387B1C">
        <w:rPr>
          <w:sz w:val="24"/>
          <w:szCs w:val="24"/>
        </w:rPr>
        <w:t xml:space="preserve"> The second priority of GSK is to return to </w:t>
      </w:r>
      <w:r w:rsidR="009F41C8">
        <w:rPr>
          <w:sz w:val="24"/>
          <w:szCs w:val="24"/>
        </w:rPr>
        <w:t>the shareholders.</w:t>
      </w:r>
    </w:p>
    <w:p w:rsidR="00600B96" w:rsidRDefault="00600B96"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FB612A" w:rsidRPr="00C124AD" w:rsidRDefault="00C124AD" w:rsidP="007E64DD">
      <w:pPr>
        <w:pStyle w:val="Heading1"/>
      </w:pPr>
      <w:bookmarkStart w:id="5" w:name="_Toc71924093"/>
      <w:r w:rsidRPr="00C124AD">
        <w:lastRenderedPageBreak/>
        <w:t>Central issues GSK facing</w:t>
      </w:r>
      <w:bookmarkEnd w:id="5"/>
    </w:p>
    <w:p w:rsidR="00C124AD" w:rsidRPr="007C0ED5" w:rsidRDefault="00C124AD" w:rsidP="007E64DD">
      <w:pPr>
        <w:pStyle w:val="Heading2"/>
        <w:rPr>
          <w:color w:val="7030A0"/>
        </w:rPr>
      </w:pPr>
      <w:bookmarkStart w:id="6" w:name="_Toc71924094"/>
      <w:r w:rsidRPr="00C124AD">
        <w:t>PESTEL analysis</w:t>
      </w:r>
      <w:bookmarkEnd w:id="6"/>
    </w:p>
    <w:p w:rsidR="005A76B3" w:rsidRDefault="005A76B3" w:rsidP="005A76B3">
      <w:pPr>
        <w:spacing w:line="360" w:lineRule="auto"/>
        <w:jc w:val="both"/>
        <w:rPr>
          <w:sz w:val="24"/>
          <w:szCs w:val="24"/>
        </w:rPr>
      </w:pPr>
      <w:r>
        <w:rPr>
          <w:rFonts w:cstheme="minorHAnsi"/>
          <w:sz w:val="24"/>
          <w:szCs w:val="24"/>
          <w:shd w:val="clear" w:color="auto" w:fill="FFFFFF"/>
        </w:rPr>
        <w:t xml:space="preserve">Jenkins and Williamson </w:t>
      </w:r>
      <w:r w:rsidRPr="00753846">
        <w:rPr>
          <w:rFonts w:cstheme="minorHAnsi"/>
          <w:sz w:val="24"/>
          <w:szCs w:val="24"/>
          <w:shd w:val="clear" w:color="auto" w:fill="FFFFFF"/>
        </w:rPr>
        <w:t>(2015</w:t>
      </w:r>
      <w:r>
        <w:rPr>
          <w:rFonts w:cstheme="minorHAnsi"/>
          <w:sz w:val="24"/>
          <w:szCs w:val="24"/>
          <w:shd w:val="clear" w:color="auto" w:fill="FFFFFF"/>
        </w:rPr>
        <w:t xml:space="preserve">) have revealed in their research that </w:t>
      </w:r>
      <w:r>
        <w:rPr>
          <w:sz w:val="24"/>
          <w:szCs w:val="24"/>
        </w:rPr>
        <w:t>PESTEL analyses macro environment of an organization and inform organizations about the impact of the environments; therefore companies become capable to interact with the impacts in order to minimize their negative impact. PESTLE framework of GSK will reveal the impact of macro environments on the business and the company will be able to take significant initiatives in order to minimize negative impacts of the environments. PESTLE analysis of GSK has been critically evaluated below:</w:t>
      </w:r>
    </w:p>
    <w:p w:rsidR="005A76B3" w:rsidRDefault="005A76B3" w:rsidP="005A76B3">
      <w:pPr>
        <w:spacing w:line="360" w:lineRule="auto"/>
        <w:jc w:val="both"/>
        <w:rPr>
          <w:sz w:val="24"/>
          <w:szCs w:val="24"/>
        </w:rPr>
      </w:pPr>
      <w:r>
        <w:rPr>
          <w:noProof/>
          <w:sz w:val="24"/>
          <w:szCs w:val="24"/>
          <w:lang w:eastAsia="en-GB"/>
        </w:rPr>
        <w:drawing>
          <wp:inline distT="0" distB="0" distL="0" distR="0" wp14:anchorId="6C02242A" wp14:editId="29325186">
            <wp:extent cx="5486400" cy="3200400"/>
            <wp:effectExtent l="0" t="38100" r="0" b="5715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5A76B3" w:rsidRDefault="00232517" w:rsidP="005A76B3">
      <w:pPr>
        <w:spacing w:line="360" w:lineRule="auto"/>
        <w:jc w:val="center"/>
        <w:rPr>
          <w:sz w:val="24"/>
          <w:szCs w:val="24"/>
        </w:rPr>
      </w:pPr>
      <w:r>
        <w:rPr>
          <w:sz w:val="24"/>
          <w:szCs w:val="24"/>
        </w:rPr>
        <w:t>Figure 3</w:t>
      </w:r>
      <w:r w:rsidR="005A76B3">
        <w:rPr>
          <w:sz w:val="24"/>
          <w:szCs w:val="24"/>
        </w:rPr>
        <w:t>: PESTLE Framework (</w:t>
      </w:r>
      <w:r w:rsidR="005A76B3">
        <w:rPr>
          <w:rFonts w:cstheme="minorHAnsi"/>
          <w:sz w:val="24"/>
          <w:szCs w:val="24"/>
          <w:shd w:val="clear" w:color="auto" w:fill="FFFFFF"/>
        </w:rPr>
        <w:t xml:space="preserve">Jenkins and Williamson, </w:t>
      </w:r>
      <w:r w:rsidR="005A76B3" w:rsidRPr="00753846">
        <w:rPr>
          <w:rFonts w:cstheme="minorHAnsi"/>
          <w:sz w:val="24"/>
          <w:szCs w:val="24"/>
          <w:shd w:val="clear" w:color="auto" w:fill="FFFFFF"/>
        </w:rPr>
        <w:t>2015</w:t>
      </w:r>
      <w:r w:rsidR="005A76B3">
        <w:rPr>
          <w:sz w:val="24"/>
          <w:szCs w:val="24"/>
        </w:rPr>
        <w:t>)</w:t>
      </w:r>
    </w:p>
    <w:p w:rsidR="005A76B3" w:rsidRDefault="005A76B3" w:rsidP="005A76B3">
      <w:pPr>
        <w:spacing w:line="360" w:lineRule="auto"/>
        <w:jc w:val="both"/>
        <w:rPr>
          <w:sz w:val="24"/>
          <w:szCs w:val="24"/>
        </w:rPr>
      </w:pPr>
      <w:r w:rsidRPr="00BC1F0D">
        <w:rPr>
          <w:i/>
          <w:iCs/>
          <w:sz w:val="24"/>
          <w:szCs w:val="24"/>
        </w:rPr>
        <w:t>Political environment</w:t>
      </w:r>
      <w:r>
        <w:rPr>
          <w:sz w:val="24"/>
          <w:szCs w:val="24"/>
        </w:rPr>
        <w:t xml:space="preserve">: </w:t>
      </w:r>
      <w:r>
        <w:rPr>
          <w:rFonts w:cstheme="minorHAnsi"/>
          <w:sz w:val="24"/>
          <w:szCs w:val="24"/>
          <w:shd w:val="clear" w:color="auto" w:fill="FFFFFF"/>
        </w:rPr>
        <w:t>Klein (</w:t>
      </w:r>
      <w:r w:rsidRPr="00753846">
        <w:rPr>
          <w:rFonts w:cstheme="minorHAnsi"/>
          <w:sz w:val="24"/>
          <w:szCs w:val="24"/>
          <w:shd w:val="clear" w:color="auto" w:fill="FFFFFF"/>
        </w:rPr>
        <w:t>2009</w:t>
      </w:r>
      <w:r>
        <w:rPr>
          <w:rFonts w:cstheme="minorHAnsi"/>
          <w:sz w:val="24"/>
          <w:szCs w:val="24"/>
          <w:shd w:val="clear" w:color="auto" w:fill="FFFFFF"/>
        </w:rPr>
        <w:t xml:space="preserve">) has implied that political environment analyses the impact of political factors (such as political relation within countries, political stability of local and host country etc.), to an organization; therefore, companies can interact with the impacts properly. </w:t>
      </w:r>
      <w:proofErr w:type="spellStart"/>
      <w:r>
        <w:rPr>
          <w:rFonts w:cstheme="minorHAnsi"/>
          <w:sz w:val="24"/>
          <w:szCs w:val="24"/>
          <w:shd w:val="clear" w:color="auto" w:fill="FFFFFF"/>
        </w:rPr>
        <w:t>Brexit</w:t>
      </w:r>
      <w:proofErr w:type="spellEnd"/>
      <w:r>
        <w:rPr>
          <w:rFonts w:cstheme="minorHAnsi"/>
          <w:sz w:val="24"/>
          <w:szCs w:val="24"/>
          <w:shd w:val="clear" w:color="auto" w:fill="FFFFFF"/>
        </w:rPr>
        <w:t xml:space="preserve"> is the political factor which has great impact on GSK. To exemplify, UK medicine industry has to import 90% medicines from EU and the import cost was lower before </w:t>
      </w:r>
      <w:proofErr w:type="spellStart"/>
      <w:r>
        <w:rPr>
          <w:rFonts w:cstheme="minorHAnsi"/>
          <w:sz w:val="24"/>
          <w:szCs w:val="24"/>
          <w:shd w:val="clear" w:color="auto" w:fill="FFFFFF"/>
        </w:rPr>
        <w:t>Brexit</w:t>
      </w:r>
      <w:proofErr w:type="spellEnd"/>
      <w:r>
        <w:rPr>
          <w:rFonts w:cstheme="minorHAnsi"/>
          <w:sz w:val="24"/>
          <w:szCs w:val="24"/>
          <w:shd w:val="clear" w:color="auto" w:fill="FFFFFF"/>
        </w:rPr>
        <w:t xml:space="preserve"> implementation because of the free movement of man and materials between the countries (</w:t>
      </w:r>
      <w:proofErr w:type="spellStart"/>
      <w:r>
        <w:rPr>
          <w:rFonts w:cstheme="minorHAnsi"/>
          <w:sz w:val="24"/>
          <w:szCs w:val="24"/>
          <w:shd w:val="clear" w:color="auto" w:fill="FFFFFF"/>
        </w:rPr>
        <w:t>Scruton</w:t>
      </w:r>
      <w:proofErr w:type="spellEnd"/>
      <w:r>
        <w:rPr>
          <w:rFonts w:cstheme="minorHAnsi"/>
          <w:sz w:val="24"/>
          <w:szCs w:val="24"/>
          <w:shd w:val="clear" w:color="auto" w:fill="FFFFFF"/>
        </w:rPr>
        <w:t xml:space="preserve"> and </w:t>
      </w:r>
      <w:proofErr w:type="spellStart"/>
      <w:r>
        <w:rPr>
          <w:rFonts w:cstheme="minorHAnsi"/>
          <w:sz w:val="24"/>
          <w:szCs w:val="24"/>
          <w:shd w:val="clear" w:color="auto" w:fill="FFFFFF"/>
        </w:rPr>
        <w:t>Kollewe</w:t>
      </w:r>
      <w:proofErr w:type="spellEnd"/>
      <w:r>
        <w:rPr>
          <w:rFonts w:cstheme="minorHAnsi"/>
          <w:sz w:val="24"/>
          <w:szCs w:val="24"/>
          <w:shd w:val="clear" w:color="auto" w:fill="FFFFFF"/>
        </w:rPr>
        <w:t xml:space="preserve">, 2019).  The movement regulations of man and materials will change for </w:t>
      </w:r>
      <w:proofErr w:type="spellStart"/>
      <w:r>
        <w:rPr>
          <w:rFonts w:cstheme="minorHAnsi"/>
          <w:sz w:val="24"/>
          <w:szCs w:val="24"/>
          <w:shd w:val="clear" w:color="auto" w:fill="FFFFFF"/>
        </w:rPr>
        <w:t>Brexit</w:t>
      </w:r>
      <w:proofErr w:type="spellEnd"/>
      <w:r>
        <w:rPr>
          <w:rFonts w:cstheme="minorHAnsi"/>
          <w:sz w:val="24"/>
          <w:szCs w:val="24"/>
          <w:shd w:val="clear" w:color="auto" w:fill="FFFFFF"/>
        </w:rPr>
        <w:t xml:space="preserve"> implementation and UK has set tariff on the medicines that are imported from EU (</w:t>
      </w:r>
      <w:proofErr w:type="spellStart"/>
      <w:r>
        <w:rPr>
          <w:rFonts w:cstheme="minorHAnsi"/>
          <w:sz w:val="24"/>
          <w:szCs w:val="24"/>
          <w:shd w:val="clear" w:color="auto" w:fill="FFFFFF"/>
        </w:rPr>
        <w:t>Scruton</w:t>
      </w:r>
      <w:proofErr w:type="spellEnd"/>
      <w:r>
        <w:rPr>
          <w:rFonts w:cstheme="minorHAnsi"/>
          <w:sz w:val="24"/>
          <w:szCs w:val="24"/>
          <w:shd w:val="clear" w:color="auto" w:fill="FFFFFF"/>
        </w:rPr>
        <w:t xml:space="preserve"> and </w:t>
      </w:r>
      <w:proofErr w:type="spellStart"/>
      <w:r>
        <w:rPr>
          <w:rFonts w:cstheme="minorHAnsi"/>
          <w:sz w:val="24"/>
          <w:szCs w:val="24"/>
          <w:shd w:val="clear" w:color="auto" w:fill="FFFFFF"/>
        </w:rPr>
        <w:t>Kollewe</w:t>
      </w:r>
      <w:proofErr w:type="spellEnd"/>
      <w:r>
        <w:rPr>
          <w:rFonts w:cstheme="minorHAnsi"/>
          <w:sz w:val="24"/>
          <w:szCs w:val="24"/>
          <w:shd w:val="clear" w:color="auto" w:fill="FFFFFF"/>
        </w:rPr>
        <w:t xml:space="preserve">, 2019). At the same time, EU has set tariff on GSK medicines </w:t>
      </w:r>
      <w:r>
        <w:rPr>
          <w:rFonts w:cstheme="minorHAnsi"/>
          <w:sz w:val="24"/>
          <w:szCs w:val="24"/>
          <w:shd w:val="clear" w:color="auto" w:fill="FFFFFF"/>
        </w:rPr>
        <w:lastRenderedPageBreak/>
        <w:t>that are exported from UK. To interact with the situation, GSK has separated its operations for both UK and EU which refers that the medicines produced in UK are sold in UK and the medicines produced in EU are sold in EU (</w:t>
      </w:r>
      <w:r w:rsidRPr="00B86C2B">
        <w:rPr>
          <w:rFonts w:cstheme="minorHAnsi"/>
          <w:sz w:val="24"/>
          <w:szCs w:val="24"/>
          <w:shd w:val="clear" w:color="auto" w:fill="FFFFFF"/>
        </w:rPr>
        <w:t xml:space="preserve">GlaxoSmithKline </w:t>
      </w:r>
      <w:proofErr w:type="spellStart"/>
      <w:r w:rsidRPr="00B86C2B">
        <w:rPr>
          <w:rFonts w:cstheme="minorHAnsi"/>
          <w:sz w:val="24"/>
          <w:szCs w:val="24"/>
          <w:shd w:val="clear" w:color="auto" w:fill="FFFFFF"/>
        </w:rPr>
        <w:t>plc</w:t>
      </w:r>
      <w:proofErr w:type="spellEnd"/>
      <w:r>
        <w:rPr>
          <w:rFonts w:cstheme="minorHAnsi"/>
          <w:sz w:val="24"/>
          <w:szCs w:val="24"/>
          <w:shd w:val="clear" w:color="auto" w:fill="FFFFFF"/>
        </w:rPr>
        <w:t>, 2021a). As a result, GSK become able to minimize the impact of increased tariff to its business.</w:t>
      </w:r>
    </w:p>
    <w:p w:rsidR="005A76B3" w:rsidRDefault="005A76B3" w:rsidP="005A76B3">
      <w:pPr>
        <w:spacing w:line="360" w:lineRule="auto"/>
        <w:jc w:val="both"/>
        <w:rPr>
          <w:rFonts w:cstheme="minorHAnsi"/>
          <w:sz w:val="24"/>
          <w:szCs w:val="24"/>
          <w:shd w:val="clear" w:color="auto" w:fill="FFFFFF"/>
        </w:rPr>
      </w:pPr>
      <w:r w:rsidRPr="00BC1F0D">
        <w:rPr>
          <w:i/>
          <w:iCs/>
          <w:sz w:val="24"/>
          <w:szCs w:val="24"/>
        </w:rPr>
        <w:t>Economic environment</w:t>
      </w:r>
      <w:r>
        <w:rPr>
          <w:sz w:val="24"/>
          <w:szCs w:val="24"/>
        </w:rPr>
        <w:t xml:space="preserve">: </w:t>
      </w:r>
      <w:proofErr w:type="spellStart"/>
      <w:r w:rsidRPr="00753846">
        <w:rPr>
          <w:rFonts w:cstheme="minorHAnsi"/>
          <w:sz w:val="24"/>
          <w:szCs w:val="24"/>
          <w:shd w:val="clear" w:color="auto" w:fill="FFFFFF"/>
        </w:rPr>
        <w:t>Volberda</w:t>
      </w:r>
      <w:proofErr w:type="spellEnd"/>
      <w:r>
        <w:rPr>
          <w:rFonts w:cstheme="minorHAnsi"/>
          <w:sz w:val="24"/>
          <w:szCs w:val="24"/>
          <w:shd w:val="clear" w:color="auto" w:fill="FFFFFF"/>
        </w:rPr>
        <w:t xml:space="preserve"> et al., (2011) stated that influence of economic factors (such as economic stability, inflation, interest rate etc.) to an organization are analysed by economic environment and organizations become able to reduce negative impacts in order to maximize their profitability. Economic stability is the economic factor that influence GSK’s profitability greatly. To exemplify, GSK has generated revenue of 8.2 billion British pounds which contributes to the 25% of total revenue of the company (</w:t>
      </w:r>
      <w:proofErr w:type="spellStart"/>
      <w:r>
        <w:rPr>
          <w:rFonts w:cstheme="minorHAnsi"/>
          <w:sz w:val="24"/>
          <w:szCs w:val="24"/>
          <w:shd w:val="clear" w:color="auto" w:fill="FFFFFF"/>
        </w:rPr>
        <w:t>Mikulic</w:t>
      </w:r>
      <w:proofErr w:type="spellEnd"/>
      <w:r>
        <w:rPr>
          <w:rFonts w:cstheme="minorHAnsi"/>
          <w:sz w:val="24"/>
          <w:szCs w:val="24"/>
          <w:shd w:val="clear" w:color="auto" w:fill="FFFFFF"/>
        </w:rPr>
        <w:t>, 2021). It refers that the economic stability of European market increases the profitability of the company. It also implies that the company generates less revenue from other markets because only European market generates one fourth of GSK's revenue (</w:t>
      </w:r>
      <w:r w:rsidRPr="00B86C2B">
        <w:rPr>
          <w:rFonts w:cstheme="minorHAnsi"/>
          <w:sz w:val="24"/>
          <w:szCs w:val="24"/>
          <w:shd w:val="clear" w:color="auto" w:fill="FFFFFF"/>
        </w:rPr>
        <w:t xml:space="preserve">GlaxoSmithKline </w:t>
      </w:r>
      <w:proofErr w:type="spellStart"/>
      <w:r w:rsidRPr="00B86C2B">
        <w:rPr>
          <w:rFonts w:cstheme="minorHAnsi"/>
          <w:sz w:val="24"/>
          <w:szCs w:val="24"/>
          <w:shd w:val="clear" w:color="auto" w:fill="FFFFFF"/>
        </w:rPr>
        <w:t>plc</w:t>
      </w:r>
      <w:proofErr w:type="spellEnd"/>
      <w:r>
        <w:rPr>
          <w:rFonts w:cstheme="minorHAnsi"/>
          <w:sz w:val="24"/>
          <w:szCs w:val="24"/>
          <w:shd w:val="clear" w:color="auto" w:fill="FFFFFF"/>
        </w:rPr>
        <w:t>, 2021a). It seems that the company should focus on other markets to maximize full potentiality of the markets and generate higher revenue.</w:t>
      </w:r>
    </w:p>
    <w:p w:rsidR="005A76B3" w:rsidRDefault="005A76B3" w:rsidP="005A76B3">
      <w:pPr>
        <w:spacing w:line="360" w:lineRule="auto"/>
        <w:jc w:val="both"/>
        <w:rPr>
          <w:sz w:val="24"/>
          <w:szCs w:val="24"/>
        </w:rPr>
      </w:pPr>
      <w:r w:rsidRPr="00BC1F0D">
        <w:rPr>
          <w:i/>
          <w:iCs/>
          <w:sz w:val="24"/>
          <w:szCs w:val="24"/>
        </w:rPr>
        <w:t>Social environment</w:t>
      </w:r>
      <w:r>
        <w:rPr>
          <w:sz w:val="24"/>
          <w:szCs w:val="24"/>
        </w:rPr>
        <w:t xml:space="preserve">: </w:t>
      </w:r>
      <w:proofErr w:type="spellStart"/>
      <w:r>
        <w:rPr>
          <w:rFonts w:cstheme="minorHAnsi"/>
          <w:sz w:val="24"/>
          <w:szCs w:val="24"/>
          <w:shd w:val="clear" w:color="auto" w:fill="FFFFFF"/>
        </w:rPr>
        <w:t>Poister</w:t>
      </w:r>
      <w:proofErr w:type="spellEnd"/>
      <w:r>
        <w:rPr>
          <w:rFonts w:cstheme="minorHAnsi"/>
          <w:sz w:val="24"/>
          <w:szCs w:val="24"/>
          <w:shd w:val="clear" w:color="auto" w:fill="FFFFFF"/>
        </w:rPr>
        <w:t xml:space="preserve"> </w:t>
      </w:r>
      <w:r w:rsidRPr="00753846">
        <w:rPr>
          <w:rFonts w:cstheme="minorHAnsi"/>
          <w:sz w:val="24"/>
          <w:szCs w:val="24"/>
          <w:shd w:val="clear" w:color="auto" w:fill="FFFFFF"/>
        </w:rPr>
        <w:t>(2010</w:t>
      </w:r>
      <w:r>
        <w:rPr>
          <w:rFonts w:cstheme="minorHAnsi"/>
          <w:sz w:val="24"/>
          <w:szCs w:val="24"/>
          <w:shd w:val="clear" w:color="auto" w:fill="FFFFFF"/>
        </w:rPr>
        <w:t>) has found in their research that social factors (such as population growth, culture, health problem etc.) influence organizations in great way and the influences are analysed in social environment which helps organizations to handle the influences after being informed about them. World population is more than 7.8 billion with population growth 1.88% (</w:t>
      </w:r>
      <w:proofErr w:type="spellStart"/>
      <w:r>
        <w:rPr>
          <w:rFonts w:cstheme="minorHAnsi"/>
          <w:sz w:val="24"/>
          <w:szCs w:val="24"/>
          <w:shd w:val="clear" w:color="auto" w:fill="FFFFFF"/>
        </w:rPr>
        <w:t>Worldometer</w:t>
      </w:r>
      <w:proofErr w:type="spellEnd"/>
      <w:r>
        <w:rPr>
          <w:rFonts w:cstheme="minorHAnsi"/>
          <w:sz w:val="24"/>
          <w:szCs w:val="24"/>
          <w:shd w:val="clear" w:color="auto" w:fill="FFFFFF"/>
        </w:rPr>
        <w:t>, 2021). World population is increasing and huge number of population is becoming older which has increased the demand of medicines and it indicates to the increased demand of GSK. As a result, people purchase medicines from GSK more and it increases revenue of the company (</w:t>
      </w:r>
      <w:r w:rsidRPr="00B86C2B">
        <w:rPr>
          <w:rFonts w:cstheme="minorHAnsi"/>
          <w:sz w:val="24"/>
          <w:szCs w:val="24"/>
          <w:shd w:val="clear" w:color="auto" w:fill="FFFFFF"/>
        </w:rPr>
        <w:t xml:space="preserve">GlaxoSmithKline </w:t>
      </w:r>
      <w:proofErr w:type="spellStart"/>
      <w:r w:rsidRPr="00B86C2B">
        <w:rPr>
          <w:rFonts w:cstheme="minorHAnsi"/>
          <w:sz w:val="24"/>
          <w:szCs w:val="24"/>
          <w:shd w:val="clear" w:color="auto" w:fill="FFFFFF"/>
        </w:rPr>
        <w:t>plc</w:t>
      </w:r>
      <w:proofErr w:type="spellEnd"/>
      <w:r>
        <w:rPr>
          <w:rFonts w:cstheme="minorHAnsi"/>
          <w:sz w:val="24"/>
          <w:szCs w:val="24"/>
          <w:shd w:val="clear" w:color="auto" w:fill="FFFFFF"/>
        </w:rPr>
        <w:t>, 2021a).</w:t>
      </w:r>
    </w:p>
    <w:p w:rsidR="005A76B3" w:rsidRDefault="005A76B3" w:rsidP="005A76B3">
      <w:pPr>
        <w:spacing w:line="360" w:lineRule="auto"/>
        <w:jc w:val="both"/>
        <w:rPr>
          <w:rFonts w:cstheme="minorHAnsi"/>
          <w:sz w:val="24"/>
          <w:szCs w:val="24"/>
          <w:shd w:val="clear" w:color="auto" w:fill="FFFFFF"/>
        </w:rPr>
      </w:pPr>
      <w:r w:rsidRPr="00BC1F0D">
        <w:rPr>
          <w:i/>
          <w:iCs/>
          <w:sz w:val="24"/>
          <w:szCs w:val="24"/>
        </w:rPr>
        <w:t>Technological environment</w:t>
      </w:r>
      <w:r>
        <w:rPr>
          <w:sz w:val="24"/>
          <w:szCs w:val="24"/>
        </w:rPr>
        <w:t xml:space="preserve">: </w:t>
      </w:r>
      <w:r>
        <w:rPr>
          <w:rFonts w:cstheme="minorHAnsi"/>
          <w:sz w:val="24"/>
          <w:szCs w:val="24"/>
          <w:shd w:val="clear" w:color="auto" w:fill="FFFFFF"/>
        </w:rPr>
        <w:t>Joyce (</w:t>
      </w:r>
      <w:r w:rsidRPr="00753846">
        <w:rPr>
          <w:rFonts w:cstheme="minorHAnsi"/>
          <w:sz w:val="24"/>
          <w:szCs w:val="24"/>
          <w:shd w:val="clear" w:color="auto" w:fill="FFFFFF"/>
        </w:rPr>
        <w:t>2015</w:t>
      </w:r>
      <w:r>
        <w:rPr>
          <w:rFonts w:cstheme="minorHAnsi"/>
          <w:sz w:val="24"/>
          <w:szCs w:val="24"/>
          <w:shd w:val="clear" w:color="auto" w:fill="FFFFFF"/>
        </w:rPr>
        <w:t xml:space="preserve">) has said that effects of technological factors to different organizations are analysed in technological environment and it helps companies to make proper plan of utilizing technological factors to ensure outstanding growth. GSK utilizes advanced technologies to bring new products and increase its revenue. To exemplify, GSK invested huge amount on R&amp;D and utilized R&amp;D resources effectively which has made the company capable to launch new products in 2007 which grew its revenue to 36% (Case Study). It seems that the company become able to introduce new products through investing on R&amp;D </w:t>
      </w:r>
      <w:r>
        <w:rPr>
          <w:rFonts w:cstheme="minorHAnsi"/>
          <w:sz w:val="24"/>
          <w:szCs w:val="24"/>
          <w:shd w:val="clear" w:color="auto" w:fill="FFFFFF"/>
        </w:rPr>
        <w:lastRenderedPageBreak/>
        <w:t>which increases the demand of GSK in global medicine industry. As a result, the company become able to generate revenue of 32 billion globally (</w:t>
      </w:r>
      <w:r w:rsidRPr="00B86C2B">
        <w:rPr>
          <w:rFonts w:cstheme="minorHAnsi"/>
          <w:sz w:val="24"/>
          <w:szCs w:val="24"/>
          <w:shd w:val="clear" w:color="auto" w:fill="FFFFFF"/>
        </w:rPr>
        <w:t xml:space="preserve">GlaxoSmithKline </w:t>
      </w:r>
      <w:proofErr w:type="spellStart"/>
      <w:r w:rsidRPr="00B86C2B">
        <w:rPr>
          <w:rFonts w:cstheme="minorHAnsi"/>
          <w:sz w:val="24"/>
          <w:szCs w:val="24"/>
          <w:shd w:val="clear" w:color="auto" w:fill="FFFFFF"/>
        </w:rPr>
        <w:t>plc</w:t>
      </w:r>
      <w:proofErr w:type="spellEnd"/>
      <w:r>
        <w:rPr>
          <w:rFonts w:cstheme="minorHAnsi"/>
          <w:sz w:val="24"/>
          <w:szCs w:val="24"/>
          <w:shd w:val="clear" w:color="auto" w:fill="FFFFFF"/>
        </w:rPr>
        <w:t xml:space="preserve">, 2021a) </w:t>
      </w:r>
    </w:p>
    <w:p w:rsidR="005A76B3" w:rsidRDefault="005A76B3" w:rsidP="005A76B3">
      <w:pPr>
        <w:spacing w:line="360" w:lineRule="auto"/>
        <w:jc w:val="both"/>
        <w:rPr>
          <w:sz w:val="24"/>
          <w:szCs w:val="24"/>
        </w:rPr>
      </w:pPr>
      <w:r w:rsidRPr="00BC1F0D">
        <w:rPr>
          <w:i/>
          <w:iCs/>
          <w:sz w:val="24"/>
          <w:szCs w:val="24"/>
        </w:rPr>
        <w:t>Ecological environment</w:t>
      </w:r>
      <w:r>
        <w:rPr>
          <w:sz w:val="24"/>
          <w:szCs w:val="24"/>
        </w:rPr>
        <w:t xml:space="preserve">: </w:t>
      </w:r>
      <w:r w:rsidRPr="00753846">
        <w:rPr>
          <w:rFonts w:cstheme="minorHAnsi"/>
          <w:sz w:val="24"/>
          <w:szCs w:val="24"/>
          <w:shd w:val="clear" w:color="auto" w:fill="FFFFFF"/>
        </w:rPr>
        <w:t>Dyer</w:t>
      </w:r>
      <w:r>
        <w:rPr>
          <w:rFonts w:cstheme="minorHAnsi"/>
          <w:sz w:val="24"/>
          <w:szCs w:val="24"/>
          <w:shd w:val="clear" w:color="auto" w:fill="FFFFFF"/>
        </w:rPr>
        <w:t xml:space="preserve"> et al., (2017) have stated in their research that ecological environment analyses the impact of ecological factors to organizations so that organizations become able to minimize the negatives impacts and operate operations in eco-friendly way to reduce their negative impact toward environment. Increasing environment pollution has influenced GSK’s operations greatly and encouraged the company to operate operations with eco-friendly ways. To exemplify, GSK had adopted ‘GREEN STRATEGY’ and made clear commitment to sustainability issues (Case Study). By implementing ‘GREEN STRATEGY’ the company has reduced carbon emissions by 34%, landfill by 78% and water use by 31% (</w:t>
      </w:r>
      <w:r w:rsidRPr="00B86C2B">
        <w:rPr>
          <w:rFonts w:cstheme="minorHAnsi"/>
          <w:sz w:val="24"/>
          <w:szCs w:val="24"/>
          <w:shd w:val="clear" w:color="auto" w:fill="FFFFFF"/>
        </w:rPr>
        <w:t xml:space="preserve">GlaxoSmithKline </w:t>
      </w:r>
      <w:proofErr w:type="spellStart"/>
      <w:r w:rsidRPr="00B86C2B">
        <w:rPr>
          <w:rFonts w:cstheme="minorHAnsi"/>
          <w:sz w:val="24"/>
          <w:szCs w:val="24"/>
          <w:shd w:val="clear" w:color="auto" w:fill="FFFFFF"/>
        </w:rPr>
        <w:t>plc</w:t>
      </w:r>
      <w:proofErr w:type="spellEnd"/>
      <w:r>
        <w:rPr>
          <w:rFonts w:cstheme="minorHAnsi"/>
          <w:sz w:val="24"/>
          <w:szCs w:val="24"/>
          <w:shd w:val="clear" w:color="auto" w:fill="FFFFFF"/>
        </w:rPr>
        <w:t>, 2021b). It refers that GSK has reduced its negative environmental impact through adopting the strategy. As a result, reputation of the company has increased toward global customers and it has made the customers loyal toward the company.</w:t>
      </w:r>
    </w:p>
    <w:p w:rsidR="00C124AD" w:rsidRDefault="005A76B3" w:rsidP="00584CD1">
      <w:pPr>
        <w:spacing w:line="360" w:lineRule="auto"/>
        <w:jc w:val="both"/>
        <w:rPr>
          <w:sz w:val="24"/>
          <w:szCs w:val="24"/>
        </w:rPr>
      </w:pPr>
      <w:r w:rsidRPr="00BC1F0D">
        <w:rPr>
          <w:i/>
          <w:iCs/>
          <w:sz w:val="24"/>
          <w:szCs w:val="24"/>
        </w:rPr>
        <w:t>Legal environment</w:t>
      </w:r>
      <w:r>
        <w:rPr>
          <w:sz w:val="24"/>
          <w:szCs w:val="24"/>
        </w:rPr>
        <w:t xml:space="preserve">: </w:t>
      </w:r>
      <w:proofErr w:type="spellStart"/>
      <w:r w:rsidRPr="00753846">
        <w:rPr>
          <w:rFonts w:cstheme="minorHAnsi"/>
          <w:sz w:val="24"/>
          <w:szCs w:val="24"/>
          <w:shd w:val="clear" w:color="auto" w:fill="FFFFFF"/>
        </w:rPr>
        <w:t>Keupp</w:t>
      </w:r>
      <w:proofErr w:type="spellEnd"/>
      <w:r w:rsidRPr="00753846">
        <w:rPr>
          <w:rFonts w:cstheme="minorHAnsi"/>
          <w:sz w:val="24"/>
          <w:szCs w:val="24"/>
          <w:shd w:val="clear" w:color="auto" w:fill="FFFFFF"/>
        </w:rPr>
        <w:t xml:space="preserve">, </w:t>
      </w:r>
      <w:proofErr w:type="spellStart"/>
      <w:r>
        <w:rPr>
          <w:rFonts w:cstheme="minorHAnsi"/>
          <w:sz w:val="24"/>
          <w:szCs w:val="24"/>
          <w:shd w:val="clear" w:color="auto" w:fill="FFFFFF"/>
        </w:rPr>
        <w:t>Palmié</w:t>
      </w:r>
      <w:proofErr w:type="spellEnd"/>
      <w:r>
        <w:rPr>
          <w:rFonts w:cstheme="minorHAnsi"/>
          <w:sz w:val="24"/>
          <w:szCs w:val="24"/>
          <w:shd w:val="clear" w:color="auto" w:fill="FFFFFF"/>
        </w:rPr>
        <w:t xml:space="preserve"> and </w:t>
      </w:r>
      <w:proofErr w:type="spellStart"/>
      <w:r>
        <w:rPr>
          <w:rFonts w:cstheme="minorHAnsi"/>
          <w:sz w:val="24"/>
          <w:szCs w:val="24"/>
          <w:shd w:val="clear" w:color="auto" w:fill="FFFFFF"/>
        </w:rPr>
        <w:t>Gassmann</w:t>
      </w:r>
      <w:proofErr w:type="spellEnd"/>
      <w:r>
        <w:rPr>
          <w:rFonts w:cstheme="minorHAnsi"/>
          <w:sz w:val="24"/>
          <w:szCs w:val="24"/>
          <w:shd w:val="clear" w:color="auto" w:fill="FFFFFF"/>
        </w:rPr>
        <w:t xml:space="preserve"> (</w:t>
      </w:r>
      <w:r w:rsidRPr="00753846">
        <w:rPr>
          <w:rFonts w:cstheme="minorHAnsi"/>
          <w:sz w:val="24"/>
          <w:szCs w:val="24"/>
          <w:shd w:val="clear" w:color="auto" w:fill="FFFFFF"/>
        </w:rPr>
        <w:t>2012</w:t>
      </w:r>
      <w:r>
        <w:rPr>
          <w:rFonts w:cstheme="minorHAnsi"/>
          <w:sz w:val="24"/>
          <w:szCs w:val="24"/>
          <w:shd w:val="clear" w:color="auto" w:fill="FFFFFF"/>
        </w:rPr>
        <w:t>) have said that effect of legal factors are analysed in legal environment; therefore organizations become able to operate their business in legally to avoid legal obstacles in business. GSK operates business through maintaining the laws and regulations of local and host country to avoid legal complexities. To exemplify, GSK ensures equality in its company and treat all employees equally according to UK Equality Act 2010 (</w:t>
      </w:r>
      <w:r w:rsidRPr="00B86C2B">
        <w:rPr>
          <w:rFonts w:cstheme="minorHAnsi"/>
          <w:sz w:val="24"/>
          <w:szCs w:val="24"/>
          <w:shd w:val="clear" w:color="auto" w:fill="FFFFFF"/>
        </w:rPr>
        <w:t xml:space="preserve">GlaxoSmithKline </w:t>
      </w:r>
      <w:proofErr w:type="spellStart"/>
      <w:r w:rsidRPr="00B86C2B">
        <w:rPr>
          <w:rFonts w:cstheme="minorHAnsi"/>
          <w:sz w:val="24"/>
          <w:szCs w:val="24"/>
          <w:shd w:val="clear" w:color="auto" w:fill="FFFFFF"/>
        </w:rPr>
        <w:t>plc</w:t>
      </w:r>
      <w:proofErr w:type="spellEnd"/>
      <w:r>
        <w:rPr>
          <w:rFonts w:cstheme="minorHAnsi"/>
          <w:sz w:val="24"/>
          <w:szCs w:val="24"/>
          <w:shd w:val="clear" w:color="auto" w:fill="FFFFFF"/>
        </w:rPr>
        <w:t>, 2021a). Therefore, employees of the company become satisfied toward them and give best performance to deliver best products to customers. As a result, GSK become able to make its position stronger within competitors.</w:t>
      </w:r>
    </w:p>
    <w:p w:rsidR="00C124AD" w:rsidRPr="00C124AD" w:rsidRDefault="00C124AD" w:rsidP="007E64DD">
      <w:pPr>
        <w:pStyle w:val="Heading2"/>
      </w:pPr>
      <w:bookmarkStart w:id="7" w:name="_Toc71924095"/>
      <w:r w:rsidRPr="00C124AD">
        <w:t xml:space="preserve">Stakeholder analysis: </w:t>
      </w:r>
      <w:proofErr w:type="spellStart"/>
      <w:r w:rsidRPr="00C124AD">
        <w:t>Mendelows</w:t>
      </w:r>
      <w:bookmarkEnd w:id="7"/>
      <w:proofErr w:type="spellEnd"/>
    </w:p>
    <w:p w:rsidR="00584CD1" w:rsidRDefault="00572F80" w:rsidP="00584CD1">
      <w:pPr>
        <w:spacing w:line="360" w:lineRule="auto"/>
        <w:jc w:val="both"/>
        <w:rPr>
          <w:sz w:val="24"/>
          <w:szCs w:val="24"/>
        </w:rPr>
      </w:pPr>
      <w:r>
        <w:rPr>
          <w:sz w:val="24"/>
          <w:szCs w:val="24"/>
        </w:rPr>
        <w:t xml:space="preserve">Stakeholders are the business entities or individuals that </w:t>
      </w:r>
      <w:r w:rsidR="00EE6F4B">
        <w:rPr>
          <w:sz w:val="24"/>
          <w:szCs w:val="24"/>
        </w:rPr>
        <w:t>are affected by the results and impact that GSK result in (</w:t>
      </w:r>
      <w:proofErr w:type="spellStart"/>
      <w:r w:rsidR="00EE6F4B" w:rsidRPr="00753846">
        <w:rPr>
          <w:rFonts w:cstheme="minorHAnsi"/>
          <w:sz w:val="24"/>
          <w:szCs w:val="24"/>
          <w:shd w:val="clear" w:color="auto" w:fill="FFFFFF"/>
        </w:rPr>
        <w:t>Ansoff</w:t>
      </w:r>
      <w:proofErr w:type="spellEnd"/>
      <w:r w:rsidR="00EE6F4B">
        <w:rPr>
          <w:rFonts w:cstheme="minorHAnsi"/>
          <w:sz w:val="24"/>
          <w:szCs w:val="24"/>
          <w:shd w:val="clear" w:color="auto" w:fill="FFFFFF"/>
        </w:rPr>
        <w:t xml:space="preserve"> et al. 2018</w:t>
      </w:r>
      <w:r w:rsidR="00EE6F4B">
        <w:rPr>
          <w:sz w:val="24"/>
          <w:szCs w:val="24"/>
        </w:rPr>
        <w:t xml:space="preserve">). </w:t>
      </w:r>
      <w:r w:rsidR="00785D05">
        <w:rPr>
          <w:sz w:val="24"/>
          <w:szCs w:val="24"/>
        </w:rPr>
        <w:t xml:space="preserve">Identification of the key stakeholders and effective management of them based on priority is important because it affect how the stakeholders are treated. </w:t>
      </w:r>
      <w:proofErr w:type="spellStart"/>
      <w:r w:rsidR="00F262AF" w:rsidRPr="00753846">
        <w:rPr>
          <w:rFonts w:cstheme="minorHAnsi"/>
          <w:sz w:val="24"/>
          <w:szCs w:val="24"/>
          <w:shd w:val="clear" w:color="auto" w:fill="FFFFFF"/>
        </w:rPr>
        <w:t>Velikorossov</w:t>
      </w:r>
      <w:proofErr w:type="spellEnd"/>
      <w:r w:rsidR="00F262AF">
        <w:rPr>
          <w:sz w:val="24"/>
          <w:szCs w:val="24"/>
        </w:rPr>
        <w:t xml:space="preserve"> et al. (2020) have asserted that all the stakeholders of a business do not deserve the same priority; this implies that a business should prioritise among the stakeholders and should determine the most important stakeholders that deserve the highest priority.</w:t>
      </w:r>
      <w:r w:rsidR="00A95101">
        <w:rPr>
          <w:sz w:val="24"/>
          <w:szCs w:val="24"/>
        </w:rPr>
        <w:t xml:space="preserve"> </w:t>
      </w:r>
      <w:r w:rsidR="00374C80">
        <w:rPr>
          <w:sz w:val="24"/>
          <w:szCs w:val="24"/>
        </w:rPr>
        <w:t>This aspect of stakeholder management has raised the issue of stakeholder mapping</w:t>
      </w:r>
      <w:r w:rsidR="001D2282">
        <w:rPr>
          <w:sz w:val="24"/>
          <w:szCs w:val="24"/>
        </w:rPr>
        <w:t xml:space="preserve"> (</w:t>
      </w:r>
      <w:proofErr w:type="spellStart"/>
      <w:r w:rsidR="001D2282" w:rsidRPr="00753846">
        <w:rPr>
          <w:rFonts w:cstheme="minorHAnsi"/>
          <w:sz w:val="24"/>
          <w:szCs w:val="24"/>
          <w:shd w:val="clear" w:color="auto" w:fill="FFFFFF"/>
        </w:rPr>
        <w:t>Wheelen</w:t>
      </w:r>
      <w:proofErr w:type="spellEnd"/>
      <w:r w:rsidR="001D2282" w:rsidRPr="00753846">
        <w:rPr>
          <w:rFonts w:cstheme="minorHAnsi"/>
          <w:sz w:val="24"/>
          <w:szCs w:val="24"/>
          <w:shd w:val="clear" w:color="auto" w:fill="FFFFFF"/>
        </w:rPr>
        <w:t xml:space="preserve"> &amp; Hunger,</w:t>
      </w:r>
      <w:r w:rsidR="001D2282">
        <w:rPr>
          <w:rFonts w:cstheme="minorHAnsi"/>
          <w:sz w:val="24"/>
          <w:szCs w:val="24"/>
          <w:shd w:val="clear" w:color="auto" w:fill="FFFFFF"/>
        </w:rPr>
        <w:t xml:space="preserve"> 2011</w:t>
      </w:r>
      <w:r w:rsidR="001D2282">
        <w:rPr>
          <w:sz w:val="24"/>
          <w:szCs w:val="24"/>
        </w:rPr>
        <w:t>)</w:t>
      </w:r>
      <w:r w:rsidR="00374C80">
        <w:rPr>
          <w:sz w:val="24"/>
          <w:szCs w:val="24"/>
        </w:rPr>
        <w:t>.</w:t>
      </w:r>
    </w:p>
    <w:p w:rsidR="00D50C57" w:rsidRDefault="00D50C57" w:rsidP="00584CD1">
      <w:pPr>
        <w:spacing w:line="360" w:lineRule="auto"/>
        <w:jc w:val="both"/>
        <w:rPr>
          <w:sz w:val="24"/>
          <w:szCs w:val="24"/>
        </w:rPr>
      </w:pPr>
      <w:r>
        <w:rPr>
          <w:sz w:val="24"/>
          <w:szCs w:val="24"/>
        </w:rPr>
        <w:lastRenderedPageBreak/>
        <w:t xml:space="preserve">The stakeholder mapping framework as suggested by </w:t>
      </w:r>
      <w:proofErr w:type="spellStart"/>
      <w:r w:rsidRPr="00062718">
        <w:rPr>
          <w:rFonts w:cstheme="minorHAnsi"/>
          <w:sz w:val="24"/>
          <w:szCs w:val="24"/>
          <w:shd w:val="clear" w:color="auto" w:fill="FFFFFF"/>
        </w:rPr>
        <w:t>Mendelow</w:t>
      </w:r>
      <w:proofErr w:type="spellEnd"/>
      <w:r>
        <w:rPr>
          <w:sz w:val="24"/>
          <w:szCs w:val="24"/>
        </w:rPr>
        <w:t xml:space="preserve"> (1983) </w:t>
      </w:r>
      <w:r w:rsidR="0018447C">
        <w:rPr>
          <w:sz w:val="24"/>
          <w:szCs w:val="24"/>
        </w:rPr>
        <w:t>is of great importance to frame the stakeholder mapping because this framework excellently set all the potential stakeholders in the framework and help a company to understand relative priority.</w:t>
      </w:r>
      <w:r w:rsidR="00396571">
        <w:rPr>
          <w:sz w:val="24"/>
          <w:szCs w:val="24"/>
        </w:rPr>
        <w:t xml:space="preserve"> </w:t>
      </w:r>
      <w:r w:rsidR="004D2234">
        <w:rPr>
          <w:sz w:val="24"/>
          <w:szCs w:val="24"/>
        </w:rPr>
        <w:t>To conduct stakeholder mapping for GSK, first the list of stakeholders should be demonstrated:</w:t>
      </w:r>
    </w:p>
    <w:tbl>
      <w:tblPr>
        <w:tblStyle w:val="TableGrid"/>
        <w:tblW w:w="0" w:type="auto"/>
        <w:jc w:val="center"/>
        <w:tblLook w:val="04A0" w:firstRow="1" w:lastRow="0" w:firstColumn="1" w:lastColumn="0" w:noHBand="0" w:noVBand="1"/>
      </w:tblPr>
      <w:tblGrid>
        <w:gridCol w:w="4405"/>
        <w:gridCol w:w="2430"/>
      </w:tblGrid>
      <w:tr w:rsidR="00667D1A" w:rsidRPr="00EA1EEB" w:rsidTr="00410085">
        <w:trPr>
          <w:trHeight w:val="426"/>
          <w:jc w:val="center"/>
        </w:trPr>
        <w:tc>
          <w:tcPr>
            <w:tcW w:w="4405" w:type="dxa"/>
            <w:shd w:val="clear" w:color="auto" w:fill="A8D08D" w:themeFill="accent6" w:themeFillTint="99"/>
          </w:tcPr>
          <w:p w:rsidR="00667D1A" w:rsidRPr="00EA1EEB" w:rsidRDefault="00667D1A" w:rsidP="00EA1EEB">
            <w:pPr>
              <w:spacing w:line="360" w:lineRule="auto"/>
              <w:jc w:val="center"/>
              <w:rPr>
                <w:b/>
                <w:sz w:val="24"/>
                <w:szCs w:val="24"/>
              </w:rPr>
            </w:pPr>
            <w:r w:rsidRPr="00EA1EEB">
              <w:rPr>
                <w:b/>
                <w:sz w:val="24"/>
                <w:szCs w:val="24"/>
              </w:rPr>
              <w:t>Stakeholders</w:t>
            </w:r>
          </w:p>
        </w:tc>
        <w:tc>
          <w:tcPr>
            <w:tcW w:w="2430" w:type="dxa"/>
            <w:shd w:val="clear" w:color="auto" w:fill="A8D08D" w:themeFill="accent6" w:themeFillTint="99"/>
          </w:tcPr>
          <w:p w:rsidR="00667D1A" w:rsidRPr="00EA1EEB" w:rsidRDefault="00667D1A" w:rsidP="00EA1EEB">
            <w:pPr>
              <w:spacing w:line="360" w:lineRule="auto"/>
              <w:jc w:val="center"/>
              <w:rPr>
                <w:b/>
                <w:sz w:val="24"/>
                <w:szCs w:val="24"/>
              </w:rPr>
            </w:pPr>
            <w:r w:rsidRPr="00EA1EEB">
              <w:rPr>
                <w:b/>
                <w:sz w:val="24"/>
                <w:szCs w:val="24"/>
              </w:rPr>
              <w:t>Internal/External</w:t>
            </w:r>
          </w:p>
        </w:tc>
      </w:tr>
      <w:tr w:rsidR="00667D1A" w:rsidTr="00410085">
        <w:trPr>
          <w:trHeight w:val="426"/>
          <w:jc w:val="center"/>
        </w:trPr>
        <w:tc>
          <w:tcPr>
            <w:tcW w:w="4405" w:type="dxa"/>
          </w:tcPr>
          <w:p w:rsidR="00667D1A" w:rsidRDefault="00667D1A" w:rsidP="00584CD1">
            <w:pPr>
              <w:spacing w:line="360" w:lineRule="auto"/>
              <w:jc w:val="both"/>
              <w:rPr>
                <w:sz w:val="24"/>
                <w:szCs w:val="24"/>
              </w:rPr>
            </w:pPr>
            <w:r>
              <w:rPr>
                <w:sz w:val="24"/>
                <w:szCs w:val="24"/>
              </w:rPr>
              <w:t>Employees</w:t>
            </w:r>
          </w:p>
        </w:tc>
        <w:tc>
          <w:tcPr>
            <w:tcW w:w="2430" w:type="dxa"/>
          </w:tcPr>
          <w:p w:rsidR="00667D1A" w:rsidRDefault="00667D1A" w:rsidP="00410085">
            <w:pPr>
              <w:spacing w:line="360" w:lineRule="auto"/>
              <w:jc w:val="center"/>
              <w:rPr>
                <w:sz w:val="24"/>
                <w:szCs w:val="24"/>
              </w:rPr>
            </w:pPr>
            <w:r>
              <w:rPr>
                <w:sz w:val="24"/>
                <w:szCs w:val="24"/>
              </w:rPr>
              <w:t>Internal</w:t>
            </w:r>
          </w:p>
        </w:tc>
      </w:tr>
      <w:tr w:rsidR="00667D1A" w:rsidTr="00410085">
        <w:trPr>
          <w:trHeight w:val="426"/>
          <w:jc w:val="center"/>
        </w:trPr>
        <w:tc>
          <w:tcPr>
            <w:tcW w:w="4405" w:type="dxa"/>
          </w:tcPr>
          <w:p w:rsidR="00667D1A" w:rsidRDefault="00667D1A" w:rsidP="00584CD1">
            <w:pPr>
              <w:spacing w:line="360" w:lineRule="auto"/>
              <w:jc w:val="both"/>
              <w:rPr>
                <w:sz w:val="24"/>
                <w:szCs w:val="24"/>
              </w:rPr>
            </w:pPr>
            <w:r>
              <w:rPr>
                <w:sz w:val="24"/>
                <w:szCs w:val="24"/>
              </w:rPr>
              <w:t>Directors</w:t>
            </w:r>
          </w:p>
        </w:tc>
        <w:tc>
          <w:tcPr>
            <w:tcW w:w="2430" w:type="dxa"/>
          </w:tcPr>
          <w:p w:rsidR="00667D1A" w:rsidRDefault="00667D1A" w:rsidP="00410085">
            <w:pPr>
              <w:spacing w:line="360" w:lineRule="auto"/>
              <w:jc w:val="center"/>
              <w:rPr>
                <w:sz w:val="24"/>
                <w:szCs w:val="24"/>
              </w:rPr>
            </w:pPr>
            <w:r>
              <w:rPr>
                <w:sz w:val="24"/>
                <w:szCs w:val="24"/>
              </w:rPr>
              <w:t>Internal</w:t>
            </w:r>
          </w:p>
        </w:tc>
      </w:tr>
      <w:tr w:rsidR="00667D1A" w:rsidTr="00410085">
        <w:trPr>
          <w:trHeight w:val="426"/>
          <w:jc w:val="center"/>
        </w:trPr>
        <w:tc>
          <w:tcPr>
            <w:tcW w:w="4405" w:type="dxa"/>
          </w:tcPr>
          <w:p w:rsidR="00667D1A" w:rsidRDefault="00667D1A" w:rsidP="00584CD1">
            <w:pPr>
              <w:spacing w:line="360" w:lineRule="auto"/>
              <w:jc w:val="both"/>
              <w:rPr>
                <w:sz w:val="24"/>
                <w:szCs w:val="24"/>
              </w:rPr>
            </w:pPr>
            <w:r>
              <w:rPr>
                <w:sz w:val="24"/>
                <w:szCs w:val="24"/>
              </w:rPr>
              <w:t>Creditors</w:t>
            </w:r>
          </w:p>
        </w:tc>
        <w:tc>
          <w:tcPr>
            <w:tcW w:w="2430" w:type="dxa"/>
          </w:tcPr>
          <w:p w:rsidR="00667D1A" w:rsidRDefault="00667D1A" w:rsidP="00410085">
            <w:pPr>
              <w:spacing w:line="360" w:lineRule="auto"/>
              <w:jc w:val="center"/>
              <w:rPr>
                <w:sz w:val="24"/>
                <w:szCs w:val="24"/>
              </w:rPr>
            </w:pPr>
            <w:r>
              <w:rPr>
                <w:sz w:val="24"/>
                <w:szCs w:val="24"/>
              </w:rPr>
              <w:t>External</w:t>
            </w:r>
          </w:p>
        </w:tc>
      </w:tr>
      <w:tr w:rsidR="00667D1A" w:rsidTr="00410085">
        <w:trPr>
          <w:trHeight w:val="426"/>
          <w:jc w:val="center"/>
        </w:trPr>
        <w:tc>
          <w:tcPr>
            <w:tcW w:w="4405" w:type="dxa"/>
          </w:tcPr>
          <w:p w:rsidR="00667D1A" w:rsidRDefault="00667D1A" w:rsidP="00584CD1">
            <w:pPr>
              <w:spacing w:line="360" w:lineRule="auto"/>
              <w:jc w:val="both"/>
              <w:rPr>
                <w:sz w:val="24"/>
                <w:szCs w:val="24"/>
              </w:rPr>
            </w:pPr>
            <w:r>
              <w:rPr>
                <w:sz w:val="24"/>
                <w:szCs w:val="24"/>
              </w:rPr>
              <w:t>Bankers</w:t>
            </w:r>
          </w:p>
        </w:tc>
        <w:tc>
          <w:tcPr>
            <w:tcW w:w="2430" w:type="dxa"/>
          </w:tcPr>
          <w:p w:rsidR="00667D1A" w:rsidRDefault="00667D1A" w:rsidP="00410085">
            <w:pPr>
              <w:spacing w:line="360" w:lineRule="auto"/>
              <w:jc w:val="center"/>
              <w:rPr>
                <w:sz w:val="24"/>
                <w:szCs w:val="24"/>
              </w:rPr>
            </w:pPr>
            <w:r>
              <w:rPr>
                <w:sz w:val="24"/>
                <w:szCs w:val="24"/>
              </w:rPr>
              <w:t>External</w:t>
            </w:r>
          </w:p>
        </w:tc>
      </w:tr>
      <w:tr w:rsidR="00667D1A" w:rsidTr="00410085">
        <w:trPr>
          <w:trHeight w:val="426"/>
          <w:jc w:val="center"/>
        </w:trPr>
        <w:tc>
          <w:tcPr>
            <w:tcW w:w="4405" w:type="dxa"/>
          </w:tcPr>
          <w:p w:rsidR="00667D1A" w:rsidRDefault="00667D1A" w:rsidP="00584CD1">
            <w:pPr>
              <w:spacing w:line="360" w:lineRule="auto"/>
              <w:jc w:val="both"/>
              <w:rPr>
                <w:sz w:val="24"/>
                <w:szCs w:val="24"/>
              </w:rPr>
            </w:pPr>
            <w:r>
              <w:rPr>
                <w:sz w:val="24"/>
                <w:szCs w:val="24"/>
              </w:rPr>
              <w:t>Suppliers</w:t>
            </w:r>
          </w:p>
        </w:tc>
        <w:tc>
          <w:tcPr>
            <w:tcW w:w="2430" w:type="dxa"/>
          </w:tcPr>
          <w:p w:rsidR="00667D1A" w:rsidRDefault="00667D1A" w:rsidP="00410085">
            <w:pPr>
              <w:spacing w:line="360" w:lineRule="auto"/>
              <w:jc w:val="center"/>
              <w:rPr>
                <w:sz w:val="24"/>
                <w:szCs w:val="24"/>
              </w:rPr>
            </w:pPr>
            <w:r>
              <w:rPr>
                <w:sz w:val="24"/>
                <w:szCs w:val="24"/>
              </w:rPr>
              <w:t>External</w:t>
            </w:r>
          </w:p>
        </w:tc>
      </w:tr>
      <w:tr w:rsidR="00667D1A" w:rsidTr="00410085">
        <w:trPr>
          <w:trHeight w:val="426"/>
          <w:jc w:val="center"/>
        </w:trPr>
        <w:tc>
          <w:tcPr>
            <w:tcW w:w="4405" w:type="dxa"/>
          </w:tcPr>
          <w:p w:rsidR="00667D1A" w:rsidRDefault="00667D1A" w:rsidP="00584CD1">
            <w:pPr>
              <w:spacing w:line="360" w:lineRule="auto"/>
              <w:jc w:val="both"/>
              <w:rPr>
                <w:sz w:val="24"/>
                <w:szCs w:val="24"/>
              </w:rPr>
            </w:pPr>
            <w:r>
              <w:rPr>
                <w:sz w:val="24"/>
                <w:szCs w:val="24"/>
              </w:rPr>
              <w:t>Manufacturers</w:t>
            </w:r>
          </w:p>
        </w:tc>
        <w:tc>
          <w:tcPr>
            <w:tcW w:w="2430" w:type="dxa"/>
          </w:tcPr>
          <w:p w:rsidR="00667D1A" w:rsidRDefault="00667D1A" w:rsidP="00410085">
            <w:pPr>
              <w:spacing w:line="360" w:lineRule="auto"/>
              <w:jc w:val="center"/>
              <w:rPr>
                <w:sz w:val="24"/>
                <w:szCs w:val="24"/>
              </w:rPr>
            </w:pPr>
            <w:r>
              <w:rPr>
                <w:sz w:val="24"/>
                <w:szCs w:val="24"/>
              </w:rPr>
              <w:t>External</w:t>
            </w:r>
          </w:p>
        </w:tc>
      </w:tr>
      <w:tr w:rsidR="00667D1A" w:rsidTr="00410085">
        <w:trPr>
          <w:trHeight w:val="426"/>
          <w:jc w:val="center"/>
        </w:trPr>
        <w:tc>
          <w:tcPr>
            <w:tcW w:w="4405" w:type="dxa"/>
          </w:tcPr>
          <w:p w:rsidR="00667D1A" w:rsidRDefault="00667D1A" w:rsidP="00584CD1">
            <w:pPr>
              <w:spacing w:line="360" w:lineRule="auto"/>
              <w:jc w:val="both"/>
              <w:rPr>
                <w:sz w:val="24"/>
                <w:szCs w:val="24"/>
              </w:rPr>
            </w:pPr>
            <w:r>
              <w:rPr>
                <w:sz w:val="24"/>
                <w:szCs w:val="24"/>
              </w:rPr>
              <w:t>Research institutes</w:t>
            </w:r>
          </w:p>
        </w:tc>
        <w:tc>
          <w:tcPr>
            <w:tcW w:w="2430" w:type="dxa"/>
          </w:tcPr>
          <w:p w:rsidR="00667D1A" w:rsidRDefault="00667D1A" w:rsidP="00410085">
            <w:pPr>
              <w:spacing w:line="360" w:lineRule="auto"/>
              <w:jc w:val="center"/>
              <w:rPr>
                <w:sz w:val="24"/>
                <w:szCs w:val="24"/>
              </w:rPr>
            </w:pPr>
            <w:r>
              <w:rPr>
                <w:sz w:val="24"/>
                <w:szCs w:val="24"/>
              </w:rPr>
              <w:t>External</w:t>
            </w:r>
          </w:p>
        </w:tc>
      </w:tr>
      <w:tr w:rsidR="00667D1A" w:rsidTr="00410085">
        <w:trPr>
          <w:trHeight w:val="426"/>
          <w:jc w:val="center"/>
        </w:trPr>
        <w:tc>
          <w:tcPr>
            <w:tcW w:w="4405" w:type="dxa"/>
          </w:tcPr>
          <w:p w:rsidR="00667D1A" w:rsidRDefault="00667D1A" w:rsidP="00584CD1">
            <w:pPr>
              <w:spacing w:line="360" w:lineRule="auto"/>
              <w:jc w:val="both"/>
              <w:rPr>
                <w:sz w:val="24"/>
                <w:szCs w:val="24"/>
              </w:rPr>
            </w:pPr>
            <w:r>
              <w:rPr>
                <w:sz w:val="24"/>
                <w:szCs w:val="24"/>
              </w:rPr>
              <w:t>Customers</w:t>
            </w:r>
          </w:p>
        </w:tc>
        <w:tc>
          <w:tcPr>
            <w:tcW w:w="2430" w:type="dxa"/>
          </w:tcPr>
          <w:p w:rsidR="00667D1A" w:rsidRDefault="00667D1A" w:rsidP="00410085">
            <w:pPr>
              <w:spacing w:line="360" w:lineRule="auto"/>
              <w:jc w:val="center"/>
              <w:rPr>
                <w:sz w:val="24"/>
                <w:szCs w:val="24"/>
              </w:rPr>
            </w:pPr>
            <w:r>
              <w:rPr>
                <w:sz w:val="24"/>
                <w:szCs w:val="24"/>
              </w:rPr>
              <w:t>External</w:t>
            </w:r>
          </w:p>
        </w:tc>
      </w:tr>
      <w:tr w:rsidR="00667D1A" w:rsidTr="00410085">
        <w:trPr>
          <w:trHeight w:val="426"/>
          <w:jc w:val="center"/>
        </w:trPr>
        <w:tc>
          <w:tcPr>
            <w:tcW w:w="4405" w:type="dxa"/>
          </w:tcPr>
          <w:p w:rsidR="00667D1A" w:rsidRDefault="00667D1A" w:rsidP="00584CD1">
            <w:pPr>
              <w:spacing w:line="360" w:lineRule="auto"/>
              <w:jc w:val="both"/>
              <w:rPr>
                <w:sz w:val="24"/>
                <w:szCs w:val="24"/>
              </w:rPr>
            </w:pPr>
            <w:r>
              <w:rPr>
                <w:sz w:val="24"/>
                <w:szCs w:val="24"/>
              </w:rPr>
              <w:t>Retailers</w:t>
            </w:r>
          </w:p>
        </w:tc>
        <w:tc>
          <w:tcPr>
            <w:tcW w:w="2430" w:type="dxa"/>
          </w:tcPr>
          <w:p w:rsidR="00667D1A" w:rsidRDefault="00667D1A" w:rsidP="00410085">
            <w:pPr>
              <w:spacing w:line="360" w:lineRule="auto"/>
              <w:jc w:val="center"/>
              <w:rPr>
                <w:sz w:val="24"/>
                <w:szCs w:val="24"/>
              </w:rPr>
            </w:pPr>
            <w:r>
              <w:rPr>
                <w:sz w:val="24"/>
                <w:szCs w:val="24"/>
              </w:rPr>
              <w:t>External</w:t>
            </w:r>
          </w:p>
        </w:tc>
      </w:tr>
      <w:tr w:rsidR="00667D1A" w:rsidTr="00410085">
        <w:trPr>
          <w:trHeight w:val="426"/>
          <w:jc w:val="center"/>
        </w:trPr>
        <w:tc>
          <w:tcPr>
            <w:tcW w:w="4405" w:type="dxa"/>
          </w:tcPr>
          <w:p w:rsidR="00667D1A" w:rsidRDefault="00667D1A" w:rsidP="00584CD1">
            <w:pPr>
              <w:spacing w:line="360" w:lineRule="auto"/>
              <w:jc w:val="both"/>
              <w:rPr>
                <w:sz w:val="24"/>
                <w:szCs w:val="24"/>
              </w:rPr>
            </w:pPr>
            <w:r>
              <w:rPr>
                <w:sz w:val="24"/>
                <w:szCs w:val="24"/>
              </w:rPr>
              <w:t>Hospitals</w:t>
            </w:r>
          </w:p>
        </w:tc>
        <w:tc>
          <w:tcPr>
            <w:tcW w:w="2430" w:type="dxa"/>
          </w:tcPr>
          <w:p w:rsidR="00667D1A" w:rsidRDefault="00667D1A" w:rsidP="00410085">
            <w:pPr>
              <w:spacing w:line="360" w:lineRule="auto"/>
              <w:jc w:val="center"/>
              <w:rPr>
                <w:sz w:val="24"/>
                <w:szCs w:val="24"/>
              </w:rPr>
            </w:pPr>
            <w:r>
              <w:rPr>
                <w:sz w:val="24"/>
                <w:szCs w:val="24"/>
              </w:rPr>
              <w:t>External</w:t>
            </w:r>
          </w:p>
        </w:tc>
      </w:tr>
      <w:tr w:rsidR="00667D1A" w:rsidTr="00410085">
        <w:trPr>
          <w:trHeight w:val="426"/>
          <w:jc w:val="center"/>
        </w:trPr>
        <w:tc>
          <w:tcPr>
            <w:tcW w:w="4405" w:type="dxa"/>
          </w:tcPr>
          <w:p w:rsidR="00667D1A" w:rsidRDefault="00667D1A" w:rsidP="00584CD1">
            <w:pPr>
              <w:spacing w:line="360" w:lineRule="auto"/>
              <w:jc w:val="both"/>
              <w:rPr>
                <w:sz w:val="24"/>
                <w:szCs w:val="24"/>
              </w:rPr>
            </w:pPr>
            <w:r>
              <w:rPr>
                <w:sz w:val="24"/>
                <w:szCs w:val="24"/>
              </w:rPr>
              <w:t>Regulatory organisations</w:t>
            </w:r>
          </w:p>
        </w:tc>
        <w:tc>
          <w:tcPr>
            <w:tcW w:w="2430" w:type="dxa"/>
          </w:tcPr>
          <w:p w:rsidR="00667D1A" w:rsidRDefault="00667D1A" w:rsidP="00410085">
            <w:pPr>
              <w:spacing w:line="360" w:lineRule="auto"/>
              <w:jc w:val="center"/>
              <w:rPr>
                <w:sz w:val="24"/>
                <w:szCs w:val="24"/>
              </w:rPr>
            </w:pPr>
            <w:r>
              <w:rPr>
                <w:sz w:val="24"/>
                <w:szCs w:val="24"/>
              </w:rPr>
              <w:t>External</w:t>
            </w:r>
          </w:p>
        </w:tc>
      </w:tr>
      <w:tr w:rsidR="00667D1A" w:rsidTr="00410085">
        <w:trPr>
          <w:trHeight w:val="426"/>
          <w:jc w:val="center"/>
        </w:trPr>
        <w:tc>
          <w:tcPr>
            <w:tcW w:w="4405" w:type="dxa"/>
          </w:tcPr>
          <w:p w:rsidR="00667D1A" w:rsidRDefault="00667D1A" w:rsidP="00584CD1">
            <w:pPr>
              <w:spacing w:line="360" w:lineRule="auto"/>
              <w:jc w:val="both"/>
              <w:rPr>
                <w:sz w:val="24"/>
                <w:szCs w:val="24"/>
              </w:rPr>
            </w:pPr>
            <w:r>
              <w:rPr>
                <w:sz w:val="24"/>
                <w:szCs w:val="24"/>
              </w:rPr>
              <w:t>Health Insurance Providers</w:t>
            </w:r>
          </w:p>
        </w:tc>
        <w:tc>
          <w:tcPr>
            <w:tcW w:w="2430" w:type="dxa"/>
          </w:tcPr>
          <w:p w:rsidR="00667D1A" w:rsidRDefault="00667D1A" w:rsidP="00410085">
            <w:pPr>
              <w:spacing w:line="360" w:lineRule="auto"/>
              <w:jc w:val="center"/>
              <w:rPr>
                <w:sz w:val="24"/>
                <w:szCs w:val="24"/>
              </w:rPr>
            </w:pPr>
            <w:r>
              <w:rPr>
                <w:sz w:val="24"/>
                <w:szCs w:val="24"/>
              </w:rPr>
              <w:t>External</w:t>
            </w:r>
          </w:p>
        </w:tc>
      </w:tr>
      <w:tr w:rsidR="00667D1A" w:rsidTr="00410085">
        <w:trPr>
          <w:trHeight w:val="412"/>
          <w:jc w:val="center"/>
        </w:trPr>
        <w:tc>
          <w:tcPr>
            <w:tcW w:w="4405" w:type="dxa"/>
          </w:tcPr>
          <w:p w:rsidR="00667D1A" w:rsidRDefault="00667D1A" w:rsidP="00584CD1">
            <w:pPr>
              <w:spacing w:line="360" w:lineRule="auto"/>
              <w:jc w:val="both"/>
              <w:rPr>
                <w:sz w:val="24"/>
                <w:szCs w:val="24"/>
              </w:rPr>
            </w:pPr>
            <w:r>
              <w:rPr>
                <w:sz w:val="24"/>
                <w:szCs w:val="24"/>
              </w:rPr>
              <w:t>Governments</w:t>
            </w:r>
          </w:p>
        </w:tc>
        <w:tc>
          <w:tcPr>
            <w:tcW w:w="2430" w:type="dxa"/>
          </w:tcPr>
          <w:p w:rsidR="00667D1A" w:rsidRDefault="00667D1A" w:rsidP="00410085">
            <w:pPr>
              <w:spacing w:line="360" w:lineRule="auto"/>
              <w:jc w:val="center"/>
              <w:rPr>
                <w:sz w:val="24"/>
                <w:szCs w:val="24"/>
              </w:rPr>
            </w:pPr>
            <w:r>
              <w:rPr>
                <w:sz w:val="24"/>
                <w:szCs w:val="24"/>
              </w:rPr>
              <w:t>External</w:t>
            </w:r>
          </w:p>
        </w:tc>
      </w:tr>
      <w:tr w:rsidR="00667D1A" w:rsidTr="00410085">
        <w:trPr>
          <w:trHeight w:val="426"/>
          <w:jc w:val="center"/>
        </w:trPr>
        <w:tc>
          <w:tcPr>
            <w:tcW w:w="4405" w:type="dxa"/>
          </w:tcPr>
          <w:p w:rsidR="00667D1A" w:rsidRDefault="00667D1A" w:rsidP="00584CD1">
            <w:pPr>
              <w:spacing w:line="360" w:lineRule="auto"/>
              <w:jc w:val="both"/>
              <w:rPr>
                <w:sz w:val="24"/>
                <w:szCs w:val="24"/>
              </w:rPr>
            </w:pPr>
            <w:r>
              <w:rPr>
                <w:sz w:val="24"/>
                <w:szCs w:val="24"/>
              </w:rPr>
              <w:t>Environment activists</w:t>
            </w:r>
          </w:p>
        </w:tc>
        <w:tc>
          <w:tcPr>
            <w:tcW w:w="2430" w:type="dxa"/>
          </w:tcPr>
          <w:p w:rsidR="00667D1A" w:rsidRDefault="00667D1A" w:rsidP="00410085">
            <w:pPr>
              <w:spacing w:line="360" w:lineRule="auto"/>
              <w:jc w:val="center"/>
              <w:rPr>
                <w:sz w:val="24"/>
                <w:szCs w:val="24"/>
              </w:rPr>
            </w:pPr>
            <w:r>
              <w:rPr>
                <w:sz w:val="24"/>
                <w:szCs w:val="24"/>
              </w:rPr>
              <w:t>External</w:t>
            </w:r>
          </w:p>
        </w:tc>
      </w:tr>
      <w:tr w:rsidR="00667D1A" w:rsidTr="00410085">
        <w:trPr>
          <w:trHeight w:val="426"/>
          <w:jc w:val="center"/>
        </w:trPr>
        <w:tc>
          <w:tcPr>
            <w:tcW w:w="4405" w:type="dxa"/>
          </w:tcPr>
          <w:p w:rsidR="00667D1A" w:rsidRDefault="00667D1A" w:rsidP="00584CD1">
            <w:pPr>
              <w:spacing w:line="360" w:lineRule="auto"/>
              <w:jc w:val="both"/>
              <w:rPr>
                <w:sz w:val="24"/>
                <w:szCs w:val="24"/>
              </w:rPr>
            </w:pPr>
            <w:r>
              <w:rPr>
                <w:sz w:val="24"/>
                <w:szCs w:val="24"/>
              </w:rPr>
              <w:t>Service providers</w:t>
            </w:r>
          </w:p>
        </w:tc>
        <w:tc>
          <w:tcPr>
            <w:tcW w:w="2430" w:type="dxa"/>
          </w:tcPr>
          <w:p w:rsidR="00667D1A" w:rsidRDefault="00667D1A" w:rsidP="00410085">
            <w:pPr>
              <w:spacing w:line="360" w:lineRule="auto"/>
              <w:jc w:val="center"/>
              <w:rPr>
                <w:sz w:val="24"/>
                <w:szCs w:val="24"/>
              </w:rPr>
            </w:pPr>
            <w:r>
              <w:rPr>
                <w:sz w:val="24"/>
                <w:szCs w:val="24"/>
              </w:rPr>
              <w:t>External</w:t>
            </w:r>
          </w:p>
        </w:tc>
      </w:tr>
    </w:tbl>
    <w:p w:rsidR="004D2234" w:rsidRDefault="004D2234" w:rsidP="00584CD1">
      <w:pPr>
        <w:spacing w:line="360" w:lineRule="auto"/>
        <w:jc w:val="both"/>
        <w:rPr>
          <w:sz w:val="24"/>
          <w:szCs w:val="24"/>
        </w:rPr>
      </w:pPr>
    </w:p>
    <w:p w:rsidR="00667D1A" w:rsidRDefault="00207F03" w:rsidP="00584CD1">
      <w:pPr>
        <w:spacing w:line="360" w:lineRule="auto"/>
        <w:jc w:val="both"/>
        <w:rPr>
          <w:sz w:val="24"/>
          <w:szCs w:val="24"/>
        </w:rPr>
      </w:pPr>
      <w:r>
        <w:rPr>
          <w:sz w:val="24"/>
          <w:szCs w:val="24"/>
        </w:rPr>
        <w:t xml:space="preserve">Based on the table as above, the Stakeholder mapping for GSK based on </w:t>
      </w:r>
      <w:proofErr w:type="spellStart"/>
      <w:r w:rsidRPr="00062718">
        <w:rPr>
          <w:rFonts w:cstheme="minorHAnsi"/>
          <w:sz w:val="24"/>
          <w:szCs w:val="24"/>
          <w:shd w:val="clear" w:color="auto" w:fill="FFFFFF"/>
        </w:rPr>
        <w:t>Mendelow</w:t>
      </w:r>
      <w:proofErr w:type="spellEnd"/>
      <w:r>
        <w:rPr>
          <w:sz w:val="24"/>
          <w:szCs w:val="24"/>
        </w:rPr>
        <w:t xml:space="preserve"> (1983) is illustrated below:</w:t>
      </w:r>
    </w:p>
    <w:p w:rsidR="00207F03" w:rsidRDefault="00662BAE" w:rsidP="00D76878">
      <w:pPr>
        <w:spacing w:line="360" w:lineRule="auto"/>
        <w:jc w:val="center"/>
        <w:rPr>
          <w:sz w:val="24"/>
          <w:szCs w:val="24"/>
        </w:rPr>
      </w:pPr>
      <w:r>
        <w:rPr>
          <w:noProof/>
          <w:lang w:eastAsia="en-GB"/>
        </w:rPr>
        <w:lastRenderedPageBreak/>
        <w:drawing>
          <wp:inline distT="0" distB="0" distL="0" distR="0" wp14:anchorId="0A6E5BAC" wp14:editId="46BF8EBB">
            <wp:extent cx="6217030" cy="3333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225825" cy="3338466"/>
                    </a:xfrm>
                    <a:prstGeom prst="rect">
                      <a:avLst/>
                    </a:prstGeom>
                  </pic:spPr>
                </pic:pic>
              </a:graphicData>
            </a:graphic>
          </wp:inline>
        </w:drawing>
      </w:r>
    </w:p>
    <w:p w:rsidR="00667D1A" w:rsidRDefault="00232517" w:rsidP="00D76878">
      <w:pPr>
        <w:spacing w:line="360" w:lineRule="auto"/>
        <w:jc w:val="center"/>
        <w:rPr>
          <w:sz w:val="24"/>
          <w:szCs w:val="24"/>
        </w:rPr>
      </w:pPr>
      <w:r>
        <w:rPr>
          <w:sz w:val="24"/>
          <w:szCs w:val="24"/>
        </w:rPr>
        <w:t>Figure 4</w:t>
      </w:r>
      <w:r w:rsidR="00662BAE">
        <w:rPr>
          <w:sz w:val="24"/>
          <w:szCs w:val="24"/>
        </w:rPr>
        <w:t xml:space="preserve">: </w:t>
      </w:r>
      <w:r w:rsidR="0039550F">
        <w:rPr>
          <w:sz w:val="24"/>
          <w:szCs w:val="24"/>
        </w:rPr>
        <w:t xml:space="preserve">Stakeholder mapping for GSK (Self-formulated being inspired by </w:t>
      </w:r>
      <w:proofErr w:type="spellStart"/>
      <w:r w:rsidR="0039550F" w:rsidRPr="00062718">
        <w:rPr>
          <w:rFonts w:cstheme="minorHAnsi"/>
          <w:sz w:val="24"/>
          <w:szCs w:val="24"/>
          <w:shd w:val="clear" w:color="auto" w:fill="FFFFFF"/>
        </w:rPr>
        <w:t>Mendelow</w:t>
      </w:r>
      <w:proofErr w:type="spellEnd"/>
      <w:r w:rsidR="0039550F">
        <w:rPr>
          <w:rFonts w:cstheme="minorHAnsi"/>
          <w:sz w:val="24"/>
          <w:szCs w:val="24"/>
          <w:shd w:val="clear" w:color="auto" w:fill="FFFFFF"/>
        </w:rPr>
        <w:t>, 1983</w:t>
      </w:r>
      <w:r w:rsidR="0099797F">
        <w:rPr>
          <w:rFonts w:cstheme="minorHAnsi"/>
          <w:sz w:val="24"/>
          <w:szCs w:val="24"/>
          <w:shd w:val="clear" w:color="auto" w:fill="FFFFFF"/>
        </w:rPr>
        <w:t xml:space="preserve">; and </w:t>
      </w:r>
      <w:r w:rsidR="0099797F">
        <w:rPr>
          <w:sz w:val="24"/>
          <w:szCs w:val="24"/>
        </w:rPr>
        <w:t>GlaxoSmithKline plc. 2021</w:t>
      </w:r>
      <w:r w:rsidR="0039550F">
        <w:rPr>
          <w:sz w:val="24"/>
          <w:szCs w:val="24"/>
        </w:rPr>
        <w:t>)</w:t>
      </w:r>
    </w:p>
    <w:p w:rsidR="00411210" w:rsidRDefault="006C1E82" w:rsidP="00584CD1">
      <w:pPr>
        <w:spacing w:line="360" w:lineRule="auto"/>
        <w:jc w:val="both"/>
        <w:rPr>
          <w:sz w:val="24"/>
          <w:szCs w:val="24"/>
        </w:rPr>
      </w:pPr>
      <w:r>
        <w:rPr>
          <w:sz w:val="24"/>
          <w:szCs w:val="24"/>
        </w:rPr>
        <w:t xml:space="preserve">Above diagram has put all the important stakeholders in the model, this has clearly demonstrated that </w:t>
      </w:r>
      <w:r w:rsidR="006C66FD">
        <w:rPr>
          <w:sz w:val="24"/>
          <w:szCs w:val="24"/>
        </w:rPr>
        <w:t xml:space="preserve">customers, </w:t>
      </w:r>
      <w:r w:rsidR="00916AA2">
        <w:rPr>
          <w:sz w:val="24"/>
          <w:szCs w:val="24"/>
        </w:rPr>
        <w:t xml:space="preserve">retailers, regulatory organisations, and hospitals are the most important and strategic stakeholders for GSK. </w:t>
      </w:r>
      <w:r w:rsidR="00250673">
        <w:rPr>
          <w:sz w:val="24"/>
          <w:szCs w:val="24"/>
        </w:rPr>
        <w:t>Customers and retailers are important because they are the direct customers of the company; thus GSK must them in the top priority list</w:t>
      </w:r>
      <w:r w:rsidR="00150096">
        <w:rPr>
          <w:sz w:val="24"/>
          <w:szCs w:val="24"/>
        </w:rPr>
        <w:t xml:space="preserve"> (</w:t>
      </w:r>
      <w:r w:rsidR="001A0220" w:rsidRPr="00753846">
        <w:rPr>
          <w:rFonts w:cstheme="minorHAnsi"/>
          <w:sz w:val="24"/>
          <w:szCs w:val="24"/>
          <w:shd w:val="clear" w:color="auto" w:fill="FFFFFF"/>
        </w:rPr>
        <w:t>Hill, Jones &amp; Schilling,</w:t>
      </w:r>
      <w:r w:rsidR="001A0220">
        <w:rPr>
          <w:rFonts w:cstheme="minorHAnsi"/>
          <w:sz w:val="24"/>
          <w:szCs w:val="24"/>
          <w:shd w:val="clear" w:color="auto" w:fill="FFFFFF"/>
        </w:rPr>
        <w:t xml:space="preserve"> 2014</w:t>
      </w:r>
      <w:r w:rsidR="00150096">
        <w:rPr>
          <w:sz w:val="24"/>
          <w:szCs w:val="24"/>
        </w:rPr>
        <w:t>)</w:t>
      </w:r>
      <w:r w:rsidR="00250673">
        <w:rPr>
          <w:sz w:val="24"/>
          <w:szCs w:val="24"/>
        </w:rPr>
        <w:t xml:space="preserve">. </w:t>
      </w:r>
      <w:r w:rsidR="00FB58F1">
        <w:rPr>
          <w:sz w:val="24"/>
          <w:szCs w:val="24"/>
        </w:rPr>
        <w:t xml:space="preserve">In the same manner, </w:t>
      </w:r>
      <w:r w:rsidR="00150096">
        <w:rPr>
          <w:sz w:val="24"/>
          <w:szCs w:val="24"/>
        </w:rPr>
        <w:t xml:space="preserve">regulatory organisations are highly important stakeholders </w:t>
      </w:r>
      <w:r w:rsidR="00427459">
        <w:rPr>
          <w:sz w:val="24"/>
          <w:szCs w:val="24"/>
        </w:rPr>
        <w:t xml:space="preserve">because these organisations approve the medicines and new development of GSK and provide the authority to enter a market with the new </w:t>
      </w:r>
      <w:r w:rsidR="008C6BCE">
        <w:rPr>
          <w:sz w:val="24"/>
          <w:szCs w:val="24"/>
        </w:rPr>
        <w:t>development</w:t>
      </w:r>
      <w:r w:rsidR="00AC19A1">
        <w:rPr>
          <w:sz w:val="24"/>
          <w:szCs w:val="24"/>
        </w:rPr>
        <w:t xml:space="preserve"> (</w:t>
      </w:r>
      <w:proofErr w:type="spellStart"/>
      <w:r w:rsidR="00AC19A1" w:rsidRPr="00753846">
        <w:rPr>
          <w:rFonts w:cstheme="minorHAnsi"/>
          <w:sz w:val="24"/>
          <w:szCs w:val="24"/>
          <w:shd w:val="clear" w:color="auto" w:fill="FFFFFF"/>
        </w:rPr>
        <w:t>Wheelen</w:t>
      </w:r>
      <w:proofErr w:type="spellEnd"/>
      <w:r w:rsidR="00AC19A1">
        <w:rPr>
          <w:rFonts w:cstheme="minorHAnsi"/>
          <w:sz w:val="24"/>
          <w:szCs w:val="24"/>
          <w:shd w:val="clear" w:color="auto" w:fill="FFFFFF"/>
        </w:rPr>
        <w:t xml:space="preserve"> e </w:t>
      </w:r>
      <w:proofErr w:type="spellStart"/>
      <w:r w:rsidR="00AC19A1">
        <w:rPr>
          <w:rFonts w:cstheme="minorHAnsi"/>
          <w:sz w:val="24"/>
          <w:szCs w:val="24"/>
          <w:shd w:val="clear" w:color="auto" w:fill="FFFFFF"/>
        </w:rPr>
        <w:t>tal</w:t>
      </w:r>
      <w:proofErr w:type="spellEnd"/>
      <w:r w:rsidR="00AC19A1">
        <w:rPr>
          <w:rFonts w:cstheme="minorHAnsi"/>
          <w:sz w:val="24"/>
          <w:szCs w:val="24"/>
          <w:shd w:val="clear" w:color="auto" w:fill="FFFFFF"/>
        </w:rPr>
        <w:t>. 2017</w:t>
      </w:r>
      <w:r w:rsidR="00AC19A1">
        <w:rPr>
          <w:sz w:val="24"/>
          <w:szCs w:val="24"/>
        </w:rPr>
        <w:t>)</w:t>
      </w:r>
      <w:r w:rsidR="00427459">
        <w:rPr>
          <w:sz w:val="24"/>
          <w:szCs w:val="24"/>
        </w:rPr>
        <w:t xml:space="preserve">. </w:t>
      </w:r>
      <w:r w:rsidR="008C6BCE">
        <w:rPr>
          <w:sz w:val="24"/>
          <w:szCs w:val="24"/>
        </w:rPr>
        <w:t>Thus, it is highly important that GSK should also put</w:t>
      </w:r>
      <w:r w:rsidR="00520788">
        <w:rPr>
          <w:sz w:val="24"/>
          <w:szCs w:val="24"/>
        </w:rPr>
        <w:t xml:space="preserve"> hospitals at the top priority. In the same manner as discussion above, all other stakeholders mentioned on the mapping should be treated according to their relative position in the graph.</w:t>
      </w:r>
    </w:p>
    <w:p w:rsidR="008C3F36" w:rsidRDefault="008C3F36" w:rsidP="00584CD1">
      <w:pPr>
        <w:spacing w:line="360" w:lineRule="auto"/>
        <w:jc w:val="both"/>
        <w:rPr>
          <w:sz w:val="24"/>
          <w:szCs w:val="24"/>
        </w:rPr>
      </w:pPr>
    </w:p>
    <w:p w:rsidR="008C3F36" w:rsidRDefault="008C3F36" w:rsidP="00584CD1">
      <w:pPr>
        <w:spacing w:line="360" w:lineRule="auto"/>
        <w:jc w:val="both"/>
        <w:rPr>
          <w:sz w:val="24"/>
          <w:szCs w:val="24"/>
        </w:rPr>
      </w:pPr>
    </w:p>
    <w:p w:rsidR="008C3F36" w:rsidRDefault="008C3F36" w:rsidP="00584CD1">
      <w:pPr>
        <w:spacing w:line="360" w:lineRule="auto"/>
        <w:jc w:val="both"/>
        <w:rPr>
          <w:sz w:val="24"/>
          <w:szCs w:val="24"/>
        </w:rPr>
      </w:pPr>
    </w:p>
    <w:p w:rsidR="008C3F36" w:rsidRPr="00584CD1" w:rsidRDefault="008C3F36" w:rsidP="00584CD1">
      <w:pPr>
        <w:spacing w:line="360" w:lineRule="auto"/>
        <w:jc w:val="both"/>
        <w:rPr>
          <w:sz w:val="24"/>
          <w:szCs w:val="24"/>
        </w:rPr>
      </w:pPr>
    </w:p>
    <w:p w:rsidR="00584CD1" w:rsidRPr="00C124AD" w:rsidRDefault="00C124AD" w:rsidP="007E64DD">
      <w:pPr>
        <w:pStyle w:val="Heading2"/>
      </w:pPr>
      <w:bookmarkStart w:id="8" w:name="_Toc71924096"/>
      <w:r w:rsidRPr="00C124AD">
        <w:lastRenderedPageBreak/>
        <w:t>Porter’s Five Forces Model</w:t>
      </w:r>
      <w:bookmarkEnd w:id="8"/>
    </w:p>
    <w:p w:rsidR="005A76B3" w:rsidRDefault="005A76B3" w:rsidP="005A76B3">
      <w:pPr>
        <w:spacing w:line="360" w:lineRule="auto"/>
        <w:jc w:val="both"/>
        <w:rPr>
          <w:sz w:val="24"/>
          <w:szCs w:val="24"/>
        </w:rPr>
      </w:pPr>
      <w:proofErr w:type="spellStart"/>
      <w:r>
        <w:rPr>
          <w:rFonts w:cstheme="minorHAnsi"/>
          <w:sz w:val="24"/>
          <w:szCs w:val="24"/>
          <w:shd w:val="clear" w:color="auto" w:fill="FFFFFF"/>
        </w:rPr>
        <w:t>Sekhar</w:t>
      </w:r>
      <w:proofErr w:type="spellEnd"/>
      <w:r>
        <w:rPr>
          <w:rFonts w:cstheme="minorHAnsi"/>
          <w:sz w:val="24"/>
          <w:szCs w:val="24"/>
          <w:shd w:val="clear" w:color="auto" w:fill="FFFFFF"/>
        </w:rPr>
        <w:t xml:space="preserve"> (</w:t>
      </w:r>
      <w:r w:rsidRPr="00753846">
        <w:rPr>
          <w:rFonts w:cstheme="minorHAnsi"/>
          <w:sz w:val="24"/>
          <w:szCs w:val="24"/>
          <w:shd w:val="clear" w:color="auto" w:fill="FFFFFF"/>
        </w:rPr>
        <w:t>2009</w:t>
      </w:r>
      <w:r>
        <w:rPr>
          <w:rFonts w:cstheme="minorHAnsi"/>
          <w:sz w:val="24"/>
          <w:szCs w:val="24"/>
          <w:shd w:val="clear" w:color="auto" w:fill="FFFFFF"/>
        </w:rPr>
        <w:t xml:space="preserve">) has found in his research that </w:t>
      </w:r>
      <w:r>
        <w:rPr>
          <w:sz w:val="24"/>
          <w:szCs w:val="24"/>
        </w:rPr>
        <w:t>Porter’s five forces model identifies the competitive position of an organization in the market it operates business; therefore companies can take significant steps to make its position stronger. Porter’s five forces model of GSK will identify its competitive position and the company will find out effective way of enhancing its competitive edge.</w:t>
      </w:r>
    </w:p>
    <w:p w:rsidR="005A76B3" w:rsidRDefault="005A76B3" w:rsidP="005A76B3">
      <w:pPr>
        <w:spacing w:line="360" w:lineRule="auto"/>
        <w:jc w:val="both"/>
        <w:rPr>
          <w:sz w:val="24"/>
          <w:szCs w:val="24"/>
        </w:rPr>
      </w:pPr>
      <w:r>
        <w:rPr>
          <w:noProof/>
          <w:sz w:val="24"/>
          <w:szCs w:val="24"/>
          <w:lang w:eastAsia="en-GB"/>
        </w:rPr>
        <w:drawing>
          <wp:inline distT="0" distB="0" distL="0" distR="0" wp14:anchorId="3DD36D15" wp14:editId="730C8D9A">
            <wp:extent cx="5486400" cy="3200400"/>
            <wp:effectExtent l="0" t="0" r="0" b="1905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5A76B3" w:rsidRDefault="00232517" w:rsidP="005A76B3">
      <w:pPr>
        <w:spacing w:line="360" w:lineRule="auto"/>
        <w:jc w:val="center"/>
        <w:rPr>
          <w:sz w:val="24"/>
          <w:szCs w:val="24"/>
        </w:rPr>
      </w:pPr>
      <w:r>
        <w:rPr>
          <w:sz w:val="24"/>
          <w:szCs w:val="24"/>
        </w:rPr>
        <w:t>Figure 5</w:t>
      </w:r>
      <w:r w:rsidR="005A76B3">
        <w:rPr>
          <w:sz w:val="24"/>
          <w:szCs w:val="24"/>
        </w:rPr>
        <w:t>: Porter’s five forces model (</w:t>
      </w:r>
      <w:proofErr w:type="spellStart"/>
      <w:r w:rsidR="005A76B3">
        <w:rPr>
          <w:rFonts w:cstheme="minorHAnsi"/>
          <w:sz w:val="24"/>
          <w:szCs w:val="24"/>
          <w:shd w:val="clear" w:color="auto" w:fill="FFFFFF"/>
        </w:rPr>
        <w:t>Sekhar</w:t>
      </w:r>
      <w:proofErr w:type="spellEnd"/>
      <w:r w:rsidR="005A76B3">
        <w:rPr>
          <w:rFonts w:cstheme="minorHAnsi"/>
          <w:sz w:val="24"/>
          <w:szCs w:val="24"/>
          <w:shd w:val="clear" w:color="auto" w:fill="FFFFFF"/>
        </w:rPr>
        <w:t xml:space="preserve">, </w:t>
      </w:r>
      <w:r w:rsidR="005A76B3" w:rsidRPr="00753846">
        <w:rPr>
          <w:rFonts w:cstheme="minorHAnsi"/>
          <w:sz w:val="24"/>
          <w:szCs w:val="24"/>
          <w:shd w:val="clear" w:color="auto" w:fill="FFFFFF"/>
        </w:rPr>
        <w:t>2009</w:t>
      </w:r>
      <w:r w:rsidR="005A76B3">
        <w:rPr>
          <w:sz w:val="24"/>
          <w:szCs w:val="24"/>
        </w:rPr>
        <w:t>)</w:t>
      </w:r>
    </w:p>
    <w:p w:rsidR="005A76B3" w:rsidRDefault="005A76B3" w:rsidP="005A76B3">
      <w:pPr>
        <w:spacing w:line="360" w:lineRule="auto"/>
        <w:jc w:val="both"/>
        <w:rPr>
          <w:sz w:val="24"/>
          <w:szCs w:val="24"/>
        </w:rPr>
      </w:pPr>
      <w:r w:rsidRPr="00C6566E">
        <w:rPr>
          <w:i/>
          <w:iCs/>
          <w:sz w:val="24"/>
          <w:szCs w:val="24"/>
        </w:rPr>
        <w:t>Threats of new entrants</w:t>
      </w:r>
      <w:r>
        <w:rPr>
          <w:sz w:val="24"/>
          <w:szCs w:val="24"/>
        </w:rPr>
        <w:t xml:space="preserve">: Low: </w:t>
      </w:r>
      <w:proofErr w:type="spellStart"/>
      <w:r>
        <w:rPr>
          <w:rFonts w:cstheme="minorHAnsi"/>
          <w:sz w:val="24"/>
          <w:szCs w:val="24"/>
          <w:shd w:val="clear" w:color="auto" w:fill="FFFFFF"/>
        </w:rPr>
        <w:t>Nickols</w:t>
      </w:r>
      <w:proofErr w:type="spellEnd"/>
      <w:r>
        <w:rPr>
          <w:rFonts w:cstheme="minorHAnsi"/>
          <w:sz w:val="24"/>
          <w:szCs w:val="24"/>
          <w:shd w:val="clear" w:color="auto" w:fill="FFFFFF"/>
        </w:rPr>
        <w:t xml:space="preserve"> (</w:t>
      </w:r>
      <w:r w:rsidRPr="00753846">
        <w:rPr>
          <w:rFonts w:cstheme="minorHAnsi"/>
          <w:sz w:val="24"/>
          <w:szCs w:val="24"/>
          <w:shd w:val="clear" w:color="auto" w:fill="FFFFFF"/>
        </w:rPr>
        <w:t>2016</w:t>
      </w:r>
      <w:r>
        <w:rPr>
          <w:rFonts w:cstheme="minorHAnsi"/>
          <w:sz w:val="24"/>
          <w:szCs w:val="24"/>
          <w:shd w:val="clear" w:color="auto" w:fill="FFFFFF"/>
        </w:rPr>
        <w:t>) has found in his research that t</w:t>
      </w:r>
      <w:r>
        <w:rPr>
          <w:sz w:val="24"/>
          <w:szCs w:val="24"/>
        </w:rPr>
        <w:t xml:space="preserve">hreats of new entrants identifies the threat of new entries for an organization in the industry it operates business. Threats of new entrants for GSK is low because of the barriers of entering in medicine industry. To exemplify, to develop new drug companies need to invest over than </w:t>
      </w:r>
      <w:r w:rsidRPr="00166333">
        <w:rPr>
          <w:sz w:val="24"/>
          <w:szCs w:val="24"/>
        </w:rPr>
        <w:t>$</w:t>
      </w:r>
      <w:r>
        <w:rPr>
          <w:sz w:val="24"/>
          <w:szCs w:val="24"/>
        </w:rPr>
        <w:t>500 million which is very tough for new companies to invest (Case Study). Therefore, new drug will not be able to enter in the market and replace the position of GSK.</w:t>
      </w:r>
    </w:p>
    <w:p w:rsidR="008C3F36" w:rsidRDefault="008C3F36" w:rsidP="005A76B3">
      <w:pPr>
        <w:spacing w:line="360" w:lineRule="auto"/>
        <w:jc w:val="both"/>
        <w:rPr>
          <w:sz w:val="24"/>
          <w:szCs w:val="24"/>
        </w:rPr>
      </w:pPr>
    </w:p>
    <w:p w:rsidR="008C3F36" w:rsidRDefault="008C3F36" w:rsidP="005A76B3">
      <w:pPr>
        <w:spacing w:line="360" w:lineRule="auto"/>
        <w:jc w:val="both"/>
        <w:rPr>
          <w:sz w:val="24"/>
          <w:szCs w:val="24"/>
        </w:rPr>
      </w:pPr>
    </w:p>
    <w:p w:rsidR="008C3F36" w:rsidRDefault="008C3F36" w:rsidP="005A76B3">
      <w:pPr>
        <w:spacing w:line="360" w:lineRule="auto"/>
        <w:jc w:val="both"/>
        <w:rPr>
          <w:sz w:val="24"/>
          <w:szCs w:val="24"/>
        </w:rPr>
      </w:pPr>
    </w:p>
    <w:p w:rsidR="005A76B3" w:rsidRDefault="005A76B3" w:rsidP="005A76B3">
      <w:pPr>
        <w:spacing w:line="360" w:lineRule="auto"/>
        <w:jc w:val="both"/>
        <w:rPr>
          <w:sz w:val="24"/>
          <w:szCs w:val="24"/>
        </w:rPr>
      </w:pPr>
      <w:r w:rsidRPr="00C6566E">
        <w:rPr>
          <w:i/>
          <w:iCs/>
          <w:sz w:val="24"/>
          <w:szCs w:val="24"/>
        </w:rPr>
        <w:lastRenderedPageBreak/>
        <w:t>Threats of substitutes</w:t>
      </w:r>
      <w:r>
        <w:rPr>
          <w:sz w:val="24"/>
          <w:szCs w:val="24"/>
        </w:rPr>
        <w:t xml:space="preserve">: High: </w:t>
      </w:r>
      <w:proofErr w:type="spellStart"/>
      <w:r w:rsidRPr="00753846">
        <w:rPr>
          <w:rFonts w:cstheme="minorHAnsi"/>
          <w:sz w:val="24"/>
          <w:szCs w:val="24"/>
          <w:shd w:val="clear" w:color="auto" w:fill="FFFFFF"/>
        </w:rPr>
        <w:t>FitzRoy</w:t>
      </w:r>
      <w:proofErr w:type="spellEnd"/>
      <w:r w:rsidRPr="00753846">
        <w:rPr>
          <w:rFonts w:cstheme="minorHAnsi"/>
          <w:sz w:val="24"/>
          <w:szCs w:val="24"/>
          <w:shd w:val="clear" w:color="auto" w:fill="FFFFFF"/>
        </w:rPr>
        <w:t xml:space="preserve">, </w:t>
      </w:r>
      <w:r>
        <w:rPr>
          <w:rFonts w:cstheme="minorHAnsi"/>
          <w:sz w:val="24"/>
          <w:szCs w:val="24"/>
          <w:shd w:val="clear" w:color="auto" w:fill="FFFFFF"/>
        </w:rPr>
        <w:t xml:space="preserve">Hulbert and </w:t>
      </w:r>
      <w:proofErr w:type="spellStart"/>
      <w:r>
        <w:rPr>
          <w:rFonts w:cstheme="minorHAnsi"/>
          <w:sz w:val="24"/>
          <w:szCs w:val="24"/>
          <w:shd w:val="clear" w:color="auto" w:fill="FFFFFF"/>
        </w:rPr>
        <w:t>Ghobadian</w:t>
      </w:r>
      <w:proofErr w:type="spellEnd"/>
      <w:r>
        <w:rPr>
          <w:rFonts w:cstheme="minorHAnsi"/>
          <w:sz w:val="24"/>
          <w:szCs w:val="24"/>
          <w:shd w:val="clear" w:color="auto" w:fill="FFFFFF"/>
        </w:rPr>
        <w:t xml:space="preserve"> (</w:t>
      </w:r>
      <w:r w:rsidRPr="00753846">
        <w:rPr>
          <w:rFonts w:cstheme="minorHAnsi"/>
          <w:sz w:val="24"/>
          <w:szCs w:val="24"/>
          <w:shd w:val="clear" w:color="auto" w:fill="FFFFFF"/>
        </w:rPr>
        <w:t>2012</w:t>
      </w:r>
      <w:r>
        <w:rPr>
          <w:rFonts w:cstheme="minorHAnsi"/>
          <w:sz w:val="24"/>
          <w:szCs w:val="24"/>
          <w:shd w:val="clear" w:color="auto" w:fill="FFFFFF"/>
        </w:rPr>
        <w:t>) t</w:t>
      </w:r>
      <w:r>
        <w:rPr>
          <w:sz w:val="24"/>
          <w:szCs w:val="24"/>
        </w:rPr>
        <w:t>hreat of substitutes refer to the available options against a specific product or service of an organization. Threats of substitutes for GSK products are high because generic drug companies copy the medicines of GSK and its competitors and sell the medicines in lower price (Case Study). As a result, customers can afford the medicines of generic drug companies and it makes the threat of substitutes higher to GSK.</w:t>
      </w:r>
    </w:p>
    <w:p w:rsidR="005A76B3" w:rsidRDefault="005A76B3" w:rsidP="005A76B3">
      <w:pPr>
        <w:spacing w:line="360" w:lineRule="auto"/>
        <w:jc w:val="both"/>
        <w:rPr>
          <w:sz w:val="24"/>
          <w:szCs w:val="24"/>
        </w:rPr>
      </w:pPr>
      <w:r w:rsidRPr="00C6566E">
        <w:rPr>
          <w:i/>
          <w:iCs/>
          <w:sz w:val="24"/>
          <w:szCs w:val="24"/>
        </w:rPr>
        <w:t>Bargaining power of suppliers</w:t>
      </w:r>
      <w:r>
        <w:rPr>
          <w:sz w:val="24"/>
          <w:szCs w:val="24"/>
        </w:rPr>
        <w:t xml:space="preserve">: Medium: </w:t>
      </w:r>
      <w:proofErr w:type="spellStart"/>
      <w:r>
        <w:rPr>
          <w:rFonts w:cstheme="minorHAnsi"/>
          <w:sz w:val="24"/>
          <w:szCs w:val="24"/>
          <w:shd w:val="clear" w:color="auto" w:fill="FFFFFF"/>
        </w:rPr>
        <w:t>Nickols</w:t>
      </w:r>
      <w:proofErr w:type="spellEnd"/>
      <w:r>
        <w:rPr>
          <w:rFonts w:cstheme="minorHAnsi"/>
          <w:sz w:val="24"/>
          <w:szCs w:val="24"/>
          <w:shd w:val="clear" w:color="auto" w:fill="FFFFFF"/>
        </w:rPr>
        <w:t xml:space="preserve"> (</w:t>
      </w:r>
      <w:r w:rsidRPr="00753846">
        <w:rPr>
          <w:rFonts w:cstheme="minorHAnsi"/>
          <w:sz w:val="24"/>
          <w:szCs w:val="24"/>
          <w:shd w:val="clear" w:color="auto" w:fill="FFFFFF"/>
        </w:rPr>
        <w:t>2016</w:t>
      </w:r>
      <w:r>
        <w:rPr>
          <w:rFonts w:cstheme="minorHAnsi"/>
          <w:sz w:val="24"/>
          <w:szCs w:val="24"/>
          <w:shd w:val="clear" w:color="auto" w:fill="FFFFFF"/>
        </w:rPr>
        <w:t>) has revealed in his research that the power of suppliers to influence a business are identified in bargaining power of suppliers. There are many ingredients that are readily available in medicine industry and there are many products that are rear to find out and it is also applicable for GSK. It refers that some suppliers have dominant position and some are weaker to GSK (</w:t>
      </w:r>
      <w:r w:rsidRPr="00B86C2B">
        <w:rPr>
          <w:rFonts w:cstheme="minorHAnsi"/>
          <w:sz w:val="24"/>
          <w:szCs w:val="24"/>
          <w:shd w:val="clear" w:color="auto" w:fill="FFFFFF"/>
        </w:rPr>
        <w:t xml:space="preserve">GlaxoSmithKline </w:t>
      </w:r>
      <w:proofErr w:type="spellStart"/>
      <w:r w:rsidRPr="00B86C2B">
        <w:rPr>
          <w:rFonts w:cstheme="minorHAnsi"/>
          <w:sz w:val="24"/>
          <w:szCs w:val="24"/>
          <w:shd w:val="clear" w:color="auto" w:fill="FFFFFF"/>
        </w:rPr>
        <w:t>plc</w:t>
      </w:r>
      <w:proofErr w:type="spellEnd"/>
      <w:r>
        <w:rPr>
          <w:rFonts w:cstheme="minorHAnsi"/>
          <w:sz w:val="24"/>
          <w:szCs w:val="24"/>
          <w:shd w:val="clear" w:color="auto" w:fill="FFFFFF"/>
        </w:rPr>
        <w:t>, 2021a). GSK has to maintain constructive relation with the suppliers to get continuous supply of the rear ingredients.</w:t>
      </w:r>
    </w:p>
    <w:p w:rsidR="005A76B3" w:rsidRDefault="005A76B3" w:rsidP="005A76B3">
      <w:pPr>
        <w:spacing w:line="360" w:lineRule="auto"/>
        <w:jc w:val="both"/>
        <w:rPr>
          <w:sz w:val="24"/>
          <w:szCs w:val="24"/>
        </w:rPr>
      </w:pPr>
      <w:r w:rsidRPr="00C6566E">
        <w:rPr>
          <w:i/>
          <w:iCs/>
          <w:sz w:val="24"/>
          <w:szCs w:val="24"/>
        </w:rPr>
        <w:t>Bargaining power of buyers</w:t>
      </w:r>
      <w:r>
        <w:rPr>
          <w:sz w:val="24"/>
          <w:szCs w:val="24"/>
        </w:rPr>
        <w:t xml:space="preserve">: High: High: </w:t>
      </w:r>
      <w:proofErr w:type="spellStart"/>
      <w:r w:rsidRPr="00753846">
        <w:rPr>
          <w:rFonts w:cstheme="minorHAnsi"/>
          <w:sz w:val="24"/>
          <w:szCs w:val="24"/>
          <w:shd w:val="clear" w:color="auto" w:fill="FFFFFF"/>
        </w:rPr>
        <w:t>FitzRoy</w:t>
      </w:r>
      <w:proofErr w:type="spellEnd"/>
      <w:r w:rsidRPr="00753846">
        <w:rPr>
          <w:rFonts w:cstheme="minorHAnsi"/>
          <w:sz w:val="24"/>
          <w:szCs w:val="24"/>
          <w:shd w:val="clear" w:color="auto" w:fill="FFFFFF"/>
        </w:rPr>
        <w:t xml:space="preserve">, </w:t>
      </w:r>
      <w:r>
        <w:rPr>
          <w:rFonts w:cstheme="minorHAnsi"/>
          <w:sz w:val="24"/>
          <w:szCs w:val="24"/>
          <w:shd w:val="clear" w:color="auto" w:fill="FFFFFF"/>
        </w:rPr>
        <w:t xml:space="preserve">Hulbert and </w:t>
      </w:r>
      <w:proofErr w:type="spellStart"/>
      <w:r>
        <w:rPr>
          <w:rFonts w:cstheme="minorHAnsi"/>
          <w:sz w:val="24"/>
          <w:szCs w:val="24"/>
          <w:shd w:val="clear" w:color="auto" w:fill="FFFFFF"/>
        </w:rPr>
        <w:t>Ghobadian</w:t>
      </w:r>
      <w:proofErr w:type="spellEnd"/>
      <w:r>
        <w:rPr>
          <w:rFonts w:cstheme="minorHAnsi"/>
          <w:sz w:val="24"/>
          <w:szCs w:val="24"/>
          <w:shd w:val="clear" w:color="auto" w:fill="FFFFFF"/>
        </w:rPr>
        <w:t xml:space="preserve"> (</w:t>
      </w:r>
      <w:r w:rsidRPr="00753846">
        <w:rPr>
          <w:rFonts w:cstheme="minorHAnsi"/>
          <w:sz w:val="24"/>
          <w:szCs w:val="24"/>
          <w:shd w:val="clear" w:color="auto" w:fill="FFFFFF"/>
        </w:rPr>
        <w:t>2012</w:t>
      </w:r>
      <w:r>
        <w:rPr>
          <w:rFonts w:cstheme="minorHAnsi"/>
          <w:sz w:val="24"/>
          <w:szCs w:val="24"/>
          <w:shd w:val="clear" w:color="auto" w:fill="FFFFFF"/>
        </w:rPr>
        <w:t>) have revealed in their research that</w:t>
      </w:r>
      <w:r>
        <w:rPr>
          <w:sz w:val="24"/>
          <w:szCs w:val="24"/>
        </w:rPr>
        <w:t xml:space="preserve"> the segment shows the power of buyers to a company. Bargaining power of buyers are high toward GSK because they have so many options to choose against GSK. To exemplify, Generic drug companies sells same quality medicines within lower price from GSK; therefore customers can switch to them easily (Case Study). GSK should consider the price of their medicines to maintain their customer base.</w:t>
      </w:r>
    </w:p>
    <w:p w:rsidR="00DD2A0F" w:rsidRDefault="005A76B3" w:rsidP="00584CD1">
      <w:pPr>
        <w:spacing w:line="360" w:lineRule="auto"/>
        <w:jc w:val="both"/>
        <w:rPr>
          <w:sz w:val="24"/>
          <w:szCs w:val="24"/>
        </w:rPr>
      </w:pPr>
      <w:r w:rsidRPr="00C6566E">
        <w:rPr>
          <w:i/>
          <w:iCs/>
          <w:sz w:val="24"/>
          <w:szCs w:val="24"/>
        </w:rPr>
        <w:t>Competitive rivalry</w:t>
      </w:r>
      <w:r>
        <w:rPr>
          <w:sz w:val="24"/>
          <w:szCs w:val="24"/>
        </w:rPr>
        <w:t>: GSK faces higher competitive rivalry in global medicine industry. Novartis and Pfizer are the key competitor of GSK because the companies produce same quality medicines with same price range (Case Study). GSK also faces higher competition from Generic drug companies because the companies sell same types of medicines after copying the patent within lower price (Case Study).</w:t>
      </w:r>
    </w:p>
    <w:p w:rsidR="008C3F36" w:rsidRDefault="008C3F36" w:rsidP="00584CD1">
      <w:pPr>
        <w:spacing w:line="360" w:lineRule="auto"/>
        <w:jc w:val="both"/>
        <w:rPr>
          <w:sz w:val="24"/>
          <w:szCs w:val="24"/>
        </w:rPr>
      </w:pPr>
    </w:p>
    <w:p w:rsidR="008C3F36" w:rsidRDefault="008C3F36" w:rsidP="00584CD1">
      <w:pPr>
        <w:spacing w:line="360" w:lineRule="auto"/>
        <w:jc w:val="both"/>
        <w:rPr>
          <w:sz w:val="24"/>
          <w:szCs w:val="24"/>
        </w:rPr>
      </w:pPr>
    </w:p>
    <w:p w:rsidR="008C3F36" w:rsidRDefault="008C3F36" w:rsidP="00584CD1">
      <w:pPr>
        <w:spacing w:line="360" w:lineRule="auto"/>
        <w:jc w:val="both"/>
        <w:rPr>
          <w:sz w:val="24"/>
          <w:szCs w:val="24"/>
        </w:rPr>
      </w:pPr>
    </w:p>
    <w:p w:rsidR="00C124AD" w:rsidRPr="00C124AD" w:rsidRDefault="00C124AD" w:rsidP="007E64DD">
      <w:pPr>
        <w:pStyle w:val="Heading2"/>
      </w:pPr>
      <w:bookmarkStart w:id="9" w:name="_Toc71924097"/>
      <w:r w:rsidRPr="00C124AD">
        <w:lastRenderedPageBreak/>
        <w:t>Value Chain Model</w:t>
      </w:r>
      <w:bookmarkEnd w:id="9"/>
    </w:p>
    <w:p w:rsidR="00C124AD" w:rsidRDefault="008B05BA" w:rsidP="00584CD1">
      <w:pPr>
        <w:spacing w:line="360" w:lineRule="auto"/>
        <w:jc w:val="both"/>
        <w:rPr>
          <w:sz w:val="24"/>
          <w:szCs w:val="24"/>
        </w:rPr>
      </w:pPr>
      <w:proofErr w:type="spellStart"/>
      <w:r>
        <w:rPr>
          <w:rFonts w:cstheme="minorHAnsi"/>
          <w:sz w:val="24"/>
          <w:szCs w:val="24"/>
          <w:shd w:val="clear" w:color="auto" w:fill="FFFFFF"/>
        </w:rPr>
        <w:t>Rothaermel</w:t>
      </w:r>
      <w:proofErr w:type="spellEnd"/>
      <w:r>
        <w:rPr>
          <w:sz w:val="24"/>
          <w:szCs w:val="24"/>
        </w:rPr>
        <w:t xml:space="preserve"> (2018) has revealed that value chain model is a conceptual framework that illustrates how value or utility in a business are created with the different combination of infrastructure and resources available in a company.</w:t>
      </w:r>
    </w:p>
    <w:p w:rsidR="00754070" w:rsidRDefault="00754070" w:rsidP="00754070">
      <w:pPr>
        <w:spacing w:line="360" w:lineRule="auto"/>
        <w:jc w:val="center"/>
        <w:rPr>
          <w:sz w:val="24"/>
          <w:szCs w:val="24"/>
        </w:rPr>
      </w:pPr>
      <w:r>
        <w:rPr>
          <w:noProof/>
          <w:lang w:eastAsia="en-GB"/>
        </w:rPr>
        <w:drawing>
          <wp:inline distT="0" distB="0" distL="0" distR="0" wp14:anchorId="43A13805" wp14:editId="1AEEE106">
            <wp:extent cx="5731510" cy="296989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969895"/>
                    </a:xfrm>
                    <a:prstGeom prst="rect">
                      <a:avLst/>
                    </a:prstGeom>
                  </pic:spPr>
                </pic:pic>
              </a:graphicData>
            </a:graphic>
          </wp:inline>
        </w:drawing>
      </w:r>
    </w:p>
    <w:p w:rsidR="00754070" w:rsidRDefault="00232517" w:rsidP="00754070">
      <w:pPr>
        <w:spacing w:line="360" w:lineRule="auto"/>
        <w:jc w:val="center"/>
        <w:rPr>
          <w:sz w:val="24"/>
          <w:szCs w:val="24"/>
        </w:rPr>
      </w:pPr>
      <w:r>
        <w:rPr>
          <w:sz w:val="24"/>
          <w:szCs w:val="24"/>
        </w:rPr>
        <w:t>Figure 6</w:t>
      </w:r>
      <w:r w:rsidR="00754070">
        <w:rPr>
          <w:sz w:val="24"/>
          <w:szCs w:val="24"/>
        </w:rPr>
        <w:t>: Value Chain model for GSK (</w:t>
      </w:r>
      <w:proofErr w:type="spellStart"/>
      <w:r w:rsidR="00754070" w:rsidRPr="00753846">
        <w:rPr>
          <w:rFonts w:cstheme="minorHAnsi"/>
          <w:sz w:val="24"/>
          <w:szCs w:val="24"/>
          <w:shd w:val="clear" w:color="auto" w:fill="FFFFFF"/>
        </w:rPr>
        <w:t>Rothaermel</w:t>
      </w:r>
      <w:proofErr w:type="spellEnd"/>
      <w:r w:rsidR="00754070" w:rsidRPr="00753846">
        <w:rPr>
          <w:rFonts w:cstheme="minorHAnsi"/>
          <w:sz w:val="24"/>
          <w:szCs w:val="24"/>
          <w:shd w:val="clear" w:color="auto" w:fill="FFFFFF"/>
        </w:rPr>
        <w:t>,</w:t>
      </w:r>
      <w:r w:rsidR="00754070">
        <w:rPr>
          <w:rFonts w:cstheme="minorHAnsi"/>
          <w:sz w:val="24"/>
          <w:szCs w:val="24"/>
          <w:shd w:val="clear" w:color="auto" w:fill="FFFFFF"/>
        </w:rPr>
        <w:t xml:space="preserve"> 2018</w:t>
      </w:r>
      <w:r w:rsidR="00754070">
        <w:rPr>
          <w:sz w:val="24"/>
          <w:szCs w:val="24"/>
        </w:rPr>
        <w:t>)</w:t>
      </w:r>
    </w:p>
    <w:p w:rsidR="002733FD" w:rsidRDefault="00134F41" w:rsidP="00584CD1">
      <w:pPr>
        <w:spacing w:line="360" w:lineRule="auto"/>
        <w:jc w:val="both"/>
        <w:rPr>
          <w:sz w:val="24"/>
          <w:szCs w:val="24"/>
        </w:rPr>
      </w:pPr>
      <w:r>
        <w:rPr>
          <w:sz w:val="24"/>
          <w:szCs w:val="24"/>
        </w:rPr>
        <w:t xml:space="preserve">The value chain model as depicted on above figure is a generic value chain model that is applicable in any organisation. </w:t>
      </w:r>
      <w:r w:rsidR="00244955">
        <w:rPr>
          <w:sz w:val="24"/>
          <w:szCs w:val="24"/>
        </w:rPr>
        <w:t xml:space="preserve">However, </w:t>
      </w:r>
      <w:r w:rsidR="001F670F">
        <w:rPr>
          <w:sz w:val="24"/>
          <w:szCs w:val="24"/>
        </w:rPr>
        <w:t>GSK has published its own value chain approach that is depicted on below diagram:</w:t>
      </w:r>
    </w:p>
    <w:p w:rsidR="001F670F" w:rsidRDefault="00D82F44" w:rsidP="00D82F44">
      <w:pPr>
        <w:spacing w:line="360" w:lineRule="auto"/>
        <w:jc w:val="center"/>
        <w:rPr>
          <w:sz w:val="24"/>
          <w:szCs w:val="24"/>
        </w:rPr>
      </w:pPr>
      <w:r>
        <w:rPr>
          <w:noProof/>
          <w:lang w:eastAsia="en-GB"/>
        </w:rPr>
        <w:drawing>
          <wp:inline distT="0" distB="0" distL="0" distR="0" wp14:anchorId="593B686A" wp14:editId="57217E0D">
            <wp:extent cx="5036185" cy="2429936"/>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048140" cy="2435704"/>
                    </a:xfrm>
                    <a:prstGeom prst="rect">
                      <a:avLst/>
                    </a:prstGeom>
                  </pic:spPr>
                </pic:pic>
              </a:graphicData>
            </a:graphic>
          </wp:inline>
        </w:drawing>
      </w:r>
    </w:p>
    <w:p w:rsidR="0050395D" w:rsidRDefault="00D82F44" w:rsidP="00D82F44">
      <w:pPr>
        <w:spacing w:line="360" w:lineRule="auto"/>
        <w:jc w:val="center"/>
        <w:rPr>
          <w:sz w:val="24"/>
          <w:szCs w:val="24"/>
        </w:rPr>
      </w:pPr>
      <w:r>
        <w:rPr>
          <w:sz w:val="24"/>
          <w:szCs w:val="24"/>
        </w:rPr>
        <w:t xml:space="preserve">Figure </w:t>
      </w:r>
      <w:r w:rsidR="00232517">
        <w:rPr>
          <w:sz w:val="24"/>
          <w:szCs w:val="24"/>
        </w:rPr>
        <w:t>7</w:t>
      </w:r>
      <w:r>
        <w:rPr>
          <w:sz w:val="24"/>
          <w:szCs w:val="24"/>
        </w:rPr>
        <w:t>: The implications of value chain for GSK (GlaxoSmithKline plc. 2021a)</w:t>
      </w:r>
    </w:p>
    <w:p w:rsidR="0050395D" w:rsidRDefault="00AB58BF" w:rsidP="00584CD1">
      <w:pPr>
        <w:spacing w:line="360" w:lineRule="auto"/>
        <w:jc w:val="both"/>
        <w:rPr>
          <w:sz w:val="24"/>
          <w:szCs w:val="24"/>
        </w:rPr>
      </w:pPr>
      <w:r w:rsidRPr="001C14CB">
        <w:rPr>
          <w:i/>
          <w:sz w:val="24"/>
          <w:szCs w:val="24"/>
        </w:rPr>
        <w:lastRenderedPageBreak/>
        <w:t>Operational activities</w:t>
      </w:r>
      <w:r>
        <w:rPr>
          <w:sz w:val="24"/>
          <w:szCs w:val="24"/>
        </w:rPr>
        <w:t xml:space="preserve">: </w:t>
      </w:r>
      <w:r w:rsidR="0048642D">
        <w:rPr>
          <w:sz w:val="24"/>
          <w:szCs w:val="24"/>
        </w:rPr>
        <w:t>The operational activities of GSK include all the stages from identification of the gap in the market to meeting the gaps by delivering the right medicines to the customers, and all the stages in between (</w:t>
      </w:r>
      <w:r w:rsidR="00AC1E5D" w:rsidRPr="00753846">
        <w:rPr>
          <w:rFonts w:cstheme="minorHAnsi"/>
          <w:sz w:val="24"/>
          <w:szCs w:val="24"/>
          <w:shd w:val="clear" w:color="auto" w:fill="FFFFFF"/>
        </w:rPr>
        <w:t>Schilling &amp; Shankar,</w:t>
      </w:r>
      <w:r w:rsidR="00AC1E5D">
        <w:rPr>
          <w:rFonts w:cstheme="minorHAnsi"/>
          <w:sz w:val="24"/>
          <w:szCs w:val="24"/>
          <w:shd w:val="clear" w:color="auto" w:fill="FFFFFF"/>
        </w:rPr>
        <w:t xml:space="preserve"> 2019</w:t>
      </w:r>
      <w:r w:rsidR="0048642D">
        <w:rPr>
          <w:sz w:val="24"/>
          <w:szCs w:val="24"/>
        </w:rPr>
        <w:t xml:space="preserve">). </w:t>
      </w:r>
      <w:r w:rsidR="00FA178F">
        <w:rPr>
          <w:sz w:val="24"/>
          <w:szCs w:val="24"/>
        </w:rPr>
        <w:t xml:space="preserve">Among all the stages, innovation is the most important operational stage of GSK because the company has spent 12% of its revenue in R&amp;D (GlaxoSmithKline plc. 2021). </w:t>
      </w:r>
      <w:r w:rsidR="007054D1">
        <w:rPr>
          <w:sz w:val="24"/>
          <w:szCs w:val="24"/>
        </w:rPr>
        <w:t>As a result, the company has been able to introduce 40 new medicines in its portfolio</w:t>
      </w:r>
      <w:r w:rsidR="00B67121">
        <w:rPr>
          <w:sz w:val="24"/>
          <w:szCs w:val="24"/>
        </w:rPr>
        <w:t xml:space="preserve"> (GlaxoSmithKline plc. 2021)</w:t>
      </w:r>
      <w:r w:rsidR="007054D1">
        <w:rPr>
          <w:sz w:val="24"/>
          <w:szCs w:val="24"/>
        </w:rPr>
        <w:t>.</w:t>
      </w:r>
    </w:p>
    <w:p w:rsidR="00AB58BF" w:rsidRDefault="00AB58BF" w:rsidP="00584CD1">
      <w:pPr>
        <w:spacing w:line="360" w:lineRule="auto"/>
        <w:jc w:val="both"/>
        <w:rPr>
          <w:sz w:val="24"/>
          <w:szCs w:val="24"/>
        </w:rPr>
      </w:pPr>
      <w:r w:rsidRPr="001C14CB">
        <w:rPr>
          <w:i/>
          <w:sz w:val="24"/>
          <w:szCs w:val="24"/>
        </w:rPr>
        <w:t>Logistics</w:t>
      </w:r>
      <w:r>
        <w:rPr>
          <w:sz w:val="24"/>
          <w:szCs w:val="24"/>
        </w:rPr>
        <w:t xml:space="preserve">: </w:t>
      </w:r>
      <w:r w:rsidR="003C53F8">
        <w:rPr>
          <w:sz w:val="24"/>
          <w:szCs w:val="24"/>
        </w:rPr>
        <w:t>Both in-bound and outbound logistics systems are important portions of the value chain in the business of GSK</w:t>
      </w:r>
      <w:r w:rsidR="00C456FA">
        <w:rPr>
          <w:sz w:val="24"/>
          <w:szCs w:val="24"/>
        </w:rPr>
        <w:t xml:space="preserve"> because these services help the business to move products and materials from one location to another (</w:t>
      </w:r>
      <w:proofErr w:type="spellStart"/>
      <w:r w:rsidR="004E17FD" w:rsidRPr="00753846">
        <w:rPr>
          <w:rFonts w:cstheme="minorHAnsi"/>
          <w:sz w:val="24"/>
          <w:szCs w:val="24"/>
          <w:shd w:val="clear" w:color="auto" w:fill="FFFFFF"/>
        </w:rPr>
        <w:t>Hitt</w:t>
      </w:r>
      <w:proofErr w:type="spellEnd"/>
      <w:r w:rsidR="004E17FD" w:rsidRPr="00753846">
        <w:rPr>
          <w:rFonts w:cstheme="minorHAnsi"/>
          <w:sz w:val="24"/>
          <w:szCs w:val="24"/>
          <w:shd w:val="clear" w:color="auto" w:fill="FFFFFF"/>
        </w:rPr>
        <w:t xml:space="preserve">, Ireland &amp; </w:t>
      </w:r>
      <w:proofErr w:type="spellStart"/>
      <w:r w:rsidR="004E17FD" w:rsidRPr="00753846">
        <w:rPr>
          <w:rFonts w:cstheme="minorHAnsi"/>
          <w:sz w:val="24"/>
          <w:szCs w:val="24"/>
          <w:shd w:val="clear" w:color="auto" w:fill="FFFFFF"/>
        </w:rPr>
        <w:t>Hoskisson</w:t>
      </w:r>
      <w:proofErr w:type="spellEnd"/>
      <w:r w:rsidR="004E17FD" w:rsidRPr="00753846">
        <w:rPr>
          <w:rFonts w:cstheme="minorHAnsi"/>
          <w:sz w:val="24"/>
          <w:szCs w:val="24"/>
          <w:shd w:val="clear" w:color="auto" w:fill="FFFFFF"/>
        </w:rPr>
        <w:t>,</w:t>
      </w:r>
      <w:r w:rsidR="004E17FD">
        <w:rPr>
          <w:rFonts w:cstheme="minorHAnsi"/>
          <w:sz w:val="24"/>
          <w:szCs w:val="24"/>
          <w:shd w:val="clear" w:color="auto" w:fill="FFFFFF"/>
        </w:rPr>
        <w:t xml:space="preserve"> 2016</w:t>
      </w:r>
      <w:r w:rsidR="00C456FA">
        <w:rPr>
          <w:sz w:val="24"/>
          <w:szCs w:val="24"/>
        </w:rPr>
        <w:t>)</w:t>
      </w:r>
      <w:r w:rsidR="003C53F8">
        <w:rPr>
          <w:sz w:val="24"/>
          <w:szCs w:val="24"/>
        </w:rPr>
        <w:t xml:space="preserve">. </w:t>
      </w:r>
      <w:r w:rsidR="009C0C65">
        <w:rPr>
          <w:sz w:val="24"/>
          <w:szCs w:val="24"/>
        </w:rPr>
        <w:t xml:space="preserve">Above pictogram shows that 4% of the world’s logistics related to movement of medicine are done by GSK. </w:t>
      </w:r>
      <w:r w:rsidR="00352AFF">
        <w:rPr>
          <w:sz w:val="24"/>
          <w:szCs w:val="24"/>
        </w:rPr>
        <w:t>This stage adds significant value to the value creation of GSK’s business.</w:t>
      </w:r>
    </w:p>
    <w:p w:rsidR="00AB58BF" w:rsidRDefault="00AB58BF" w:rsidP="00584CD1">
      <w:pPr>
        <w:spacing w:line="360" w:lineRule="auto"/>
        <w:jc w:val="both"/>
        <w:rPr>
          <w:sz w:val="24"/>
          <w:szCs w:val="24"/>
        </w:rPr>
      </w:pPr>
      <w:r w:rsidRPr="001C14CB">
        <w:rPr>
          <w:i/>
          <w:sz w:val="24"/>
          <w:szCs w:val="24"/>
        </w:rPr>
        <w:t>Purchase and procurement</w:t>
      </w:r>
      <w:r>
        <w:rPr>
          <w:sz w:val="24"/>
          <w:szCs w:val="24"/>
        </w:rPr>
        <w:t xml:space="preserve">: </w:t>
      </w:r>
      <w:r w:rsidR="00722C12">
        <w:rPr>
          <w:sz w:val="24"/>
          <w:szCs w:val="24"/>
        </w:rPr>
        <w:t>Purchase and procurement are important stages across the value chain</w:t>
      </w:r>
      <w:r w:rsidR="00EE098C">
        <w:rPr>
          <w:sz w:val="24"/>
          <w:szCs w:val="24"/>
        </w:rPr>
        <w:t xml:space="preserve"> because value creation starts here (</w:t>
      </w:r>
      <w:r w:rsidR="00DF3BA0" w:rsidRPr="00753846">
        <w:rPr>
          <w:rFonts w:cstheme="minorHAnsi"/>
          <w:sz w:val="24"/>
          <w:szCs w:val="24"/>
          <w:shd w:val="clear" w:color="auto" w:fill="FFFFFF"/>
        </w:rPr>
        <w:t>Freeman,</w:t>
      </w:r>
      <w:r w:rsidR="00DF3BA0">
        <w:rPr>
          <w:rFonts w:cstheme="minorHAnsi"/>
          <w:sz w:val="24"/>
          <w:szCs w:val="24"/>
          <w:shd w:val="clear" w:color="auto" w:fill="FFFFFF"/>
        </w:rPr>
        <w:t xml:space="preserve"> 2010</w:t>
      </w:r>
      <w:r w:rsidR="00EE098C">
        <w:rPr>
          <w:sz w:val="24"/>
          <w:szCs w:val="24"/>
        </w:rPr>
        <w:t>)</w:t>
      </w:r>
      <w:r w:rsidR="00CA2184">
        <w:rPr>
          <w:sz w:val="24"/>
          <w:szCs w:val="24"/>
        </w:rPr>
        <w:t>. In managing the raw materials and resources, GSK ensures that the raw materials are managed by their internal value chain system to ensure significant control in the supply chain management</w:t>
      </w:r>
      <w:r w:rsidR="002E30D9">
        <w:rPr>
          <w:sz w:val="24"/>
          <w:szCs w:val="24"/>
        </w:rPr>
        <w:t xml:space="preserve"> (GlaxoSmithKline plc. 2021)</w:t>
      </w:r>
      <w:r w:rsidR="00CA2184">
        <w:rPr>
          <w:sz w:val="24"/>
          <w:szCs w:val="24"/>
        </w:rPr>
        <w:t>.</w:t>
      </w:r>
    </w:p>
    <w:p w:rsidR="00AB58BF" w:rsidRDefault="00AB58BF" w:rsidP="00584CD1">
      <w:pPr>
        <w:spacing w:line="360" w:lineRule="auto"/>
        <w:jc w:val="both"/>
        <w:rPr>
          <w:sz w:val="24"/>
          <w:szCs w:val="24"/>
        </w:rPr>
      </w:pPr>
      <w:r w:rsidRPr="001C14CB">
        <w:rPr>
          <w:i/>
          <w:sz w:val="24"/>
          <w:szCs w:val="24"/>
        </w:rPr>
        <w:t>Human resource management</w:t>
      </w:r>
      <w:r>
        <w:rPr>
          <w:sz w:val="24"/>
          <w:szCs w:val="24"/>
        </w:rPr>
        <w:t xml:space="preserve">: </w:t>
      </w:r>
      <w:r w:rsidR="00D300BD">
        <w:rPr>
          <w:sz w:val="24"/>
          <w:szCs w:val="24"/>
        </w:rPr>
        <w:t>Management of the human resources is the most important and critical success factor for any value chain and service design in an organisation (</w:t>
      </w:r>
      <w:r w:rsidR="00276C9E" w:rsidRPr="00753846">
        <w:rPr>
          <w:rFonts w:cstheme="minorHAnsi"/>
          <w:sz w:val="24"/>
          <w:szCs w:val="24"/>
          <w:shd w:val="clear" w:color="auto" w:fill="FFFFFF"/>
        </w:rPr>
        <w:t>Freeman,</w:t>
      </w:r>
      <w:r w:rsidR="00276C9E">
        <w:rPr>
          <w:rFonts w:cstheme="minorHAnsi"/>
          <w:sz w:val="24"/>
          <w:szCs w:val="24"/>
          <w:shd w:val="clear" w:color="auto" w:fill="FFFFFF"/>
        </w:rPr>
        <w:t xml:space="preserve"> 2010</w:t>
      </w:r>
      <w:r w:rsidR="00D300BD">
        <w:rPr>
          <w:sz w:val="24"/>
          <w:szCs w:val="24"/>
        </w:rPr>
        <w:t xml:space="preserve">). </w:t>
      </w:r>
      <w:r w:rsidR="002A704A">
        <w:rPr>
          <w:sz w:val="24"/>
          <w:szCs w:val="24"/>
        </w:rPr>
        <w:t xml:space="preserve">While recruiting and selecting the human resources, </w:t>
      </w:r>
      <w:r w:rsidR="0097215B">
        <w:rPr>
          <w:sz w:val="24"/>
          <w:szCs w:val="24"/>
        </w:rPr>
        <w:t>G</w:t>
      </w:r>
      <w:r w:rsidR="008F273E">
        <w:rPr>
          <w:sz w:val="24"/>
          <w:szCs w:val="24"/>
        </w:rPr>
        <w:t xml:space="preserve">SK makes sure that the human resources </w:t>
      </w:r>
      <w:r w:rsidR="00FB0D85">
        <w:rPr>
          <w:sz w:val="24"/>
          <w:szCs w:val="24"/>
        </w:rPr>
        <w:t>are best-fit in line with the strategic direction of the company (</w:t>
      </w:r>
      <w:r w:rsidR="008B04D4">
        <w:rPr>
          <w:sz w:val="24"/>
          <w:szCs w:val="24"/>
        </w:rPr>
        <w:t>GlaxoSmithKline plc. 2021</w:t>
      </w:r>
      <w:r w:rsidR="00FB0D85">
        <w:rPr>
          <w:sz w:val="24"/>
          <w:szCs w:val="24"/>
        </w:rPr>
        <w:t xml:space="preserve">). GSK also makes sure that the employees are highly engaged, empowered to contribute significantly to reach the business </w:t>
      </w:r>
      <w:r w:rsidR="006F03B1">
        <w:rPr>
          <w:sz w:val="24"/>
          <w:szCs w:val="24"/>
        </w:rPr>
        <w:t>objectives.</w:t>
      </w:r>
    </w:p>
    <w:p w:rsidR="00AB58BF" w:rsidRDefault="001C14CB" w:rsidP="00584CD1">
      <w:pPr>
        <w:spacing w:line="360" w:lineRule="auto"/>
        <w:jc w:val="both"/>
        <w:rPr>
          <w:sz w:val="24"/>
          <w:szCs w:val="24"/>
        </w:rPr>
      </w:pPr>
      <w:r w:rsidRPr="001C14CB">
        <w:rPr>
          <w:i/>
          <w:sz w:val="24"/>
          <w:szCs w:val="24"/>
        </w:rPr>
        <w:t>Firm infrastructure</w:t>
      </w:r>
      <w:r>
        <w:rPr>
          <w:sz w:val="24"/>
          <w:szCs w:val="24"/>
        </w:rPr>
        <w:t xml:space="preserve">: </w:t>
      </w:r>
      <w:r w:rsidR="004E433E">
        <w:rPr>
          <w:sz w:val="24"/>
          <w:szCs w:val="24"/>
        </w:rPr>
        <w:t>The infrastructure of the firm such as knowledge management, innovation culture, management style, leadership approaches, IT infrastructure all are significantly important to determine the extent to which a company can add value (</w:t>
      </w:r>
      <w:proofErr w:type="spellStart"/>
      <w:r w:rsidR="00B02EE5" w:rsidRPr="00753846">
        <w:rPr>
          <w:rFonts w:cstheme="minorHAnsi"/>
          <w:sz w:val="24"/>
          <w:szCs w:val="24"/>
          <w:shd w:val="clear" w:color="auto" w:fill="FFFFFF"/>
        </w:rPr>
        <w:t>Mišanková</w:t>
      </w:r>
      <w:proofErr w:type="spellEnd"/>
      <w:r w:rsidR="00B02EE5" w:rsidRPr="00753846">
        <w:rPr>
          <w:rFonts w:cstheme="minorHAnsi"/>
          <w:sz w:val="24"/>
          <w:szCs w:val="24"/>
          <w:shd w:val="clear" w:color="auto" w:fill="FFFFFF"/>
        </w:rPr>
        <w:t xml:space="preserve"> &amp; </w:t>
      </w:r>
      <w:proofErr w:type="spellStart"/>
      <w:r w:rsidR="00B02EE5" w:rsidRPr="00753846">
        <w:rPr>
          <w:rFonts w:cstheme="minorHAnsi"/>
          <w:sz w:val="24"/>
          <w:szCs w:val="24"/>
          <w:shd w:val="clear" w:color="auto" w:fill="FFFFFF"/>
        </w:rPr>
        <w:t>Kočišová</w:t>
      </w:r>
      <w:proofErr w:type="spellEnd"/>
      <w:r w:rsidR="00B02EE5" w:rsidRPr="00753846">
        <w:rPr>
          <w:rFonts w:cstheme="minorHAnsi"/>
          <w:sz w:val="24"/>
          <w:szCs w:val="24"/>
          <w:shd w:val="clear" w:color="auto" w:fill="FFFFFF"/>
        </w:rPr>
        <w:t>,</w:t>
      </w:r>
      <w:r w:rsidR="00B02EE5">
        <w:rPr>
          <w:rFonts w:cstheme="minorHAnsi"/>
          <w:sz w:val="24"/>
          <w:szCs w:val="24"/>
          <w:shd w:val="clear" w:color="auto" w:fill="FFFFFF"/>
        </w:rPr>
        <w:t xml:space="preserve"> 2014</w:t>
      </w:r>
      <w:r w:rsidR="004E433E">
        <w:rPr>
          <w:sz w:val="24"/>
          <w:szCs w:val="24"/>
        </w:rPr>
        <w:t xml:space="preserve">). </w:t>
      </w:r>
      <w:r w:rsidR="00332634">
        <w:rPr>
          <w:sz w:val="24"/>
          <w:szCs w:val="24"/>
        </w:rPr>
        <w:t xml:space="preserve">GSK is a multinational company having business in more than 95 countries with more than 12,000 researchers and scientists in multiple locations such as in the UK, USA, Germany, France, China, India etc. </w:t>
      </w:r>
      <w:r w:rsidR="00B51053">
        <w:rPr>
          <w:sz w:val="24"/>
          <w:szCs w:val="24"/>
        </w:rPr>
        <w:t xml:space="preserve">(GlaxoSmithKline plc. 2021). </w:t>
      </w:r>
      <w:r w:rsidR="00586782">
        <w:rPr>
          <w:sz w:val="24"/>
          <w:szCs w:val="24"/>
        </w:rPr>
        <w:t>Such huge global infrastructure has helped GSK to make significant contribution to research and innovation and add significant value to the value chain.</w:t>
      </w:r>
    </w:p>
    <w:p w:rsidR="00C124AD" w:rsidRPr="00C124AD" w:rsidRDefault="00C124AD" w:rsidP="007E64DD">
      <w:pPr>
        <w:pStyle w:val="Heading2"/>
      </w:pPr>
      <w:bookmarkStart w:id="10" w:name="_Toc71924098"/>
      <w:r w:rsidRPr="00C124AD">
        <w:lastRenderedPageBreak/>
        <w:t>McKinsey 7S model</w:t>
      </w:r>
      <w:bookmarkEnd w:id="10"/>
    </w:p>
    <w:p w:rsidR="00C124AD" w:rsidRDefault="00BB5A77" w:rsidP="00584CD1">
      <w:pPr>
        <w:spacing w:line="360" w:lineRule="auto"/>
        <w:jc w:val="both"/>
        <w:rPr>
          <w:sz w:val="24"/>
          <w:szCs w:val="24"/>
        </w:rPr>
      </w:pPr>
      <w:r>
        <w:rPr>
          <w:sz w:val="24"/>
          <w:szCs w:val="24"/>
        </w:rPr>
        <w:t xml:space="preserve">McKinsey 7S framework is an analytical model that </w:t>
      </w:r>
      <w:r w:rsidR="00A20053">
        <w:rPr>
          <w:sz w:val="24"/>
          <w:szCs w:val="24"/>
        </w:rPr>
        <w:t>that analyses the internal organisational design of a company and it shows how effectiveness can be achieved inside the organisation through the best interactions of the key elements- structure, system, strategy, skills, staffs, and styles</w:t>
      </w:r>
      <w:r w:rsidR="002705E7">
        <w:rPr>
          <w:sz w:val="24"/>
          <w:szCs w:val="24"/>
        </w:rPr>
        <w:t xml:space="preserve"> (</w:t>
      </w:r>
      <w:r w:rsidR="002705E7" w:rsidRPr="00753846">
        <w:rPr>
          <w:rFonts w:cstheme="minorHAnsi"/>
          <w:sz w:val="24"/>
          <w:szCs w:val="24"/>
          <w:shd w:val="clear" w:color="auto" w:fill="FFFFFF"/>
        </w:rPr>
        <w:t>Eden &amp; Ackermann,</w:t>
      </w:r>
      <w:r w:rsidR="002705E7">
        <w:rPr>
          <w:rFonts w:cstheme="minorHAnsi"/>
          <w:sz w:val="24"/>
          <w:szCs w:val="24"/>
          <w:shd w:val="clear" w:color="auto" w:fill="FFFFFF"/>
        </w:rPr>
        <w:t xml:space="preserve"> 2013</w:t>
      </w:r>
      <w:r w:rsidR="002705E7">
        <w:rPr>
          <w:sz w:val="24"/>
          <w:szCs w:val="24"/>
        </w:rPr>
        <w:t>)</w:t>
      </w:r>
      <w:r w:rsidR="00A20053">
        <w:rPr>
          <w:sz w:val="24"/>
          <w:szCs w:val="24"/>
        </w:rPr>
        <w:t>.</w:t>
      </w:r>
      <w:r w:rsidR="002705E7">
        <w:rPr>
          <w:sz w:val="24"/>
          <w:szCs w:val="24"/>
        </w:rPr>
        <w:t xml:space="preserve"> The model is presented on below diagram:</w:t>
      </w:r>
    </w:p>
    <w:p w:rsidR="005C7881" w:rsidRDefault="005C7881" w:rsidP="005C7881">
      <w:pPr>
        <w:spacing w:line="360" w:lineRule="auto"/>
        <w:jc w:val="center"/>
        <w:rPr>
          <w:sz w:val="24"/>
          <w:szCs w:val="24"/>
        </w:rPr>
      </w:pPr>
      <w:r>
        <w:rPr>
          <w:noProof/>
          <w:lang w:eastAsia="en-GB"/>
        </w:rPr>
        <w:drawing>
          <wp:inline distT="0" distB="0" distL="0" distR="0" wp14:anchorId="3AEDA6DE" wp14:editId="4A276CF0">
            <wp:extent cx="3305175" cy="3364862"/>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327970" cy="3388068"/>
                    </a:xfrm>
                    <a:prstGeom prst="rect">
                      <a:avLst/>
                    </a:prstGeom>
                  </pic:spPr>
                </pic:pic>
              </a:graphicData>
            </a:graphic>
          </wp:inline>
        </w:drawing>
      </w:r>
    </w:p>
    <w:p w:rsidR="005C7881" w:rsidRDefault="00232517" w:rsidP="005C7881">
      <w:pPr>
        <w:spacing w:line="360" w:lineRule="auto"/>
        <w:jc w:val="center"/>
        <w:rPr>
          <w:sz w:val="24"/>
          <w:szCs w:val="24"/>
        </w:rPr>
      </w:pPr>
      <w:r>
        <w:rPr>
          <w:sz w:val="24"/>
          <w:szCs w:val="24"/>
        </w:rPr>
        <w:t>Figure 8</w:t>
      </w:r>
      <w:r w:rsidR="005C7881">
        <w:rPr>
          <w:sz w:val="24"/>
          <w:szCs w:val="24"/>
        </w:rPr>
        <w:t>: McKinsey 7S Framework (</w:t>
      </w:r>
      <w:r w:rsidR="005C7881" w:rsidRPr="00753846">
        <w:rPr>
          <w:rFonts w:cstheme="minorHAnsi"/>
          <w:sz w:val="24"/>
          <w:szCs w:val="24"/>
          <w:shd w:val="clear" w:color="auto" w:fill="FFFFFF"/>
        </w:rPr>
        <w:t>Eden &amp; Ackermann,</w:t>
      </w:r>
      <w:r w:rsidR="005C7881">
        <w:rPr>
          <w:rFonts w:cstheme="minorHAnsi"/>
          <w:sz w:val="24"/>
          <w:szCs w:val="24"/>
          <w:shd w:val="clear" w:color="auto" w:fill="FFFFFF"/>
        </w:rPr>
        <w:t xml:space="preserve"> 2013</w:t>
      </w:r>
      <w:r w:rsidR="005C7881">
        <w:rPr>
          <w:sz w:val="24"/>
          <w:szCs w:val="24"/>
        </w:rPr>
        <w:t>)</w:t>
      </w:r>
    </w:p>
    <w:tbl>
      <w:tblPr>
        <w:tblStyle w:val="TableGrid"/>
        <w:tblW w:w="0" w:type="auto"/>
        <w:jc w:val="center"/>
        <w:tblLook w:val="04A0" w:firstRow="1" w:lastRow="0" w:firstColumn="1" w:lastColumn="0" w:noHBand="0" w:noVBand="1"/>
      </w:tblPr>
      <w:tblGrid>
        <w:gridCol w:w="2743"/>
        <w:gridCol w:w="2743"/>
      </w:tblGrid>
      <w:tr w:rsidR="00F00FE5" w:rsidRPr="00F00FE5" w:rsidTr="004B4BE1">
        <w:trPr>
          <w:trHeight w:val="408"/>
          <w:jc w:val="center"/>
        </w:trPr>
        <w:tc>
          <w:tcPr>
            <w:tcW w:w="2743" w:type="dxa"/>
            <w:shd w:val="clear" w:color="auto" w:fill="A8D08D" w:themeFill="accent6" w:themeFillTint="99"/>
          </w:tcPr>
          <w:p w:rsidR="00F00FE5" w:rsidRPr="00F00FE5" w:rsidRDefault="00F00FE5" w:rsidP="00F00FE5">
            <w:pPr>
              <w:spacing w:line="360" w:lineRule="auto"/>
              <w:jc w:val="center"/>
              <w:rPr>
                <w:b/>
                <w:sz w:val="24"/>
                <w:szCs w:val="24"/>
              </w:rPr>
            </w:pPr>
            <w:r w:rsidRPr="00F00FE5">
              <w:rPr>
                <w:b/>
                <w:sz w:val="24"/>
                <w:szCs w:val="24"/>
              </w:rPr>
              <w:t>Soft S</w:t>
            </w:r>
          </w:p>
        </w:tc>
        <w:tc>
          <w:tcPr>
            <w:tcW w:w="2743" w:type="dxa"/>
            <w:shd w:val="clear" w:color="auto" w:fill="A8D08D" w:themeFill="accent6" w:themeFillTint="99"/>
          </w:tcPr>
          <w:p w:rsidR="00F00FE5" w:rsidRPr="00F00FE5" w:rsidRDefault="00F00FE5" w:rsidP="00F00FE5">
            <w:pPr>
              <w:spacing w:line="360" w:lineRule="auto"/>
              <w:jc w:val="center"/>
              <w:rPr>
                <w:b/>
                <w:sz w:val="24"/>
                <w:szCs w:val="24"/>
              </w:rPr>
            </w:pPr>
            <w:r w:rsidRPr="00F00FE5">
              <w:rPr>
                <w:b/>
                <w:sz w:val="24"/>
                <w:szCs w:val="24"/>
              </w:rPr>
              <w:t>Hard S</w:t>
            </w:r>
          </w:p>
        </w:tc>
      </w:tr>
      <w:tr w:rsidR="00F00FE5" w:rsidTr="004B4BE1">
        <w:trPr>
          <w:trHeight w:val="408"/>
          <w:jc w:val="center"/>
        </w:trPr>
        <w:tc>
          <w:tcPr>
            <w:tcW w:w="2743" w:type="dxa"/>
          </w:tcPr>
          <w:p w:rsidR="00F00FE5" w:rsidRDefault="00CE0418" w:rsidP="00F74AAC">
            <w:pPr>
              <w:pStyle w:val="ListParagraph"/>
              <w:numPr>
                <w:ilvl w:val="0"/>
                <w:numId w:val="1"/>
              </w:numPr>
              <w:spacing w:line="360" w:lineRule="auto"/>
              <w:jc w:val="both"/>
              <w:rPr>
                <w:sz w:val="24"/>
                <w:szCs w:val="24"/>
              </w:rPr>
            </w:pPr>
            <w:r>
              <w:rPr>
                <w:sz w:val="24"/>
                <w:szCs w:val="24"/>
              </w:rPr>
              <w:t>Style</w:t>
            </w:r>
          </w:p>
          <w:p w:rsidR="00CE0418" w:rsidRDefault="00CE0418" w:rsidP="00F74AAC">
            <w:pPr>
              <w:pStyle w:val="ListParagraph"/>
              <w:numPr>
                <w:ilvl w:val="0"/>
                <w:numId w:val="1"/>
              </w:numPr>
              <w:spacing w:line="360" w:lineRule="auto"/>
              <w:jc w:val="both"/>
              <w:rPr>
                <w:sz w:val="24"/>
                <w:szCs w:val="24"/>
              </w:rPr>
            </w:pPr>
            <w:r>
              <w:rPr>
                <w:sz w:val="24"/>
                <w:szCs w:val="24"/>
              </w:rPr>
              <w:t>Staff</w:t>
            </w:r>
          </w:p>
          <w:p w:rsidR="00CE0418" w:rsidRDefault="00CE0418" w:rsidP="00F74AAC">
            <w:pPr>
              <w:pStyle w:val="ListParagraph"/>
              <w:numPr>
                <w:ilvl w:val="0"/>
                <w:numId w:val="1"/>
              </w:numPr>
              <w:spacing w:line="360" w:lineRule="auto"/>
              <w:jc w:val="both"/>
              <w:rPr>
                <w:sz w:val="24"/>
                <w:szCs w:val="24"/>
              </w:rPr>
            </w:pPr>
            <w:r>
              <w:rPr>
                <w:sz w:val="24"/>
                <w:szCs w:val="24"/>
              </w:rPr>
              <w:t>Skills</w:t>
            </w:r>
          </w:p>
          <w:p w:rsidR="00CE0418" w:rsidRPr="00F74AAC" w:rsidRDefault="00CE0418" w:rsidP="00F74AAC">
            <w:pPr>
              <w:pStyle w:val="ListParagraph"/>
              <w:numPr>
                <w:ilvl w:val="0"/>
                <w:numId w:val="1"/>
              </w:numPr>
              <w:spacing w:line="360" w:lineRule="auto"/>
              <w:jc w:val="both"/>
              <w:rPr>
                <w:sz w:val="24"/>
                <w:szCs w:val="24"/>
              </w:rPr>
            </w:pPr>
            <w:r>
              <w:rPr>
                <w:sz w:val="24"/>
                <w:szCs w:val="24"/>
              </w:rPr>
              <w:t>Shared values</w:t>
            </w:r>
          </w:p>
        </w:tc>
        <w:tc>
          <w:tcPr>
            <w:tcW w:w="2743" w:type="dxa"/>
          </w:tcPr>
          <w:p w:rsidR="00F00FE5" w:rsidRDefault="00CE0418" w:rsidP="00CE0418">
            <w:pPr>
              <w:pStyle w:val="ListParagraph"/>
              <w:numPr>
                <w:ilvl w:val="0"/>
                <w:numId w:val="1"/>
              </w:numPr>
              <w:spacing w:line="360" w:lineRule="auto"/>
              <w:jc w:val="both"/>
              <w:rPr>
                <w:sz w:val="24"/>
                <w:szCs w:val="24"/>
              </w:rPr>
            </w:pPr>
            <w:r>
              <w:rPr>
                <w:sz w:val="24"/>
                <w:szCs w:val="24"/>
              </w:rPr>
              <w:t>Structure</w:t>
            </w:r>
          </w:p>
          <w:p w:rsidR="00CE0418" w:rsidRDefault="00CE0418" w:rsidP="00CE0418">
            <w:pPr>
              <w:pStyle w:val="ListParagraph"/>
              <w:numPr>
                <w:ilvl w:val="0"/>
                <w:numId w:val="1"/>
              </w:numPr>
              <w:spacing w:line="360" w:lineRule="auto"/>
              <w:jc w:val="both"/>
              <w:rPr>
                <w:sz w:val="24"/>
                <w:szCs w:val="24"/>
              </w:rPr>
            </w:pPr>
            <w:r>
              <w:rPr>
                <w:sz w:val="24"/>
                <w:szCs w:val="24"/>
              </w:rPr>
              <w:t>Strategy</w:t>
            </w:r>
          </w:p>
          <w:p w:rsidR="00CE0418" w:rsidRPr="00CE0418" w:rsidRDefault="00CE0418" w:rsidP="00CE0418">
            <w:pPr>
              <w:pStyle w:val="ListParagraph"/>
              <w:numPr>
                <w:ilvl w:val="0"/>
                <w:numId w:val="1"/>
              </w:numPr>
              <w:spacing w:line="360" w:lineRule="auto"/>
              <w:jc w:val="both"/>
              <w:rPr>
                <w:sz w:val="24"/>
                <w:szCs w:val="24"/>
              </w:rPr>
            </w:pPr>
            <w:r>
              <w:rPr>
                <w:sz w:val="24"/>
                <w:szCs w:val="24"/>
              </w:rPr>
              <w:t>Systems</w:t>
            </w:r>
          </w:p>
        </w:tc>
      </w:tr>
    </w:tbl>
    <w:p w:rsidR="005D66C8" w:rsidRDefault="005D66C8" w:rsidP="00584CD1">
      <w:pPr>
        <w:spacing w:line="360" w:lineRule="auto"/>
        <w:jc w:val="both"/>
        <w:rPr>
          <w:sz w:val="24"/>
          <w:szCs w:val="24"/>
        </w:rPr>
      </w:pPr>
    </w:p>
    <w:p w:rsidR="00F00FE5" w:rsidRDefault="0041529B" w:rsidP="00584CD1">
      <w:pPr>
        <w:spacing w:line="360" w:lineRule="auto"/>
        <w:jc w:val="both"/>
        <w:rPr>
          <w:sz w:val="24"/>
          <w:szCs w:val="24"/>
        </w:rPr>
      </w:pPr>
      <w:r w:rsidRPr="0041529B">
        <w:rPr>
          <w:i/>
          <w:sz w:val="24"/>
          <w:szCs w:val="24"/>
        </w:rPr>
        <w:t>Structure</w:t>
      </w:r>
      <w:r>
        <w:rPr>
          <w:sz w:val="24"/>
          <w:szCs w:val="24"/>
        </w:rPr>
        <w:t xml:space="preserve">: </w:t>
      </w:r>
      <w:r w:rsidR="00DC2AE4">
        <w:rPr>
          <w:sz w:val="24"/>
          <w:szCs w:val="24"/>
        </w:rPr>
        <w:t xml:space="preserve">Structure refers to how the company is organised- organisational structure, chain of command etc. </w:t>
      </w:r>
      <w:r w:rsidR="000B5E2B">
        <w:rPr>
          <w:sz w:val="24"/>
          <w:szCs w:val="24"/>
        </w:rPr>
        <w:t>(</w:t>
      </w:r>
      <w:r w:rsidR="00DF236D" w:rsidRPr="00753846">
        <w:rPr>
          <w:rFonts w:cstheme="minorHAnsi"/>
          <w:sz w:val="24"/>
          <w:szCs w:val="24"/>
          <w:shd w:val="clear" w:color="auto" w:fill="FFFFFF"/>
        </w:rPr>
        <w:t>Hill, Jones &amp; Schilling,</w:t>
      </w:r>
      <w:r w:rsidR="00DF236D">
        <w:rPr>
          <w:rFonts w:cstheme="minorHAnsi"/>
          <w:sz w:val="24"/>
          <w:szCs w:val="24"/>
          <w:shd w:val="clear" w:color="auto" w:fill="FFFFFF"/>
        </w:rPr>
        <w:t xml:space="preserve"> 2014</w:t>
      </w:r>
      <w:r w:rsidR="000B5E2B">
        <w:rPr>
          <w:sz w:val="24"/>
          <w:szCs w:val="24"/>
        </w:rPr>
        <w:t xml:space="preserve">). </w:t>
      </w:r>
      <w:r w:rsidR="00590B92">
        <w:rPr>
          <w:sz w:val="24"/>
          <w:szCs w:val="24"/>
        </w:rPr>
        <w:t>GSK is a public limited company with a strong chain of command led by the CEO, board of directors and leadership teams (</w:t>
      </w:r>
      <w:r w:rsidR="00B10999">
        <w:rPr>
          <w:sz w:val="24"/>
          <w:szCs w:val="24"/>
        </w:rPr>
        <w:t>GlaxoSmithKline plc. 2021</w:t>
      </w:r>
      <w:r w:rsidR="00590B92">
        <w:rPr>
          <w:sz w:val="24"/>
          <w:szCs w:val="24"/>
        </w:rPr>
        <w:t>)</w:t>
      </w:r>
      <w:r w:rsidR="00B10999">
        <w:rPr>
          <w:sz w:val="24"/>
          <w:szCs w:val="24"/>
        </w:rPr>
        <w:t>.</w:t>
      </w:r>
      <w:r w:rsidR="004A015F">
        <w:rPr>
          <w:sz w:val="24"/>
          <w:szCs w:val="24"/>
        </w:rPr>
        <w:t xml:space="preserve"> </w:t>
      </w:r>
      <w:r w:rsidR="00E86704">
        <w:rPr>
          <w:sz w:val="24"/>
          <w:szCs w:val="24"/>
        </w:rPr>
        <w:t>The company has also adopted a matrix organisational structure and it has helped GSK to establish a consistent implementation of business activities and projects by enabling effective collaboration across the structure (GlaxoSmithKline plc. 2021).</w:t>
      </w:r>
      <w:r w:rsidR="008C7095">
        <w:rPr>
          <w:sz w:val="24"/>
          <w:szCs w:val="24"/>
        </w:rPr>
        <w:t xml:space="preserve"> </w:t>
      </w:r>
    </w:p>
    <w:p w:rsidR="0041529B" w:rsidRDefault="0041529B" w:rsidP="00584CD1">
      <w:pPr>
        <w:spacing w:line="360" w:lineRule="auto"/>
        <w:jc w:val="both"/>
        <w:rPr>
          <w:sz w:val="24"/>
          <w:szCs w:val="24"/>
        </w:rPr>
      </w:pPr>
      <w:r w:rsidRPr="0041529B">
        <w:rPr>
          <w:i/>
          <w:sz w:val="24"/>
          <w:szCs w:val="24"/>
        </w:rPr>
        <w:lastRenderedPageBreak/>
        <w:t>Strategy</w:t>
      </w:r>
      <w:r>
        <w:rPr>
          <w:sz w:val="24"/>
          <w:szCs w:val="24"/>
        </w:rPr>
        <w:t xml:space="preserve">: </w:t>
      </w:r>
      <w:r w:rsidR="005B513B">
        <w:rPr>
          <w:sz w:val="24"/>
          <w:szCs w:val="24"/>
        </w:rPr>
        <w:t>It refers to the business plan to achieve the corporate strategies (</w:t>
      </w:r>
      <w:r w:rsidR="00DF236D">
        <w:rPr>
          <w:rFonts w:cstheme="minorHAnsi"/>
          <w:sz w:val="24"/>
          <w:szCs w:val="24"/>
          <w:shd w:val="clear" w:color="auto" w:fill="FFFFFF"/>
        </w:rPr>
        <w:t>Ackermann</w:t>
      </w:r>
      <w:r w:rsidR="00DF236D" w:rsidRPr="00753846">
        <w:rPr>
          <w:rFonts w:cstheme="minorHAnsi"/>
          <w:sz w:val="24"/>
          <w:szCs w:val="24"/>
          <w:shd w:val="clear" w:color="auto" w:fill="FFFFFF"/>
        </w:rPr>
        <w:t xml:space="preserve"> &amp; Eden,</w:t>
      </w:r>
      <w:r w:rsidR="00DF236D">
        <w:rPr>
          <w:rFonts w:cstheme="minorHAnsi"/>
          <w:sz w:val="24"/>
          <w:szCs w:val="24"/>
          <w:shd w:val="clear" w:color="auto" w:fill="FFFFFF"/>
        </w:rPr>
        <w:t xml:space="preserve"> 2011</w:t>
      </w:r>
      <w:r w:rsidR="005B513B">
        <w:rPr>
          <w:sz w:val="24"/>
          <w:szCs w:val="24"/>
        </w:rPr>
        <w:t xml:space="preserve">). </w:t>
      </w:r>
      <w:r w:rsidR="00425681">
        <w:rPr>
          <w:sz w:val="24"/>
          <w:szCs w:val="24"/>
        </w:rPr>
        <w:t>The core strategies of GSK for the 21</w:t>
      </w:r>
      <w:r w:rsidR="00425681" w:rsidRPr="00425681">
        <w:rPr>
          <w:sz w:val="24"/>
          <w:szCs w:val="24"/>
          <w:vertAlign w:val="superscript"/>
        </w:rPr>
        <w:t>st</w:t>
      </w:r>
      <w:r w:rsidR="00425681">
        <w:rPr>
          <w:sz w:val="24"/>
          <w:szCs w:val="24"/>
        </w:rPr>
        <w:t xml:space="preserve"> century are cost saving strategy, consumer health products, geographic expansion, and renewed pipeline of pharma</w:t>
      </w:r>
      <w:r w:rsidR="00B241D7">
        <w:rPr>
          <w:sz w:val="24"/>
          <w:szCs w:val="24"/>
        </w:rPr>
        <w:t>ceutical products (Case Study).</w:t>
      </w:r>
    </w:p>
    <w:p w:rsidR="005C7881" w:rsidRDefault="0041529B" w:rsidP="00584CD1">
      <w:pPr>
        <w:spacing w:line="360" w:lineRule="auto"/>
        <w:jc w:val="both"/>
        <w:rPr>
          <w:sz w:val="24"/>
          <w:szCs w:val="24"/>
        </w:rPr>
      </w:pPr>
      <w:r w:rsidRPr="0041529B">
        <w:rPr>
          <w:i/>
          <w:sz w:val="24"/>
          <w:szCs w:val="24"/>
        </w:rPr>
        <w:t>Systems</w:t>
      </w:r>
      <w:r>
        <w:rPr>
          <w:sz w:val="24"/>
          <w:szCs w:val="24"/>
        </w:rPr>
        <w:t xml:space="preserve">: </w:t>
      </w:r>
      <w:r w:rsidR="00415C1B">
        <w:rPr>
          <w:sz w:val="24"/>
          <w:szCs w:val="24"/>
        </w:rPr>
        <w:t>System entails the technica</w:t>
      </w:r>
      <w:r w:rsidR="00853782">
        <w:rPr>
          <w:sz w:val="24"/>
          <w:szCs w:val="24"/>
        </w:rPr>
        <w:t>l and IT</w:t>
      </w:r>
      <w:r w:rsidR="00415C1B">
        <w:rPr>
          <w:sz w:val="24"/>
          <w:szCs w:val="24"/>
        </w:rPr>
        <w:t xml:space="preserve"> infrastructure of the company (</w:t>
      </w:r>
      <w:r w:rsidR="00DF236D" w:rsidRPr="00753846">
        <w:rPr>
          <w:rFonts w:cstheme="minorHAnsi"/>
          <w:sz w:val="24"/>
          <w:szCs w:val="24"/>
          <w:shd w:val="clear" w:color="auto" w:fill="FFFFFF"/>
        </w:rPr>
        <w:t xml:space="preserve">Jasper &amp; </w:t>
      </w:r>
      <w:proofErr w:type="spellStart"/>
      <w:r w:rsidR="00DF236D" w:rsidRPr="00753846">
        <w:rPr>
          <w:rFonts w:cstheme="minorHAnsi"/>
          <w:sz w:val="24"/>
          <w:szCs w:val="24"/>
          <w:shd w:val="clear" w:color="auto" w:fill="FFFFFF"/>
        </w:rPr>
        <w:t>Crossan</w:t>
      </w:r>
      <w:proofErr w:type="spellEnd"/>
      <w:r w:rsidR="00DF236D" w:rsidRPr="00753846">
        <w:rPr>
          <w:rFonts w:cstheme="minorHAnsi"/>
          <w:sz w:val="24"/>
          <w:szCs w:val="24"/>
          <w:shd w:val="clear" w:color="auto" w:fill="FFFFFF"/>
        </w:rPr>
        <w:t>,</w:t>
      </w:r>
      <w:r w:rsidR="00DF236D">
        <w:rPr>
          <w:rFonts w:cstheme="minorHAnsi"/>
          <w:sz w:val="24"/>
          <w:szCs w:val="24"/>
          <w:shd w:val="clear" w:color="auto" w:fill="FFFFFF"/>
        </w:rPr>
        <w:t xml:space="preserve"> 2012</w:t>
      </w:r>
      <w:r w:rsidR="00415C1B">
        <w:rPr>
          <w:sz w:val="24"/>
          <w:szCs w:val="24"/>
        </w:rPr>
        <w:t xml:space="preserve">). </w:t>
      </w:r>
      <w:r w:rsidR="00C064C4">
        <w:rPr>
          <w:sz w:val="24"/>
          <w:szCs w:val="24"/>
        </w:rPr>
        <w:t xml:space="preserve">GSK has maintained a highly updated and high-tech technological infrastructure to enable all the employees </w:t>
      </w:r>
      <w:r w:rsidR="006333A5">
        <w:rPr>
          <w:sz w:val="24"/>
          <w:szCs w:val="24"/>
        </w:rPr>
        <w:t>establish effective communicati</w:t>
      </w:r>
      <w:r w:rsidR="00E950BA">
        <w:rPr>
          <w:sz w:val="24"/>
          <w:szCs w:val="24"/>
        </w:rPr>
        <w:t>on (GlaxoSmithKline plc. 2021).</w:t>
      </w:r>
      <w:r w:rsidR="008046C6">
        <w:rPr>
          <w:sz w:val="24"/>
          <w:szCs w:val="24"/>
        </w:rPr>
        <w:t xml:space="preserve"> Such high-tech infrastructure is highly required </w:t>
      </w:r>
      <w:r w:rsidR="008C3347">
        <w:rPr>
          <w:sz w:val="24"/>
          <w:szCs w:val="24"/>
        </w:rPr>
        <w:t>to implement the high-ambitious strategy of GSK mentioned on previous section.</w:t>
      </w:r>
    </w:p>
    <w:p w:rsidR="0041529B" w:rsidRDefault="0041529B" w:rsidP="00584CD1">
      <w:pPr>
        <w:spacing w:line="360" w:lineRule="auto"/>
        <w:jc w:val="both"/>
        <w:rPr>
          <w:sz w:val="24"/>
          <w:szCs w:val="24"/>
        </w:rPr>
      </w:pPr>
      <w:r w:rsidRPr="0041529B">
        <w:rPr>
          <w:i/>
          <w:sz w:val="24"/>
          <w:szCs w:val="24"/>
        </w:rPr>
        <w:t>Style</w:t>
      </w:r>
      <w:r>
        <w:rPr>
          <w:sz w:val="24"/>
          <w:szCs w:val="24"/>
        </w:rPr>
        <w:t xml:space="preserve">: </w:t>
      </w:r>
      <w:r w:rsidR="006333A5">
        <w:rPr>
          <w:sz w:val="24"/>
          <w:szCs w:val="24"/>
        </w:rPr>
        <w:t>Style mainly refers to the management and leadership styles</w:t>
      </w:r>
      <w:r w:rsidR="00442CB2">
        <w:rPr>
          <w:sz w:val="24"/>
          <w:szCs w:val="24"/>
        </w:rPr>
        <w:t xml:space="preserve"> (</w:t>
      </w:r>
      <w:r w:rsidR="00E950BA">
        <w:rPr>
          <w:rFonts w:cstheme="minorHAnsi"/>
          <w:sz w:val="24"/>
          <w:szCs w:val="24"/>
          <w:shd w:val="clear" w:color="auto" w:fill="FFFFFF"/>
        </w:rPr>
        <w:t>Gallus</w:t>
      </w:r>
      <w:r w:rsidR="00E950BA" w:rsidRPr="00753846">
        <w:rPr>
          <w:rFonts w:cstheme="minorHAnsi"/>
          <w:sz w:val="24"/>
          <w:szCs w:val="24"/>
          <w:shd w:val="clear" w:color="auto" w:fill="FFFFFF"/>
        </w:rPr>
        <w:t xml:space="preserve"> &amp; Frey,</w:t>
      </w:r>
      <w:r w:rsidR="00E950BA">
        <w:rPr>
          <w:rFonts w:cstheme="minorHAnsi"/>
          <w:sz w:val="24"/>
          <w:szCs w:val="24"/>
          <w:shd w:val="clear" w:color="auto" w:fill="FFFFFF"/>
        </w:rPr>
        <w:t xml:space="preserve"> 2016</w:t>
      </w:r>
      <w:r w:rsidR="00442CB2">
        <w:rPr>
          <w:sz w:val="24"/>
          <w:szCs w:val="24"/>
        </w:rPr>
        <w:t>)</w:t>
      </w:r>
      <w:r w:rsidR="006333A5">
        <w:rPr>
          <w:sz w:val="24"/>
          <w:szCs w:val="24"/>
        </w:rPr>
        <w:t xml:space="preserve">. </w:t>
      </w:r>
      <w:r w:rsidR="00442CB2">
        <w:rPr>
          <w:sz w:val="24"/>
          <w:szCs w:val="24"/>
        </w:rPr>
        <w:t>GSK has followed transformational leadership styles because such leadership styles is most suitable in case of large corporations such as GSK</w:t>
      </w:r>
      <w:r w:rsidR="001613C7">
        <w:rPr>
          <w:sz w:val="24"/>
          <w:szCs w:val="24"/>
        </w:rPr>
        <w:t xml:space="preserve"> (GlaxoSmithKline plc. 2021)</w:t>
      </w:r>
      <w:r w:rsidR="00442CB2">
        <w:rPr>
          <w:sz w:val="24"/>
          <w:szCs w:val="24"/>
        </w:rPr>
        <w:t>.</w:t>
      </w:r>
      <w:r w:rsidR="00EF79E3">
        <w:rPr>
          <w:sz w:val="24"/>
          <w:szCs w:val="24"/>
        </w:rPr>
        <w:t xml:space="preserve"> For example, to expand the pha</w:t>
      </w:r>
      <w:r w:rsidR="00987586">
        <w:rPr>
          <w:sz w:val="24"/>
          <w:szCs w:val="24"/>
        </w:rPr>
        <w:t>rmaceuticals business globally, transformational leadership is highly required to manage such large project.</w:t>
      </w:r>
    </w:p>
    <w:p w:rsidR="0041529B" w:rsidRDefault="0041529B" w:rsidP="00584CD1">
      <w:pPr>
        <w:spacing w:line="360" w:lineRule="auto"/>
        <w:jc w:val="both"/>
        <w:rPr>
          <w:sz w:val="24"/>
          <w:szCs w:val="24"/>
        </w:rPr>
      </w:pPr>
      <w:r w:rsidRPr="0041529B">
        <w:rPr>
          <w:i/>
          <w:sz w:val="24"/>
          <w:szCs w:val="24"/>
        </w:rPr>
        <w:t>Staff</w:t>
      </w:r>
      <w:r>
        <w:rPr>
          <w:sz w:val="24"/>
          <w:szCs w:val="24"/>
        </w:rPr>
        <w:t xml:space="preserve">: </w:t>
      </w:r>
      <w:r w:rsidR="00DC6294">
        <w:rPr>
          <w:sz w:val="24"/>
          <w:szCs w:val="24"/>
        </w:rPr>
        <w:t>It refers to the management of HR, human resources etc. (</w:t>
      </w:r>
      <w:r w:rsidR="00C74285">
        <w:rPr>
          <w:rFonts w:cstheme="minorHAnsi"/>
          <w:sz w:val="24"/>
          <w:szCs w:val="24"/>
          <w:shd w:val="clear" w:color="auto" w:fill="FFFFFF"/>
        </w:rPr>
        <w:t>David, David</w:t>
      </w:r>
      <w:r w:rsidR="00C74285" w:rsidRPr="00753846">
        <w:rPr>
          <w:rFonts w:cstheme="minorHAnsi"/>
          <w:sz w:val="24"/>
          <w:szCs w:val="24"/>
          <w:shd w:val="clear" w:color="auto" w:fill="FFFFFF"/>
        </w:rPr>
        <w:t xml:space="preserve"> &amp; David,</w:t>
      </w:r>
      <w:r w:rsidR="00C74285">
        <w:rPr>
          <w:rFonts w:cstheme="minorHAnsi"/>
          <w:sz w:val="24"/>
          <w:szCs w:val="24"/>
          <w:shd w:val="clear" w:color="auto" w:fill="FFFFFF"/>
        </w:rPr>
        <w:t xml:space="preserve"> 2013</w:t>
      </w:r>
      <w:r w:rsidR="00DC6294">
        <w:rPr>
          <w:sz w:val="24"/>
          <w:szCs w:val="24"/>
        </w:rPr>
        <w:t xml:space="preserve">). </w:t>
      </w:r>
      <w:r w:rsidR="00D766C1">
        <w:rPr>
          <w:sz w:val="24"/>
          <w:szCs w:val="24"/>
        </w:rPr>
        <w:t>GSK has ensured that the company recruits the best-fit employees while selecting and recruiting. The company also provides intensive training programs to the employees.</w:t>
      </w:r>
    </w:p>
    <w:p w:rsidR="0041529B" w:rsidRDefault="0041529B" w:rsidP="00584CD1">
      <w:pPr>
        <w:spacing w:line="360" w:lineRule="auto"/>
        <w:jc w:val="both"/>
        <w:rPr>
          <w:sz w:val="24"/>
          <w:szCs w:val="24"/>
        </w:rPr>
      </w:pPr>
      <w:r w:rsidRPr="0041529B">
        <w:rPr>
          <w:i/>
          <w:sz w:val="24"/>
          <w:szCs w:val="24"/>
        </w:rPr>
        <w:t>Skills</w:t>
      </w:r>
      <w:r w:rsidR="00E56199">
        <w:rPr>
          <w:sz w:val="24"/>
          <w:szCs w:val="24"/>
        </w:rPr>
        <w:t xml:space="preserve"> and </w:t>
      </w:r>
      <w:r w:rsidRPr="0041529B">
        <w:rPr>
          <w:i/>
          <w:sz w:val="24"/>
          <w:szCs w:val="24"/>
        </w:rPr>
        <w:t>Shared values</w:t>
      </w:r>
      <w:r>
        <w:rPr>
          <w:sz w:val="24"/>
          <w:szCs w:val="24"/>
        </w:rPr>
        <w:t xml:space="preserve">: </w:t>
      </w:r>
      <w:r w:rsidR="00FC6065">
        <w:rPr>
          <w:sz w:val="24"/>
          <w:szCs w:val="24"/>
        </w:rPr>
        <w:t xml:space="preserve">Skills are the capabilities and shared values </w:t>
      </w:r>
      <w:r w:rsidR="006728DD">
        <w:rPr>
          <w:sz w:val="24"/>
          <w:szCs w:val="24"/>
        </w:rPr>
        <w:t>are common belief among the employees</w:t>
      </w:r>
      <w:r w:rsidR="00B175E6">
        <w:rPr>
          <w:sz w:val="24"/>
          <w:szCs w:val="24"/>
        </w:rPr>
        <w:t xml:space="preserve"> (</w:t>
      </w:r>
      <w:proofErr w:type="spellStart"/>
      <w:r w:rsidR="00BC00CD">
        <w:rPr>
          <w:rFonts w:cstheme="minorHAnsi"/>
          <w:sz w:val="24"/>
          <w:szCs w:val="24"/>
          <w:shd w:val="clear" w:color="auto" w:fill="FFFFFF"/>
        </w:rPr>
        <w:t>Poister</w:t>
      </w:r>
      <w:proofErr w:type="spellEnd"/>
      <w:r w:rsidR="00BC00CD" w:rsidRPr="00753846">
        <w:rPr>
          <w:rFonts w:cstheme="minorHAnsi"/>
          <w:sz w:val="24"/>
          <w:szCs w:val="24"/>
          <w:shd w:val="clear" w:color="auto" w:fill="FFFFFF"/>
        </w:rPr>
        <w:t xml:space="preserve"> &amp; </w:t>
      </w:r>
      <w:proofErr w:type="spellStart"/>
      <w:r w:rsidR="00BC00CD" w:rsidRPr="00753846">
        <w:rPr>
          <w:rFonts w:cstheme="minorHAnsi"/>
          <w:sz w:val="24"/>
          <w:szCs w:val="24"/>
          <w:shd w:val="clear" w:color="auto" w:fill="FFFFFF"/>
        </w:rPr>
        <w:t>Streib</w:t>
      </w:r>
      <w:proofErr w:type="spellEnd"/>
      <w:r w:rsidR="00BC00CD" w:rsidRPr="00753846">
        <w:rPr>
          <w:rFonts w:cstheme="minorHAnsi"/>
          <w:sz w:val="24"/>
          <w:szCs w:val="24"/>
          <w:shd w:val="clear" w:color="auto" w:fill="FFFFFF"/>
        </w:rPr>
        <w:t>,</w:t>
      </w:r>
      <w:r w:rsidR="00BC00CD">
        <w:rPr>
          <w:rFonts w:cstheme="minorHAnsi"/>
          <w:sz w:val="24"/>
          <w:szCs w:val="24"/>
          <w:shd w:val="clear" w:color="auto" w:fill="FFFFFF"/>
        </w:rPr>
        <w:t xml:space="preserve"> 2018</w:t>
      </w:r>
      <w:r w:rsidR="00B175E6">
        <w:rPr>
          <w:sz w:val="24"/>
          <w:szCs w:val="24"/>
        </w:rPr>
        <w:t>)</w:t>
      </w:r>
      <w:r w:rsidR="006728DD">
        <w:rPr>
          <w:sz w:val="24"/>
          <w:szCs w:val="24"/>
        </w:rPr>
        <w:t>.</w:t>
      </w:r>
    </w:p>
    <w:p w:rsidR="0041529B" w:rsidRDefault="007976BC" w:rsidP="00584CD1">
      <w:pPr>
        <w:spacing w:line="360" w:lineRule="auto"/>
        <w:jc w:val="both"/>
        <w:rPr>
          <w:sz w:val="24"/>
          <w:szCs w:val="24"/>
        </w:rPr>
      </w:pPr>
      <w:r>
        <w:rPr>
          <w:sz w:val="24"/>
          <w:szCs w:val="24"/>
        </w:rPr>
        <w:t xml:space="preserve">The implications </w:t>
      </w:r>
      <w:r w:rsidR="00B0535A">
        <w:rPr>
          <w:sz w:val="24"/>
          <w:szCs w:val="24"/>
        </w:rPr>
        <w:t xml:space="preserve">of the McKinsey 7S model is that it measures the extent to which the firm </w:t>
      </w:r>
      <w:r w:rsidR="00D279B8">
        <w:rPr>
          <w:sz w:val="24"/>
          <w:szCs w:val="24"/>
        </w:rPr>
        <w:t xml:space="preserve">has effectively collaborated among the elements of the 7S model. Above analysis shows that each of the elements of 7S support other elements. </w:t>
      </w:r>
      <w:r w:rsidR="00141513">
        <w:rPr>
          <w:sz w:val="24"/>
          <w:szCs w:val="24"/>
        </w:rPr>
        <w:t>This clearly shows that GSK has effectively implemented the 7S framework.</w:t>
      </w:r>
    </w:p>
    <w:p w:rsidR="008C3F36" w:rsidRDefault="008C3F36" w:rsidP="00584CD1">
      <w:pPr>
        <w:spacing w:line="360" w:lineRule="auto"/>
        <w:jc w:val="both"/>
        <w:rPr>
          <w:sz w:val="24"/>
          <w:szCs w:val="24"/>
        </w:rPr>
      </w:pPr>
    </w:p>
    <w:p w:rsidR="008C3F36" w:rsidRDefault="008C3F36" w:rsidP="00584CD1">
      <w:pPr>
        <w:spacing w:line="360" w:lineRule="auto"/>
        <w:jc w:val="both"/>
        <w:rPr>
          <w:sz w:val="24"/>
          <w:szCs w:val="24"/>
        </w:rPr>
      </w:pPr>
    </w:p>
    <w:p w:rsidR="008C3F36" w:rsidRDefault="008C3F36" w:rsidP="00584CD1">
      <w:pPr>
        <w:spacing w:line="360" w:lineRule="auto"/>
        <w:jc w:val="both"/>
        <w:rPr>
          <w:sz w:val="24"/>
          <w:szCs w:val="24"/>
        </w:rPr>
      </w:pPr>
    </w:p>
    <w:p w:rsidR="008C3F36" w:rsidRDefault="008C3F36" w:rsidP="00584CD1">
      <w:pPr>
        <w:spacing w:line="360" w:lineRule="auto"/>
        <w:jc w:val="both"/>
        <w:rPr>
          <w:sz w:val="24"/>
          <w:szCs w:val="24"/>
        </w:rPr>
      </w:pPr>
    </w:p>
    <w:p w:rsidR="008C3F36" w:rsidRDefault="008C3F36" w:rsidP="00584CD1">
      <w:pPr>
        <w:spacing w:line="360" w:lineRule="auto"/>
        <w:jc w:val="both"/>
        <w:rPr>
          <w:sz w:val="24"/>
          <w:szCs w:val="24"/>
        </w:rPr>
      </w:pPr>
    </w:p>
    <w:p w:rsidR="00C124AD" w:rsidRPr="00C124AD" w:rsidRDefault="00C124AD" w:rsidP="007E64DD">
      <w:pPr>
        <w:pStyle w:val="Heading2"/>
      </w:pPr>
      <w:bookmarkStart w:id="11" w:name="_Toc71924099"/>
      <w:r w:rsidRPr="00C124AD">
        <w:lastRenderedPageBreak/>
        <w:t>SWOT analysis</w:t>
      </w:r>
      <w:bookmarkEnd w:id="11"/>
    </w:p>
    <w:p w:rsidR="005A76B3" w:rsidRDefault="005A76B3" w:rsidP="005A76B3">
      <w:pPr>
        <w:spacing w:line="360" w:lineRule="auto"/>
        <w:jc w:val="both"/>
        <w:rPr>
          <w:sz w:val="24"/>
          <w:szCs w:val="24"/>
        </w:rPr>
      </w:pPr>
      <w:r>
        <w:rPr>
          <w:rFonts w:cstheme="minorHAnsi"/>
          <w:sz w:val="24"/>
          <w:szCs w:val="24"/>
          <w:shd w:val="clear" w:color="auto" w:fill="FFFFFF"/>
        </w:rPr>
        <w:t>Powell (</w:t>
      </w:r>
      <w:r w:rsidRPr="00753846">
        <w:rPr>
          <w:rFonts w:cstheme="minorHAnsi"/>
          <w:sz w:val="24"/>
          <w:szCs w:val="24"/>
          <w:shd w:val="clear" w:color="auto" w:fill="FFFFFF"/>
        </w:rPr>
        <w:t>2014</w:t>
      </w:r>
      <w:r>
        <w:rPr>
          <w:rFonts w:cstheme="minorHAnsi"/>
          <w:sz w:val="24"/>
          <w:szCs w:val="24"/>
          <w:shd w:val="clear" w:color="auto" w:fill="FFFFFF"/>
        </w:rPr>
        <w:t xml:space="preserve">) has said in his research that </w:t>
      </w:r>
      <w:r>
        <w:rPr>
          <w:sz w:val="24"/>
          <w:szCs w:val="24"/>
        </w:rPr>
        <w:t>SWOT analysis identifies the strength, weakness, opportunities and threats of an organization and companies can utilize their strengths in more effective way to capture opportunities and prevent weakness to minimize threats. SWOT of GSK will identify their strength, weakness, opportunities and threats.</w:t>
      </w:r>
    </w:p>
    <w:p w:rsidR="005A76B3" w:rsidRDefault="005A76B3" w:rsidP="005A76B3">
      <w:pPr>
        <w:spacing w:line="360" w:lineRule="auto"/>
        <w:jc w:val="both"/>
        <w:rPr>
          <w:sz w:val="24"/>
          <w:szCs w:val="24"/>
        </w:rPr>
      </w:pPr>
      <w:r>
        <w:rPr>
          <w:noProof/>
          <w:sz w:val="24"/>
          <w:szCs w:val="24"/>
          <w:lang w:eastAsia="en-GB"/>
        </w:rPr>
        <w:drawing>
          <wp:inline distT="0" distB="0" distL="0" distR="0" wp14:anchorId="658B084E" wp14:editId="21CA7F5D">
            <wp:extent cx="5486400" cy="3200400"/>
            <wp:effectExtent l="0" t="0" r="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5A76B3" w:rsidRDefault="00232517" w:rsidP="005A76B3">
      <w:pPr>
        <w:spacing w:line="360" w:lineRule="auto"/>
        <w:jc w:val="center"/>
        <w:rPr>
          <w:sz w:val="24"/>
          <w:szCs w:val="24"/>
        </w:rPr>
      </w:pPr>
      <w:r>
        <w:rPr>
          <w:sz w:val="24"/>
          <w:szCs w:val="24"/>
        </w:rPr>
        <w:t>Figure 9</w:t>
      </w:r>
      <w:r w:rsidR="005A76B3">
        <w:rPr>
          <w:sz w:val="24"/>
          <w:szCs w:val="24"/>
        </w:rPr>
        <w:t>: SWOT analysis (</w:t>
      </w:r>
      <w:r w:rsidR="005A76B3">
        <w:rPr>
          <w:rFonts w:cstheme="minorHAnsi"/>
          <w:sz w:val="24"/>
          <w:szCs w:val="24"/>
          <w:shd w:val="clear" w:color="auto" w:fill="FFFFFF"/>
        </w:rPr>
        <w:t xml:space="preserve">Powell, </w:t>
      </w:r>
      <w:r w:rsidR="005A76B3" w:rsidRPr="00753846">
        <w:rPr>
          <w:rFonts w:cstheme="minorHAnsi"/>
          <w:sz w:val="24"/>
          <w:szCs w:val="24"/>
          <w:shd w:val="clear" w:color="auto" w:fill="FFFFFF"/>
        </w:rPr>
        <w:t>2014</w:t>
      </w:r>
      <w:r w:rsidR="005A76B3">
        <w:rPr>
          <w:sz w:val="24"/>
          <w:szCs w:val="24"/>
        </w:rPr>
        <w:t>)</w:t>
      </w:r>
    </w:p>
    <w:p w:rsidR="005A76B3" w:rsidRPr="002D4C11" w:rsidRDefault="005A76B3" w:rsidP="005A76B3">
      <w:pPr>
        <w:spacing w:line="360" w:lineRule="auto"/>
        <w:jc w:val="both"/>
        <w:rPr>
          <w:sz w:val="24"/>
          <w:szCs w:val="24"/>
        </w:rPr>
      </w:pPr>
      <w:r w:rsidRPr="002D4C11">
        <w:rPr>
          <w:i/>
          <w:iCs/>
          <w:sz w:val="24"/>
          <w:szCs w:val="24"/>
        </w:rPr>
        <w:t>Strength</w:t>
      </w:r>
      <w:r w:rsidRPr="002D4C11">
        <w:rPr>
          <w:sz w:val="24"/>
          <w:szCs w:val="24"/>
        </w:rPr>
        <w:t xml:space="preserve">: </w:t>
      </w:r>
      <w:r>
        <w:rPr>
          <w:sz w:val="24"/>
          <w:szCs w:val="24"/>
        </w:rPr>
        <w:t>Strong global presence of GSK is one of the key strength of the company. It has business in 96 countries of the world which help the company to create its demand across the world (</w:t>
      </w:r>
      <w:r w:rsidRPr="00B86C2B">
        <w:rPr>
          <w:rFonts w:cstheme="minorHAnsi"/>
          <w:sz w:val="24"/>
          <w:szCs w:val="24"/>
          <w:shd w:val="clear" w:color="auto" w:fill="FFFFFF"/>
        </w:rPr>
        <w:t xml:space="preserve">GlaxoSmithKline </w:t>
      </w:r>
      <w:proofErr w:type="spellStart"/>
      <w:r w:rsidRPr="00B86C2B">
        <w:rPr>
          <w:rFonts w:cstheme="minorHAnsi"/>
          <w:sz w:val="24"/>
          <w:szCs w:val="24"/>
          <w:shd w:val="clear" w:color="auto" w:fill="FFFFFF"/>
        </w:rPr>
        <w:t>plc</w:t>
      </w:r>
      <w:proofErr w:type="spellEnd"/>
      <w:r>
        <w:rPr>
          <w:rFonts w:cstheme="minorHAnsi"/>
          <w:sz w:val="24"/>
          <w:szCs w:val="24"/>
          <w:shd w:val="clear" w:color="auto" w:fill="FFFFFF"/>
        </w:rPr>
        <w:t>, 2021a). It invests huge amount in R&amp;D and the R&amp;D team of the company invents new medicines for the company which help GSK to increase its demand in market (Case Study). It has global supply chain which ensures that they get delivery of required ingredients in time and become able to produce quality medicines that contributes to cure people from several diseases.</w:t>
      </w:r>
    </w:p>
    <w:p w:rsidR="005A76B3" w:rsidRPr="002D4C11" w:rsidRDefault="005A76B3" w:rsidP="005A76B3">
      <w:pPr>
        <w:spacing w:line="360" w:lineRule="auto"/>
        <w:jc w:val="both"/>
        <w:rPr>
          <w:sz w:val="24"/>
          <w:szCs w:val="24"/>
        </w:rPr>
      </w:pPr>
      <w:r w:rsidRPr="002D4C11">
        <w:rPr>
          <w:i/>
          <w:iCs/>
          <w:sz w:val="24"/>
          <w:szCs w:val="24"/>
        </w:rPr>
        <w:t>Weakness</w:t>
      </w:r>
      <w:r w:rsidRPr="002D4C11">
        <w:rPr>
          <w:sz w:val="24"/>
          <w:szCs w:val="24"/>
        </w:rPr>
        <w:t xml:space="preserve">: </w:t>
      </w:r>
      <w:r>
        <w:rPr>
          <w:sz w:val="24"/>
          <w:szCs w:val="24"/>
        </w:rPr>
        <w:t xml:space="preserve">One of the key weakness of GSK is it emphasizes on its Europe market and generates </w:t>
      </w:r>
      <w:r>
        <w:rPr>
          <w:rFonts w:cstheme="minorHAnsi"/>
          <w:sz w:val="24"/>
          <w:szCs w:val="24"/>
          <w:shd w:val="clear" w:color="auto" w:fill="FFFFFF"/>
        </w:rPr>
        <w:t>8.2 billion British pounds which contributes to the 25% of total revenue (</w:t>
      </w:r>
      <w:proofErr w:type="spellStart"/>
      <w:r>
        <w:rPr>
          <w:rFonts w:cstheme="minorHAnsi"/>
          <w:sz w:val="24"/>
          <w:szCs w:val="24"/>
          <w:shd w:val="clear" w:color="auto" w:fill="FFFFFF"/>
        </w:rPr>
        <w:t>Mikulic</w:t>
      </w:r>
      <w:proofErr w:type="spellEnd"/>
      <w:r>
        <w:rPr>
          <w:rFonts w:cstheme="minorHAnsi"/>
          <w:sz w:val="24"/>
          <w:szCs w:val="24"/>
          <w:shd w:val="clear" w:color="auto" w:fill="FFFFFF"/>
        </w:rPr>
        <w:t>, 2021). The allegation to have unlawfully promoted prescription drugs, false pricing charges and failure to report safety data has affected the reputation of the company negatively (</w:t>
      </w:r>
      <w:r w:rsidRPr="00B86C2B">
        <w:rPr>
          <w:rFonts w:cstheme="minorHAnsi"/>
          <w:sz w:val="24"/>
          <w:szCs w:val="24"/>
          <w:shd w:val="clear" w:color="auto" w:fill="FFFFFF"/>
        </w:rPr>
        <w:t xml:space="preserve">GlaxoSmithKline </w:t>
      </w:r>
      <w:proofErr w:type="spellStart"/>
      <w:r w:rsidRPr="00B86C2B">
        <w:rPr>
          <w:rFonts w:cstheme="minorHAnsi"/>
          <w:sz w:val="24"/>
          <w:szCs w:val="24"/>
          <w:shd w:val="clear" w:color="auto" w:fill="FFFFFF"/>
        </w:rPr>
        <w:t>plc</w:t>
      </w:r>
      <w:proofErr w:type="spellEnd"/>
      <w:r>
        <w:rPr>
          <w:rFonts w:cstheme="minorHAnsi"/>
          <w:sz w:val="24"/>
          <w:szCs w:val="24"/>
          <w:shd w:val="clear" w:color="auto" w:fill="FFFFFF"/>
        </w:rPr>
        <w:t>, 2021a).</w:t>
      </w:r>
    </w:p>
    <w:p w:rsidR="005A76B3" w:rsidRDefault="005A76B3" w:rsidP="005A76B3">
      <w:pPr>
        <w:spacing w:line="360" w:lineRule="auto"/>
        <w:jc w:val="both"/>
        <w:rPr>
          <w:sz w:val="24"/>
          <w:szCs w:val="24"/>
        </w:rPr>
      </w:pPr>
      <w:r w:rsidRPr="002D4C11">
        <w:rPr>
          <w:i/>
          <w:iCs/>
          <w:sz w:val="24"/>
          <w:szCs w:val="24"/>
        </w:rPr>
        <w:lastRenderedPageBreak/>
        <w:t>Opportunities</w:t>
      </w:r>
      <w:r w:rsidRPr="002D4C11">
        <w:rPr>
          <w:sz w:val="24"/>
          <w:szCs w:val="24"/>
        </w:rPr>
        <w:t xml:space="preserve">: </w:t>
      </w:r>
      <w:r>
        <w:rPr>
          <w:sz w:val="24"/>
          <w:szCs w:val="24"/>
        </w:rPr>
        <w:t>By emphasizing on other markets such as Asia pacific, Middle East and other countries, GSK will be capable to generate higher revenue. It will bring higher revenue like the company generates from EU market (</w:t>
      </w:r>
      <w:r w:rsidRPr="00B86C2B">
        <w:rPr>
          <w:rFonts w:cstheme="minorHAnsi"/>
          <w:sz w:val="24"/>
          <w:szCs w:val="24"/>
          <w:shd w:val="clear" w:color="auto" w:fill="FFFFFF"/>
        </w:rPr>
        <w:t xml:space="preserve">GlaxoSmithKline </w:t>
      </w:r>
      <w:proofErr w:type="spellStart"/>
      <w:r w:rsidRPr="00B86C2B">
        <w:rPr>
          <w:rFonts w:cstheme="minorHAnsi"/>
          <w:sz w:val="24"/>
          <w:szCs w:val="24"/>
          <w:shd w:val="clear" w:color="auto" w:fill="FFFFFF"/>
        </w:rPr>
        <w:t>plc</w:t>
      </w:r>
      <w:proofErr w:type="spellEnd"/>
      <w:r>
        <w:rPr>
          <w:rFonts w:cstheme="minorHAnsi"/>
          <w:sz w:val="24"/>
          <w:szCs w:val="24"/>
          <w:shd w:val="clear" w:color="auto" w:fill="FFFFFF"/>
        </w:rPr>
        <w:t>, 2021a)</w:t>
      </w:r>
      <w:r>
        <w:rPr>
          <w:sz w:val="24"/>
          <w:szCs w:val="24"/>
        </w:rPr>
        <w:t>. GSK has to take significant steps to prevent the allegations that they face in order to increase its reputation globally. As a result, customers will be more loyal and revenue of the company will be higher.</w:t>
      </w:r>
    </w:p>
    <w:p w:rsidR="005A76B3" w:rsidRPr="002D4C11" w:rsidRDefault="005A76B3" w:rsidP="005A76B3">
      <w:pPr>
        <w:spacing w:line="360" w:lineRule="auto"/>
        <w:jc w:val="both"/>
        <w:rPr>
          <w:sz w:val="24"/>
          <w:szCs w:val="24"/>
        </w:rPr>
      </w:pPr>
      <w:r w:rsidRPr="002D4C11">
        <w:rPr>
          <w:i/>
          <w:iCs/>
          <w:sz w:val="24"/>
          <w:szCs w:val="24"/>
        </w:rPr>
        <w:t>Threats</w:t>
      </w:r>
      <w:r w:rsidRPr="002D4C11">
        <w:rPr>
          <w:sz w:val="24"/>
          <w:szCs w:val="24"/>
        </w:rPr>
        <w:t xml:space="preserve">: </w:t>
      </w:r>
      <w:r>
        <w:rPr>
          <w:sz w:val="24"/>
          <w:szCs w:val="24"/>
        </w:rPr>
        <w:t>Allegations that GSK face may harm the profitability of the company if they do not take initiatives to prevent it because customers will lose trust on the company and they will switch to the competitors. Novartis, Pfizer and other competitors including generic drug companies are producing same quality medicines and providing to customers with lower costs which is a great threat for GSK because it attracts customers to the competitors (Case Study).</w:t>
      </w:r>
    </w:p>
    <w:p w:rsidR="00C124AD" w:rsidRDefault="00C124AD" w:rsidP="00584CD1">
      <w:pPr>
        <w:spacing w:line="360" w:lineRule="auto"/>
        <w:jc w:val="both"/>
        <w:rPr>
          <w:sz w:val="24"/>
          <w:szCs w:val="24"/>
        </w:rPr>
      </w:pPr>
    </w:p>
    <w:p w:rsidR="00C124AD" w:rsidRPr="00C124AD" w:rsidRDefault="00C124AD" w:rsidP="007E64DD">
      <w:pPr>
        <w:pStyle w:val="Heading1"/>
      </w:pPr>
      <w:bookmarkStart w:id="12" w:name="_Toc71924100"/>
      <w:r w:rsidRPr="00C124AD">
        <w:t>Strategic Options for GSK</w:t>
      </w:r>
      <w:bookmarkEnd w:id="12"/>
    </w:p>
    <w:p w:rsidR="00C124AD" w:rsidRPr="00C124AD" w:rsidRDefault="00C124AD" w:rsidP="007E64DD">
      <w:pPr>
        <w:pStyle w:val="Heading2"/>
      </w:pPr>
      <w:bookmarkStart w:id="13" w:name="_Toc71924101"/>
      <w:r w:rsidRPr="00C124AD">
        <w:t>Porter’s Generic Strategies</w:t>
      </w:r>
      <w:bookmarkEnd w:id="13"/>
    </w:p>
    <w:p w:rsidR="00C124AD" w:rsidRDefault="00002F88" w:rsidP="0030561B">
      <w:pPr>
        <w:spacing w:line="360" w:lineRule="auto"/>
        <w:rPr>
          <w:sz w:val="24"/>
          <w:szCs w:val="24"/>
        </w:rPr>
      </w:pPr>
      <w:r>
        <w:rPr>
          <w:sz w:val="24"/>
          <w:szCs w:val="24"/>
        </w:rPr>
        <w:t xml:space="preserve">Porter’s Generic Strategies is a tool that offers different strategic directions to a company in terms </w:t>
      </w:r>
      <w:r w:rsidR="008D13F0">
        <w:rPr>
          <w:sz w:val="24"/>
          <w:szCs w:val="24"/>
        </w:rPr>
        <w:t>different directions to cost and differentiation</w:t>
      </w:r>
      <w:r w:rsidR="00A74921">
        <w:rPr>
          <w:sz w:val="24"/>
          <w:szCs w:val="24"/>
        </w:rPr>
        <w:t xml:space="preserve"> (</w:t>
      </w:r>
      <w:r w:rsidR="00A74921" w:rsidRPr="001B6E71">
        <w:rPr>
          <w:sz w:val="24"/>
          <w:szCs w:val="24"/>
        </w:rPr>
        <w:t>Hill, Jones &amp; Schilling,</w:t>
      </w:r>
      <w:r w:rsidR="00A74921">
        <w:rPr>
          <w:sz w:val="24"/>
          <w:szCs w:val="24"/>
        </w:rPr>
        <w:t xml:space="preserve"> 2014)</w:t>
      </w:r>
      <w:r w:rsidR="008D13F0">
        <w:rPr>
          <w:sz w:val="24"/>
          <w:szCs w:val="24"/>
        </w:rPr>
        <w:t>.</w:t>
      </w:r>
    </w:p>
    <w:p w:rsidR="001B6E71" w:rsidRDefault="001B6E71" w:rsidP="001B6E71">
      <w:pPr>
        <w:spacing w:line="360" w:lineRule="auto"/>
        <w:jc w:val="center"/>
        <w:rPr>
          <w:sz w:val="24"/>
          <w:szCs w:val="24"/>
        </w:rPr>
      </w:pPr>
      <w:r>
        <w:rPr>
          <w:noProof/>
          <w:lang w:eastAsia="en-GB"/>
        </w:rPr>
        <w:drawing>
          <wp:inline distT="0" distB="0" distL="0" distR="0" wp14:anchorId="7084E341" wp14:editId="350F37F7">
            <wp:extent cx="3867150" cy="2608905"/>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878850" cy="2616798"/>
                    </a:xfrm>
                    <a:prstGeom prst="rect">
                      <a:avLst/>
                    </a:prstGeom>
                  </pic:spPr>
                </pic:pic>
              </a:graphicData>
            </a:graphic>
          </wp:inline>
        </w:drawing>
      </w:r>
    </w:p>
    <w:p w:rsidR="001B6E71" w:rsidRDefault="001B6E71" w:rsidP="001B6E71">
      <w:pPr>
        <w:spacing w:line="360" w:lineRule="auto"/>
        <w:jc w:val="center"/>
        <w:rPr>
          <w:sz w:val="24"/>
          <w:szCs w:val="24"/>
        </w:rPr>
      </w:pPr>
      <w:r>
        <w:rPr>
          <w:sz w:val="24"/>
          <w:szCs w:val="24"/>
        </w:rPr>
        <w:t>Figure</w:t>
      </w:r>
      <w:r w:rsidR="00232517">
        <w:rPr>
          <w:sz w:val="24"/>
          <w:szCs w:val="24"/>
        </w:rPr>
        <w:t xml:space="preserve"> 10</w:t>
      </w:r>
      <w:r>
        <w:rPr>
          <w:sz w:val="24"/>
          <w:szCs w:val="24"/>
        </w:rPr>
        <w:t>: Porter’s Generic strategies (</w:t>
      </w:r>
      <w:r w:rsidRPr="001B6E71">
        <w:rPr>
          <w:sz w:val="24"/>
          <w:szCs w:val="24"/>
        </w:rPr>
        <w:t>Hill, Jones &amp; Schilling,</w:t>
      </w:r>
      <w:r>
        <w:rPr>
          <w:sz w:val="24"/>
          <w:szCs w:val="24"/>
        </w:rPr>
        <w:t xml:space="preserve"> 2014)</w:t>
      </w:r>
    </w:p>
    <w:p w:rsidR="007D246B" w:rsidRDefault="00020F79" w:rsidP="00584CD1">
      <w:pPr>
        <w:spacing w:line="360" w:lineRule="auto"/>
        <w:jc w:val="both"/>
        <w:rPr>
          <w:sz w:val="24"/>
          <w:szCs w:val="24"/>
        </w:rPr>
      </w:pPr>
      <w:r>
        <w:rPr>
          <w:sz w:val="24"/>
          <w:szCs w:val="24"/>
        </w:rPr>
        <w:t xml:space="preserve">The most important strategic direction for GSK is differentiation because this is a high-valued global pharmaceuticals company that emphasise on research and innovation. </w:t>
      </w:r>
      <w:r w:rsidR="00CC05B0">
        <w:rPr>
          <w:sz w:val="24"/>
          <w:szCs w:val="24"/>
        </w:rPr>
        <w:t>This implies that GSK wants to present itself as a differentiated company that provides unique and high-</w:t>
      </w:r>
      <w:r w:rsidR="00CC05B0">
        <w:rPr>
          <w:sz w:val="24"/>
          <w:szCs w:val="24"/>
        </w:rPr>
        <w:lastRenderedPageBreak/>
        <w:t>valued products and services (</w:t>
      </w:r>
      <w:r w:rsidR="00CC05B0" w:rsidRPr="001B6E71">
        <w:rPr>
          <w:sz w:val="24"/>
          <w:szCs w:val="24"/>
        </w:rPr>
        <w:t>Hill, Jones &amp; Schilling,</w:t>
      </w:r>
      <w:r w:rsidR="00CC05B0">
        <w:rPr>
          <w:sz w:val="24"/>
          <w:szCs w:val="24"/>
        </w:rPr>
        <w:t xml:space="preserve"> 2014). In this sense, differentiation is the most important strategic directions for GSK.</w:t>
      </w:r>
    </w:p>
    <w:p w:rsidR="001B6E71" w:rsidRDefault="003A60B4" w:rsidP="00584CD1">
      <w:pPr>
        <w:spacing w:line="360" w:lineRule="auto"/>
        <w:jc w:val="both"/>
        <w:rPr>
          <w:sz w:val="24"/>
          <w:szCs w:val="24"/>
        </w:rPr>
      </w:pPr>
      <w:r>
        <w:rPr>
          <w:sz w:val="24"/>
          <w:szCs w:val="24"/>
        </w:rPr>
        <w:t xml:space="preserve">Along with differentiation, GSK also aims to achieve cost leadership with the scale effect of expanding the business in the whole world (Case Study). </w:t>
      </w:r>
      <w:r w:rsidR="00EA5522">
        <w:rPr>
          <w:sz w:val="24"/>
          <w:szCs w:val="24"/>
        </w:rPr>
        <w:t>The company can implement this strategy by inventing a new product and by introducing the product in the whole world. This will help GSK to optimise its operational cost and reduce the prices. This helps GSK to decline the costs. This is how GSK can achieve cost leadership strategy.</w:t>
      </w:r>
    </w:p>
    <w:p w:rsidR="00C124AD" w:rsidRPr="00C124AD" w:rsidRDefault="00C124AD" w:rsidP="007E64DD">
      <w:pPr>
        <w:pStyle w:val="Heading2"/>
      </w:pPr>
      <w:bookmarkStart w:id="14" w:name="_Toc71924102"/>
      <w:proofErr w:type="spellStart"/>
      <w:r w:rsidRPr="00C124AD">
        <w:t>Ansoff</w:t>
      </w:r>
      <w:proofErr w:type="spellEnd"/>
      <w:r w:rsidRPr="00C124AD">
        <w:t xml:space="preserve"> Growth Matrix</w:t>
      </w:r>
      <w:bookmarkEnd w:id="14"/>
    </w:p>
    <w:p w:rsidR="00C124AD" w:rsidRDefault="000D2C0B" w:rsidP="00584CD1">
      <w:pPr>
        <w:spacing w:line="360" w:lineRule="auto"/>
        <w:jc w:val="both"/>
        <w:rPr>
          <w:sz w:val="24"/>
          <w:szCs w:val="24"/>
        </w:rPr>
      </w:pPr>
      <w:proofErr w:type="spellStart"/>
      <w:r>
        <w:rPr>
          <w:sz w:val="24"/>
          <w:szCs w:val="24"/>
        </w:rPr>
        <w:t>Ansoff</w:t>
      </w:r>
      <w:proofErr w:type="spellEnd"/>
      <w:r>
        <w:rPr>
          <w:sz w:val="24"/>
          <w:szCs w:val="24"/>
        </w:rPr>
        <w:t xml:space="preserve"> Growth Matrix is a conceptual model that offers a company with four different growth options based on different combinations of products and markets (</w:t>
      </w:r>
      <w:r w:rsidRPr="00753846">
        <w:rPr>
          <w:rFonts w:cstheme="minorHAnsi"/>
          <w:sz w:val="24"/>
          <w:szCs w:val="24"/>
          <w:shd w:val="clear" w:color="auto" w:fill="FFFFFF"/>
        </w:rPr>
        <w:t xml:space="preserve">Barney &amp; </w:t>
      </w:r>
      <w:proofErr w:type="spellStart"/>
      <w:r w:rsidRPr="00753846">
        <w:rPr>
          <w:rFonts w:cstheme="minorHAnsi"/>
          <w:sz w:val="24"/>
          <w:szCs w:val="24"/>
          <w:shd w:val="clear" w:color="auto" w:fill="FFFFFF"/>
        </w:rPr>
        <w:t>Hesterly</w:t>
      </w:r>
      <w:proofErr w:type="spellEnd"/>
      <w:r w:rsidRPr="00753846">
        <w:rPr>
          <w:rFonts w:cstheme="minorHAnsi"/>
          <w:sz w:val="24"/>
          <w:szCs w:val="24"/>
          <w:shd w:val="clear" w:color="auto" w:fill="FFFFFF"/>
        </w:rPr>
        <w:t>,</w:t>
      </w:r>
      <w:r>
        <w:rPr>
          <w:rFonts w:cstheme="minorHAnsi"/>
          <w:sz w:val="24"/>
          <w:szCs w:val="24"/>
          <w:shd w:val="clear" w:color="auto" w:fill="FFFFFF"/>
        </w:rPr>
        <w:t xml:space="preserve"> 2010</w:t>
      </w:r>
      <w:r>
        <w:rPr>
          <w:sz w:val="24"/>
          <w:szCs w:val="24"/>
        </w:rPr>
        <w:t>). The model is demonstrated below:</w:t>
      </w:r>
    </w:p>
    <w:p w:rsidR="007F0D3C" w:rsidRDefault="007F0D3C" w:rsidP="007F0D3C">
      <w:pPr>
        <w:spacing w:line="360" w:lineRule="auto"/>
        <w:jc w:val="center"/>
        <w:rPr>
          <w:sz w:val="24"/>
          <w:szCs w:val="24"/>
        </w:rPr>
      </w:pPr>
      <w:r>
        <w:rPr>
          <w:noProof/>
          <w:lang w:eastAsia="en-GB"/>
        </w:rPr>
        <w:drawing>
          <wp:inline distT="0" distB="0" distL="0" distR="0" wp14:anchorId="23E2C23E" wp14:editId="4D429140">
            <wp:extent cx="4705350" cy="3924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705350" cy="3924300"/>
                    </a:xfrm>
                    <a:prstGeom prst="rect">
                      <a:avLst/>
                    </a:prstGeom>
                  </pic:spPr>
                </pic:pic>
              </a:graphicData>
            </a:graphic>
          </wp:inline>
        </w:drawing>
      </w:r>
    </w:p>
    <w:p w:rsidR="007F0D3C" w:rsidRDefault="00232517" w:rsidP="007F0D3C">
      <w:pPr>
        <w:spacing w:line="360" w:lineRule="auto"/>
        <w:jc w:val="center"/>
        <w:rPr>
          <w:sz w:val="24"/>
          <w:szCs w:val="24"/>
        </w:rPr>
      </w:pPr>
      <w:r>
        <w:rPr>
          <w:sz w:val="24"/>
          <w:szCs w:val="24"/>
        </w:rPr>
        <w:t>Figure 11</w:t>
      </w:r>
      <w:r w:rsidR="007F0D3C">
        <w:rPr>
          <w:sz w:val="24"/>
          <w:szCs w:val="24"/>
        </w:rPr>
        <w:t xml:space="preserve">: </w:t>
      </w:r>
      <w:proofErr w:type="spellStart"/>
      <w:r w:rsidR="007F0D3C">
        <w:rPr>
          <w:sz w:val="24"/>
          <w:szCs w:val="24"/>
        </w:rPr>
        <w:t>Ansoff</w:t>
      </w:r>
      <w:proofErr w:type="spellEnd"/>
      <w:r w:rsidR="007F0D3C">
        <w:rPr>
          <w:sz w:val="24"/>
          <w:szCs w:val="24"/>
        </w:rPr>
        <w:t xml:space="preserve"> Growth Matrix (</w:t>
      </w:r>
      <w:r w:rsidR="007F0D3C" w:rsidRPr="00753846">
        <w:rPr>
          <w:rFonts w:cstheme="minorHAnsi"/>
          <w:sz w:val="24"/>
          <w:szCs w:val="24"/>
          <w:shd w:val="clear" w:color="auto" w:fill="FFFFFF"/>
        </w:rPr>
        <w:t xml:space="preserve">Barney &amp; </w:t>
      </w:r>
      <w:proofErr w:type="spellStart"/>
      <w:r w:rsidR="007F0D3C" w:rsidRPr="00753846">
        <w:rPr>
          <w:rFonts w:cstheme="minorHAnsi"/>
          <w:sz w:val="24"/>
          <w:szCs w:val="24"/>
          <w:shd w:val="clear" w:color="auto" w:fill="FFFFFF"/>
        </w:rPr>
        <w:t>Hesterly</w:t>
      </w:r>
      <w:proofErr w:type="spellEnd"/>
      <w:r w:rsidR="007F0D3C" w:rsidRPr="00753846">
        <w:rPr>
          <w:rFonts w:cstheme="minorHAnsi"/>
          <w:sz w:val="24"/>
          <w:szCs w:val="24"/>
          <w:shd w:val="clear" w:color="auto" w:fill="FFFFFF"/>
        </w:rPr>
        <w:t>,</w:t>
      </w:r>
      <w:r w:rsidR="007F0D3C">
        <w:rPr>
          <w:rFonts w:cstheme="minorHAnsi"/>
          <w:sz w:val="24"/>
          <w:szCs w:val="24"/>
          <w:shd w:val="clear" w:color="auto" w:fill="FFFFFF"/>
        </w:rPr>
        <w:t xml:space="preserve"> 2010</w:t>
      </w:r>
      <w:r w:rsidR="007F0D3C">
        <w:rPr>
          <w:sz w:val="24"/>
          <w:szCs w:val="24"/>
        </w:rPr>
        <w:t>)</w:t>
      </w:r>
    </w:p>
    <w:p w:rsidR="002E625E" w:rsidRDefault="00C2181C" w:rsidP="00584CD1">
      <w:pPr>
        <w:spacing w:line="360" w:lineRule="auto"/>
        <w:jc w:val="both"/>
        <w:rPr>
          <w:sz w:val="24"/>
          <w:szCs w:val="24"/>
        </w:rPr>
      </w:pPr>
      <w:r>
        <w:rPr>
          <w:sz w:val="24"/>
          <w:szCs w:val="24"/>
        </w:rPr>
        <w:t>Ex</w:t>
      </w:r>
      <w:r w:rsidR="00B665A9">
        <w:rPr>
          <w:sz w:val="24"/>
          <w:szCs w:val="24"/>
        </w:rPr>
        <w:t xml:space="preserve">panding the product portfolio towards consumer health care is one of its most important strategic </w:t>
      </w:r>
      <w:r>
        <w:rPr>
          <w:sz w:val="24"/>
          <w:szCs w:val="24"/>
        </w:rPr>
        <w:t xml:space="preserve">directions of GSK (Case Study). This suggests that GSK has put the most emphasis on product development as per the conceptual framework of </w:t>
      </w:r>
      <w:proofErr w:type="spellStart"/>
      <w:r>
        <w:rPr>
          <w:sz w:val="24"/>
          <w:szCs w:val="24"/>
        </w:rPr>
        <w:t>ANsoff</w:t>
      </w:r>
      <w:proofErr w:type="spellEnd"/>
      <w:r>
        <w:rPr>
          <w:sz w:val="24"/>
          <w:szCs w:val="24"/>
        </w:rPr>
        <w:t xml:space="preserve"> Growth Matrix. </w:t>
      </w:r>
      <w:r w:rsidR="002A261D">
        <w:rPr>
          <w:sz w:val="24"/>
          <w:szCs w:val="24"/>
        </w:rPr>
        <w:t xml:space="preserve">This strategy implies that a company will innovate and offer ne products in the same market and </w:t>
      </w:r>
      <w:r w:rsidR="002A261D">
        <w:rPr>
          <w:sz w:val="24"/>
          <w:szCs w:val="24"/>
        </w:rPr>
        <w:lastRenderedPageBreak/>
        <w:t xml:space="preserve">thus the extent of risks is </w:t>
      </w:r>
      <w:r w:rsidR="000E07E5">
        <w:rPr>
          <w:sz w:val="24"/>
          <w:szCs w:val="24"/>
        </w:rPr>
        <w:t>moderate</w:t>
      </w:r>
      <w:r w:rsidR="002A261D">
        <w:rPr>
          <w:sz w:val="24"/>
          <w:szCs w:val="24"/>
        </w:rPr>
        <w:t xml:space="preserve"> (</w:t>
      </w:r>
      <w:proofErr w:type="spellStart"/>
      <w:r w:rsidR="00B0588D" w:rsidRPr="00753846">
        <w:rPr>
          <w:rFonts w:cstheme="minorHAnsi"/>
          <w:sz w:val="24"/>
          <w:szCs w:val="24"/>
          <w:shd w:val="clear" w:color="auto" w:fill="FFFFFF"/>
        </w:rPr>
        <w:t>Amason</w:t>
      </w:r>
      <w:proofErr w:type="spellEnd"/>
      <w:r w:rsidR="00B0588D" w:rsidRPr="00753846">
        <w:rPr>
          <w:rFonts w:cstheme="minorHAnsi"/>
          <w:sz w:val="24"/>
          <w:szCs w:val="24"/>
          <w:shd w:val="clear" w:color="auto" w:fill="FFFFFF"/>
        </w:rPr>
        <w:t xml:space="preserve"> &amp; Ward,</w:t>
      </w:r>
      <w:r w:rsidR="00B0588D">
        <w:rPr>
          <w:rFonts w:cstheme="minorHAnsi"/>
          <w:sz w:val="24"/>
          <w:szCs w:val="24"/>
          <w:shd w:val="clear" w:color="auto" w:fill="FFFFFF"/>
        </w:rPr>
        <w:t xml:space="preserve"> 2020</w:t>
      </w:r>
      <w:r w:rsidR="002A261D">
        <w:rPr>
          <w:sz w:val="24"/>
          <w:szCs w:val="24"/>
        </w:rPr>
        <w:t>).</w:t>
      </w:r>
      <w:r w:rsidR="00DE5F61">
        <w:rPr>
          <w:sz w:val="24"/>
          <w:szCs w:val="24"/>
        </w:rPr>
        <w:t xml:space="preserve"> </w:t>
      </w:r>
      <w:r w:rsidR="006003F9">
        <w:rPr>
          <w:sz w:val="24"/>
          <w:szCs w:val="24"/>
        </w:rPr>
        <w:t>This is a suitable strategy for GSK because it helps the company to involve into developing new products and services through extensive research and development.</w:t>
      </w:r>
    </w:p>
    <w:p w:rsidR="006003F9" w:rsidRDefault="00633535" w:rsidP="00584CD1">
      <w:pPr>
        <w:spacing w:line="360" w:lineRule="auto"/>
        <w:jc w:val="both"/>
        <w:rPr>
          <w:sz w:val="24"/>
          <w:szCs w:val="24"/>
        </w:rPr>
      </w:pPr>
      <w:r>
        <w:rPr>
          <w:sz w:val="24"/>
          <w:szCs w:val="24"/>
        </w:rPr>
        <w:t>Apart from the new product development strategy, GSK has also emp</w:t>
      </w:r>
      <w:r w:rsidR="009B1B33">
        <w:rPr>
          <w:sz w:val="24"/>
          <w:szCs w:val="24"/>
        </w:rPr>
        <w:t>hasised on geographic expansion which the company has implemented by going into contracts with a range of global pharmaceutical companies (Case Study).</w:t>
      </w:r>
      <w:r w:rsidR="000E07E5">
        <w:rPr>
          <w:sz w:val="24"/>
          <w:szCs w:val="24"/>
        </w:rPr>
        <w:t xml:space="preserve"> According to the </w:t>
      </w:r>
      <w:proofErr w:type="spellStart"/>
      <w:r w:rsidR="000E07E5">
        <w:rPr>
          <w:sz w:val="24"/>
          <w:szCs w:val="24"/>
        </w:rPr>
        <w:t>Ansoff</w:t>
      </w:r>
      <w:proofErr w:type="spellEnd"/>
      <w:r w:rsidR="000E07E5">
        <w:rPr>
          <w:sz w:val="24"/>
          <w:szCs w:val="24"/>
        </w:rPr>
        <w:t xml:space="preserve"> Growth Matrix, GSK has followed a market development strategy in which a company enters a new market with existing products and services (</w:t>
      </w:r>
      <w:proofErr w:type="spellStart"/>
      <w:r w:rsidR="00B0588D" w:rsidRPr="00753846">
        <w:rPr>
          <w:rFonts w:cstheme="minorHAnsi"/>
          <w:sz w:val="24"/>
          <w:szCs w:val="24"/>
          <w:shd w:val="clear" w:color="auto" w:fill="FFFFFF"/>
        </w:rPr>
        <w:t>Witcher</w:t>
      </w:r>
      <w:proofErr w:type="spellEnd"/>
      <w:r w:rsidR="00B0588D" w:rsidRPr="00753846">
        <w:rPr>
          <w:rFonts w:cstheme="minorHAnsi"/>
          <w:sz w:val="24"/>
          <w:szCs w:val="24"/>
          <w:shd w:val="clear" w:color="auto" w:fill="FFFFFF"/>
        </w:rPr>
        <w:t xml:space="preserve"> &amp; </w:t>
      </w:r>
      <w:proofErr w:type="spellStart"/>
      <w:r w:rsidR="00B0588D" w:rsidRPr="00753846">
        <w:rPr>
          <w:rFonts w:cstheme="minorHAnsi"/>
          <w:sz w:val="24"/>
          <w:szCs w:val="24"/>
          <w:shd w:val="clear" w:color="auto" w:fill="FFFFFF"/>
        </w:rPr>
        <w:t>Chau</w:t>
      </w:r>
      <w:proofErr w:type="spellEnd"/>
      <w:r w:rsidR="00B0588D" w:rsidRPr="00753846">
        <w:rPr>
          <w:rFonts w:cstheme="minorHAnsi"/>
          <w:sz w:val="24"/>
          <w:szCs w:val="24"/>
          <w:shd w:val="clear" w:color="auto" w:fill="FFFFFF"/>
        </w:rPr>
        <w:t>,</w:t>
      </w:r>
      <w:r w:rsidR="00B0588D">
        <w:rPr>
          <w:rFonts w:cstheme="minorHAnsi"/>
          <w:sz w:val="24"/>
          <w:szCs w:val="24"/>
          <w:shd w:val="clear" w:color="auto" w:fill="FFFFFF"/>
        </w:rPr>
        <w:t xml:space="preserve"> 2010</w:t>
      </w:r>
      <w:r w:rsidR="000E07E5">
        <w:rPr>
          <w:sz w:val="24"/>
          <w:szCs w:val="24"/>
        </w:rPr>
        <w:t xml:space="preserve">). </w:t>
      </w:r>
      <w:r w:rsidR="00A4478A">
        <w:rPr>
          <w:sz w:val="24"/>
          <w:szCs w:val="24"/>
        </w:rPr>
        <w:t xml:space="preserve">GSK has entered new markets in Asia Pacific, Middle East and Africa with exiting products and services (Case Study). </w:t>
      </w:r>
      <w:r w:rsidR="00EB4E39">
        <w:rPr>
          <w:sz w:val="24"/>
          <w:szCs w:val="24"/>
        </w:rPr>
        <w:t>This is also a suitable strategy for GSK because the company wants to expand the business in the global scale.</w:t>
      </w:r>
    </w:p>
    <w:p w:rsidR="006C24C7" w:rsidRDefault="00E643A6" w:rsidP="00584CD1">
      <w:pPr>
        <w:spacing w:line="360" w:lineRule="auto"/>
        <w:jc w:val="both"/>
        <w:rPr>
          <w:sz w:val="24"/>
          <w:szCs w:val="24"/>
        </w:rPr>
      </w:pPr>
      <w:r>
        <w:rPr>
          <w:sz w:val="24"/>
          <w:szCs w:val="24"/>
        </w:rPr>
        <w:t xml:space="preserve">Considering above-mentioned two strategies that GSK has followed so far, the most significant strategic direction could be </w:t>
      </w:r>
      <w:r w:rsidR="00100594">
        <w:rPr>
          <w:sz w:val="24"/>
          <w:szCs w:val="24"/>
        </w:rPr>
        <w:t xml:space="preserve">a diversification strategy. </w:t>
      </w:r>
      <w:r w:rsidR="009A2D55">
        <w:rPr>
          <w:sz w:val="24"/>
          <w:szCs w:val="24"/>
        </w:rPr>
        <w:t xml:space="preserve">A company following a diversification strategy implies that it enters a new market with a new product and this contains the highest risks of all the states offered by </w:t>
      </w:r>
      <w:proofErr w:type="spellStart"/>
      <w:r w:rsidR="009A2D55">
        <w:rPr>
          <w:sz w:val="24"/>
          <w:szCs w:val="24"/>
        </w:rPr>
        <w:t>Ansoff</w:t>
      </w:r>
      <w:proofErr w:type="spellEnd"/>
      <w:r w:rsidR="009A2D55">
        <w:rPr>
          <w:sz w:val="24"/>
          <w:szCs w:val="24"/>
        </w:rPr>
        <w:t xml:space="preserve"> Growth Matrix</w:t>
      </w:r>
      <w:r w:rsidR="00C569DD">
        <w:rPr>
          <w:sz w:val="24"/>
          <w:szCs w:val="24"/>
        </w:rPr>
        <w:t xml:space="preserve"> (</w:t>
      </w:r>
      <w:r w:rsidR="006B57B1" w:rsidRPr="006B57B1">
        <w:rPr>
          <w:sz w:val="24"/>
          <w:szCs w:val="24"/>
        </w:rPr>
        <w:t>Pearce &amp; John,</w:t>
      </w:r>
      <w:r w:rsidR="006B57B1">
        <w:rPr>
          <w:sz w:val="24"/>
          <w:szCs w:val="24"/>
        </w:rPr>
        <w:t xml:space="preserve"> 2011</w:t>
      </w:r>
      <w:r w:rsidR="00C569DD">
        <w:rPr>
          <w:sz w:val="24"/>
          <w:szCs w:val="24"/>
        </w:rPr>
        <w:t>)</w:t>
      </w:r>
      <w:r w:rsidR="009A2D55">
        <w:rPr>
          <w:sz w:val="24"/>
          <w:szCs w:val="24"/>
        </w:rPr>
        <w:t>.</w:t>
      </w:r>
      <w:r w:rsidR="00C569DD">
        <w:rPr>
          <w:sz w:val="24"/>
          <w:szCs w:val="24"/>
        </w:rPr>
        <w:t xml:space="preserve"> </w:t>
      </w:r>
      <w:r w:rsidR="00C60715">
        <w:rPr>
          <w:sz w:val="24"/>
          <w:szCs w:val="24"/>
        </w:rPr>
        <w:t>This would effectively enable GSK to conduct both new product development and market expansion at the same time. This would ensure excellent collaboration among the new product development initiatives and market expansion approaches (</w:t>
      </w:r>
      <w:proofErr w:type="spellStart"/>
      <w:r w:rsidR="006B57B1" w:rsidRPr="00753846">
        <w:rPr>
          <w:rFonts w:cstheme="minorHAnsi"/>
          <w:sz w:val="24"/>
          <w:szCs w:val="24"/>
          <w:shd w:val="clear" w:color="auto" w:fill="FFFFFF"/>
        </w:rPr>
        <w:t>Witcher</w:t>
      </w:r>
      <w:proofErr w:type="spellEnd"/>
      <w:r w:rsidR="006B57B1" w:rsidRPr="00753846">
        <w:rPr>
          <w:rFonts w:cstheme="minorHAnsi"/>
          <w:sz w:val="24"/>
          <w:szCs w:val="24"/>
          <w:shd w:val="clear" w:color="auto" w:fill="FFFFFF"/>
        </w:rPr>
        <w:t xml:space="preserve"> &amp; </w:t>
      </w:r>
      <w:proofErr w:type="spellStart"/>
      <w:r w:rsidR="006B57B1" w:rsidRPr="00753846">
        <w:rPr>
          <w:rFonts w:cstheme="minorHAnsi"/>
          <w:sz w:val="24"/>
          <w:szCs w:val="24"/>
          <w:shd w:val="clear" w:color="auto" w:fill="FFFFFF"/>
        </w:rPr>
        <w:t>Chau</w:t>
      </w:r>
      <w:proofErr w:type="spellEnd"/>
      <w:r w:rsidR="006B57B1" w:rsidRPr="00753846">
        <w:rPr>
          <w:rFonts w:cstheme="minorHAnsi"/>
          <w:sz w:val="24"/>
          <w:szCs w:val="24"/>
          <w:shd w:val="clear" w:color="auto" w:fill="FFFFFF"/>
        </w:rPr>
        <w:t>,</w:t>
      </w:r>
      <w:r w:rsidR="006B57B1">
        <w:rPr>
          <w:rFonts w:cstheme="minorHAnsi"/>
          <w:sz w:val="24"/>
          <w:szCs w:val="24"/>
          <w:shd w:val="clear" w:color="auto" w:fill="FFFFFF"/>
        </w:rPr>
        <w:t xml:space="preserve"> 2010</w:t>
      </w:r>
      <w:r w:rsidR="00C60715">
        <w:rPr>
          <w:sz w:val="24"/>
          <w:szCs w:val="24"/>
        </w:rPr>
        <w:t>).</w:t>
      </w:r>
    </w:p>
    <w:p w:rsidR="00C124AD" w:rsidRPr="00C124AD" w:rsidRDefault="00C124AD" w:rsidP="007E64DD">
      <w:pPr>
        <w:pStyle w:val="Heading2"/>
      </w:pPr>
      <w:bookmarkStart w:id="15" w:name="_Toc71924103"/>
      <w:r w:rsidRPr="00C124AD">
        <w:t>Strategic Clock</w:t>
      </w:r>
      <w:bookmarkEnd w:id="15"/>
    </w:p>
    <w:p w:rsidR="00C124AD" w:rsidRDefault="0045362F" w:rsidP="00584CD1">
      <w:pPr>
        <w:spacing w:line="360" w:lineRule="auto"/>
        <w:jc w:val="both"/>
        <w:rPr>
          <w:sz w:val="24"/>
          <w:szCs w:val="24"/>
        </w:rPr>
      </w:pPr>
      <w:r>
        <w:rPr>
          <w:sz w:val="24"/>
          <w:szCs w:val="24"/>
        </w:rPr>
        <w:t>Bowman’s Strategic Clock is a conceptual framework that offers an excellent combination of how customers perceive the products and services to be and how the organisation sets the prices (</w:t>
      </w:r>
      <w:r w:rsidRPr="0045362F">
        <w:rPr>
          <w:sz w:val="24"/>
          <w:szCs w:val="24"/>
        </w:rPr>
        <w:t>Eden &amp; Ackermann,</w:t>
      </w:r>
      <w:r>
        <w:rPr>
          <w:sz w:val="24"/>
          <w:szCs w:val="24"/>
        </w:rPr>
        <w:t xml:space="preserve"> 2013)</w:t>
      </w:r>
      <w:r w:rsidR="00070574">
        <w:rPr>
          <w:sz w:val="24"/>
          <w:szCs w:val="24"/>
        </w:rPr>
        <w:t>.</w:t>
      </w:r>
      <w:r w:rsidR="00737B0B">
        <w:rPr>
          <w:sz w:val="24"/>
          <w:szCs w:val="24"/>
        </w:rPr>
        <w:t xml:space="preserve"> The model is presented below:</w:t>
      </w:r>
    </w:p>
    <w:p w:rsidR="00256B4E" w:rsidRDefault="00256B4E" w:rsidP="00256B4E">
      <w:pPr>
        <w:spacing w:line="360" w:lineRule="auto"/>
        <w:jc w:val="center"/>
        <w:rPr>
          <w:sz w:val="24"/>
          <w:szCs w:val="24"/>
        </w:rPr>
      </w:pPr>
      <w:r>
        <w:rPr>
          <w:noProof/>
          <w:lang w:eastAsia="en-GB"/>
        </w:rPr>
        <w:lastRenderedPageBreak/>
        <w:drawing>
          <wp:inline distT="0" distB="0" distL="0" distR="0" wp14:anchorId="0DCB1E18" wp14:editId="444E2A07">
            <wp:extent cx="5200650" cy="3733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200650" cy="3733800"/>
                    </a:xfrm>
                    <a:prstGeom prst="rect">
                      <a:avLst/>
                    </a:prstGeom>
                  </pic:spPr>
                </pic:pic>
              </a:graphicData>
            </a:graphic>
          </wp:inline>
        </w:drawing>
      </w:r>
    </w:p>
    <w:p w:rsidR="00256B4E" w:rsidRDefault="00256B4E" w:rsidP="00256B4E">
      <w:pPr>
        <w:spacing w:line="360" w:lineRule="auto"/>
        <w:jc w:val="center"/>
        <w:rPr>
          <w:sz w:val="24"/>
          <w:szCs w:val="24"/>
        </w:rPr>
      </w:pPr>
      <w:r>
        <w:rPr>
          <w:sz w:val="24"/>
          <w:szCs w:val="24"/>
        </w:rPr>
        <w:t xml:space="preserve">Figure </w:t>
      </w:r>
      <w:r w:rsidR="00232517">
        <w:rPr>
          <w:sz w:val="24"/>
          <w:szCs w:val="24"/>
        </w:rPr>
        <w:t>12</w:t>
      </w:r>
      <w:r>
        <w:rPr>
          <w:sz w:val="24"/>
          <w:szCs w:val="24"/>
        </w:rPr>
        <w:t>: Bowman’s Strategic Clock (</w:t>
      </w:r>
      <w:proofErr w:type="spellStart"/>
      <w:r w:rsidRPr="00256B4E">
        <w:rPr>
          <w:sz w:val="24"/>
          <w:szCs w:val="24"/>
        </w:rPr>
        <w:t>Wheelen</w:t>
      </w:r>
      <w:proofErr w:type="spellEnd"/>
      <w:r w:rsidRPr="00256B4E">
        <w:rPr>
          <w:sz w:val="24"/>
          <w:szCs w:val="24"/>
        </w:rPr>
        <w:t xml:space="preserve"> &amp; Hunger,</w:t>
      </w:r>
      <w:r>
        <w:rPr>
          <w:sz w:val="24"/>
          <w:szCs w:val="24"/>
        </w:rPr>
        <w:t xml:space="preserve"> 2011)</w:t>
      </w:r>
    </w:p>
    <w:p w:rsidR="00E67021" w:rsidRDefault="0039732C" w:rsidP="00584CD1">
      <w:pPr>
        <w:spacing w:line="360" w:lineRule="auto"/>
        <w:jc w:val="both"/>
        <w:rPr>
          <w:sz w:val="24"/>
          <w:szCs w:val="24"/>
        </w:rPr>
      </w:pPr>
      <w:r>
        <w:rPr>
          <w:sz w:val="24"/>
          <w:szCs w:val="24"/>
        </w:rPr>
        <w:t xml:space="preserve">The model offers different combination of perceived value from the customers and the prices that the company set. </w:t>
      </w:r>
      <w:r w:rsidR="00FF1D2C">
        <w:rPr>
          <w:sz w:val="24"/>
          <w:szCs w:val="24"/>
        </w:rPr>
        <w:t>GSK has emphasised highly on research and development that can lead to potential innovation and new product offering</w:t>
      </w:r>
      <w:r w:rsidR="00BF24A2">
        <w:rPr>
          <w:sz w:val="24"/>
          <w:szCs w:val="24"/>
        </w:rPr>
        <w:t xml:space="preserve"> (GlaxoSmithKline plc. 2021)</w:t>
      </w:r>
      <w:r w:rsidR="00FF1D2C">
        <w:rPr>
          <w:sz w:val="24"/>
          <w:szCs w:val="24"/>
        </w:rPr>
        <w:t>. This implies that consumers perceive GSK highly because of its innovation capabilities and because it has a global presence in all the continents of the world.</w:t>
      </w:r>
      <w:r w:rsidR="00435D39">
        <w:rPr>
          <w:sz w:val="24"/>
          <w:szCs w:val="24"/>
        </w:rPr>
        <w:t xml:space="preserve"> At the same time, above analysis and the case study of GSK have revealed that the company is striving huge efforts to be more efficient in offering its prices and by reducing the cost of operations and efficient manufacturing</w:t>
      </w:r>
      <w:r w:rsidR="00B75258">
        <w:rPr>
          <w:sz w:val="24"/>
          <w:szCs w:val="24"/>
        </w:rPr>
        <w:t xml:space="preserve"> (Case Study)</w:t>
      </w:r>
      <w:r w:rsidR="00FD4601">
        <w:rPr>
          <w:sz w:val="24"/>
          <w:szCs w:val="24"/>
        </w:rPr>
        <w:t>.</w:t>
      </w:r>
    </w:p>
    <w:p w:rsidR="00543274" w:rsidRDefault="00BA21A0" w:rsidP="00584CD1">
      <w:pPr>
        <w:spacing w:line="360" w:lineRule="auto"/>
        <w:jc w:val="both"/>
        <w:rPr>
          <w:sz w:val="24"/>
          <w:szCs w:val="24"/>
        </w:rPr>
      </w:pPr>
      <w:r>
        <w:rPr>
          <w:sz w:val="24"/>
          <w:szCs w:val="24"/>
        </w:rPr>
        <w:t xml:space="preserve">Above analysis excellently implies that GSK has two strategies: differentiation and cost leadership by economies of scale and global expansion. This clearly relates to the ‘Hybrid’ strategy in the strategy clock as shown on above diagram. </w:t>
      </w:r>
      <w:r w:rsidR="008F3FF3">
        <w:rPr>
          <w:sz w:val="24"/>
          <w:szCs w:val="24"/>
        </w:rPr>
        <w:t xml:space="preserve">The Hybrid strategy suggests that a company </w:t>
      </w:r>
      <w:r w:rsidR="00B13A67">
        <w:rPr>
          <w:sz w:val="24"/>
          <w:szCs w:val="24"/>
        </w:rPr>
        <w:t>has high value in the market and it offer the products and services at moderate prices because of the scale effect.</w:t>
      </w:r>
    </w:p>
    <w:p w:rsidR="007E64DD" w:rsidRDefault="007E64DD" w:rsidP="007E64DD">
      <w:pPr>
        <w:pStyle w:val="Heading1"/>
      </w:pPr>
      <w:bookmarkStart w:id="16" w:name="_Toc71924104"/>
      <w:r>
        <w:lastRenderedPageBreak/>
        <w:t>Conclusion and recommendations</w:t>
      </w:r>
      <w:bookmarkEnd w:id="16"/>
    </w:p>
    <w:p w:rsidR="00C124AD" w:rsidRPr="00C124AD" w:rsidRDefault="00C124AD" w:rsidP="007E64DD">
      <w:pPr>
        <w:pStyle w:val="Heading2"/>
      </w:pPr>
      <w:bookmarkStart w:id="17" w:name="_Toc71924105"/>
      <w:r w:rsidRPr="00C124AD">
        <w:t>Conclusion</w:t>
      </w:r>
      <w:bookmarkEnd w:id="17"/>
    </w:p>
    <w:p w:rsidR="00276C9E" w:rsidRDefault="00276C9E" w:rsidP="00276C9E">
      <w:pPr>
        <w:spacing w:line="360" w:lineRule="auto"/>
        <w:jc w:val="both"/>
        <w:rPr>
          <w:rFonts w:cstheme="minorHAnsi"/>
          <w:sz w:val="24"/>
          <w:szCs w:val="24"/>
          <w:shd w:val="clear" w:color="auto" w:fill="FFFFFF"/>
        </w:rPr>
      </w:pPr>
      <w:r>
        <w:rPr>
          <w:sz w:val="24"/>
          <w:szCs w:val="24"/>
        </w:rPr>
        <w:t xml:space="preserve">Business strategies refer to critically formulating the approaches and methods required to reach the objectives and goals. External environment refers to the factors and surrounding environment that are beyond the control of the business. Internal environment and capabilities refer to the internal environment of a firm and it includes the internal capabilities, human resources, infrastructures, organisational culture, and key capabilities of the business. The operations management of GSK span from identifying the opportunity and market gap, researching, developing, testing medicines, discovering, taking regulatory approvals, and finally commercialising the developed products. PESTEL analyses macro environment of an organization and inform organizations about the impact of the environments; therefore companies become capable to interact with the impacts in order to minimize their negative impact. </w:t>
      </w:r>
      <w:proofErr w:type="spellStart"/>
      <w:r>
        <w:rPr>
          <w:rFonts w:cstheme="minorHAnsi"/>
          <w:sz w:val="24"/>
          <w:szCs w:val="24"/>
          <w:shd w:val="clear" w:color="auto" w:fill="FFFFFF"/>
        </w:rPr>
        <w:t>Brexit</w:t>
      </w:r>
      <w:proofErr w:type="spellEnd"/>
      <w:r>
        <w:rPr>
          <w:rFonts w:cstheme="minorHAnsi"/>
          <w:sz w:val="24"/>
          <w:szCs w:val="24"/>
          <w:shd w:val="clear" w:color="auto" w:fill="FFFFFF"/>
        </w:rPr>
        <w:t xml:space="preserve"> is the political factor which has great impact on GSK.</w:t>
      </w:r>
    </w:p>
    <w:p w:rsidR="00276C9E" w:rsidRDefault="00276C9E" w:rsidP="00276C9E">
      <w:pPr>
        <w:spacing w:line="360" w:lineRule="auto"/>
        <w:jc w:val="both"/>
        <w:rPr>
          <w:sz w:val="24"/>
          <w:szCs w:val="24"/>
        </w:rPr>
      </w:pPr>
      <w:r>
        <w:rPr>
          <w:sz w:val="24"/>
          <w:szCs w:val="24"/>
        </w:rPr>
        <w:t xml:space="preserve">Stakeholders are the business entities or individuals that are affected by the results and impact that GSK result. Identification of the key stakeholders and effective management of them based on priority is important because it affect how the stakeholders are treated. Customers, retailers, regulatory organisations, and hospitals are the most important and strategic stakeholders for GSK. Customers and retailers are important because they are the direct customers of the company; thus GSK must them in the top priority list. The operational activities of GSK include all the stages from identification of the gap in the market to meeting the gaps by delivering the right medicines to the customers, and all the stages in between. </w:t>
      </w:r>
    </w:p>
    <w:p w:rsidR="00276C9E" w:rsidRDefault="00276C9E" w:rsidP="00276C9E">
      <w:pPr>
        <w:spacing w:line="360" w:lineRule="auto"/>
        <w:jc w:val="both"/>
        <w:rPr>
          <w:rFonts w:cstheme="minorHAnsi"/>
          <w:sz w:val="24"/>
          <w:szCs w:val="24"/>
          <w:shd w:val="clear" w:color="auto" w:fill="FFFFFF"/>
        </w:rPr>
      </w:pPr>
      <w:r>
        <w:rPr>
          <w:sz w:val="24"/>
          <w:szCs w:val="24"/>
        </w:rPr>
        <w:t>McKinsey 7S framework is an analytical model that that analyses the internal organisational design of a company and it shows how effectiveness can be achieved inside the organisation through the best interactions of the key elements- structure, system, strategy, skills, staffs, and styles. The most important strategic direction for GSK is differentiation because this is a high-valued global pharmaceuticals company. GSK also aims to achieve cost leadership with the scale effect of expanding the business in the whole world. GSK should emphasise more on the Middle East market, African market and Asian market as a whole.</w:t>
      </w:r>
    </w:p>
    <w:p w:rsidR="00C124AD" w:rsidRDefault="00C124AD" w:rsidP="00584CD1">
      <w:pPr>
        <w:spacing w:line="360" w:lineRule="auto"/>
        <w:jc w:val="both"/>
        <w:rPr>
          <w:sz w:val="24"/>
          <w:szCs w:val="24"/>
        </w:rPr>
      </w:pPr>
    </w:p>
    <w:p w:rsidR="00E67021" w:rsidRDefault="00E67021" w:rsidP="00584CD1">
      <w:pPr>
        <w:spacing w:line="360" w:lineRule="auto"/>
        <w:jc w:val="both"/>
        <w:rPr>
          <w:sz w:val="24"/>
          <w:szCs w:val="24"/>
        </w:rPr>
      </w:pPr>
    </w:p>
    <w:p w:rsidR="00C124AD" w:rsidRPr="00C124AD" w:rsidRDefault="00C124AD" w:rsidP="007E64DD">
      <w:pPr>
        <w:pStyle w:val="Heading2"/>
      </w:pPr>
      <w:bookmarkStart w:id="18" w:name="_Toc71924106"/>
      <w:r w:rsidRPr="00C124AD">
        <w:lastRenderedPageBreak/>
        <w:t>Recommendations</w:t>
      </w:r>
      <w:bookmarkEnd w:id="18"/>
    </w:p>
    <w:p w:rsidR="00C124AD" w:rsidRDefault="001B5A89" w:rsidP="00584CD1">
      <w:pPr>
        <w:spacing w:line="360" w:lineRule="auto"/>
        <w:jc w:val="both"/>
        <w:rPr>
          <w:sz w:val="24"/>
          <w:szCs w:val="24"/>
        </w:rPr>
      </w:pPr>
      <w:r>
        <w:rPr>
          <w:sz w:val="24"/>
          <w:szCs w:val="24"/>
        </w:rPr>
        <w:t xml:space="preserve">GSK should emphasise more on the Middle East market, African market and Asian market as a whole. </w:t>
      </w:r>
      <w:r w:rsidR="00377F48">
        <w:rPr>
          <w:sz w:val="24"/>
          <w:szCs w:val="24"/>
        </w:rPr>
        <w:t>The reason is that majority of the sales of the company come from the Western Europe and from the North America but a small fraction of sales is generated in the Middle East market, African market and Asian market</w:t>
      </w:r>
      <w:r w:rsidR="0092380E">
        <w:rPr>
          <w:sz w:val="24"/>
          <w:szCs w:val="24"/>
        </w:rPr>
        <w:t xml:space="preserve"> (GlaxoSmithKline plc. 2021)</w:t>
      </w:r>
      <w:r w:rsidR="00377F48">
        <w:rPr>
          <w:sz w:val="24"/>
          <w:szCs w:val="24"/>
        </w:rPr>
        <w:t xml:space="preserve">. </w:t>
      </w:r>
      <w:r w:rsidR="0092380E">
        <w:rPr>
          <w:sz w:val="24"/>
          <w:szCs w:val="24"/>
        </w:rPr>
        <w:t xml:space="preserve">This suggests that the company must invest more of its resources, efforts to generate more revenue, grow more market share in the mentioned market in Asia, Middle East, and Africa. </w:t>
      </w:r>
      <w:r w:rsidR="00EF71A7">
        <w:rPr>
          <w:sz w:val="24"/>
          <w:szCs w:val="24"/>
        </w:rPr>
        <w:t>The reason of suggesting the same is that it will help the company to gain scale because of the large size of the market.</w:t>
      </w:r>
    </w:p>
    <w:p w:rsidR="009732E0" w:rsidRDefault="00931AF3" w:rsidP="00584CD1">
      <w:pPr>
        <w:spacing w:line="360" w:lineRule="auto"/>
        <w:jc w:val="both"/>
        <w:rPr>
          <w:sz w:val="24"/>
          <w:szCs w:val="24"/>
        </w:rPr>
      </w:pPr>
      <w:r>
        <w:rPr>
          <w:sz w:val="24"/>
          <w:szCs w:val="24"/>
        </w:rPr>
        <w:t xml:space="preserve">It has been found in the analysis that loss of sales and intellectual property because of generic versions of the medicine cause significant loss of GSK (Case Study). </w:t>
      </w:r>
      <w:r w:rsidR="008B3F2D">
        <w:rPr>
          <w:sz w:val="24"/>
          <w:szCs w:val="24"/>
        </w:rPr>
        <w:t xml:space="preserve">In this case, GSK can overcome this problem by going into contracts with the local pharmaceutical manufacturers in which the local companies can supported with R&amp;D </w:t>
      </w:r>
      <w:r w:rsidR="009732E0">
        <w:rPr>
          <w:sz w:val="24"/>
          <w:szCs w:val="24"/>
        </w:rPr>
        <w:t>in return of a loyalty for GSK.</w:t>
      </w:r>
    </w:p>
    <w:p w:rsidR="005A76B3" w:rsidRDefault="005A76B3" w:rsidP="005A76B3">
      <w:pPr>
        <w:spacing w:line="360" w:lineRule="auto"/>
        <w:jc w:val="both"/>
        <w:rPr>
          <w:sz w:val="24"/>
          <w:szCs w:val="24"/>
        </w:rPr>
      </w:pPr>
      <w:r>
        <w:rPr>
          <w:sz w:val="24"/>
          <w:szCs w:val="24"/>
        </w:rPr>
        <w:t xml:space="preserve">GSK should invest on its R&amp;D more and utilize R&amp;D resources more efficiently to invest more new medicines. It will make the company capable to ensure better health for global population and increase its demand globally. As a result, revenue of GSK will increase and its profit level will grow higher from its competitors. </w:t>
      </w:r>
    </w:p>
    <w:p w:rsidR="005A76B3" w:rsidRDefault="005A76B3" w:rsidP="00584CD1">
      <w:pPr>
        <w:spacing w:line="360" w:lineRule="auto"/>
        <w:jc w:val="both"/>
        <w:rPr>
          <w:sz w:val="24"/>
          <w:szCs w:val="24"/>
        </w:rPr>
      </w:pPr>
    </w:p>
    <w:p w:rsidR="00FD6D67" w:rsidRDefault="00FD6D6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232517" w:rsidRDefault="00232517" w:rsidP="00584CD1">
      <w:pPr>
        <w:spacing w:line="360" w:lineRule="auto"/>
        <w:jc w:val="both"/>
        <w:rPr>
          <w:sz w:val="24"/>
          <w:szCs w:val="24"/>
        </w:rPr>
      </w:pPr>
    </w:p>
    <w:p w:rsidR="00C124AD" w:rsidRPr="00C124AD" w:rsidRDefault="00C124AD" w:rsidP="00232517">
      <w:pPr>
        <w:pStyle w:val="Heading1"/>
      </w:pPr>
      <w:bookmarkStart w:id="19" w:name="_Toc71924107"/>
      <w:r w:rsidRPr="00C124AD">
        <w:lastRenderedPageBreak/>
        <w:t>References</w:t>
      </w:r>
      <w:bookmarkEnd w:id="19"/>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Ansoff</w:t>
      </w:r>
      <w:proofErr w:type="spellEnd"/>
      <w:r w:rsidRPr="00D62A9B">
        <w:rPr>
          <w:rFonts w:cstheme="minorHAnsi"/>
          <w:sz w:val="24"/>
          <w:szCs w:val="24"/>
          <w:shd w:val="clear" w:color="auto" w:fill="FFFFFF"/>
        </w:rPr>
        <w:t xml:space="preserve">, H. I., </w:t>
      </w:r>
      <w:proofErr w:type="spellStart"/>
      <w:r w:rsidRPr="00D62A9B">
        <w:rPr>
          <w:rFonts w:cstheme="minorHAnsi"/>
          <w:sz w:val="24"/>
          <w:szCs w:val="24"/>
          <w:shd w:val="clear" w:color="auto" w:fill="FFFFFF"/>
        </w:rPr>
        <w:t>Kipley</w:t>
      </w:r>
      <w:proofErr w:type="spellEnd"/>
      <w:r w:rsidRPr="00D62A9B">
        <w:rPr>
          <w:rFonts w:cstheme="minorHAnsi"/>
          <w:sz w:val="24"/>
          <w:szCs w:val="24"/>
          <w:shd w:val="clear" w:color="auto" w:fill="FFFFFF"/>
        </w:rPr>
        <w:t xml:space="preserve">, D., Lewis, A. O., Helm-Stevens, R., &amp; </w:t>
      </w:r>
      <w:proofErr w:type="spellStart"/>
      <w:r w:rsidRPr="00D62A9B">
        <w:rPr>
          <w:rFonts w:cstheme="minorHAnsi"/>
          <w:sz w:val="24"/>
          <w:szCs w:val="24"/>
          <w:shd w:val="clear" w:color="auto" w:fill="FFFFFF"/>
        </w:rPr>
        <w:t>Ansoff</w:t>
      </w:r>
      <w:proofErr w:type="spellEnd"/>
      <w:r w:rsidRPr="00D62A9B">
        <w:rPr>
          <w:rFonts w:cstheme="minorHAnsi"/>
          <w:sz w:val="24"/>
          <w:szCs w:val="24"/>
          <w:shd w:val="clear" w:color="auto" w:fill="FFFFFF"/>
        </w:rPr>
        <w:t>, R. (2018). </w:t>
      </w:r>
      <w:r w:rsidRPr="00D62A9B">
        <w:rPr>
          <w:rFonts w:cstheme="minorHAnsi"/>
          <w:i/>
          <w:iCs/>
          <w:sz w:val="24"/>
          <w:szCs w:val="24"/>
          <w:shd w:val="clear" w:color="auto" w:fill="FFFFFF"/>
        </w:rPr>
        <w:t>Implanting strategic management</w:t>
      </w:r>
      <w:r w:rsidRPr="00D62A9B">
        <w:rPr>
          <w:rFonts w:cstheme="minorHAnsi"/>
          <w:sz w:val="24"/>
          <w:szCs w:val="24"/>
          <w:shd w:val="clear" w:color="auto" w:fill="FFFFFF"/>
        </w:rPr>
        <w:t>. Springer.</w:t>
      </w:r>
    </w:p>
    <w:p w:rsidR="005A76B3" w:rsidRPr="00D62A9B" w:rsidRDefault="005A76B3" w:rsidP="005A76B3">
      <w:pPr>
        <w:spacing w:line="360" w:lineRule="auto"/>
        <w:jc w:val="both"/>
        <w:rPr>
          <w:rFonts w:cstheme="minorHAnsi"/>
          <w:sz w:val="24"/>
          <w:szCs w:val="24"/>
          <w:shd w:val="clear" w:color="auto" w:fill="FFFFFF"/>
        </w:rPr>
      </w:pPr>
      <w:r w:rsidRPr="00D62A9B">
        <w:rPr>
          <w:rFonts w:cstheme="minorHAnsi"/>
          <w:sz w:val="24"/>
          <w:szCs w:val="24"/>
          <w:shd w:val="clear" w:color="auto" w:fill="FFFFFF"/>
        </w:rPr>
        <w:t>Ackermann, F., &amp; Eden, C. (2011). Strategic management of stakeholders: Theory and practice. </w:t>
      </w:r>
      <w:r w:rsidRPr="00D62A9B">
        <w:rPr>
          <w:rFonts w:cstheme="minorHAnsi"/>
          <w:i/>
          <w:iCs/>
          <w:sz w:val="24"/>
          <w:szCs w:val="24"/>
          <w:shd w:val="clear" w:color="auto" w:fill="FFFFFF"/>
        </w:rPr>
        <w:t>Long range planning</w:t>
      </w:r>
      <w:r w:rsidRPr="00D62A9B">
        <w:rPr>
          <w:rFonts w:cstheme="minorHAnsi"/>
          <w:sz w:val="24"/>
          <w:szCs w:val="24"/>
          <w:shd w:val="clear" w:color="auto" w:fill="FFFFFF"/>
        </w:rPr>
        <w:t>, </w:t>
      </w:r>
      <w:r w:rsidRPr="00D62A9B">
        <w:rPr>
          <w:rFonts w:cstheme="minorHAnsi"/>
          <w:i/>
          <w:iCs/>
          <w:sz w:val="24"/>
          <w:szCs w:val="24"/>
          <w:shd w:val="clear" w:color="auto" w:fill="FFFFFF"/>
        </w:rPr>
        <w:t>44</w:t>
      </w:r>
      <w:r w:rsidRPr="00D62A9B">
        <w:rPr>
          <w:rFonts w:cstheme="minorHAnsi"/>
          <w:sz w:val="24"/>
          <w:szCs w:val="24"/>
          <w:shd w:val="clear" w:color="auto" w:fill="FFFFFF"/>
        </w:rPr>
        <w:t>(3), 179-196.</w:t>
      </w:r>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Amason</w:t>
      </w:r>
      <w:proofErr w:type="spellEnd"/>
      <w:r w:rsidRPr="00D62A9B">
        <w:rPr>
          <w:rFonts w:cstheme="minorHAnsi"/>
          <w:sz w:val="24"/>
          <w:szCs w:val="24"/>
          <w:shd w:val="clear" w:color="auto" w:fill="FFFFFF"/>
        </w:rPr>
        <w:t>, A. C., &amp; Ward, A. (2020). </w:t>
      </w:r>
      <w:r w:rsidRPr="00D62A9B">
        <w:rPr>
          <w:rFonts w:cstheme="minorHAnsi"/>
          <w:i/>
          <w:iCs/>
          <w:sz w:val="24"/>
          <w:szCs w:val="24"/>
          <w:shd w:val="clear" w:color="auto" w:fill="FFFFFF"/>
        </w:rPr>
        <w:t>Strategic management: From theory to practice</w:t>
      </w:r>
      <w:r w:rsidRPr="00D62A9B">
        <w:rPr>
          <w:rFonts w:cstheme="minorHAnsi"/>
          <w:sz w:val="24"/>
          <w:szCs w:val="24"/>
          <w:shd w:val="clear" w:color="auto" w:fill="FFFFFF"/>
        </w:rPr>
        <w:t>. Routledge.</w:t>
      </w:r>
    </w:p>
    <w:p w:rsidR="005A76B3" w:rsidRPr="00D62A9B" w:rsidRDefault="005A76B3" w:rsidP="005A76B3">
      <w:pPr>
        <w:spacing w:line="360" w:lineRule="auto"/>
        <w:jc w:val="both"/>
        <w:rPr>
          <w:rFonts w:cstheme="minorHAnsi"/>
          <w:sz w:val="24"/>
          <w:szCs w:val="24"/>
          <w:shd w:val="clear" w:color="auto" w:fill="FFFFFF"/>
        </w:rPr>
      </w:pPr>
      <w:r w:rsidRPr="00D62A9B">
        <w:rPr>
          <w:rFonts w:cstheme="minorHAnsi"/>
          <w:sz w:val="24"/>
          <w:szCs w:val="24"/>
          <w:shd w:val="clear" w:color="auto" w:fill="FFFFFF"/>
        </w:rPr>
        <w:t xml:space="preserve">Barney, J. B., &amp; </w:t>
      </w:r>
      <w:proofErr w:type="spellStart"/>
      <w:r w:rsidRPr="00D62A9B">
        <w:rPr>
          <w:rFonts w:cstheme="minorHAnsi"/>
          <w:sz w:val="24"/>
          <w:szCs w:val="24"/>
          <w:shd w:val="clear" w:color="auto" w:fill="FFFFFF"/>
        </w:rPr>
        <w:t>Hesterly</w:t>
      </w:r>
      <w:proofErr w:type="spellEnd"/>
      <w:r w:rsidRPr="00D62A9B">
        <w:rPr>
          <w:rFonts w:cstheme="minorHAnsi"/>
          <w:sz w:val="24"/>
          <w:szCs w:val="24"/>
          <w:shd w:val="clear" w:color="auto" w:fill="FFFFFF"/>
        </w:rPr>
        <w:t>, W. S. (2010). </w:t>
      </w:r>
      <w:r w:rsidRPr="00D62A9B">
        <w:rPr>
          <w:rFonts w:cstheme="minorHAnsi"/>
          <w:i/>
          <w:iCs/>
          <w:sz w:val="24"/>
          <w:szCs w:val="24"/>
          <w:shd w:val="clear" w:color="auto" w:fill="FFFFFF"/>
        </w:rPr>
        <w:t>Strategic management and competitive advantage: Concepts</w:t>
      </w:r>
      <w:r w:rsidRPr="00D62A9B">
        <w:rPr>
          <w:rFonts w:cstheme="minorHAnsi"/>
          <w:sz w:val="24"/>
          <w:szCs w:val="24"/>
          <w:shd w:val="clear" w:color="auto" w:fill="FFFFFF"/>
        </w:rPr>
        <w:t> (p. 408). Englewood Cliffs, NJ: Prentice Hall.</w:t>
      </w:r>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Bettis</w:t>
      </w:r>
      <w:proofErr w:type="spellEnd"/>
      <w:r w:rsidRPr="00D62A9B">
        <w:rPr>
          <w:rFonts w:cstheme="minorHAnsi"/>
          <w:sz w:val="24"/>
          <w:szCs w:val="24"/>
          <w:shd w:val="clear" w:color="auto" w:fill="FFFFFF"/>
        </w:rPr>
        <w:t xml:space="preserve">, R. A., Gambardella, A., </w:t>
      </w:r>
      <w:proofErr w:type="spellStart"/>
      <w:r w:rsidRPr="00D62A9B">
        <w:rPr>
          <w:rFonts w:cstheme="minorHAnsi"/>
          <w:sz w:val="24"/>
          <w:szCs w:val="24"/>
          <w:shd w:val="clear" w:color="auto" w:fill="FFFFFF"/>
        </w:rPr>
        <w:t>Helfat</w:t>
      </w:r>
      <w:proofErr w:type="spellEnd"/>
      <w:r w:rsidRPr="00D62A9B">
        <w:rPr>
          <w:rFonts w:cstheme="minorHAnsi"/>
          <w:sz w:val="24"/>
          <w:szCs w:val="24"/>
          <w:shd w:val="clear" w:color="auto" w:fill="FFFFFF"/>
        </w:rPr>
        <w:t>, C., &amp; Mitchell, W. (2014). Theory in strategic management. </w:t>
      </w:r>
      <w:r w:rsidRPr="00D62A9B">
        <w:rPr>
          <w:rFonts w:cstheme="minorHAnsi"/>
          <w:i/>
          <w:iCs/>
          <w:sz w:val="24"/>
          <w:szCs w:val="24"/>
          <w:shd w:val="clear" w:color="auto" w:fill="FFFFFF"/>
        </w:rPr>
        <w:t>Strategic management journal</w:t>
      </w:r>
      <w:r w:rsidRPr="00D62A9B">
        <w:rPr>
          <w:rFonts w:cstheme="minorHAnsi"/>
          <w:sz w:val="24"/>
          <w:szCs w:val="24"/>
          <w:shd w:val="clear" w:color="auto" w:fill="FFFFFF"/>
        </w:rPr>
        <w:t>, 1411-1413.</w:t>
      </w:r>
    </w:p>
    <w:p w:rsidR="005A76B3" w:rsidRPr="00753846" w:rsidRDefault="005A76B3" w:rsidP="005A76B3">
      <w:pPr>
        <w:spacing w:line="360" w:lineRule="auto"/>
        <w:jc w:val="both"/>
        <w:rPr>
          <w:rFonts w:cstheme="minorHAnsi"/>
          <w:sz w:val="24"/>
          <w:szCs w:val="24"/>
          <w:shd w:val="clear" w:color="auto" w:fill="FFFFFF"/>
        </w:rPr>
      </w:pPr>
      <w:r w:rsidRPr="00D62A9B">
        <w:rPr>
          <w:rFonts w:cstheme="minorHAnsi"/>
          <w:sz w:val="24"/>
          <w:szCs w:val="24"/>
          <w:shd w:val="clear" w:color="auto" w:fill="FFFFFF"/>
        </w:rPr>
        <w:t>Dyer, J. H., Godfrey, P., Jensen, R., &amp; Bryce, D. (2017). </w:t>
      </w:r>
      <w:r w:rsidRPr="00D62A9B">
        <w:rPr>
          <w:rFonts w:cstheme="minorHAnsi"/>
          <w:i/>
          <w:iCs/>
          <w:sz w:val="24"/>
          <w:szCs w:val="24"/>
          <w:shd w:val="clear" w:color="auto" w:fill="FFFFFF"/>
        </w:rPr>
        <w:t>Strategic management: Concepts and cases</w:t>
      </w:r>
      <w:r w:rsidRPr="00D62A9B">
        <w:rPr>
          <w:rFonts w:cstheme="minorHAnsi"/>
          <w:sz w:val="24"/>
          <w:szCs w:val="24"/>
          <w:shd w:val="clear" w:color="auto" w:fill="FFFFFF"/>
        </w:rPr>
        <w:t>. John Wiley &amp; Sons.</w:t>
      </w:r>
    </w:p>
    <w:p w:rsidR="005A76B3" w:rsidRPr="00D62A9B" w:rsidRDefault="005A76B3" w:rsidP="005A76B3">
      <w:pPr>
        <w:spacing w:line="360" w:lineRule="auto"/>
        <w:jc w:val="both"/>
        <w:rPr>
          <w:rFonts w:cstheme="minorHAnsi"/>
          <w:sz w:val="24"/>
          <w:szCs w:val="24"/>
          <w:shd w:val="clear" w:color="auto" w:fill="FFFFFF"/>
        </w:rPr>
      </w:pPr>
      <w:r w:rsidRPr="00D62A9B">
        <w:rPr>
          <w:rFonts w:cstheme="minorHAnsi"/>
          <w:sz w:val="24"/>
          <w:szCs w:val="24"/>
          <w:shd w:val="clear" w:color="auto" w:fill="FFFFFF"/>
        </w:rPr>
        <w:t>David, F. R., David, F. R., &amp; David, M. E. (2013). </w:t>
      </w:r>
      <w:r w:rsidRPr="00D62A9B">
        <w:rPr>
          <w:rFonts w:cstheme="minorHAnsi"/>
          <w:i/>
          <w:iCs/>
          <w:sz w:val="24"/>
          <w:szCs w:val="24"/>
          <w:shd w:val="clear" w:color="auto" w:fill="FFFFFF"/>
        </w:rPr>
        <w:t>Strategic management: Concepts and cases: A competitive advantage approach</w:t>
      </w:r>
      <w:r w:rsidRPr="00D62A9B">
        <w:rPr>
          <w:rFonts w:cstheme="minorHAnsi"/>
          <w:sz w:val="24"/>
          <w:szCs w:val="24"/>
          <w:shd w:val="clear" w:color="auto" w:fill="FFFFFF"/>
        </w:rPr>
        <w:t>. Upper Saddle River: Pearson.</w:t>
      </w:r>
    </w:p>
    <w:p w:rsidR="005A76B3" w:rsidRPr="00D62A9B" w:rsidRDefault="005A76B3" w:rsidP="005A76B3">
      <w:pPr>
        <w:spacing w:line="360" w:lineRule="auto"/>
        <w:jc w:val="both"/>
        <w:rPr>
          <w:rFonts w:cstheme="minorHAnsi"/>
          <w:sz w:val="24"/>
          <w:szCs w:val="24"/>
          <w:shd w:val="clear" w:color="auto" w:fill="FFFFFF"/>
        </w:rPr>
      </w:pPr>
      <w:r w:rsidRPr="00D62A9B">
        <w:rPr>
          <w:rFonts w:cstheme="minorHAnsi"/>
          <w:sz w:val="24"/>
          <w:szCs w:val="24"/>
          <w:shd w:val="clear" w:color="auto" w:fill="FFFFFF"/>
        </w:rPr>
        <w:t>Eden, C., &amp; Ackermann, F. (2013). </w:t>
      </w:r>
      <w:r w:rsidRPr="00D62A9B">
        <w:rPr>
          <w:rFonts w:cstheme="minorHAnsi"/>
          <w:i/>
          <w:iCs/>
          <w:sz w:val="24"/>
          <w:szCs w:val="24"/>
          <w:shd w:val="clear" w:color="auto" w:fill="FFFFFF"/>
        </w:rPr>
        <w:t>Making strategy: The journey of strategic management</w:t>
      </w:r>
      <w:r w:rsidRPr="00D62A9B">
        <w:rPr>
          <w:rFonts w:cstheme="minorHAnsi"/>
          <w:sz w:val="24"/>
          <w:szCs w:val="24"/>
          <w:shd w:val="clear" w:color="auto" w:fill="FFFFFF"/>
        </w:rPr>
        <w:t>. Sage.</w:t>
      </w:r>
    </w:p>
    <w:p w:rsidR="005A76B3" w:rsidRPr="00D62A9B" w:rsidRDefault="005A76B3" w:rsidP="005A76B3">
      <w:pPr>
        <w:spacing w:line="360" w:lineRule="auto"/>
        <w:jc w:val="both"/>
        <w:rPr>
          <w:rFonts w:cstheme="minorHAnsi"/>
          <w:sz w:val="24"/>
          <w:szCs w:val="24"/>
          <w:shd w:val="clear" w:color="auto" w:fill="FFFFFF"/>
        </w:rPr>
      </w:pPr>
      <w:r w:rsidRPr="00D62A9B">
        <w:rPr>
          <w:rFonts w:cstheme="minorHAnsi"/>
          <w:sz w:val="24"/>
          <w:szCs w:val="24"/>
          <w:shd w:val="clear" w:color="auto" w:fill="FFFFFF"/>
        </w:rPr>
        <w:t>Freeman, R. E. (2010). </w:t>
      </w:r>
      <w:r w:rsidRPr="00D62A9B">
        <w:rPr>
          <w:rFonts w:cstheme="minorHAnsi"/>
          <w:i/>
          <w:iCs/>
          <w:sz w:val="24"/>
          <w:szCs w:val="24"/>
          <w:shd w:val="clear" w:color="auto" w:fill="FFFFFF"/>
        </w:rPr>
        <w:t>Strategic management: A stakeholder approach</w:t>
      </w:r>
      <w:r w:rsidRPr="00D62A9B">
        <w:rPr>
          <w:rFonts w:cstheme="minorHAnsi"/>
          <w:sz w:val="24"/>
          <w:szCs w:val="24"/>
          <w:shd w:val="clear" w:color="auto" w:fill="FFFFFF"/>
        </w:rPr>
        <w:t>. Cambridge university press.</w:t>
      </w:r>
    </w:p>
    <w:p w:rsidR="005A76B3" w:rsidRPr="00753846" w:rsidRDefault="005A76B3" w:rsidP="005A76B3">
      <w:pPr>
        <w:spacing w:line="360" w:lineRule="auto"/>
        <w:jc w:val="both"/>
        <w:rPr>
          <w:rFonts w:cstheme="minorHAnsi"/>
          <w:sz w:val="24"/>
          <w:szCs w:val="24"/>
          <w:shd w:val="clear" w:color="auto" w:fill="FFFFFF"/>
        </w:rPr>
      </w:pPr>
      <w:proofErr w:type="spellStart"/>
      <w:r w:rsidRPr="00753846">
        <w:rPr>
          <w:rFonts w:cstheme="minorHAnsi"/>
          <w:sz w:val="24"/>
          <w:szCs w:val="24"/>
          <w:shd w:val="clear" w:color="auto" w:fill="FFFFFF"/>
        </w:rPr>
        <w:t>FitzRoy</w:t>
      </w:r>
      <w:proofErr w:type="spellEnd"/>
      <w:r w:rsidRPr="00753846">
        <w:rPr>
          <w:rFonts w:cstheme="minorHAnsi"/>
          <w:sz w:val="24"/>
          <w:szCs w:val="24"/>
          <w:shd w:val="clear" w:color="auto" w:fill="FFFFFF"/>
        </w:rPr>
        <w:t xml:space="preserve">, P., Hulbert, J. M., &amp; </w:t>
      </w:r>
      <w:proofErr w:type="spellStart"/>
      <w:r w:rsidRPr="00753846">
        <w:rPr>
          <w:rFonts w:cstheme="minorHAnsi"/>
          <w:sz w:val="24"/>
          <w:szCs w:val="24"/>
          <w:shd w:val="clear" w:color="auto" w:fill="FFFFFF"/>
        </w:rPr>
        <w:t>Ghobadian</w:t>
      </w:r>
      <w:proofErr w:type="spellEnd"/>
      <w:r w:rsidRPr="00753846">
        <w:rPr>
          <w:rFonts w:cstheme="minorHAnsi"/>
          <w:sz w:val="24"/>
          <w:szCs w:val="24"/>
          <w:shd w:val="clear" w:color="auto" w:fill="FFFFFF"/>
        </w:rPr>
        <w:t>, A. (2012). </w:t>
      </w:r>
      <w:r w:rsidRPr="00753846">
        <w:rPr>
          <w:rFonts w:cstheme="minorHAnsi"/>
          <w:i/>
          <w:iCs/>
          <w:sz w:val="24"/>
          <w:szCs w:val="24"/>
          <w:shd w:val="clear" w:color="auto" w:fill="FFFFFF"/>
        </w:rPr>
        <w:t>Strategic management: The challenge of creating value</w:t>
      </w:r>
      <w:r w:rsidRPr="00753846">
        <w:rPr>
          <w:rFonts w:cstheme="minorHAnsi"/>
          <w:sz w:val="24"/>
          <w:szCs w:val="24"/>
          <w:shd w:val="clear" w:color="auto" w:fill="FFFFFF"/>
        </w:rPr>
        <w:t>. Routledge.</w:t>
      </w:r>
    </w:p>
    <w:p w:rsidR="00584CD1" w:rsidRPr="005A76B3" w:rsidRDefault="005A76B3" w:rsidP="00584CD1">
      <w:pPr>
        <w:spacing w:line="360" w:lineRule="auto"/>
        <w:jc w:val="both"/>
        <w:rPr>
          <w:rFonts w:cstheme="minorHAnsi"/>
          <w:sz w:val="24"/>
          <w:szCs w:val="24"/>
          <w:shd w:val="clear" w:color="auto" w:fill="FFFFFF"/>
        </w:rPr>
      </w:pPr>
      <w:r w:rsidRPr="00D62A9B">
        <w:rPr>
          <w:rFonts w:cstheme="minorHAnsi"/>
          <w:sz w:val="24"/>
          <w:szCs w:val="24"/>
          <w:shd w:val="clear" w:color="auto" w:fill="FFFFFF"/>
        </w:rPr>
        <w:t>Gallus, J., &amp; Frey, B. S. (2016). Awards: A strategic management perspective. </w:t>
      </w:r>
      <w:r w:rsidRPr="00D62A9B">
        <w:rPr>
          <w:rFonts w:cstheme="minorHAnsi"/>
          <w:i/>
          <w:iCs/>
          <w:sz w:val="24"/>
          <w:szCs w:val="24"/>
          <w:shd w:val="clear" w:color="auto" w:fill="FFFFFF"/>
        </w:rPr>
        <w:t>Strategic Management Journal</w:t>
      </w:r>
      <w:r w:rsidRPr="00D62A9B">
        <w:rPr>
          <w:rFonts w:cstheme="minorHAnsi"/>
          <w:sz w:val="24"/>
          <w:szCs w:val="24"/>
          <w:shd w:val="clear" w:color="auto" w:fill="FFFFFF"/>
        </w:rPr>
        <w:t>, </w:t>
      </w:r>
      <w:r w:rsidRPr="00D62A9B">
        <w:rPr>
          <w:rFonts w:cstheme="minorHAnsi"/>
          <w:i/>
          <w:iCs/>
          <w:sz w:val="24"/>
          <w:szCs w:val="24"/>
          <w:shd w:val="clear" w:color="auto" w:fill="FFFFFF"/>
        </w:rPr>
        <w:t>37</w:t>
      </w:r>
      <w:r w:rsidRPr="00D62A9B">
        <w:rPr>
          <w:rFonts w:cstheme="minorHAnsi"/>
          <w:sz w:val="24"/>
          <w:szCs w:val="24"/>
          <w:shd w:val="clear" w:color="auto" w:fill="FFFFFF"/>
        </w:rPr>
        <w:t>(8), 1699-1714.</w:t>
      </w:r>
    </w:p>
    <w:p w:rsidR="005A76B3" w:rsidRDefault="005A76B3" w:rsidP="005A76B3">
      <w:pPr>
        <w:spacing w:line="360" w:lineRule="auto"/>
        <w:jc w:val="both"/>
        <w:rPr>
          <w:rFonts w:cstheme="minorHAnsi"/>
          <w:sz w:val="24"/>
          <w:szCs w:val="24"/>
          <w:shd w:val="clear" w:color="auto" w:fill="FFFFFF"/>
        </w:rPr>
      </w:pPr>
      <w:r w:rsidRPr="00E742AD">
        <w:rPr>
          <w:rFonts w:cstheme="minorHAnsi"/>
          <w:sz w:val="24"/>
          <w:szCs w:val="24"/>
          <w:shd w:val="clear" w:color="auto" w:fill="FFFFFF"/>
        </w:rPr>
        <w:t xml:space="preserve">GlaxoSmithKline </w:t>
      </w:r>
      <w:proofErr w:type="spellStart"/>
      <w:r w:rsidRPr="00E742AD">
        <w:rPr>
          <w:rFonts w:cstheme="minorHAnsi"/>
          <w:sz w:val="24"/>
          <w:szCs w:val="24"/>
          <w:shd w:val="clear" w:color="auto" w:fill="FFFFFF"/>
        </w:rPr>
        <w:t>plc</w:t>
      </w:r>
      <w:proofErr w:type="spellEnd"/>
      <w:r w:rsidRPr="00E742AD">
        <w:rPr>
          <w:rFonts w:cstheme="minorHAnsi"/>
          <w:sz w:val="24"/>
          <w:szCs w:val="24"/>
          <w:shd w:val="clear" w:color="auto" w:fill="FFFFFF"/>
        </w:rPr>
        <w:t xml:space="preserve">, </w:t>
      </w:r>
      <w:r>
        <w:rPr>
          <w:rFonts w:cstheme="minorHAnsi"/>
          <w:sz w:val="24"/>
          <w:szCs w:val="24"/>
          <w:shd w:val="clear" w:color="auto" w:fill="FFFFFF"/>
        </w:rPr>
        <w:t>(</w:t>
      </w:r>
      <w:r w:rsidRPr="00E742AD">
        <w:rPr>
          <w:rFonts w:cstheme="minorHAnsi"/>
          <w:sz w:val="24"/>
          <w:szCs w:val="24"/>
          <w:shd w:val="clear" w:color="auto" w:fill="FFFFFF"/>
        </w:rPr>
        <w:t>2021</w:t>
      </w:r>
      <w:r>
        <w:rPr>
          <w:rFonts w:cstheme="minorHAnsi"/>
          <w:sz w:val="24"/>
          <w:szCs w:val="24"/>
          <w:shd w:val="clear" w:color="auto" w:fill="FFFFFF"/>
        </w:rPr>
        <w:t xml:space="preserve">b). </w:t>
      </w:r>
      <w:r w:rsidRPr="00E742AD">
        <w:rPr>
          <w:rFonts w:cstheme="minorHAnsi"/>
          <w:i/>
          <w:iCs/>
          <w:sz w:val="24"/>
          <w:szCs w:val="24"/>
          <w:shd w:val="clear" w:color="auto" w:fill="FFFFFF"/>
        </w:rPr>
        <w:t>GSK sets new environmental goals of net zero impact on climate and net positive impact on nature by 2030</w:t>
      </w:r>
      <w:r>
        <w:rPr>
          <w:rFonts w:cstheme="minorHAnsi"/>
          <w:sz w:val="24"/>
          <w:szCs w:val="24"/>
          <w:shd w:val="clear" w:color="auto" w:fill="FFFFFF"/>
        </w:rPr>
        <w:t xml:space="preserve">. [Online] Retrieved from: </w:t>
      </w:r>
      <w:hyperlink r:id="rId36" w:anchor=":~:text=GSK%20has%20long%20been%20committed,31%25%20(2019%20figures)" w:history="1">
        <w:r w:rsidRPr="00081A8A">
          <w:rPr>
            <w:rStyle w:val="Hyperlink"/>
            <w:rFonts w:cstheme="minorHAnsi"/>
            <w:sz w:val="24"/>
            <w:szCs w:val="24"/>
            <w:shd w:val="clear" w:color="auto" w:fill="FFFFFF"/>
          </w:rPr>
          <w:t>https://www.gsk.com/en-gb/media/press-releases/gsk-sets-new-environmental-goals-of-net-zero-impact-on-climate-and-net-positive-impact-on-nature-by-2030/#:~:text=GSK%20has%20long%20been%20committed,31%25%20(2019%20figures)</w:t>
        </w:r>
      </w:hyperlink>
      <w:r w:rsidRPr="00E742AD">
        <w:rPr>
          <w:rFonts w:cstheme="minorHAnsi"/>
          <w:sz w:val="24"/>
          <w:szCs w:val="24"/>
          <w:shd w:val="clear" w:color="auto" w:fill="FFFFFF"/>
        </w:rPr>
        <w:t>.</w:t>
      </w:r>
      <w:r>
        <w:rPr>
          <w:rFonts w:cstheme="minorHAnsi"/>
          <w:sz w:val="24"/>
          <w:szCs w:val="24"/>
          <w:shd w:val="clear" w:color="auto" w:fill="FFFFFF"/>
        </w:rPr>
        <w:t xml:space="preserve"> [Assessed on: </w:t>
      </w:r>
      <w:r w:rsidR="008C3F36">
        <w:rPr>
          <w:rFonts w:cstheme="minorHAnsi"/>
          <w:sz w:val="24"/>
          <w:szCs w:val="24"/>
          <w:shd w:val="clear" w:color="auto" w:fill="FFFFFF"/>
        </w:rPr>
        <w:t>14</w:t>
      </w:r>
      <w:bookmarkStart w:id="20" w:name="_GoBack"/>
      <w:bookmarkEnd w:id="20"/>
      <w:r>
        <w:rPr>
          <w:rFonts w:cstheme="minorHAnsi"/>
          <w:sz w:val="24"/>
          <w:szCs w:val="24"/>
          <w:shd w:val="clear" w:color="auto" w:fill="FFFFFF"/>
        </w:rPr>
        <w:t xml:space="preserve"> May 2021]</w:t>
      </w:r>
    </w:p>
    <w:p w:rsidR="005A76B3" w:rsidRDefault="005A76B3" w:rsidP="005A76B3">
      <w:pPr>
        <w:spacing w:line="360" w:lineRule="auto"/>
        <w:jc w:val="both"/>
        <w:rPr>
          <w:sz w:val="24"/>
          <w:szCs w:val="24"/>
        </w:rPr>
      </w:pPr>
      <w:r>
        <w:rPr>
          <w:sz w:val="24"/>
          <w:szCs w:val="24"/>
        </w:rPr>
        <w:lastRenderedPageBreak/>
        <w:t xml:space="preserve">GlaxoSmithKline plc. (2021). </w:t>
      </w:r>
      <w:r w:rsidRPr="00D94713">
        <w:rPr>
          <w:i/>
          <w:sz w:val="24"/>
          <w:szCs w:val="24"/>
        </w:rPr>
        <w:t>Annual reports and accounts 2020</w:t>
      </w:r>
      <w:r>
        <w:rPr>
          <w:sz w:val="24"/>
          <w:szCs w:val="24"/>
        </w:rPr>
        <w:t xml:space="preserve">. [Online]. Retrieved from: </w:t>
      </w:r>
      <w:hyperlink r:id="rId37" w:history="1">
        <w:r w:rsidRPr="00000698">
          <w:rPr>
            <w:rStyle w:val="Hyperlink"/>
            <w:sz w:val="24"/>
            <w:szCs w:val="24"/>
          </w:rPr>
          <w:t>https://www.gsk.com/en-gb/about-us/key-facts/</w:t>
        </w:r>
      </w:hyperlink>
      <w:r>
        <w:rPr>
          <w:sz w:val="24"/>
          <w:szCs w:val="24"/>
        </w:rPr>
        <w:t xml:space="preserve"> [Assessed on 5 May 2021]</w:t>
      </w:r>
    </w:p>
    <w:p w:rsidR="005A76B3" w:rsidRPr="00A95A2D" w:rsidRDefault="005A76B3" w:rsidP="005A76B3">
      <w:pPr>
        <w:spacing w:line="360" w:lineRule="auto"/>
        <w:jc w:val="both"/>
        <w:rPr>
          <w:sz w:val="24"/>
          <w:szCs w:val="24"/>
        </w:rPr>
      </w:pPr>
      <w:r>
        <w:rPr>
          <w:sz w:val="24"/>
          <w:szCs w:val="24"/>
        </w:rPr>
        <w:t xml:space="preserve">GlaxoSmithKline plc. (2021a). </w:t>
      </w:r>
      <w:r w:rsidRPr="007F4E16">
        <w:rPr>
          <w:i/>
          <w:sz w:val="24"/>
          <w:szCs w:val="24"/>
        </w:rPr>
        <w:t>Core to our business is a ‘value chain’ approach</w:t>
      </w:r>
      <w:r>
        <w:rPr>
          <w:sz w:val="24"/>
          <w:szCs w:val="24"/>
        </w:rPr>
        <w:t xml:space="preserve">. [Online]. Retrieved from: </w:t>
      </w:r>
      <w:hyperlink r:id="rId38" w:history="1">
        <w:r w:rsidRPr="00000698">
          <w:rPr>
            <w:rStyle w:val="Hyperlink"/>
            <w:sz w:val="24"/>
            <w:szCs w:val="24"/>
          </w:rPr>
          <w:t>https://www.gsk.com/media/3601/value-chain-approach.pdf</w:t>
        </w:r>
      </w:hyperlink>
      <w:r>
        <w:rPr>
          <w:sz w:val="24"/>
          <w:szCs w:val="24"/>
        </w:rPr>
        <w:t xml:space="preserve"> [Assessed on 7 May 2021]</w:t>
      </w:r>
    </w:p>
    <w:p w:rsidR="005A76B3" w:rsidRPr="00D62A9B" w:rsidRDefault="005A76B3" w:rsidP="005A76B3">
      <w:pPr>
        <w:spacing w:line="360" w:lineRule="auto"/>
        <w:jc w:val="both"/>
        <w:rPr>
          <w:rFonts w:cstheme="minorHAnsi"/>
          <w:sz w:val="24"/>
          <w:szCs w:val="24"/>
          <w:shd w:val="clear" w:color="auto" w:fill="FFFFFF"/>
        </w:rPr>
      </w:pPr>
      <w:r w:rsidRPr="00D62A9B">
        <w:rPr>
          <w:rFonts w:cstheme="minorHAnsi"/>
          <w:sz w:val="24"/>
          <w:szCs w:val="24"/>
          <w:shd w:val="clear" w:color="auto" w:fill="FFFFFF"/>
        </w:rPr>
        <w:t>Hill, C. W., Jones, G. R., &amp; Schilling, M. A. (2014). </w:t>
      </w:r>
      <w:r w:rsidRPr="00D62A9B">
        <w:rPr>
          <w:rFonts w:cstheme="minorHAnsi"/>
          <w:i/>
          <w:iCs/>
          <w:sz w:val="24"/>
          <w:szCs w:val="24"/>
          <w:shd w:val="clear" w:color="auto" w:fill="FFFFFF"/>
        </w:rPr>
        <w:t>Strategic management: Theory &amp; cases: An integrated approach</w:t>
      </w:r>
      <w:r w:rsidRPr="00D62A9B">
        <w:rPr>
          <w:rFonts w:cstheme="minorHAnsi"/>
          <w:sz w:val="24"/>
          <w:szCs w:val="24"/>
          <w:shd w:val="clear" w:color="auto" w:fill="FFFFFF"/>
        </w:rPr>
        <w:t xml:space="preserve">. </w:t>
      </w:r>
      <w:proofErr w:type="spellStart"/>
      <w:r w:rsidRPr="00D62A9B">
        <w:rPr>
          <w:rFonts w:cstheme="minorHAnsi"/>
          <w:sz w:val="24"/>
          <w:szCs w:val="24"/>
          <w:shd w:val="clear" w:color="auto" w:fill="FFFFFF"/>
        </w:rPr>
        <w:t>Cengage</w:t>
      </w:r>
      <w:proofErr w:type="spellEnd"/>
      <w:r w:rsidRPr="00D62A9B">
        <w:rPr>
          <w:rFonts w:cstheme="minorHAnsi"/>
          <w:sz w:val="24"/>
          <w:szCs w:val="24"/>
          <w:shd w:val="clear" w:color="auto" w:fill="FFFFFF"/>
        </w:rPr>
        <w:t xml:space="preserve"> Learning.</w:t>
      </w:r>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Hitt</w:t>
      </w:r>
      <w:proofErr w:type="spellEnd"/>
      <w:r w:rsidRPr="00D62A9B">
        <w:rPr>
          <w:rFonts w:cstheme="minorHAnsi"/>
          <w:sz w:val="24"/>
          <w:szCs w:val="24"/>
          <w:shd w:val="clear" w:color="auto" w:fill="FFFFFF"/>
        </w:rPr>
        <w:t xml:space="preserve">, M. A., Ireland, R. D., &amp; </w:t>
      </w:r>
      <w:proofErr w:type="spellStart"/>
      <w:r w:rsidRPr="00D62A9B">
        <w:rPr>
          <w:rFonts w:cstheme="minorHAnsi"/>
          <w:sz w:val="24"/>
          <w:szCs w:val="24"/>
          <w:shd w:val="clear" w:color="auto" w:fill="FFFFFF"/>
        </w:rPr>
        <w:t>Hoskisson</w:t>
      </w:r>
      <w:proofErr w:type="spellEnd"/>
      <w:r w:rsidRPr="00D62A9B">
        <w:rPr>
          <w:rFonts w:cstheme="minorHAnsi"/>
          <w:sz w:val="24"/>
          <w:szCs w:val="24"/>
          <w:shd w:val="clear" w:color="auto" w:fill="FFFFFF"/>
        </w:rPr>
        <w:t>, R. E. (2016). </w:t>
      </w:r>
      <w:r w:rsidRPr="00D62A9B">
        <w:rPr>
          <w:rFonts w:cstheme="minorHAnsi"/>
          <w:i/>
          <w:iCs/>
          <w:sz w:val="24"/>
          <w:szCs w:val="24"/>
          <w:shd w:val="clear" w:color="auto" w:fill="FFFFFF"/>
        </w:rPr>
        <w:t>Strategic management: concepts: competitiveness and globalization</w:t>
      </w:r>
      <w:r w:rsidRPr="00D62A9B">
        <w:rPr>
          <w:rFonts w:cstheme="minorHAnsi"/>
          <w:sz w:val="24"/>
          <w:szCs w:val="24"/>
          <w:shd w:val="clear" w:color="auto" w:fill="FFFFFF"/>
        </w:rPr>
        <w:t xml:space="preserve">. </w:t>
      </w:r>
      <w:proofErr w:type="spellStart"/>
      <w:r w:rsidRPr="00D62A9B">
        <w:rPr>
          <w:rFonts w:cstheme="minorHAnsi"/>
          <w:sz w:val="24"/>
          <w:szCs w:val="24"/>
          <w:shd w:val="clear" w:color="auto" w:fill="FFFFFF"/>
        </w:rPr>
        <w:t>Cengage</w:t>
      </w:r>
      <w:proofErr w:type="spellEnd"/>
      <w:r w:rsidRPr="00D62A9B">
        <w:rPr>
          <w:rFonts w:cstheme="minorHAnsi"/>
          <w:sz w:val="24"/>
          <w:szCs w:val="24"/>
          <w:shd w:val="clear" w:color="auto" w:fill="FFFFFF"/>
        </w:rPr>
        <w:t xml:space="preserve"> Learning.</w:t>
      </w:r>
    </w:p>
    <w:p w:rsidR="005A76B3" w:rsidRPr="00D62A9B" w:rsidRDefault="005A76B3" w:rsidP="005A76B3">
      <w:pPr>
        <w:spacing w:line="360" w:lineRule="auto"/>
        <w:jc w:val="both"/>
        <w:rPr>
          <w:rFonts w:cstheme="minorHAnsi"/>
          <w:sz w:val="24"/>
          <w:szCs w:val="24"/>
          <w:shd w:val="clear" w:color="auto" w:fill="FFFFFF"/>
        </w:rPr>
      </w:pPr>
      <w:r w:rsidRPr="00D62A9B">
        <w:rPr>
          <w:rFonts w:cstheme="minorHAnsi"/>
          <w:sz w:val="24"/>
          <w:szCs w:val="24"/>
          <w:shd w:val="clear" w:color="auto" w:fill="FFFFFF"/>
        </w:rPr>
        <w:t xml:space="preserve">Jasper, M., &amp; </w:t>
      </w:r>
      <w:proofErr w:type="spellStart"/>
      <w:r w:rsidRPr="00D62A9B">
        <w:rPr>
          <w:rFonts w:cstheme="minorHAnsi"/>
          <w:sz w:val="24"/>
          <w:szCs w:val="24"/>
          <w:shd w:val="clear" w:color="auto" w:fill="FFFFFF"/>
        </w:rPr>
        <w:t>Crossan</w:t>
      </w:r>
      <w:proofErr w:type="spellEnd"/>
      <w:r w:rsidRPr="00D62A9B">
        <w:rPr>
          <w:rFonts w:cstheme="minorHAnsi"/>
          <w:sz w:val="24"/>
          <w:szCs w:val="24"/>
          <w:shd w:val="clear" w:color="auto" w:fill="FFFFFF"/>
        </w:rPr>
        <w:t>, F. (2012). What is strategic management</w:t>
      </w:r>
      <w:proofErr w:type="gramStart"/>
      <w:r w:rsidRPr="00D62A9B">
        <w:rPr>
          <w:rFonts w:cstheme="minorHAnsi"/>
          <w:sz w:val="24"/>
          <w:szCs w:val="24"/>
          <w:shd w:val="clear" w:color="auto" w:fill="FFFFFF"/>
        </w:rPr>
        <w:t>?.</w:t>
      </w:r>
      <w:proofErr w:type="gramEnd"/>
      <w:r w:rsidRPr="00D62A9B">
        <w:rPr>
          <w:rFonts w:cstheme="minorHAnsi"/>
          <w:sz w:val="24"/>
          <w:szCs w:val="24"/>
          <w:shd w:val="clear" w:color="auto" w:fill="FFFFFF"/>
        </w:rPr>
        <w:t> </w:t>
      </w:r>
      <w:r w:rsidRPr="00D62A9B">
        <w:rPr>
          <w:rFonts w:cstheme="minorHAnsi"/>
          <w:i/>
          <w:iCs/>
          <w:sz w:val="24"/>
          <w:szCs w:val="24"/>
          <w:shd w:val="clear" w:color="auto" w:fill="FFFFFF"/>
        </w:rPr>
        <w:t>Journal of nursing management</w:t>
      </w:r>
      <w:r w:rsidRPr="00D62A9B">
        <w:rPr>
          <w:rFonts w:cstheme="minorHAnsi"/>
          <w:sz w:val="24"/>
          <w:szCs w:val="24"/>
          <w:shd w:val="clear" w:color="auto" w:fill="FFFFFF"/>
        </w:rPr>
        <w:t>, </w:t>
      </w:r>
      <w:r w:rsidRPr="00D62A9B">
        <w:rPr>
          <w:rFonts w:cstheme="minorHAnsi"/>
          <w:i/>
          <w:iCs/>
          <w:sz w:val="24"/>
          <w:szCs w:val="24"/>
          <w:shd w:val="clear" w:color="auto" w:fill="FFFFFF"/>
        </w:rPr>
        <w:t>20</w:t>
      </w:r>
      <w:r w:rsidRPr="00D62A9B">
        <w:rPr>
          <w:rFonts w:cstheme="minorHAnsi"/>
          <w:sz w:val="24"/>
          <w:szCs w:val="24"/>
          <w:shd w:val="clear" w:color="auto" w:fill="FFFFFF"/>
        </w:rPr>
        <w:t>(7), 838-846.</w:t>
      </w:r>
    </w:p>
    <w:p w:rsidR="005A76B3" w:rsidRPr="00D62A9B" w:rsidRDefault="005A76B3" w:rsidP="005A76B3">
      <w:pPr>
        <w:spacing w:line="360" w:lineRule="auto"/>
        <w:jc w:val="both"/>
        <w:rPr>
          <w:rFonts w:cstheme="minorHAnsi"/>
          <w:sz w:val="24"/>
          <w:szCs w:val="24"/>
          <w:shd w:val="clear" w:color="auto" w:fill="FFFFFF"/>
        </w:rPr>
      </w:pPr>
      <w:r w:rsidRPr="00D62A9B">
        <w:rPr>
          <w:rFonts w:cstheme="minorHAnsi"/>
          <w:sz w:val="24"/>
          <w:szCs w:val="24"/>
          <w:shd w:val="clear" w:color="auto" w:fill="FFFFFF"/>
        </w:rPr>
        <w:t>Jenkins, W., &amp; Williamson, D. (2015). </w:t>
      </w:r>
      <w:r w:rsidRPr="00D62A9B">
        <w:rPr>
          <w:rFonts w:cstheme="minorHAnsi"/>
          <w:i/>
          <w:iCs/>
          <w:sz w:val="24"/>
          <w:szCs w:val="24"/>
          <w:shd w:val="clear" w:color="auto" w:fill="FFFFFF"/>
        </w:rPr>
        <w:t>Strategic management and business analysis</w:t>
      </w:r>
      <w:r w:rsidRPr="00D62A9B">
        <w:rPr>
          <w:rFonts w:cstheme="minorHAnsi"/>
          <w:sz w:val="24"/>
          <w:szCs w:val="24"/>
          <w:shd w:val="clear" w:color="auto" w:fill="FFFFFF"/>
        </w:rPr>
        <w:t>. Routledge.</w:t>
      </w:r>
    </w:p>
    <w:p w:rsidR="005A76B3" w:rsidRPr="005A76B3" w:rsidRDefault="005A76B3" w:rsidP="00584CD1">
      <w:pPr>
        <w:spacing w:line="360" w:lineRule="auto"/>
        <w:jc w:val="both"/>
        <w:rPr>
          <w:rFonts w:cstheme="minorHAnsi"/>
          <w:sz w:val="24"/>
          <w:szCs w:val="24"/>
          <w:shd w:val="clear" w:color="auto" w:fill="FFFFFF"/>
        </w:rPr>
      </w:pPr>
      <w:r w:rsidRPr="00D62A9B">
        <w:rPr>
          <w:rFonts w:cstheme="minorHAnsi"/>
          <w:sz w:val="24"/>
          <w:szCs w:val="24"/>
          <w:shd w:val="clear" w:color="auto" w:fill="FFFFFF"/>
        </w:rPr>
        <w:t>Joyce, P. (2015). </w:t>
      </w:r>
      <w:r w:rsidRPr="00D62A9B">
        <w:rPr>
          <w:rFonts w:cstheme="minorHAnsi"/>
          <w:i/>
          <w:iCs/>
          <w:sz w:val="24"/>
          <w:szCs w:val="24"/>
          <w:shd w:val="clear" w:color="auto" w:fill="FFFFFF"/>
        </w:rPr>
        <w:t>Strategic management in the public sector</w:t>
      </w:r>
      <w:r w:rsidRPr="00D62A9B">
        <w:rPr>
          <w:rFonts w:cstheme="minorHAnsi"/>
          <w:sz w:val="24"/>
          <w:szCs w:val="24"/>
          <w:shd w:val="clear" w:color="auto" w:fill="FFFFFF"/>
        </w:rPr>
        <w:t>. Routledge.</w:t>
      </w:r>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Katsioloudes</w:t>
      </w:r>
      <w:proofErr w:type="spellEnd"/>
      <w:r w:rsidRPr="00D62A9B">
        <w:rPr>
          <w:rFonts w:cstheme="minorHAnsi"/>
          <w:sz w:val="24"/>
          <w:szCs w:val="24"/>
          <w:shd w:val="clear" w:color="auto" w:fill="FFFFFF"/>
        </w:rPr>
        <w:t xml:space="preserve">, M., &amp; </w:t>
      </w:r>
      <w:proofErr w:type="spellStart"/>
      <w:r w:rsidRPr="00D62A9B">
        <w:rPr>
          <w:rFonts w:cstheme="minorHAnsi"/>
          <w:sz w:val="24"/>
          <w:szCs w:val="24"/>
          <w:shd w:val="clear" w:color="auto" w:fill="FFFFFF"/>
        </w:rPr>
        <w:t>Abouhanian</w:t>
      </w:r>
      <w:proofErr w:type="spellEnd"/>
      <w:r w:rsidRPr="00D62A9B">
        <w:rPr>
          <w:rFonts w:cstheme="minorHAnsi"/>
          <w:sz w:val="24"/>
          <w:szCs w:val="24"/>
          <w:shd w:val="clear" w:color="auto" w:fill="FFFFFF"/>
        </w:rPr>
        <w:t>, A. K. (2009). </w:t>
      </w:r>
      <w:r w:rsidRPr="00D62A9B">
        <w:rPr>
          <w:rFonts w:cstheme="minorHAnsi"/>
          <w:i/>
          <w:iCs/>
          <w:sz w:val="24"/>
          <w:szCs w:val="24"/>
          <w:shd w:val="clear" w:color="auto" w:fill="FFFFFF"/>
        </w:rPr>
        <w:t>Strategic management</w:t>
      </w:r>
      <w:r w:rsidRPr="00D62A9B">
        <w:rPr>
          <w:rFonts w:cstheme="minorHAnsi"/>
          <w:sz w:val="24"/>
          <w:szCs w:val="24"/>
          <w:shd w:val="clear" w:color="auto" w:fill="FFFFFF"/>
        </w:rPr>
        <w:t>. Routledge.</w:t>
      </w:r>
    </w:p>
    <w:p w:rsidR="005A76B3" w:rsidRPr="00D62A9B" w:rsidRDefault="005A76B3" w:rsidP="005A76B3">
      <w:pPr>
        <w:spacing w:line="360" w:lineRule="auto"/>
        <w:jc w:val="both"/>
        <w:rPr>
          <w:rFonts w:cstheme="minorHAnsi"/>
          <w:sz w:val="24"/>
          <w:szCs w:val="24"/>
        </w:rPr>
      </w:pPr>
      <w:r w:rsidRPr="00D62A9B">
        <w:rPr>
          <w:rFonts w:cstheme="minorHAnsi"/>
          <w:sz w:val="24"/>
          <w:szCs w:val="24"/>
          <w:shd w:val="clear" w:color="auto" w:fill="FFFFFF"/>
        </w:rPr>
        <w:t>Klein, D. A. (2009). </w:t>
      </w:r>
      <w:r w:rsidRPr="00D62A9B">
        <w:rPr>
          <w:rFonts w:cstheme="minorHAnsi"/>
          <w:i/>
          <w:iCs/>
          <w:sz w:val="24"/>
          <w:szCs w:val="24"/>
          <w:shd w:val="clear" w:color="auto" w:fill="FFFFFF"/>
        </w:rPr>
        <w:t>The strategic management of intellectual capital</w:t>
      </w:r>
      <w:r w:rsidRPr="00D62A9B">
        <w:rPr>
          <w:rFonts w:cstheme="minorHAnsi"/>
          <w:sz w:val="24"/>
          <w:szCs w:val="24"/>
          <w:shd w:val="clear" w:color="auto" w:fill="FFFFFF"/>
        </w:rPr>
        <w:t>. Routledge.</w:t>
      </w:r>
    </w:p>
    <w:p w:rsidR="005A76B3" w:rsidRPr="00753846" w:rsidRDefault="005A76B3" w:rsidP="005A76B3">
      <w:pPr>
        <w:spacing w:line="360" w:lineRule="auto"/>
        <w:jc w:val="both"/>
        <w:rPr>
          <w:rFonts w:cstheme="minorHAnsi"/>
          <w:sz w:val="24"/>
          <w:szCs w:val="24"/>
          <w:shd w:val="clear" w:color="auto" w:fill="FFFFFF"/>
        </w:rPr>
      </w:pPr>
      <w:proofErr w:type="spellStart"/>
      <w:r w:rsidRPr="00753846">
        <w:rPr>
          <w:rFonts w:cstheme="minorHAnsi"/>
          <w:sz w:val="24"/>
          <w:szCs w:val="24"/>
          <w:shd w:val="clear" w:color="auto" w:fill="FFFFFF"/>
        </w:rPr>
        <w:t>Keupp</w:t>
      </w:r>
      <w:proofErr w:type="spellEnd"/>
      <w:r w:rsidRPr="00753846">
        <w:rPr>
          <w:rFonts w:cstheme="minorHAnsi"/>
          <w:sz w:val="24"/>
          <w:szCs w:val="24"/>
          <w:shd w:val="clear" w:color="auto" w:fill="FFFFFF"/>
        </w:rPr>
        <w:t xml:space="preserve">, M. M., </w:t>
      </w:r>
      <w:proofErr w:type="spellStart"/>
      <w:r w:rsidRPr="00753846">
        <w:rPr>
          <w:rFonts w:cstheme="minorHAnsi"/>
          <w:sz w:val="24"/>
          <w:szCs w:val="24"/>
          <w:shd w:val="clear" w:color="auto" w:fill="FFFFFF"/>
        </w:rPr>
        <w:t>Palmié</w:t>
      </w:r>
      <w:proofErr w:type="spellEnd"/>
      <w:r w:rsidRPr="00753846">
        <w:rPr>
          <w:rFonts w:cstheme="minorHAnsi"/>
          <w:sz w:val="24"/>
          <w:szCs w:val="24"/>
          <w:shd w:val="clear" w:color="auto" w:fill="FFFFFF"/>
        </w:rPr>
        <w:t xml:space="preserve">, M., &amp; </w:t>
      </w:r>
      <w:proofErr w:type="spellStart"/>
      <w:r w:rsidRPr="00753846">
        <w:rPr>
          <w:rFonts w:cstheme="minorHAnsi"/>
          <w:sz w:val="24"/>
          <w:szCs w:val="24"/>
          <w:shd w:val="clear" w:color="auto" w:fill="FFFFFF"/>
        </w:rPr>
        <w:t>Gassmann</w:t>
      </w:r>
      <w:proofErr w:type="spellEnd"/>
      <w:r w:rsidRPr="00753846">
        <w:rPr>
          <w:rFonts w:cstheme="minorHAnsi"/>
          <w:sz w:val="24"/>
          <w:szCs w:val="24"/>
          <w:shd w:val="clear" w:color="auto" w:fill="FFFFFF"/>
        </w:rPr>
        <w:t>, O. (2012). The strategic management of innovation: A systematic review and paths for future research. </w:t>
      </w:r>
      <w:r w:rsidRPr="00753846">
        <w:rPr>
          <w:rFonts w:cstheme="minorHAnsi"/>
          <w:i/>
          <w:iCs/>
          <w:sz w:val="24"/>
          <w:szCs w:val="24"/>
          <w:shd w:val="clear" w:color="auto" w:fill="FFFFFF"/>
        </w:rPr>
        <w:t>International journal of management reviews</w:t>
      </w:r>
      <w:r w:rsidRPr="00753846">
        <w:rPr>
          <w:rFonts w:cstheme="minorHAnsi"/>
          <w:sz w:val="24"/>
          <w:szCs w:val="24"/>
          <w:shd w:val="clear" w:color="auto" w:fill="FFFFFF"/>
        </w:rPr>
        <w:t>, </w:t>
      </w:r>
      <w:r w:rsidRPr="00753846">
        <w:rPr>
          <w:rFonts w:cstheme="minorHAnsi"/>
          <w:i/>
          <w:iCs/>
          <w:sz w:val="24"/>
          <w:szCs w:val="24"/>
          <w:shd w:val="clear" w:color="auto" w:fill="FFFFFF"/>
        </w:rPr>
        <w:t>14</w:t>
      </w:r>
      <w:r w:rsidRPr="00753846">
        <w:rPr>
          <w:rFonts w:cstheme="minorHAnsi"/>
          <w:sz w:val="24"/>
          <w:szCs w:val="24"/>
          <w:shd w:val="clear" w:color="auto" w:fill="FFFFFF"/>
        </w:rPr>
        <w:t>(4), 367-390.</w:t>
      </w:r>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Lasserre</w:t>
      </w:r>
      <w:proofErr w:type="spellEnd"/>
      <w:r w:rsidRPr="00D62A9B">
        <w:rPr>
          <w:rFonts w:cstheme="minorHAnsi"/>
          <w:sz w:val="24"/>
          <w:szCs w:val="24"/>
          <w:shd w:val="clear" w:color="auto" w:fill="FFFFFF"/>
        </w:rPr>
        <w:t>, P. (2017). </w:t>
      </w:r>
      <w:r w:rsidRPr="00D62A9B">
        <w:rPr>
          <w:rFonts w:cstheme="minorHAnsi"/>
          <w:i/>
          <w:iCs/>
          <w:sz w:val="24"/>
          <w:szCs w:val="24"/>
          <w:shd w:val="clear" w:color="auto" w:fill="FFFFFF"/>
        </w:rPr>
        <w:t>Global strategic management</w:t>
      </w:r>
      <w:r w:rsidRPr="00D62A9B">
        <w:rPr>
          <w:rFonts w:cstheme="minorHAnsi"/>
          <w:sz w:val="24"/>
          <w:szCs w:val="24"/>
          <w:shd w:val="clear" w:color="auto" w:fill="FFFFFF"/>
        </w:rPr>
        <w:t>. Macmillan International Higher Education.</w:t>
      </w:r>
    </w:p>
    <w:p w:rsidR="005A76B3" w:rsidRPr="005A76B3" w:rsidRDefault="005A76B3" w:rsidP="00584CD1">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Mišanková</w:t>
      </w:r>
      <w:proofErr w:type="spellEnd"/>
      <w:r w:rsidRPr="00D62A9B">
        <w:rPr>
          <w:rFonts w:cstheme="minorHAnsi"/>
          <w:sz w:val="24"/>
          <w:szCs w:val="24"/>
          <w:shd w:val="clear" w:color="auto" w:fill="FFFFFF"/>
        </w:rPr>
        <w:t xml:space="preserve">, M., &amp; </w:t>
      </w:r>
      <w:proofErr w:type="spellStart"/>
      <w:r w:rsidRPr="00D62A9B">
        <w:rPr>
          <w:rFonts w:cstheme="minorHAnsi"/>
          <w:sz w:val="24"/>
          <w:szCs w:val="24"/>
          <w:shd w:val="clear" w:color="auto" w:fill="FFFFFF"/>
        </w:rPr>
        <w:t>Kočišová</w:t>
      </w:r>
      <w:proofErr w:type="spellEnd"/>
      <w:r w:rsidRPr="00D62A9B">
        <w:rPr>
          <w:rFonts w:cstheme="minorHAnsi"/>
          <w:sz w:val="24"/>
          <w:szCs w:val="24"/>
          <w:shd w:val="clear" w:color="auto" w:fill="FFFFFF"/>
        </w:rPr>
        <w:t>, K. (2014). Strategic implementation as a part of strategic management. </w:t>
      </w:r>
      <w:proofErr w:type="spellStart"/>
      <w:r w:rsidRPr="00D62A9B">
        <w:rPr>
          <w:rFonts w:cstheme="minorHAnsi"/>
          <w:i/>
          <w:iCs/>
          <w:sz w:val="24"/>
          <w:szCs w:val="24"/>
          <w:shd w:val="clear" w:color="auto" w:fill="FFFFFF"/>
        </w:rPr>
        <w:t>Procedia</w:t>
      </w:r>
      <w:proofErr w:type="spellEnd"/>
      <w:r w:rsidRPr="00D62A9B">
        <w:rPr>
          <w:rFonts w:cstheme="minorHAnsi"/>
          <w:i/>
          <w:iCs/>
          <w:sz w:val="24"/>
          <w:szCs w:val="24"/>
          <w:shd w:val="clear" w:color="auto" w:fill="FFFFFF"/>
        </w:rPr>
        <w:t xml:space="preserve">-Social and </w:t>
      </w:r>
      <w:proofErr w:type="spellStart"/>
      <w:r w:rsidRPr="00D62A9B">
        <w:rPr>
          <w:rFonts w:cstheme="minorHAnsi"/>
          <w:i/>
          <w:iCs/>
          <w:sz w:val="24"/>
          <w:szCs w:val="24"/>
          <w:shd w:val="clear" w:color="auto" w:fill="FFFFFF"/>
        </w:rPr>
        <w:t>Behavioral</w:t>
      </w:r>
      <w:proofErr w:type="spellEnd"/>
      <w:r w:rsidRPr="00D62A9B">
        <w:rPr>
          <w:rFonts w:cstheme="minorHAnsi"/>
          <w:i/>
          <w:iCs/>
          <w:sz w:val="24"/>
          <w:szCs w:val="24"/>
          <w:shd w:val="clear" w:color="auto" w:fill="FFFFFF"/>
        </w:rPr>
        <w:t xml:space="preserve"> Sciences</w:t>
      </w:r>
      <w:r w:rsidRPr="00D62A9B">
        <w:rPr>
          <w:rFonts w:cstheme="minorHAnsi"/>
          <w:sz w:val="24"/>
          <w:szCs w:val="24"/>
          <w:shd w:val="clear" w:color="auto" w:fill="FFFFFF"/>
        </w:rPr>
        <w:t>, </w:t>
      </w:r>
      <w:r w:rsidRPr="00D62A9B">
        <w:rPr>
          <w:rFonts w:cstheme="minorHAnsi"/>
          <w:i/>
          <w:iCs/>
          <w:sz w:val="24"/>
          <w:szCs w:val="24"/>
          <w:shd w:val="clear" w:color="auto" w:fill="FFFFFF"/>
        </w:rPr>
        <w:t>110</w:t>
      </w:r>
      <w:r w:rsidRPr="00D62A9B">
        <w:rPr>
          <w:rFonts w:cstheme="minorHAnsi"/>
          <w:sz w:val="24"/>
          <w:szCs w:val="24"/>
          <w:shd w:val="clear" w:color="auto" w:fill="FFFFFF"/>
        </w:rPr>
        <w:t>, 861-870.</w:t>
      </w:r>
    </w:p>
    <w:p w:rsidR="005A76B3" w:rsidRDefault="005A76B3" w:rsidP="005A76B3">
      <w:pPr>
        <w:spacing w:line="360" w:lineRule="auto"/>
        <w:jc w:val="both"/>
        <w:rPr>
          <w:rFonts w:cstheme="minorHAnsi"/>
          <w:sz w:val="24"/>
          <w:szCs w:val="24"/>
          <w:shd w:val="clear" w:color="auto" w:fill="FFFFFF"/>
        </w:rPr>
      </w:pPr>
      <w:proofErr w:type="spellStart"/>
      <w:r>
        <w:rPr>
          <w:rFonts w:cstheme="minorHAnsi"/>
          <w:sz w:val="24"/>
          <w:szCs w:val="24"/>
          <w:shd w:val="clear" w:color="auto" w:fill="FFFFFF"/>
        </w:rPr>
        <w:t>Mikulic</w:t>
      </w:r>
      <w:proofErr w:type="spellEnd"/>
      <w:r>
        <w:rPr>
          <w:rFonts w:cstheme="minorHAnsi"/>
          <w:sz w:val="24"/>
          <w:szCs w:val="24"/>
          <w:shd w:val="clear" w:color="auto" w:fill="FFFFFF"/>
        </w:rPr>
        <w:t xml:space="preserve">, M., (2021). </w:t>
      </w:r>
      <w:r w:rsidRPr="0038118C">
        <w:rPr>
          <w:rFonts w:cstheme="minorHAnsi"/>
          <w:i/>
          <w:iCs/>
          <w:sz w:val="24"/>
          <w:szCs w:val="24"/>
          <w:shd w:val="clear" w:color="auto" w:fill="FFFFFF"/>
        </w:rPr>
        <w:t>GlaxoSmithKline's revenue by region 2013-2020</w:t>
      </w:r>
      <w:r>
        <w:rPr>
          <w:rFonts w:cstheme="minorHAnsi"/>
          <w:sz w:val="24"/>
          <w:szCs w:val="24"/>
          <w:shd w:val="clear" w:color="auto" w:fill="FFFFFF"/>
        </w:rPr>
        <w:t xml:space="preserve">. </w:t>
      </w:r>
      <w:proofErr w:type="spellStart"/>
      <w:r>
        <w:rPr>
          <w:rFonts w:cstheme="minorHAnsi"/>
          <w:sz w:val="24"/>
          <w:szCs w:val="24"/>
          <w:shd w:val="clear" w:color="auto" w:fill="FFFFFF"/>
        </w:rPr>
        <w:t>Statista</w:t>
      </w:r>
      <w:proofErr w:type="spellEnd"/>
      <w:r>
        <w:rPr>
          <w:rFonts w:cstheme="minorHAnsi"/>
          <w:sz w:val="24"/>
          <w:szCs w:val="24"/>
          <w:shd w:val="clear" w:color="auto" w:fill="FFFFFF"/>
        </w:rPr>
        <w:t xml:space="preserve"> [Online] Retrieved from: </w:t>
      </w:r>
      <w:hyperlink r:id="rId39" w:history="1">
        <w:r w:rsidRPr="00081A8A">
          <w:rPr>
            <w:rStyle w:val="Hyperlink"/>
            <w:rFonts w:cstheme="minorHAnsi"/>
            <w:sz w:val="24"/>
            <w:szCs w:val="24"/>
            <w:shd w:val="clear" w:color="auto" w:fill="FFFFFF"/>
          </w:rPr>
          <w:t>https://www.statista.com/statistics/266310/glaxosmithkline-revenue-worldwide-by-region/</w:t>
        </w:r>
      </w:hyperlink>
      <w:r>
        <w:rPr>
          <w:rFonts w:cstheme="minorHAnsi"/>
          <w:sz w:val="24"/>
          <w:szCs w:val="24"/>
          <w:shd w:val="clear" w:color="auto" w:fill="FFFFFF"/>
        </w:rPr>
        <w:t xml:space="preserve"> [Assessed on: 04 May 2021]</w:t>
      </w:r>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Mendelow</w:t>
      </w:r>
      <w:proofErr w:type="spellEnd"/>
      <w:r w:rsidRPr="00D62A9B">
        <w:rPr>
          <w:rFonts w:cstheme="minorHAnsi"/>
          <w:sz w:val="24"/>
          <w:szCs w:val="24"/>
          <w:shd w:val="clear" w:color="auto" w:fill="FFFFFF"/>
        </w:rPr>
        <w:t>, A. L. (1983). Setting corporate goals and measuring organizational effectiveness—</w:t>
      </w:r>
      <w:proofErr w:type="gramStart"/>
      <w:r w:rsidRPr="00D62A9B">
        <w:rPr>
          <w:rFonts w:cstheme="minorHAnsi"/>
          <w:sz w:val="24"/>
          <w:szCs w:val="24"/>
          <w:shd w:val="clear" w:color="auto" w:fill="FFFFFF"/>
        </w:rPr>
        <w:t>A</w:t>
      </w:r>
      <w:proofErr w:type="gramEnd"/>
      <w:r w:rsidRPr="00D62A9B">
        <w:rPr>
          <w:rFonts w:cstheme="minorHAnsi"/>
          <w:sz w:val="24"/>
          <w:szCs w:val="24"/>
          <w:shd w:val="clear" w:color="auto" w:fill="FFFFFF"/>
        </w:rPr>
        <w:t xml:space="preserve"> practical approach. </w:t>
      </w:r>
      <w:r w:rsidRPr="00D62A9B">
        <w:rPr>
          <w:rFonts w:cstheme="minorHAnsi"/>
          <w:i/>
          <w:sz w:val="24"/>
          <w:szCs w:val="24"/>
          <w:shd w:val="clear" w:color="auto" w:fill="FFFFFF"/>
        </w:rPr>
        <w:t>Long Range Planning, 16(1),</w:t>
      </w:r>
      <w:r w:rsidRPr="00D62A9B">
        <w:rPr>
          <w:rFonts w:cstheme="minorHAnsi"/>
          <w:sz w:val="24"/>
          <w:szCs w:val="24"/>
          <w:shd w:val="clear" w:color="auto" w:fill="FFFFFF"/>
        </w:rPr>
        <w:t xml:space="preserve"> 70-76.</w:t>
      </w:r>
    </w:p>
    <w:p w:rsidR="005A76B3" w:rsidRPr="00753846" w:rsidRDefault="005A76B3" w:rsidP="005A76B3">
      <w:pPr>
        <w:spacing w:line="360" w:lineRule="auto"/>
        <w:jc w:val="both"/>
        <w:rPr>
          <w:rFonts w:cstheme="minorHAnsi"/>
          <w:sz w:val="24"/>
          <w:szCs w:val="24"/>
          <w:shd w:val="clear" w:color="auto" w:fill="FFFFFF"/>
        </w:rPr>
      </w:pPr>
      <w:proofErr w:type="spellStart"/>
      <w:r w:rsidRPr="00753846">
        <w:rPr>
          <w:rFonts w:cstheme="minorHAnsi"/>
          <w:sz w:val="24"/>
          <w:szCs w:val="24"/>
          <w:shd w:val="clear" w:color="auto" w:fill="FFFFFF"/>
        </w:rPr>
        <w:lastRenderedPageBreak/>
        <w:t>Nickols</w:t>
      </w:r>
      <w:proofErr w:type="spellEnd"/>
      <w:r w:rsidRPr="00753846">
        <w:rPr>
          <w:rFonts w:cstheme="minorHAnsi"/>
          <w:sz w:val="24"/>
          <w:szCs w:val="24"/>
          <w:shd w:val="clear" w:color="auto" w:fill="FFFFFF"/>
        </w:rPr>
        <w:t>, F. (2016). Strategy, strategic management, strategic planning and strategic thinking. </w:t>
      </w:r>
      <w:r w:rsidRPr="00753846">
        <w:rPr>
          <w:rFonts w:cstheme="minorHAnsi"/>
          <w:i/>
          <w:iCs/>
          <w:sz w:val="24"/>
          <w:szCs w:val="24"/>
          <w:shd w:val="clear" w:color="auto" w:fill="FFFFFF"/>
        </w:rPr>
        <w:t>Management Journal</w:t>
      </w:r>
      <w:r w:rsidRPr="00753846">
        <w:rPr>
          <w:rFonts w:cstheme="minorHAnsi"/>
          <w:sz w:val="24"/>
          <w:szCs w:val="24"/>
          <w:shd w:val="clear" w:color="auto" w:fill="FFFFFF"/>
        </w:rPr>
        <w:t>, </w:t>
      </w:r>
      <w:r w:rsidRPr="00753846">
        <w:rPr>
          <w:rFonts w:cstheme="minorHAnsi"/>
          <w:i/>
          <w:iCs/>
          <w:sz w:val="24"/>
          <w:szCs w:val="24"/>
          <w:shd w:val="clear" w:color="auto" w:fill="FFFFFF"/>
        </w:rPr>
        <w:t>1</w:t>
      </w:r>
      <w:r w:rsidRPr="00753846">
        <w:rPr>
          <w:rFonts w:cstheme="minorHAnsi"/>
          <w:sz w:val="24"/>
          <w:szCs w:val="24"/>
          <w:shd w:val="clear" w:color="auto" w:fill="FFFFFF"/>
        </w:rPr>
        <w:t>(1), 4-7.</w:t>
      </w:r>
    </w:p>
    <w:p w:rsidR="005A76B3" w:rsidRPr="00D62A9B" w:rsidRDefault="005A76B3" w:rsidP="005A76B3">
      <w:pPr>
        <w:spacing w:line="360" w:lineRule="auto"/>
        <w:jc w:val="both"/>
        <w:rPr>
          <w:rFonts w:cstheme="minorHAnsi"/>
          <w:sz w:val="24"/>
          <w:szCs w:val="24"/>
          <w:shd w:val="clear" w:color="auto" w:fill="FFFFFF"/>
        </w:rPr>
      </w:pPr>
      <w:r w:rsidRPr="00D62A9B">
        <w:rPr>
          <w:rFonts w:cstheme="minorHAnsi"/>
          <w:sz w:val="24"/>
          <w:szCs w:val="24"/>
          <w:shd w:val="clear" w:color="auto" w:fill="FFFFFF"/>
        </w:rPr>
        <w:t>Pearce, I. I., &amp; John, A. (2011). Strategic management: Formulation, implementation, and control.</w:t>
      </w:r>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Poister</w:t>
      </w:r>
      <w:proofErr w:type="spellEnd"/>
      <w:r w:rsidRPr="00D62A9B">
        <w:rPr>
          <w:rFonts w:cstheme="minorHAnsi"/>
          <w:sz w:val="24"/>
          <w:szCs w:val="24"/>
          <w:shd w:val="clear" w:color="auto" w:fill="FFFFFF"/>
        </w:rPr>
        <w:t xml:space="preserve">, T. H., &amp; </w:t>
      </w:r>
      <w:proofErr w:type="spellStart"/>
      <w:r w:rsidRPr="00D62A9B">
        <w:rPr>
          <w:rFonts w:cstheme="minorHAnsi"/>
          <w:sz w:val="24"/>
          <w:szCs w:val="24"/>
          <w:shd w:val="clear" w:color="auto" w:fill="FFFFFF"/>
        </w:rPr>
        <w:t>Streib</w:t>
      </w:r>
      <w:proofErr w:type="spellEnd"/>
      <w:r w:rsidRPr="00D62A9B">
        <w:rPr>
          <w:rFonts w:cstheme="minorHAnsi"/>
          <w:sz w:val="24"/>
          <w:szCs w:val="24"/>
          <w:shd w:val="clear" w:color="auto" w:fill="FFFFFF"/>
        </w:rPr>
        <w:t>, G. D. (2018). Strategic management in the public sector: Concepts, models, and processes. In </w:t>
      </w:r>
      <w:r w:rsidRPr="00D62A9B">
        <w:rPr>
          <w:rFonts w:cstheme="minorHAnsi"/>
          <w:i/>
          <w:iCs/>
          <w:sz w:val="24"/>
          <w:szCs w:val="24"/>
          <w:shd w:val="clear" w:color="auto" w:fill="FFFFFF"/>
        </w:rPr>
        <w:t>Performance-Based Budgeting</w:t>
      </w:r>
      <w:r w:rsidRPr="00D62A9B">
        <w:rPr>
          <w:rFonts w:cstheme="minorHAnsi"/>
          <w:sz w:val="24"/>
          <w:szCs w:val="24"/>
          <w:shd w:val="clear" w:color="auto" w:fill="FFFFFF"/>
        </w:rPr>
        <w:t> (pp. 283-305). Routledge.</w:t>
      </w:r>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Poister</w:t>
      </w:r>
      <w:proofErr w:type="spellEnd"/>
      <w:r w:rsidRPr="00D62A9B">
        <w:rPr>
          <w:rFonts w:cstheme="minorHAnsi"/>
          <w:sz w:val="24"/>
          <w:szCs w:val="24"/>
          <w:shd w:val="clear" w:color="auto" w:fill="FFFFFF"/>
        </w:rPr>
        <w:t>, T. H. (2010). The future of strategic planning in the public sector: Linking strategic management and performance. </w:t>
      </w:r>
      <w:r w:rsidRPr="00D62A9B">
        <w:rPr>
          <w:rFonts w:cstheme="minorHAnsi"/>
          <w:i/>
          <w:iCs/>
          <w:sz w:val="24"/>
          <w:szCs w:val="24"/>
          <w:shd w:val="clear" w:color="auto" w:fill="FFFFFF"/>
        </w:rPr>
        <w:t>Public Administration Review</w:t>
      </w:r>
      <w:r w:rsidRPr="00D62A9B">
        <w:rPr>
          <w:rFonts w:cstheme="minorHAnsi"/>
          <w:sz w:val="24"/>
          <w:szCs w:val="24"/>
          <w:shd w:val="clear" w:color="auto" w:fill="FFFFFF"/>
        </w:rPr>
        <w:t>, </w:t>
      </w:r>
      <w:r w:rsidRPr="00D62A9B">
        <w:rPr>
          <w:rFonts w:cstheme="minorHAnsi"/>
          <w:i/>
          <w:iCs/>
          <w:sz w:val="24"/>
          <w:szCs w:val="24"/>
          <w:shd w:val="clear" w:color="auto" w:fill="FFFFFF"/>
        </w:rPr>
        <w:t>70</w:t>
      </w:r>
      <w:r w:rsidRPr="00D62A9B">
        <w:rPr>
          <w:rFonts w:cstheme="minorHAnsi"/>
          <w:sz w:val="24"/>
          <w:szCs w:val="24"/>
          <w:shd w:val="clear" w:color="auto" w:fill="FFFFFF"/>
        </w:rPr>
        <w:t>, s246-s254.</w:t>
      </w:r>
    </w:p>
    <w:p w:rsidR="005A76B3" w:rsidRPr="00612550" w:rsidRDefault="005A76B3" w:rsidP="005A76B3">
      <w:pPr>
        <w:spacing w:line="360" w:lineRule="auto"/>
        <w:jc w:val="both"/>
        <w:rPr>
          <w:rFonts w:cstheme="minorHAnsi"/>
          <w:sz w:val="24"/>
          <w:szCs w:val="24"/>
          <w:shd w:val="clear" w:color="auto" w:fill="FFFFFF"/>
        </w:rPr>
      </w:pPr>
      <w:r w:rsidRPr="00753846">
        <w:rPr>
          <w:rFonts w:cstheme="minorHAnsi"/>
          <w:sz w:val="24"/>
          <w:szCs w:val="24"/>
          <w:shd w:val="clear" w:color="auto" w:fill="FFFFFF"/>
        </w:rPr>
        <w:t>Powell, T. C. (2014). Strategic management and the person. </w:t>
      </w:r>
      <w:r w:rsidRPr="00753846">
        <w:rPr>
          <w:rFonts w:cstheme="minorHAnsi"/>
          <w:i/>
          <w:iCs/>
          <w:sz w:val="24"/>
          <w:szCs w:val="24"/>
          <w:shd w:val="clear" w:color="auto" w:fill="FFFFFF"/>
        </w:rPr>
        <w:t>Strategic Organization</w:t>
      </w:r>
      <w:r w:rsidRPr="00753846">
        <w:rPr>
          <w:rFonts w:cstheme="minorHAnsi"/>
          <w:sz w:val="24"/>
          <w:szCs w:val="24"/>
          <w:shd w:val="clear" w:color="auto" w:fill="FFFFFF"/>
        </w:rPr>
        <w:t>, </w:t>
      </w:r>
      <w:r w:rsidRPr="00753846">
        <w:rPr>
          <w:rFonts w:cstheme="minorHAnsi"/>
          <w:i/>
          <w:iCs/>
          <w:sz w:val="24"/>
          <w:szCs w:val="24"/>
          <w:shd w:val="clear" w:color="auto" w:fill="FFFFFF"/>
        </w:rPr>
        <w:t>12</w:t>
      </w:r>
      <w:r w:rsidRPr="00753846">
        <w:rPr>
          <w:rFonts w:cstheme="minorHAnsi"/>
          <w:sz w:val="24"/>
          <w:szCs w:val="24"/>
          <w:shd w:val="clear" w:color="auto" w:fill="FFFFFF"/>
        </w:rPr>
        <w:t>(3), 200-207.</w:t>
      </w:r>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Rothaermel</w:t>
      </w:r>
      <w:proofErr w:type="spellEnd"/>
      <w:r w:rsidRPr="00D62A9B">
        <w:rPr>
          <w:rFonts w:cstheme="minorHAnsi"/>
          <w:sz w:val="24"/>
          <w:szCs w:val="24"/>
          <w:shd w:val="clear" w:color="auto" w:fill="FFFFFF"/>
        </w:rPr>
        <w:t>, F. T. (2018). </w:t>
      </w:r>
      <w:r w:rsidRPr="00D62A9B">
        <w:rPr>
          <w:rFonts w:cstheme="minorHAnsi"/>
          <w:i/>
          <w:iCs/>
          <w:sz w:val="24"/>
          <w:szCs w:val="24"/>
          <w:shd w:val="clear" w:color="auto" w:fill="FFFFFF"/>
        </w:rPr>
        <w:t>Strategic management: concepts</w:t>
      </w:r>
      <w:r w:rsidRPr="00D62A9B">
        <w:rPr>
          <w:rFonts w:cstheme="minorHAnsi"/>
          <w:sz w:val="24"/>
          <w:szCs w:val="24"/>
          <w:shd w:val="clear" w:color="auto" w:fill="FFFFFF"/>
        </w:rPr>
        <w:t> (Vol. 2). Dubuque, IA: McGraw-Hill Education.</w:t>
      </w:r>
    </w:p>
    <w:p w:rsidR="005A76B3" w:rsidRDefault="005A76B3" w:rsidP="005A76B3">
      <w:pPr>
        <w:spacing w:line="360" w:lineRule="auto"/>
        <w:jc w:val="both"/>
        <w:rPr>
          <w:rFonts w:cstheme="minorHAnsi"/>
          <w:sz w:val="24"/>
          <w:szCs w:val="24"/>
          <w:shd w:val="clear" w:color="auto" w:fill="FFFFFF"/>
        </w:rPr>
      </w:pPr>
      <w:proofErr w:type="spellStart"/>
      <w:r>
        <w:rPr>
          <w:rFonts w:cstheme="minorHAnsi"/>
          <w:sz w:val="24"/>
          <w:szCs w:val="24"/>
          <w:shd w:val="clear" w:color="auto" w:fill="FFFFFF"/>
        </w:rPr>
        <w:t>Scruton</w:t>
      </w:r>
      <w:proofErr w:type="spellEnd"/>
      <w:r>
        <w:rPr>
          <w:rFonts w:cstheme="minorHAnsi"/>
          <w:sz w:val="24"/>
          <w:szCs w:val="24"/>
          <w:shd w:val="clear" w:color="auto" w:fill="FFFFFF"/>
        </w:rPr>
        <w:t xml:space="preserve">, P., </w:t>
      </w:r>
      <w:proofErr w:type="spellStart"/>
      <w:proofErr w:type="gramStart"/>
      <w:r>
        <w:rPr>
          <w:rFonts w:cstheme="minorHAnsi"/>
          <w:sz w:val="24"/>
          <w:szCs w:val="24"/>
          <w:shd w:val="clear" w:color="auto" w:fill="FFFFFF"/>
        </w:rPr>
        <w:t>Kollewe</w:t>
      </w:r>
      <w:proofErr w:type="spellEnd"/>
      <w:r>
        <w:rPr>
          <w:rFonts w:cstheme="minorHAnsi"/>
          <w:sz w:val="24"/>
          <w:szCs w:val="24"/>
          <w:shd w:val="clear" w:color="auto" w:fill="FFFFFF"/>
        </w:rPr>
        <w:t>.,</w:t>
      </w:r>
      <w:proofErr w:type="gramEnd"/>
      <w:r>
        <w:rPr>
          <w:rFonts w:cstheme="minorHAnsi"/>
          <w:sz w:val="24"/>
          <w:szCs w:val="24"/>
          <w:shd w:val="clear" w:color="auto" w:fill="FFFFFF"/>
        </w:rPr>
        <w:t xml:space="preserve"> J., (2019). </w:t>
      </w:r>
      <w:r w:rsidRPr="00A13A9F">
        <w:rPr>
          <w:rFonts w:cstheme="minorHAnsi"/>
          <w:sz w:val="24"/>
          <w:szCs w:val="24"/>
          <w:shd w:val="clear" w:color="auto" w:fill="FFFFFF"/>
        </w:rPr>
        <w:t xml:space="preserve">What are </w:t>
      </w:r>
      <w:proofErr w:type="spellStart"/>
      <w:r w:rsidRPr="00A13A9F">
        <w:rPr>
          <w:rFonts w:cstheme="minorHAnsi"/>
          <w:sz w:val="24"/>
          <w:szCs w:val="24"/>
          <w:shd w:val="clear" w:color="auto" w:fill="FFFFFF"/>
        </w:rPr>
        <w:t>Brexit</w:t>
      </w:r>
      <w:proofErr w:type="spellEnd"/>
      <w:r w:rsidRPr="00A13A9F">
        <w:rPr>
          <w:rFonts w:cstheme="minorHAnsi"/>
          <w:sz w:val="24"/>
          <w:szCs w:val="24"/>
          <w:shd w:val="clear" w:color="auto" w:fill="FFFFFF"/>
        </w:rPr>
        <w:t xml:space="preserve"> contingency plans for pharmaceutical industry?</w:t>
      </w:r>
      <w:r>
        <w:rPr>
          <w:rFonts w:cstheme="minorHAnsi"/>
          <w:sz w:val="24"/>
          <w:szCs w:val="24"/>
          <w:shd w:val="clear" w:color="auto" w:fill="FFFFFF"/>
        </w:rPr>
        <w:t xml:space="preserve"> [Online] Retrieved from: </w:t>
      </w:r>
      <w:hyperlink r:id="rId40" w:history="1">
        <w:r w:rsidRPr="00081A8A">
          <w:rPr>
            <w:rStyle w:val="Hyperlink"/>
            <w:rFonts w:cstheme="minorHAnsi"/>
            <w:sz w:val="24"/>
            <w:szCs w:val="24"/>
            <w:shd w:val="clear" w:color="auto" w:fill="FFFFFF"/>
          </w:rPr>
          <w:t>https://www.theguardian.com/politics/2019/feb/19/what-are-brexit-contingency-plans-for-pharmaceutical-industry</w:t>
        </w:r>
      </w:hyperlink>
      <w:r>
        <w:rPr>
          <w:rFonts w:cstheme="minorHAnsi"/>
          <w:sz w:val="24"/>
          <w:szCs w:val="24"/>
          <w:shd w:val="clear" w:color="auto" w:fill="FFFFFF"/>
        </w:rPr>
        <w:t xml:space="preserve"> [Assessed on: 04 May 2021]</w:t>
      </w:r>
    </w:p>
    <w:p w:rsidR="005A76B3" w:rsidRPr="00D62A9B" w:rsidRDefault="005A76B3" w:rsidP="005A76B3">
      <w:pPr>
        <w:spacing w:line="360" w:lineRule="auto"/>
        <w:jc w:val="both"/>
        <w:rPr>
          <w:rFonts w:cstheme="minorHAnsi"/>
          <w:sz w:val="24"/>
          <w:szCs w:val="24"/>
          <w:shd w:val="clear" w:color="auto" w:fill="FFFFFF"/>
        </w:rPr>
      </w:pPr>
      <w:r w:rsidRPr="00D62A9B">
        <w:rPr>
          <w:rFonts w:cstheme="minorHAnsi"/>
          <w:sz w:val="24"/>
          <w:szCs w:val="24"/>
          <w:shd w:val="clear" w:color="auto" w:fill="FFFFFF"/>
        </w:rPr>
        <w:t>Schilling, M. A., &amp; Shankar, R. (2019). </w:t>
      </w:r>
      <w:r w:rsidRPr="00D62A9B">
        <w:rPr>
          <w:rFonts w:cstheme="minorHAnsi"/>
          <w:i/>
          <w:iCs/>
          <w:sz w:val="24"/>
          <w:szCs w:val="24"/>
          <w:shd w:val="clear" w:color="auto" w:fill="FFFFFF"/>
        </w:rPr>
        <w:t>Strategic management of technological innovation</w:t>
      </w:r>
      <w:r w:rsidRPr="00D62A9B">
        <w:rPr>
          <w:rFonts w:cstheme="minorHAnsi"/>
          <w:sz w:val="24"/>
          <w:szCs w:val="24"/>
          <w:shd w:val="clear" w:color="auto" w:fill="FFFFFF"/>
        </w:rPr>
        <w:t>. McGraw-Hill Education.</w:t>
      </w:r>
    </w:p>
    <w:p w:rsidR="005A76B3" w:rsidRPr="005A76B3" w:rsidRDefault="005A76B3" w:rsidP="005A76B3">
      <w:pPr>
        <w:spacing w:line="360" w:lineRule="auto"/>
        <w:jc w:val="both"/>
        <w:rPr>
          <w:rFonts w:cstheme="minorHAnsi"/>
          <w:sz w:val="24"/>
          <w:szCs w:val="24"/>
          <w:shd w:val="clear" w:color="auto" w:fill="FFFFFF"/>
        </w:rPr>
      </w:pPr>
      <w:proofErr w:type="spellStart"/>
      <w:r w:rsidRPr="00753846">
        <w:rPr>
          <w:rFonts w:cstheme="minorHAnsi"/>
          <w:sz w:val="24"/>
          <w:szCs w:val="24"/>
          <w:shd w:val="clear" w:color="auto" w:fill="FFFFFF"/>
        </w:rPr>
        <w:t>Sekhar</w:t>
      </w:r>
      <w:proofErr w:type="spellEnd"/>
      <w:r w:rsidRPr="00753846">
        <w:rPr>
          <w:rFonts w:cstheme="minorHAnsi"/>
          <w:sz w:val="24"/>
          <w:szCs w:val="24"/>
          <w:shd w:val="clear" w:color="auto" w:fill="FFFFFF"/>
        </w:rPr>
        <w:t>, G. S. (2009). </w:t>
      </w:r>
      <w:r w:rsidRPr="00753846">
        <w:rPr>
          <w:rFonts w:cstheme="minorHAnsi"/>
          <w:i/>
          <w:iCs/>
          <w:sz w:val="24"/>
          <w:szCs w:val="24"/>
          <w:shd w:val="clear" w:color="auto" w:fill="FFFFFF"/>
        </w:rPr>
        <w:t>Business policy and strategic management</w:t>
      </w:r>
      <w:r w:rsidRPr="00753846">
        <w:rPr>
          <w:rFonts w:cstheme="minorHAnsi"/>
          <w:sz w:val="24"/>
          <w:szCs w:val="24"/>
          <w:shd w:val="clear" w:color="auto" w:fill="FFFFFF"/>
        </w:rPr>
        <w:t>. IK International Pvt Ltd.</w:t>
      </w:r>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Volberda</w:t>
      </w:r>
      <w:proofErr w:type="spellEnd"/>
      <w:r w:rsidRPr="00D62A9B">
        <w:rPr>
          <w:rFonts w:cstheme="minorHAnsi"/>
          <w:sz w:val="24"/>
          <w:szCs w:val="24"/>
          <w:shd w:val="clear" w:color="auto" w:fill="FFFFFF"/>
        </w:rPr>
        <w:t xml:space="preserve">, H. W., Morgan, R. E., </w:t>
      </w:r>
      <w:proofErr w:type="spellStart"/>
      <w:r w:rsidRPr="00D62A9B">
        <w:rPr>
          <w:rFonts w:cstheme="minorHAnsi"/>
          <w:sz w:val="24"/>
          <w:szCs w:val="24"/>
          <w:shd w:val="clear" w:color="auto" w:fill="FFFFFF"/>
        </w:rPr>
        <w:t>Reinmoeller</w:t>
      </w:r>
      <w:proofErr w:type="spellEnd"/>
      <w:r w:rsidRPr="00D62A9B">
        <w:rPr>
          <w:rFonts w:cstheme="minorHAnsi"/>
          <w:sz w:val="24"/>
          <w:szCs w:val="24"/>
          <w:shd w:val="clear" w:color="auto" w:fill="FFFFFF"/>
        </w:rPr>
        <w:t xml:space="preserve">, P., </w:t>
      </w:r>
      <w:proofErr w:type="spellStart"/>
      <w:r w:rsidRPr="00D62A9B">
        <w:rPr>
          <w:rFonts w:cstheme="minorHAnsi"/>
          <w:sz w:val="24"/>
          <w:szCs w:val="24"/>
          <w:shd w:val="clear" w:color="auto" w:fill="FFFFFF"/>
        </w:rPr>
        <w:t>Hitt</w:t>
      </w:r>
      <w:proofErr w:type="spellEnd"/>
      <w:r w:rsidRPr="00D62A9B">
        <w:rPr>
          <w:rFonts w:cstheme="minorHAnsi"/>
          <w:sz w:val="24"/>
          <w:szCs w:val="24"/>
          <w:shd w:val="clear" w:color="auto" w:fill="FFFFFF"/>
        </w:rPr>
        <w:t xml:space="preserve">, M. A., Ireland, R. D., &amp; </w:t>
      </w:r>
      <w:proofErr w:type="spellStart"/>
      <w:r w:rsidRPr="00D62A9B">
        <w:rPr>
          <w:rFonts w:cstheme="minorHAnsi"/>
          <w:sz w:val="24"/>
          <w:szCs w:val="24"/>
          <w:shd w:val="clear" w:color="auto" w:fill="FFFFFF"/>
        </w:rPr>
        <w:t>Hoskisson</w:t>
      </w:r>
      <w:proofErr w:type="spellEnd"/>
      <w:r w:rsidRPr="00D62A9B">
        <w:rPr>
          <w:rFonts w:cstheme="minorHAnsi"/>
          <w:sz w:val="24"/>
          <w:szCs w:val="24"/>
          <w:shd w:val="clear" w:color="auto" w:fill="FFFFFF"/>
        </w:rPr>
        <w:t>, R. E. (2011). </w:t>
      </w:r>
      <w:r w:rsidRPr="00D62A9B">
        <w:rPr>
          <w:rFonts w:cstheme="minorHAnsi"/>
          <w:i/>
          <w:iCs/>
          <w:sz w:val="24"/>
          <w:szCs w:val="24"/>
          <w:shd w:val="clear" w:color="auto" w:fill="FFFFFF"/>
        </w:rPr>
        <w:t>Strategic Management: Competitiveness and Globalization (Concepts &amp; Cases)</w:t>
      </w:r>
      <w:r w:rsidRPr="00D62A9B">
        <w:rPr>
          <w:rFonts w:cstheme="minorHAnsi"/>
          <w:sz w:val="24"/>
          <w:szCs w:val="24"/>
          <w:shd w:val="clear" w:color="auto" w:fill="FFFFFF"/>
        </w:rPr>
        <w:t xml:space="preserve">. </w:t>
      </w:r>
      <w:proofErr w:type="spellStart"/>
      <w:r w:rsidRPr="00D62A9B">
        <w:rPr>
          <w:rFonts w:cstheme="minorHAnsi"/>
          <w:sz w:val="24"/>
          <w:szCs w:val="24"/>
          <w:shd w:val="clear" w:color="auto" w:fill="FFFFFF"/>
        </w:rPr>
        <w:t>Cengage</w:t>
      </w:r>
      <w:proofErr w:type="spellEnd"/>
      <w:r w:rsidRPr="00D62A9B">
        <w:rPr>
          <w:rFonts w:cstheme="minorHAnsi"/>
          <w:sz w:val="24"/>
          <w:szCs w:val="24"/>
          <w:shd w:val="clear" w:color="auto" w:fill="FFFFFF"/>
        </w:rPr>
        <w:t xml:space="preserve"> Learning.</w:t>
      </w:r>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Velikorossov</w:t>
      </w:r>
      <w:proofErr w:type="spellEnd"/>
      <w:r w:rsidRPr="00D62A9B">
        <w:rPr>
          <w:rFonts w:cstheme="minorHAnsi"/>
          <w:sz w:val="24"/>
          <w:szCs w:val="24"/>
          <w:shd w:val="clear" w:color="auto" w:fill="FFFFFF"/>
        </w:rPr>
        <w:t xml:space="preserve">, V. V., </w:t>
      </w:r>
      <w:proofErr w:type="spellStart"/>
      <w:r w:rsidRPr="00D62A9B">
        <w:rPr>
          <w:rFonts w:cstheme="minorHAnsi"/>
          <w:sz w:val="24"/>
          <w:szCs w:val="24"/>
          <w:shd w:val="clear" w:color="auto" w:fill="FFFFFF"/>
        </w:rPr>
        <w:t>Genkin</w:t>
      </w:r>
      <w:proofErr w:type="spellEnd"/>
      <w:r w:rsidRPr="00D62A9B">
        <w:rPr>
          <w:rFonts w:cstheme="minorHAnsi"/>
          <w:sz w:val="24"/>
          <w:szCs w:val="24"/>
          <w:shd w:val="clear" w:color="auto" w:fill="FFFFFF"/>
        </w:rPr>
        <w:t xml:space="preserve">, E. V., </w:t>
      </w:r>
      <w:proofErr w:type="spellStart"/>
      <w:r w:rsidRPr="00D62A9B">
        <w:rPr>
          <w:rFonts w:cstheme="minorHAnsi"/>
          <w:sz w:val="24"/>
          <w:szCs w:val="24"/>
          <w:shd w:val="clear" w:color="auto" w:fill="FFFFFF"/>
        </w:rPr>
        <w:t>Balakhanova</w:t>
      </w:r>
      <w:proofErr w:type="spellEnd"/>
      <w:r w:rsidRPr="00D62A9B">
        <w:rPr>
          <w:rFonts w:cstheme="minorHAnsi"/>
          <w:sz w:val="24"/>
          <w:szCs w:val="24"/>
          <w:shd w:val="clear" w:color="auto" w:fill="FFFFFF"/>
        </w:rPr>
        <w:t xml:space="preserve">, D. K., </w:t>
      </w:r>
      <w:proofErr w:type="spellStart"/>
      <w:r w:rsidRPr="00D62A9B">
        <w:rPr>
          <w:rFonts w:cstheme="minorHAnsi"/>
          <w:sz w:val="24"/>
          <w:szCs w:val="24"/>
          <w:shd w:val="clear" w:color="auto" w:fill="FFFFFF"/>
        </w:rPr>
        <w:t>Sidorov</w:t>
      </w:r>
      <w:proofErr w:type="spellEnd"/>
      <w:r w:rsidRPr="00D62A9B">
        <w:rPr>
          <w:rFonts w:cstheme="minorHAnsi"/>
          <w:sz w:val="24"/>
          <w:szCs w:val="24"/>
          <w:shd w:val="clear" w:color="auto" w:fill="FFFFFF"/>
        </w:rPr>
        <w:t xml:space="preserve">, M. N., </w:t>
      </w:r>
      <w:proofErr w:type="spellStart"/>
      <w:r w:rsidRPr="00D62A9B">
        <w:rPr>
          <w:rFonts w:cstheme="minorHAnsi"/>
          <w:sz w:val="24"/>
          <w:szCs w:val="24"/>
          <w:shd w:val="clear" w:color="auto" w:fill="FFFFFF"/>
        </w:rPr>
        <w:t>Maksimov</w:t>
      </w:r>
      <w:proofErr w:type="spellEnd"/>
      <w:r w:rsidRPr="00D62A9B">
        <w:rPr>
          <w:rFonts w:cstheme="minorHAnsi"/>
          <w:sz w:val="24"/>
          <w:szCs w:val="24"/>
          <w:shd w:val="clear" w:color="auto" w:fill="FFFFFF"/>
        </w:rPr>
        <w:t xml:space="preserve">, M. I., </w:t>
      </w:r>
      <w:proofErr w:type="spellStart"/>
      <w:r w:rsidRPr="00D62A9B">
        <w:rPr>
          <w:rFonts w:cstheme="minorHAnsi"/>
          <w:sz w:val="24"/>
          <w:szCs w:val="24"/>
          <w:shd w:val="clear" w:color="auto" w:fill="FFFFFF"/>
        </w:rPr>
        <w:t>Sulimova</w:t>
      </w:r>
      <w:proofErr w:type="spellEnd"/>
      <w:r w:rsidRPr="00D62A9B">
        <w:rPr>
          <w:rFonts w:cstheme="minorHAnsi"/>
          <w:sz w:val="24"/>
          <w:szCs w:val="24"/>
          <w:shd w:val="clear" w:color="auto" w:fill="FFFFFF"/>
        </w:rPr>
        <w:t xml:space="preserve">, E. A., &amp; </w:t>
      </w:r>
      <w:proofErr w:type="spellStart"/>
      <w:r w:rsidRPr="00D62A9B">
        <w:rPr>
          <w:rFonts w:cstheme="minorHAnsi"/>
          <w:sz w:val="24"/>
          <w:szCs w:val="24"/>
          <w:shd w:val="clear" w:color="auto" w:fill="FFFFFF"/>
        </w:rPr>
        <w:t>Loshkov</w:t>
      </w:r>
      <w:proofErr w:type="spellEnd"/>
      <w:r w:rsidRPr="00D62A9B">
        <w:rPr>
          <w:rFonts w:cstheme="minorHAnsi"/>
          <w:sz w:val="24"/>
          <w:szCs w:val="24"/>
          <w:shd w:val="clear" w:color="auto" w:fill="FFFFFF"/>
        </w:rPr>
        <w:t>, B. D. (2020). Strategic management.</w:t>
      </w:r>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Wheelen</w:t>
      </w:r>
      <w:proofErr w:type="spellEnd"/>
      <w:r w:rsidRPr="00D62A9B">
        <w:rPr>
          <w:rFonts w:cstheme="minorHAnsi"/>
          <w:sz w:val="24"/>
          <w:szCs w:val="24"/>
          <w:shd w:val="clear" w:color="auto" w:fill="FFFFFF"/>
        </w:rPr>
        <w:t>, T. L., &amp; Hunger, J. D. (2011). </w:t>
      </w:r>
      <w:r w:rsidRPr="00D62A9B">
        <w:rPr>
          <w:rFonts w:cstheme="minorHAnsi"/>
          <w:i/>
          <w:iCs/>
          <w:sz w:val="24"/>
          <w:szCs w:val="24"/>
          <w:shd w:val="clear" w:color="auto" w:fill="FFFFFF"/>
        </w:rPr>
        <w:t>Concepts in strategic management and business policy</w:t>
      </w:r>
      <w:r w:rsidRPr="00D62A9B">
        <w:rPr>
          <w:rFonts w:cstheme="minorHAnsi"/>
          <w:sz w:val="24"/>
          <w:szCs w:val="24"/>
          <w:shd w:val="clear" w:color="auto" w:fill="FFFFFF"/>
        </w:rPr>
        <w:t>. Pearson Education India.</w:t>
      </w:r>
    </w:p>
    <w:p w:rsidR="005A76B3" w:rsidRDefault="005A76B3" w:rsidP="005A76B3">
      <w:pPr>
        <w:spacing w:line="360" w:lineRule="auto"/>
        <w:jc w:val="both"/>
        <w:rPr>
          <w:rFonts w:cstheme="minorHAnsi"/>
          <w:sz w:val="24"/>
          <w:szCs w:val="24"/>
          <w:shd w:val="clear" w:color="auto" w:fill="FFFFFF"/>
        </w:rPr>
      </w:pPr>
      <w:proofErr w:type="spellStart"/>
      <w:r>
        <w:rPr>
          <w:rFonts w:cstheme="minorHAnsi"/>
          <w:sz w:val="24"/>
          <w:szCs w:val="24"/>
          <w:shd w:val="clear" w:color="auto" w:fill="FFFFFF"/>
        </w:rPr>
        <w:lastRenderedPageBreak/>
        <w:t>Worldometer</w:t>
      </w:r>
      <w:proofErr w:type="spellEnd"/>
      <w:r>
        <w:rPr>
          <w:rFonts w:cstheme="minorHAnsi"/>
          <w:sz w:val="24"/>
          <w:szCs w:val="24"/>
          <w:shd w:val="clear" w:color="auto" w:fill="FFFFFF"/>
        </w:rPr>
        <w:t xml:space="preserve">, (2021). </w:t>
      </w:r>
      <w:r w:rsidRPr="007F0D10">
        <w:rPr>
          <w:rFonts w:cstheme="minorHAnsi"/>
          <w:i/>
          <w:iCs/>
          <w:sz w:val="24"/>
          <w:szCs w:val="24"/>
          <w:shd w:val="clear" w:color="auto" w:fill="FFFFFF"/>
        </w:rPr>
        <w:t>Current World Population</w:t>
      </w:r>
      <w:r>
        <w:rPr>
          <w:rFonts w:cstheme="minorHAnsi"/>
          <w:sz w:val="24"/>
          <w:szCs w:val="24"/>
          <w:shd w:val="clear" w:color="auto" w:fill="FFFFFF"/>
        </w:rPr>
        <w:t xml:space="preserve">. [Online] Retrieved from: </w:t>
      </w:r>
      <w:hyperlink r:id="rId41" w:history="1">
        <w:r w:rsidRPr="00081A8A">
          <w:rPr>
            <w:rStyle w:val="Hyperlink"/>
            <w:rFonts w:cstheme="minorHAnsi"/>
            <w:sz w:val="24"/>
            <w:szCs w:val="24"/>
            <w:shd w:val="clear" w:color="auto" w:fill="FFFFFF"/>
          </w:rPr>
          <w:t>https://www.worldometers.info/world-population/</w:t>
        </w:r>
      </w:hyperlink>
      <w:r>
        <w:rPr>
          <w:rFonts w:cstheme="minorHAnsi"/>
          <w:sz w:val="24"/>
          <w:szCs w:val="24"/>
          <w:shd w:val="clear" w:color="auto" w:fill="FFFFFF"/>
        </w:rPr>
        <w:t xml:space="preserve"> [Assessed on: 04 May 2021]</w:t>
      </w:r>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Wheelen</w:t>
      </w:r>
      <w:proofErr w:type="spellEnd"/>
      <w:r w:rsidRPr="00D62A9B">
        <w:rPr>
          <w:rFonts w:cstheme="minorHAnsi"/>
          <w:sz w:val="24"/>
          <w:szCs w:val="24"/>
          <w:shd w:val="clear" w:color="auto" w:fill="FFFFFF"/>
        </w:rPr>
        <w:t xml:space="preserve">, T. L., Hunger, J. D., Hoffman, A. N., &amp; </w:t>
      </w:r>
      <w:proofErr w:type="spellStart"/>
      <w:r w:rsidRPr="00D62A9B">
        <w:rPr>
          <w:rFonts w:cstheme="minorHAnsi"/>
          <w:sz w:val="24"/>
          <w:szCs w:val="24"/>
          <w:shd w:val="clear" w:color="auto" w:fill="FFFFFF"/>
        </w:rPr>
        <w:t>Bamford</w:t>
      </w:r>
      <w:proofErr w:type="spellEnd"/>
      <w:r w:rsidRPr="00D62A9B">
        <w:rPr>
          <w:rFonts w:cstheme="minorHAnsi"/>
          <w:sz w:val="24"/>
          <w:szCs w:val="24"/>
          <w:shd w:val="clear" w:color="auto" w:fill="FFFFFF"/>
        </w:rPr>
        <w:t>, C. E. (2017). </w:t>
      </w:r>
      <w:r w:rsidRPr="00D62A9B">
        <w:rPr>
          <w:rFonts w:cstheme="minorHAnsi"/>
          <w:i/>
          <w:iCs/>
          <w:sz w:val="24"/>
          <w:szCs w:val="24"/>
          <w:shd w:val="clear" w:color="auto" w:fill="FFFFFF"/>
        </w:rPr>
        <w:t>Strategic management and business policy</w:t>
      </w:r>
      <w:r w:rsidRPr="00D62A9B">
        <w:rPr>
          <w:rFonts w:cstheme="minorHAnsi"/>
          <w:sz w:val="24"/>
          <w:szCs w:val="24"/>
          <w:shd w:val="clear" w:color="auto" w:fill="FFFFFF"/>
        </w:rPr>
        <w:t xml:space="preserve"> (p. 55). Boston, MA: </w:t>
      </w:r>
      <w:proofErr w:type="spellStart"/>
      <w:proofErr w:type="gramStart"/>
      <w:r w:rsidRPr="00D62A9B">
        <w:rPr>
          <w:rFonts w:cstheme="minorHAnsi"/>
          <w:sz w:val="24"/>
          <w:szCs w:val="24"/>
          <w:shd w:val="clear" w:color="auto" w:fill="FFFFFF"/>
        </w:rPr>
        <w:t>pearson</w:t>
      </w:r>
      <w:proofErr w:type="spellEnd"/>
      <w:proofErr w:type="gramEnd"/>
      <w:r w:rsidRPr="00D62A9B">
        <w:rPr>
          <w:rFonts w:cstheme="minorHAnsi"/>
          <w:sz w:val="24"/>
          <w:szCs w:val="24"/>
          <w:shd w:val="clear" w:color="auto" w:fill="FFFFFF"/>
        </w:rPr>
        <w:t>.</w:t>
      </w:r>
    </w:p>
    <w:p w:rsidR="005A76B3" w:rsidRPr="00D62A9B" w:rsidRDefault="005A76B3" w:rsidP="005A76B3">
      <w:pPr>
        <w:spacing w:line="360" w:lineRule="auto"/>
        <w:jc w:val="both"/>
        <w:rPr>
          <w:rFonts w:cstheme="minorHAnsi"/>
          <w:sz w:val="24"/>
          <w:szCs w:val="24"/>
          <w:shd w:val="clear" w:color="auto" w:fill="FFFFFF"/>
        </w:rPr>
      </w:pPr>
      <w:proofErr w:type="spellStart"/>
      <w:r w:rsidRPr="00D62A9B">
        <w:rPr>
          <w:rFonts w:cstheme="minorHAnsi"/>
          <w:sz w:val="24"/>
          <w:szCs w:val="24"/>
          <w:shd w:val="clear" w:color="auto" w:fill="FFFFFF"/>
        </w:rPr>
        <w:t>Witcher</w:t>
      </w:r>
      <w:proofErr w:type="spellEnd"/>
      <w:r w:rsidRPr="00D62A9B">
        <w:rPr>
          <w:rFonts w:cstheme="minorHAnsi"/>
          <w:sz w:val="24"/>
          <w:szCs w:val="24"/>
          <w:shd w:val="clear" w:color="auto" w:fill="FFFFFF"/>
        </w:rPr>
        <w:t xml:space="preserve">, B. J., &amp; </w:t>
      </w:r>
      <w:proofErr w:type="spellStart"/>
      <w:r w:rsidRPr="00D62A9B">
        <w:rPr>
          <w:rFonts w:cstheme="minorHAnsi"/>
          <w:sz w:val="24"/>
          <w:szCs w:val="24"/>
          <w:shd w:val="clear" w:color="auto" w:fill="FFFFFF"/>
        </w:rPr>
        <w:t>Chau</w:t>
      </w:r>
      <w:proofErr w:type="spellEnd"/>
      <w:r w:rsidRPr="00D62A9B">
        <w:rPr>
          <w:rFonts w:cstheme="minorHAnsi"/>
          <w:sz w:val="24"/>
          <w:szCs w:val="24"/>
          <w:shd w:val="clear" w:color="auto" w:fill="FFFFFF"/>
        </w:rPr>
        <w:t>, V. S. (2010). </w:t>
      </w:r>
      <w:r w:rsidRPr="00D62A9B">
        <w:rPr>
          <w:rFonts w:cstheme="minorHAnsi"/>
          <w:i/>
          <w:iCs/>
          <w:sz w:val="24"/>
          <w:szCs w:val="24"/>
          <w:shd w:val="clear" w:color="auto" w:fill="FFFFFF"/>
        </w:rPr>
        <w:t>Strategic Management: Principles and Practice</w:t>
      </w:r>
      <w:r w:rsidRPr="00D62A9B">
        <w:rPr>
          <w:rFonts w:cstheme="minorHAnsi"/>
          <w:sz w:val="24"/>
          <w:szCs w:val="24"/>
          <w:shd w:val="clear" w:color="auto" w:fill="FFFFFF"/>
        </w:rPr>
        <w:t xml:space="preserve">. </w:t>
      </w:r>
      <w:proofErr w:type="spellStart"/>
      <w:r w:rsidRPr="00D62A9B">
        <w:rPr>
          <w:rFonts w:cstheme="minorHAnsi"/>
          <w:sz w:val="24"/>
          <w:szCs w:val="24"/>
          <w:shd w:val="clear" w:color="auto" w:fill="FFFFFF"/>
        </w:rPr>
        <w:t>Cenage</w:t>
      </w:r>
      <w:proofErr w:type="spellEnd"/>
      <w:r w:rsidRPr="00D62A9B">
        <w:rPr>
          <w:rFonts w:cstheme="minorHAnsi"/>
          <w:sz w:val="24"/>
          <w:szCs w:val="24"/>
          <w:shd w:val="clear" w:color="auto" w:fill="FFFFFF"/>
        </w:rPr>
        <w:t xml:space="preserve"> Learning.</w:t>
      </w:r>
    </w:p>
    <w:p w:rsidR="005A76B3" w:rsidRPr="00584CD1" w:rsidRDefault="005A76B3" w:rsidP="00584CD1">
      <w:pPr>
        <w:spacing w:line="360" w:lineRule="auto"/>
        <w:jc w:val="both"/>
        <w:rPr>
          <w:sz w:val="24"/>
          <w:szCs w:val="24"/>
        </w:rPr>
      </w:pPr>
    </w:p>
    <w:p w:rsidR="00584CD1" w:rsidRDefault="00584CD1" w:rsidP="00584CD1">
      <w:pPr>
        <w:spacing w:line="360" w:lineRule="auto"/>
        <w:jc w:val="both"/>
        <w:rPr>
          <w:sz w:val="24"/>
          <w:szCs w:val="24"/>
        </w:rPr>
      </w:pPr>
    </w:p>
    <w:p w:rsidR="00C124AD" w:rsidRDefault="00C124AD" w:rsidP="00584CD1">
      <w:pPr>
        <w:spacing w:line="360" w:lineRule="auto"/>
        <w:jc w:val="both"/>
        <w:rPr>
          <w:sz w:val="24"/>
          <w:szCs w:val="24"/>
        </w:rPr>
      </w:pPr>
    </w:p>
    <w:p w:rsidR="00C124AD" w:rsidRPr="00584CD1" w:rsidRDefault="00C124AD" w:rsidP="00584CD1">
      <w:pPr>
        <w:spacing w:line="360" w:lineRule="auto"/>
        <w:jc w:val="both"/>
        <w:rPr>
          <w:sz w:val="24"/>
          <w:szCs w:val="24"/>
        </w:rPr>
      </w:pPr>
    </w:p>
    <w:sectPr w:rsidR="00C124AD" w:rsidRPr="00584CD1">
      <w:footerReference w:type="default" r:id="rId4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95F08" w:rsidRDefault="00495F08" w:rsidP="00612844">
      <w:pPr>
        <w:spacing w:after="0" w:line="240" w:lineRule="auto"/>
      </w:pPr>
      <w:r>
        <w:separator/>
      </w:r>
    </w:p>
  </w:endnote>
  <w:endnote w:type="continuationSeparator" w:id="0">
    <w:p w:rsidR="00495F08" w:rsidRDefault="00495F08" w:rsidP="006128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6295701"/>
      <w:docPartObj>
        <w:docPartGallery w:val="Page Numbers (Bottom of Page)"/>
        <w:docPartUnique/>
      </w:docPartObj>
    </w:sdtPr>
    <w:sdtEndPr>
      <w:rPr>
        <w:noProof/>
      </w:rPr>
    </w:sdtEndPr>
    <w:sdtContent>
      <w:p w:rsidR="008C3F36" w:rsidRDefault="008C3F36">
        <w:pPr>
          <w:pStyle w:val="Footer"/>
          <w:jc w:val="center"/>
        </w:pPr>
        <w:r>
          <w:fldChar w:fldCharType="begin"/>
        </w:r>
        <w:r>
          <w:instrText xml:space="preserve"> PAGE   \* MERGEFORMAT </w:instrText>
        </w:r>
        <w:r>
          <w:fldChar w:fldCharType="separate"/>
        </w:r>
        <w:r>
          <w:rPr>
            <w:noProof/>
          </w:rPr>
          <w:t>27</w:t>
        </w:r>
        <w:r>
          <w:rPr>
            <w:noProof/>
          </w:rPr>
          <w:fldChar w:fldCharType="end"/>
        </w:r>
      </w:p>
    </w:sdtContent>
  </w:sdt>
  <w:p w:rsidR="00612844" w:rsidRDefault="006128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95F08" w:rsidRDefault="00495F08" w:rsidP="00612844">
      <w:pPr>
        <w:spacing w:after="0" w:line="240" w:lineRule="auto"/>
      </w:pPr>
      <w:r>
        <w:separator/>
      </w:r>
    </w:p>
  </w:footnote>
  <w:footnote w:type="continuationSeparator" w:id="0">
    <w:p w:rsidR="00495F08" w:rsidRDefault="00495F08" w:rsidP="0061284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275EBE"/>
    <w:multiLevelType w:val="hybridMultilevel"/>
    <w:tmpl w:val="833408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7192"/>
    <w:rsid w:val="00002F88"/>
    <w:rsid w:val="00007D96"/>
    <w:rsid w:val="000136DC"/>
    <w:rsid w:val="00020F79"/>
    <w:rsid w:val="000311E7"/>
    <w:rsid w:val="00043FDB"/>
    <w:rsid w:val="000475D3"/>
    <w:rsid w:val="00050A52"/>
    <w:rsid w:val="00066274"/>
    <w:rsid w:val="000667DF"/>
    <w:rsid w:val="00070574"/>
    <w:rsid w:val="00076326"/>
    <w:rsid w:val="00076DB8"/>
    <w:rsid w:val="0009010F"/>
    <w:rsid w:val="00097206"/>
    <w:rsid w:val="000B2AAE"/>
    <w:rsid w:val="000B5E2B"/>
    <w:rsid w:val="000D2C0B"/>
    <w:rsid w:val="000E07E5"/>
    <w:rsid w:val="000F2079"/>
    <w:rsid w:val="00100594"/>
    <w:rsid w:val="00106A64"/>
    <w:rsid w:val="00122D8E"/>
    <w:rsid w:val="0013235F"/>
    <w:rsid w:val="00134DAF"/>
    <w:rsid w:val="00134F41"/>
    <w:rsid w:val="00136C57"/>
    <w:rsid w:val="00141513"/>
    <w:rsid w:val="00142F83"/>
    <w:rsid w:val="00150096"/>
    <w:rsid w:val="0016074A"/>
    <w:rsid w:val="001613C7"/>
    <w:rsid w:val="00163262"/>
    <w:rsid w:val="00177C52"/>
    <w:rsid w:val="00180431"/>
    <w:rsid w:val="0018447C"/>
    <w:rsid w:val="001A0220"/>
    <w:rsid w:val="001B3201"/>
    <w:rsid w:val="001B5A89"/>
    <w:rsid w:val="001B6E71"/>
    <w:rsid w:val="001C14CB"/>
    <w:rsid w:val="001C2481"/>
    <w:rsid w:val="001C2BDE"/>
    <w:rsid w:val="001D2282"/>
    <w:rsid w:val="001F08CB"/>
    <w:rsid w:val="001F59FC"/>
    <w:rsid w:val="001F670F"/>
    <w:rsid w:val="002069B1"/>
    <w:rsid w:val="00207F03"/>
    <w:rsid w:val="00211BFE"/>
    <w:rsid w:val="00212D3E"/>
    <w:rsid w:val="002178CF"/>
    <w:rsid w:val="00232517"/>
    <w:rsid w:val="002370D8"/>
    <w:rsid w:val="00244955"/>
    <w:rsid w:val="00250673"/>
    <w:rsid w:val="00252439"/>
    <w:rsid w:val="00256B4E"/>
    <w:rsid w:val="00257FF3"/>
    <w:rsid w:val="00263690"/>
    <w:rsid w:val="00266D82"/>
    <w:rsid w:val="002705E7"/>
    <w:rsid w:val="002733FD"/>
    <w:rsid w:val="00276C9E"/>
    <w:rsid w:val="0028060C"/>
    <w:rsid w:val="002831C7"/>
    <w:rsid w:val="00292CEE"/>
    <w:rsid w:val="00293F72"/>
    <w:rsid w:val="00297E51"/>
    <w:rsid w:val="002A261D"/>
    <w:rsid w:val="002A4B90"/>
    <w:rsid w:val="002A704A"/>
    <w:rsid w:val="002A7F7E"/>
    <w:rsid w:val="002B080D"/>
    <w:rsid w:val="002C379D"/>
    <w:rsid w:val="002C6FA0"/>
    <w:rsid w:val="002C7500"/>
    <w:rsid w:val="002D06B1"/>
    <w:rsid w:val="002E30D9"/>
    <w:rsid w:val="002E625E"/>
    <w:rsid w:val="002E6B9C"/>
    <w:rsid w:val="002F1744"/>
    <w:rsid w:val="00300C2E"/>
    <w:rsid w:val="0030561B"/>
    <w:rsid w:val="00306B52"/>
    <w:rsid w:val="00307ECA"/>
    <w:rsid w:val="003177DE"/>
    <w:rsid w:val="00324D76"/>
    <w:rsid w:val="003319E6"/>
    <w:rsid w:val="00332634"/>
    <w:rsid w:val="003358EB"/>
    <w:rsid w:val="00336654"/>
    <w:rsid w:val="00337DFB"/>
    <w:rsid w:val="00340A27"/>
    <w:rsid w:val="00343B1A"/>
    <w:rsid w:val="003503B2"/>
    <w:rsid w:val="00352AFF"/>
    <w:rsid w:val="003543B9"/>
    <w:rsid w:val="00367905"/>
    <w:rsid w:val="00374C80"/>
    <w:rsid w:val="00377F48"/>
    <w:rsid w:val="00386FC1"/>
    <w:rsid w:val="00387B1C"/>
    <w:rsid w:val="0039550F"/>
    <w:rsid w:val="00396571"/>
    <w:rsid w:val="00396D41"/>
    <w:rsid w:val="0039732C"/>
    <w:rsid w:val="00397F0C"/>
    <w:rsid w:val="003A60B4"/>
    <w:rsid w:val="003B645C"/>
    <w:rsid w:val="003C092C"/>
    <w:rsid w:val="003C0FA1"/>
    <w:rsid w:val="003C53F8"/>
    <w:rsid w:val="003C614E"/>
    <w:rsid w:val="003E33DD"/>
    <w:rsid w:val="003E54C9"/>
    <w:rsid w:val="003F1948"/>
    <w:rsid w:val="003F38C4"/>
    <w:rsid w:val="00402121"/>
    <w:rsid w:val="00403304"/>
    <w:rsid w:val="00405F74"/>
    <w:rsid w:val="00410085"/>
    <w:rsid w:val="00411210"/>
    <w:rsid w:val="00414451"/>
    <w:rsid w:val="0041529B"/>
    <w:rsid w:val="00415C1B"/>
    <w:rsid w:val="0042216F"/>
    <w:rsid w:val="00425681"/>
    <w:rsid w:val="00425758"/>
    <w:rsid w:val="0042591F"/>
    <w:rsid w:val="00427459"/>
    <w:rsid w:val="00435D39"/>
    <w:rsid w:val="00442CB2"/>
    <w:rsid w:val="004439EE"/>
    <w:rsid w:val="00446C99"/>
    <w:rsid w:val="00451C93"/>
    <w:rsid w:val="0045362F"/>
    <w:rsid w:val="00463A02"/>
    <w:rsid w:val="00465AE2"/>
    <w:rsid w:val="004803D3"/>
    <w:rsid w:val="0048642D"/>
    <w:rsid w:val="00492FFD"/>
    <w:rsid w:val="00495F08"/>
    <w:rsid w:val="004A015F"/>
    <w:rsid w:val="004A04CC"/>
    <w:rsid w:val="004A1291"/>
    <w:rsid w:val="004B2160"/>
    <w:rsid w:val="004B3FA4"/>
    <w:rsid w:val="004B4BE1"/>
    <w:rsid w:val="004D1095"/>
    <w:rsid w:val="004D2234"/>
    <w:rsid w:val="004D3C4D"/>
    <w:rsid w:val="004D4902"/>
    <w:rsid w:val="004D73DF"/>
    <w:rsid w:val="004E17FD"/>
    <w:rsid w:val="004E433E"/>
    <w:rsid w:val="0050395D"/>
    <w:rsid w:val="005179BA"/>
    <w:rsid w:val="00520788"/>
    <w:rsid w:val="005250BA"/>
    <w:rsid w:val="00525DF0"/>
    <w:rsid w:val="00543274"/>
    <w:rsid w:val="00544A94"/>
    <w:rsid w:val="005543BE"/>
    <w:rsid w:val="00566488"/>
    <w:rsid w:val="005671D2"/>
    <w:rsid w:val="00572F80"/>
    <w:rsid w:val="0057639E"/>
    <w:rsid w:val="00576671"/>
    <w:rsid w:val="00582969"/>
    <w:rsid w:val="00582A4A"/>
    <w:rsid w:val="00584CD1"/>
    <w:rsid w:val="00586782"/>
    <w:rsid w:val="00590B92"/>
    <w:rsid w:val="005A0DA4"/>
    <w:rsid w:val="005A3A62"/>
    <w:rsid w:val="005A76B3"/>
    <w:rsid w:val="005B2241"/>
    <w:rsid w:val="005B513B"/>
    <w:rsid w:val="005C7881"/>
    <w:rsid w:val="005D66C8"/>
    <w:rsid w:val="005E6A88"/>
    <w:rsid w:val="005E729A"/>
    <w:rsid w:val="005F01EC"/>
    <w:rsid w:val="005F1A3C"/>
    <w:rsid w:val="005F5C92"/>
    <w:rsid w:val="005F72F9"/>
    <w:rsid w:val="006003F9"/>
    <w:rsid w:val="00600B96"/>
    <w:rsid w:val="00612844"/>
    <w:rsid w:val="00616B4F"/>
    <w:rsid w:val="00625C6C"/>
    <w:rsid w:val="006333A5"/>
    <w:rsid w:val="00633535"/>
    <w:rsid w:val="00642164"/>
    <w:rsid w:val="00642189"/>
    <w:rsid w:val="006477CE"/>
    <w:rsid w:val="006500D8"/>
    <w:rsid w:val="00652321"/>
    <w:rsid w:val="0065268F"/>
    <w:rsid w:val="00662BAE"/>
    <w:rsid w:val="00667D1A"/>
    <w:rsid w:val="0067106D"/>
    <w:rsid w:val="006728DD"/>
    <w:rsid w:val="00680CD8"/>
    <w:rsid w:val="006A56C8"/>
    <w:rsid w:val="006A653A"/>
    <w:rsid w:val="006B1E69"/>
    <w:rsid w:val="006B37F6"/>
    <w:rsid w:val="006B57B1"/>
    <w:rsid w:val="006B7246"/>
    <w:rsid w:val="006C1E82"/>
    <w:rsid w:val="006C24C7"/>
    <w:rsid w:val="006C66FD"/>
    <w:rsid w:val="006C7192"/>
    <w:rsid w:val="006C7EE2"/>
    <w:rsid w:val="006F03B1"/>
    <w:rsid w:val="006F5B57"/>
    <w:rsid w:val="006F6D28"/>
    <w:rsid w:val="007054D1"/>
    <w:rsid w:val="00714452"/>
    <w:rsid w:val="00722C12"/>
    <w:rsid w:val="00737457"/>
    <w:rsid w:val="00737B0B"/>
    <w:rsid w:val="0074003F"/>
    <w:rsid w:val="00754070"/>
    <w:rsid w:val="00767AA8"/>
    <w:rsid w:val="00785D05"/>
    <w:rsid w:val="00792A9B"/>
    <w:rsid w:val="007976BC"/>
    <w:rsid w:val="007A0E69"/>
    <w:rsid w:val="007B09F6"/>
    <w:rsid w:val="007C0ED5"/>
    <w:rsid w:val="007D1E11"/>
    <w:rsid w:val="007D246B"/>
    <w:rsid w:val="007D2833"/>
    <w:rsid w:val="007D52D2"/>
    <w:rsid w:val="007D6A0A"/>
    <w:rsid w:val="007E34A0"/>
    <w:rsid w:val="007E49F6"/>
    <w:rsid w:val="007E6498"/>
    <w:rsid w:val="007E64DD"/>
    <w:rsid w:val="007F0D3C"/>
    <w:rsid w:val="007F1BCC"/>
    <w:rsid w:val="007F6FA2"/>
    <w:rsid w:val="008012AD"/>
    <w:rsid w:val="00801CEE"/>
    <w:rsid w:val="008046C6"/>
    <w:rsid w:val="0080787B"/>
    <w:rsid w:val="0081213E"/>
    <w:rsid w:val="008306EB"/>
    <w:rsid w:val="00834931"/>
    <w:rsid w:val="00851525"/>
    <w:rsid w:val="00853782"/>
    <w:rsid w:val="008872E6"/>
    <w:rsid w:val="0089140A"/>
    <w:rsid w:val="008920C5"/>
    <w:rsid w:val="00892C1F"/>
    <w:rsid w:val="008A204F"/>
    <w:rsid w:val="008A5020"/>
    <w:rsid w:val="008B04D4"/>
    <w:rsid w:val="008B05BA"/>
    <w:rsid w:val="008B3F2D"/>
    <w:rsid w:val="008B7164"/>
    <w:rsid w:val="008C24AC"/>
    <w:rsid w:val="008C3347"/>
    <w:rsid w:val="008C3F36"/>
    <w:rsid w:val="008C4993"/>
    <w:rsid w:val="008C6BCE"/>
    <w:rsid w:val="008C7095"/>
    <w:rsid w:val="008D13F0"/>
    <w:rsid w:val="008D2704"/>
    <w:rsid w:val="008E03FD"/>
    <w:rsid w:val="008F273E"/>
    <w:rsid w:val="008F3FF3"/>
    <w:rsid w:val="00904A55"/>
    <w:rsid w:val="00916AA2"/>
    <w:rsid w:val="00920016"/>
    <w:rsid w:val="0092380E"/>
    <w:rsid w:val="00926436"/>
    <w:rsid w:val="00931AF3"/>
    <w:rsid w:val="00935272"/>
    <w:rsid w:val="0094201E"/>
    <w:rsid w:val="00942672"/>
    <w:rsid w:val="00943A13"/>
    <w:rsid w:val="00951827"/>
    <w:rsid w:val="0097215B"/>
    <w:rsid w:val="009728FB"/>
    <w:rsid w:val="009732E0"/>
    <w:rsid w:val="00975EBB"/>
    <w:rsid w:val="0097737D"/>
    <w:rsid w:val="009854B8"/>
    <w:rsid w:val="00987586"/>
    <w:rsid w:val="009937D1"/>
    <w:rsid w:val="0099797F"/>
    <w:rsid w:val="009A2D55"/>
    <w:rsid w:val="009A421D"/>
    <w:rsid w:val="009B1679"/>
    <w:rsid w:val="009B1B33"/>
    <w:rsid w:val="009C0C65"/>
    <w:rsid w:val="009C1E87"/>
    <w:rsid w:val="009D6021"/>
    <w:rsid w:val="009F01D1"/>
    <w:rsid w:val="009F41C8"/>
    <w:rsid w:val="009F46B2"/>
    <w:rsid w:val="00A01AA1"/>
    <w:rsid w:val="00A077BD"/>
    <w:rsid w:val="00A127C0"/>
    <w:rsid w:val="00A154D1"/>
    <w:rsid w:val="00A20053"/>
    <w:rsid w:val="00A3269D"/>
    <w:rsid w:val="00A40181"/>
    <w:rsid w:val="00A416D5"/>
    <w:rsid w:val="00A4478A"/>
    <w:rsid w:val="00A64047"/>
    <w:rsid w:val="00A74921"/>
    <w:rsid w:val="00A81C01"/>
    <w:rsid w:val="00A821F1"/>
    <w:rsid w:val="00A82D9F"/>
    <w:rsid w:val="00A867C7"/>
    <w:rsid w:val="00A95101"/>
    <w:rsid w:val="00AA4A83"/>
    <w:rsid w:val="00AA77BD"/>
    <w:rsid w:val="00AB1103"/>
    <w:rsid w:val="00AB58BF"/>
    <w:rsid w:val="00AC19A1"/>
    <w:rsid w:val="00AC1E5D"/>
    <w:rsid w:val="00AD261A"/>
    <w:rsid w:val="00AD4AEA"/>
    <w:rsid w:val="00AF08BA"/>
    <w:rsid w:val="00B0100B"/>
    <w:rsid w:val="00B0163F"/>
    <w:rsid w:val="00B02EE5"/>
    <w:rsid w:val="00B05160"/>
    <w:rsid w:val="00B0535A"/>
    <w:rsid w:val="00B0588D"/>
    <w:rsid w:val="00B10999"/>
    <w:rsid w:val="00B13A67"/>
    <w:rsid w:val="00B157CF"/>
    <w:rsid w:val="00B175E6"/>
    <w:rsid w:val="00B22ECD"/>
    <w:rsid w:val="00B241D7"/>
    <w:rsid w:val="00B2648A"/>
    <w:rsid w:val="00B272B6"/>
    <w:rsid w:val="00B35BAB"/>
    <w:rsid w:val="00B37201"/>
    <w:rsid w:val="00B439F0"/>
    <w:rsid w:val="00B44E8F"/>
    <w:rsid w:val="00B51053"/>
    <w:rsid w:val="00B665A9"/>
    <w:rsid w:val="00B67121"/>
    <w:rsid w:val="00B75258"/>
    <w:rsid w:val="00B82EC4"/>
    <w:rsid w:val="00B838D1"/>
    <w:rsid w:val="00B847A3"/>
    <w:rsid w:val="00BA21A0"/>
    <w:rsid w:val="00BB5A77"/>
    <w:rsid w:val="00BC00CD"/>
    <w:rsid w:val="00BC21FC"/>
    <w:rsid w:val="00BC40AF"/>
    <w:rsid w:val="00BC60B6"/>
    <w:rsid w:val="00BC6A75"/>
    <w:rsid w:val="00BE1D3C"/>
    <w:rsid w:val="00BF24A2"/>
    <w:rsid w:val="00BF3AB8"/>
    <w:rsid w:val="00C03779"/>
    <w:rsid w:val="00C0562E"/>
    <w:rsid w:val="00C064C4"/>
    <w:rsid w:val="00C124AD"/>
    <w:rsid w:val="00C2181C"/>
    <w:rsid w:val="00C2458A"/>
    <w:rsid w:val="00C3552F"/>
    <w:rsid w:val="00C4312E"/>
    <w:rsid w:val="00C456FA"/>
    <w:rsid w:val="00C55B79"/>
    <w:rsid w:val="00C569DD"/>
    <w:rsid w:val="00C56C2D"/>
    <w:rsid w:val="00C60715"/>
    <w:rsid w:val="00C612E5"/>
    <w:rsid w:val="00C74285"/>
    <w:rsid w:val="00C77238"/>
    <w:rsid w:val="00C77AAF"/>
    <w:rsid w:val="00C823CE"/>
    <w:rsid w:val="00CA2184"/>
    <w:rsid w:val="00CB08D4"/>
    <w:rsid w:val="00CC05B0"/>
    <w:rsid w:val="00CC79CD"/>
    <w:rsid w:val="00CC7FC1"/>
    <w:rsid w:val="00CD11F9"/>
    <w:rsid w:val="00CE0418"/>
    <w:rsid w:val="00CE1AB7"/>
    <w:rsid w:val="00CF53B8"/>
    <w:rsid w:val="00D1489E"/>
    <w:rsid w:val="00D172CD"/>
    <w:rsid w:val="00D209B3"/>
    <w:rsid w:val="00D2608A"/>
    <w:rsid w:val="00D265E6"/>
    <w:rsid w:val="00D279B8"/>
    <w:rsid w:val="00D300BD"/>
    <w:rsid w:val="00D350BA"/>
    <w:rsid w:val="00D50BE1"/>
    <w:rsid w:val="00D50C57"/>
    <w:rsid w:val="00D62A96"/>
    <w:rsid w:val="00D766C1"/>
    <w:rsid w:val="00D76878"/>
    <w:rsid w:val="00D82F44"/>
    <w:rsid w:val="00D979B4"/>
    <w:rsid w:val="00DC2AE4"/>
    <w:rsid w:val="00DC6294"/>
    <w:rsid w:val="00DD274F"/>
    <w:rsid w:val="00DD2A0F"/>
    <w:rsid w:val="00DD4E74"/>
    <w:rsid w:val="00DE0A57"/>
    <w:rsid w:val="00DE5F61"/>
    <w:rsid w:val="00DE65E9"/>
    <w:rsid w:val="00DF07CC"/>
    <w:rsid w:val="00DF236D"/>
    <w:rsid w:val="00DF3BA0"/>
    <w:rsid w:val="00E139E0"/>
    <w:rsid w:val="00E205F7"/>
    <w:rsid w:val="00E21087"/>
    <w:rsid w:val="00E450AE"/>
    <w:rsid w:val="00E4583B"/>
    <w:rsid w:val="00E56199"/>
    <w:rsid w:val="00E643A6"/>
    <w:rsid w:val="00E67021"/>
    <w:rsid w:val="00E67979"/>
    <w:rsid w:val="00E75BCD"/>
    <w:rsid w:val="00E819D2"/>
    <w:rsid w:val="00E847AF"/>
    <w:rsid w:val="00E857DC"/>
    <w:rsid w:val="00E86704"/>
    <w:rsid w:val="00E90B37"/>
    <w:rsid w:val="00E9447F"/>
    <w:rsid w:val="00E950BA"/>
    <w:rsid w:val="00E95CB1"/>
    <w:rsid w:val="00EA1EEB"/>
    <w:rsid w:val="00EA5522"/>
    <w:rsid w:val="00EA5DE6"/>
    <w:rsid w:val="00EB1B7C"/>
    <w:rsid w:val="00EB4E39"/>
    <w:rsid w:val="00EB75F3"/>
    <w:rsid w:val="00EC5538"/>
    <w:rsid w:val="00EC6261"/>
    <w:rsid w:val="00ED08DD"/>
    <w:rsid w:val="00EE098C"/>
    <w:rsid w:val="00EE6F4B"/>
    <w:rsid w:val="00EF3B40"/>
    <w:rsid w:val="00EF6D6E"/>
    <w:rsid w:val="00EF71A7"/>
    <w:rsid w:val="00EF79E3"/>
    <w:rsid w:val="00F00FE5"/>
    <w:rsid w:val="00F1611C"/>
    <w:rsid w:val="00F229F8"/>
    <w:rsid w:val="00F262AF"/>
    <w:rsid w:val="00F26C74"/>
    <w:rsid w:val="00F4507D"/>
    <w:rsid w:val="00F579C6"/>
    <w:rsid w:val="00F660C9"/>
    <w:rsid w:val="00F74AAC"/>
    <w:rsid w:val="00F8481A"/>
    <w:rsid w:val="00F84A75"/>
    <w:rsid w:val="00F854E2"/>
    <w:rsid w:val="00F85908"/>
    <w:rsid w:val="00F919C0"/>
    <w:rsid w:val="00FA08D4"/>
    <w:rsid w:val="00FA178F"/>
    <w:rsid w:val="00FA2094"/>
    <w:rsid w:val="00FA448C"/>
    <w:rsid w:val="00FB0D85"/>
    <w:rsid w:val="00FB4971"/>
    <w:rsid w:val="00FB58F1"/>
    <w:rsid w:val="00FB5BE7"/>
    <w:rsid w:val="00FB612A"/>
    <w:rsid w:val="00FC6065"/>
    <w:rsid w:val="00FD3EC2"/>
    <w:rsid w:val="00FD4601"/>
    <w:rsid w:val="00FD6D67"/>
    <w:rsid w:val="00FE00DA"/>
    <w:rsid w:val="00FF1D2C"/>
    <w:rsid w:val="00FF5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B0B4569-9F42-4EDF-B5CE-B0F8FC235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64D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64D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A5DE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74AAC"/>
    <w:pPr>
      <w:ind w:left="720"/>
      <w:contextualSpacing/>
    </w:pPr>
  </w:style>
  <w:style w:type="character" w:customStyle="1" w:styleId="Heading1Char">
    <w:name w:val="Heading 1 Char"/>
    <w:basedOn w:val="DefaultParagraphFont"/>
    <w:link w:val="Heading1"/>
    <w:uiPriority w:val="9"/>
    <w:rsid w:val="007E64D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E64DD"/>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5A76B3"/>
    <w:rPr>
      <w:color w:val="0563C1" w:themeColor="hyperlink"/>
      <w:u w:val="single"/>
    </w:rPr>
  </w:style>
  <w:style w:type="paragraph" w:styleId="TOCHeading">
    <w:name w:val="TOC Heading"/>
    <w:basedOn w:val="Heading1"/>
    <w:next w:val="Normal"/>
    <w:uiPriority w:val="39"/>
    <w:unhideWhenUsed/>
    <w:qFormat/>
    <w:rsid w:val="00232517"/>
    <w:pPr>
      <w:outlineLvl w:val="9"/>
    </w:pPr>
    <w:rPr>
      <w:lang w:val="en-US"/>
    </w:rPr>
  </w:style>
  <w:style w:type="paragraph" w:styleId="TOC1">
    <w:name w:val="toc 1"/>
    <w:basedOn w:val="Normal"/>
    <w:next w:val="Normal"/>
    <w:autoRedefine/>
    <w:uiPriority w:val="39"/>
    <w:unhideWhenUsed/>
    <w:rsid w:val="00232517"/>
    <w:pPr>
      <w:spacing w:after="100"/>
    </w:pPr>
  </w:style>
  <w:style w:type="paragraph" w:styleId="TOC2">
    <w:name w:val="toc 2"/>
    <w:basedOn w:val="Normal"/>
    <w:next w:val="Normal"/>
    <w:autoRedefine/>
    <w:uiPriority w:val="39"/>
    <w:unhideWhenUsed/>
    <w:rsid w:val="00232517"/>
    <w:pPr>
      <w:spacing w:after="100"/>
      <w:ind w:left="220"/>
    </w:pPr>
  </w:style>
  <w:style w:type="paragraph" w:styleId="Header">
    <w:name w:val="header"/>
    <w:basedOn w:val="Normal"/>
    <w:link w:val="HeaderChar"/>
    <w:uiPriority w:val="99"/>
    <w:unhideWhenUsed/>
    <w:rsid w:val="006128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844"/>
  </w:style>
  <w:style w:type="paragraph" w:styleId="Footer">
    <w:name w:val="footer"/>
    <w:basedOn w:val="Normal"/>
    <w:link w:val="FooterChar"/>
    <w:uiPriority w:val="99"/>
    <w:unhideWhenUsed/>
    <w:rsid w:val="006128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8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microsoft.com/office/2007/relationships/diagramDrawing" Target="diagrams/drawing2.xml"/><Relationship Id="rId26" Type="http://schemas.openxmlformats.org/officeDocument/2006/relationships/image" Target="media/image4.png"/><Relationship Id="rId39" Type="http://schemas.openxmlformats.org/officeDocument/2006/relationships/hyperlink" Target="about:blank" TargetMode="External"/><Relationship Id="rId21" Type="http://schemas.openxmlformats.org/officeDocument/2006/relationships/diagramLayout" Target="diagrams/layout3.xml"/><Relationship Id="rId34" Type="http://schemas.openxmlformats.org/officeDocument/2006/relationships/image" Target="media/image7.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Data" Target="diagrams/data3.xml"/><Relationship Id="rId29" Type="http://schemas.openxmlformats.org/officeDocument/2006/relationships/diagramLayout" Target="diagrams/layout4.xml"/><Relationship Id="rId41"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microsoft.com/office/2007/relationships/diagramDrawing" Target="diagrams/drawing3.xml"/><Relationship Id="rId32" Type="http://schemas.microsoft.com/office/2007/relationships/diagramDrawing" Target="diagrams/drawing4.xml"/><Relationship Id="rId37" Type="http://schemas.openxmlformats.org/officeDocument/2006/relationships/hyperlink" Target="about:blank" TargetMode="External"/><Relationship Id="rId40"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Colors" Target="diagrams/colors3.xml"/><Relationship Id="rId28" Type="http://schemas.openxmlformats.org/officeDocument/2006/relationships/diagramData" Target="diagrams/data4.xml"/><Relationship Id="rId36" Type="http://schemas.openxmlformats.org/officeDocument/2006/relationships/hyperlink" Target="about:blank" TargetMode="External"/><Relationship Id="rId10" Type="http://schemas.openxmlformats.org/officeDocument/2006/relationships/diagramQuickStyle" Target="diagrams/quickStyle1.xml"/><Relationship Id="rId19" Type="http://schemas.openxmlformats.org/officeDocument/2006/relationships/image" Target="media/image2.png"/><Relationship Id="rId31" Type="http://schemas.openxmlformats.org/officeDocument/2006/relationships/diagramColors" Target="diagrams/colors4.xm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diagramQuickStyle" Target="diagrams/quickStyle3.xml"/><Relationship Id="rId27" Type="http://schemas.openxmlformats.org/officeDocument/2006/relationships/image" Target="media/image5.png"/><Relationship Id="rId30" Type="http://schemas.openxmlformats.org/officeDocument/2006/relationships/diagramQuickStyle" Target="diagrams/quickStyle4.xml"/><Relationship Id="rId35" Type="http://schemas.openxmlformats.org/officeDocument/2006/relationships/image" Target="media/image8.png"/><Relationship Id="rId43" Type="http://schemas.openxmlformats.org/officeDocument/2006/relationships/fontTable" Target="fontTable.xm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diagramColors" Target="diagrams/colors2.xml"/><Relationship Id="rId25" Type="http://schemas.openxmlformats.org/officeDocument/2006/relationships/image" Target="media/image3.png"/><Relationship Id="rId33" Type="http://schemas.openxmlformats.org/officeDocument/2006/relationships/image" Target="media/image6.png"/><Relationship Id="rId38" Type="http://schemas.openxmlformats.org/officeDocument/2006/relationships/hyperlink" Target="about:blank"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E985281-DCE1-48A6-8BB8-E167EF2EEB10}" type="doc">
      <dgm:prSet loTypeId="urn:microsoft.com/office/officeart/2005/8/layout/radial3" loCatId="relationship" qsTypeId="urn:microsoft.com/office/officeart/2005/8/quickstyle/simple1" qsCatId="simple" csTypeId="urn:microsoft.com/office/officeart/2005/8/colors/accent1_2" csCatId="accent1" phldr="1"/>
      <dgm:spPr/>
      <dgm:t>
        <a:bodyPr/>
        <a:lstStyle/>
        <a:p>
          <a:endParaRPr lang="en-GB"/>
        </a:p>
      </dgm:t>
    </dgm:pt>
    <dgm:pt modelId="{2E76FBC5-23D4-409D-9215-A9A7E348D4FB}">
      <dgm:prSet phldrT="[Text]" custT="1"/>
      <dgm:spPr/>
      <dgm:t>
        <a:bodyPr/>
        <a:lstStyle/>
        <a:p>
          <a:r>
            <a:rPr lang="en-GB" sz="1800" b="1"/>
            <a:t>GSK Priorities</a:t>
          </a:r>
        </a:p>
      </dgm:t>
    </dgm:pt>
    <dgm:pt modelId="{3CDE365C-3576-4395-A15A-487AF09716C9}" type="parTrans" cxnId="{C58B8EBC-15D6-4B44-AA7D-6BD06376AA26}">
      <dgm:prSet/>
      <dgm:spPr/>
      <dgm:t>
        <a:bodyPr/>
        <a:lstStyle/>
        <a:p>
          <a:endParaRPr lang="en-GB"/>
        </a:p>
      </dgm:t>
    </dgm:pt>
    <dgm:pt modelId="{2E7F8322-4826-4F4A-969D-08F147D81DD6}" type="sibTrans" cxnId="{C58B8EBC-15D6-4B44-AA7D-6BD06376AA26}">
      <dgm:prSet/>
      <dgm:spPr/>
      <dgm:t>
        <a:bodyPr/>
        <a:lstStyle/>
        <a:p>
          <a:endParaRPr lang="en-GB"/>
        </a:p>
      </dgm:t>
    </dgm:pt>
    <dgm:pt modelId="{FE633843-D642-4316-B630-52AE1103808A}">
      <dgm:prSet phldrT="[Text]" custT="1"/>
      <dgm:spPr/>
      <dgm:t>
        <a:bodyPr/>
        <a:lstStyle/>
        <a:p>
          <a:r>
            <a:rPr lang="en-GB" sz="1000"/>
            <a:t>Innovation</a:t>
          </a:r>
        </a:p>
      </dgm:t>
    </dgm:pt>
    <dgm:pt modelId="{520D9271-907B-4750-97CE-F41E560C0A8E}" type="parTrans" cxnId="{62A5BDBD-F614-4C7A-9776-A673CEE99015}">
      <dgm:prSet/>
      <dgm:spPr/>
      <dgm:t>
        <a:bodyPr/>
        <a:lstStyle/>
        <a:p>
          <a:endParaRPr lang="en-GB"/>
        </a:p>
      </dgm:t>
    </dgm:pt>
    <dgm:pt modelId="{6922621A-80BF-41BD-8E48-511CA4FD727B}" type="sibTrans" cxnId="{62A5BDBD-F614-4C7A-9776-A673CEE99015}">
      <dgm:prSet/>
      <dgm:spPr/>
      <dgm:t>
        <a:bodyPr/>
        <a:lstStyle/>
        <a:p>
          <a:endParaRPr lang="en-GB"/>
        </a:p>
      </dgm:t>
    </dgm:pt>
    <dgm:pt modelId="{B1D55C0A-A5C0-473D-A552-9866D57DE46C}">
      <dgm:prSet phldrT="[Text]" custT="1"/>
      <dgm:spPr/>
      <dgm:t>
        <a:bodyPr/>
        <a:lstStyle/>
        <a:p>
          <a:r>
            <a:rPr lang="en-GB" sz="1000"/>
            <a:t>Patient focus</a:t>
          </a:r>
        </a:p>
      </dgm:t>
    </dgm:pt>
    <dgm:pt modelId="{82B36FE4-D6C7-40DB-880E-0A2D1FA09A91}" type="parTrans" cxnId="{75B1C514-4F3C-4D1F-BF24-9C443DD04F06}">
      <dgm:prSet/>
      <dgm:spPr/>
      <dgm:t>
        <a:bodyPr/>
        <a:lstStyle/>
        <a:p>
          <a:endParaRPr lang="en-GB"/>
        </a:p>
      </dgm:t>
    </dgm:pt>
    <dgm:pt modelId="{471CF33D-F927-4091-9F50-8A12EC2E0C56}" type="sibTrans" cxnId="{75B1C514-4F3C-4D1F-BF24-9C443DD04F06}">
      <dgm:prSet/>
      <dgm:spPr/>
      <dgm:t>
        <a:bodyPr/>
        <a:lstStyle/>
        <a:p>
          <a:endParaRPr lang="en-GB"/>
        </a:p>
      </dgm:t>
    </dgm:pt>
    <dgm:pt modelId="{27F242B7-2285-49C6-9F8B-A2B88F3843BF}">
      <dgm:prSet phldrT="[Text]" custT="1"/>
      <dgm:spPr/>
      <dgm:t>
        <a:bodyPr/>
        <a:lstStyle/>
        <a:p>
          <a:r>
            <a:rPr lang="en-GB" sz="1000"/>
            <a:t>Transparency</a:t>
          </a:r>
        </a:p>
      </dgm:t>
    </dgm:pt>
    <dgm:pt modelId="{AE0682D7-D8BB-442D-9185-8505193DDA75}" type="parTrans" cxnId="{8A7B039F-C37B-4E83-B25C-2C9C55617EA8}">
      <dgm:prSet/>
      <dgm:spPr/>
      <dgm:t>
        <a:bodyPr/>
        <a:lstStyle/>
        <a:p>
          <a:endParaRPr lang="en-GB"/>
        </a:p>
      </dgm:t>
    </dgm:pt>
    <dgm:pt modelId="{C42C75BF-D45A-4BBA-AC8A-3DBA42C4E1F1}" type="sibTrans" cxnId="{8A7B039F-C37B-4E83-B25C-2C9C55617EA8}">
      <dgm:prSet/>
      <dgm:spPr/>
      <dgm:t>
        <a:bodyPr/>
        <a:lstStyle/>
        <a:p>
          <a:endParaRPr lang="en-GB"/>
        </a:p>
      </dgm:t>
    </dgm:pt>
    <dgm:pt modelId="{A509C70C-3AD2-4B34-BB84-4B3C08ED007E}">
      <dgm:prSet phldrT="[Text]" custT="1"/>
      <dgm:spPr/>
      <dgm:t>
        <a:bodyPr/>
        <a:lstStyle/>
        <a:p>
          <a:r>
            <a:rPr lang="en-GB" sz="1000"/>
            <a:t>Respect</a:t>
          </a:r>
        </a:p>
      </dgm:t>
    </dgm:pt>
    <dgm:pt modelId="{EB4733A2-73A8-47BF-B8C9-1AC7640AF2CA}" type="parTrans" cxnId="{300C58AC-CC91-43DF-B807-57D75A816F22}">
      <dgm:prSet/>
      <dgm:spPr/>
      <dgm:t>
        <a:bodyPr/>
        <a:lstStyle/>
        <a:p>
          <a:endParaRPr lang="en-GB"/>
        </a:p>
      </dgm:t>
    </dgm:pt>
    <dgm:pt modelId="{173B35D1-0500-49DA-B818-1892C8C0089A}" type="sibTrans" cxnId="{300C58AC-CC91-43DF-B807-57D75A816F22}">
      <dgm:prSet/>
      <dgm:spPr/>
      <dgm:t>
        <a:bodyPr/>
        <a:lstStyle/>
        <a:p>
          <a:endParaRPr lang="en-GB"/>
        </a:p>
      </dgm:t>
    </dgm:pt>
    <dgm:pt modelId="{98874E1F-5140-4211-A3B1-A3AAF18DEA8E}">
      <dgm:prSet phldrT="[Text]" custT="1"/>
      <dgm:spPr/>
      <dgm:t>
        <a:bodyPr/>
        <a:lstStyle/>
        <a:p>
          <a:r>
            <a:rPr lang="en-GB" sz="1000"/>
            <a:t>Integrity</a:t>
          </a:r>
        </a:p>
      </dgm:t>
    </dgm:pt>
    <dgm:pt modelId="{65C95D64-6EAF-4E6F-B599-6B13B4A45FC6}" type="parTrans" cxnId="{5B332B60-FE16-48F3-8018-DAD8661E5D3D}">
      <dgm:prSet/>
      <dgm:spPr/>
      <dgm:t>
        <a:bodyPr/>
        <a:lstStyle/>
        <a:p>
          <a:endParaRPr lang="en-GB"/>
        </a:p>
      </dgm:t>
    </dgm:pt>
    <dgm:pt modelId="{AE9AB584-D7ED-469C-BE35-A0C4F40BA1DD}" type="sibTrans" cxnId="{5B332B60-FE16-48F3-8018-DAD8661E5D3D}">
      <dgm:prSet/>
      <dgm:spPr/>
      <dgm:t>
        <a:bodyPr/>
        <a:lstStyle/>
        <a:p>
          <a:endParaRPr lang="en-GB"/>
        </a:p>
      </dgm:t>
    </dgm:pt>
    <dgm:pt modelId="{5F28C4E2-09B3-41AB-805C-7709F4425804}">
      <dgm:prSet phldrT="[Text]" custT="1"/>
      <dgm:spPr/>
      <dgm:t>
        <a:bodyPr/>
        <a:lstStyle/>
        <a:p>
          <a:r>
            <a:rPr lang="en-GB" sz="1000"/>
            <a:t>Courage</a:t>
          </a:r>
        </a:p>
      </dgm:t>
    </dgm:pt>
    <dgm:pt modelId="{8607935E-873A-4760-8AB2-8CDA62AF9EA3}" type="parTrans" cxnId="{DD104266-C791-4B58-BC9F-93B737C8CC0C}">
      <dgm:prSet/>
      <dgm:spPr/>
      <dgm:t>
        <a:bodyPr/>
        <a:lstStyle/>
        <a:p>
          <a:endParaRPr lang="en-GB"/>
        </a:p>
      </dgm:t>
    </dgm:pt>
    <dgm:pt modelId="{E3CE6B9A-9BD5-4AFE-B9A9-D98A773B99B0}" type="sibTrans" cxnId="{DD104266-C791-4B58-BC9F-93B737C8CC0C}">
      <dgm:prSet/>
      <dgm:spPr/>
      <dgm:t>
        <a:bodyPr/>
        <a:lstStyle/>
        <a:p>
          <a:endParaRPr lang="en-GB"/>
        </a:p>
      </dgm:t>
    </dgm:pt>
    <dgm:pt modelId="{89199EB5-C3D1-442B-9E99-3A326F539936}">
      <dgm:prSet phldrT="[Text]" custT="1"/>
      <dgm:spPr/>
      <dgm:t>
        <a:bodyPr/>
        <a:lstStyle/>
        <a:p>
          <a:r>
            <a:rPr lang="en-GB" sz="1000"/>
            <a:t>Accountability</a:t>
          </a:r>
        </a:p>
      </dgm:t>
    </dgm:pt>
    <dgm:pt modelId="{485B5C14-3826-47D2-BABC-8D6ECBFCD215}" type="parTrans" cxnId="{EF6A2D9A-92DA-4487-9932-C5E5799211E5}">
      <dgm:prSet/>
      <dgm:spPr/>
      <dgm:t>
        <a:bodyPr/>
        <a:lstStyle/>
        <a:p>
          <a:endParaRPr lang="en-GB"/>
        </a:p>
      </dgm:t>
    </dgm:pt>
    <dgm:pt modelId="{876FADE1-8CBA-4B6A-80EC-471D2A040A58}" type="sibTrans" cxnId="{EF6A2D9A-92DA-4487-9932-C5E5799211E5}">
      <dgm:prSet/>
      <dgm:spPr/>
      <dgm:t>
        <a:bodyPr/>
        <a:lstStyle/>
        <a:p>
          <a:endParaRPr lang="en-GB"/>
        </a:p>
      </dgm:t>
    </dgm:pt>
    <dgm:pt modelId="{9ACC6F55-E905-4A34-9F4B-0A64610A4486}">
      <dgm:prSet phldrT="[Text]" custT="1"/>
      <dgm:spPr/>
      <dgm:t>
        <a:bodyPr/>
        <a:lstStyle/>
        <a:p>
          <a:r>
            <a:rPr lang="en-GB" sz="1000"/>
            <a:t>Teamwork</a:t>
          </a:r>
        </a:p>
      </dgm:t>
    </dgm:pt>
    <dgm:pt modelId="{2938EC30-F536-4891-8F6B-A47EF44D44A2}" type="parTrans" cxnId="{42222A91-5F11-405A-A89F-7ED8B3C8B65B}">
      <dgm:prSet/>
      <dgm:spPr/>
      <dgm:t>
        <a:bodyPr/>
        <a:lstStyle/>
        <a:p>
          <a:endParaRPr lang="en-GB"/>
        </a:p>
      </dgm:t>
    </dgm:pt>
    <dgm:pt modelId="{3420B70D-36AD-4305-9F38-EB809D8E4B91}" type="sibTrans" cxnId="{42222A91-5F11-405A-A89F-7ED8B3C8B65B}">
      <dgm:prSet/>
      <dgm:spPr/>
      <dgm:t>
        <a:bodyPr/>
        <a:lstStyle/>
        <a:p>
          <a:endParaRPr lang="en-GB"/>
        </a:p>
      </dgm:t>
    </dgm:pt>
    <dgm:pt modelId="{52F07B3E-399C-4AA3-AD09-E34EE7C69A0A}" type="pres">
      <dgm:prSet presAssocID="{CE985281-DCE1-48A6-8BB8-E167EF2EEB10}" presName="composite" presStyleCnt="0">
        <dgm:presLayoutVars>
          <dgm:chMax val="1"/>
          <dgm:dir/>
          <dgm:resizeHandles val="exact"/>
        </dgm:presLayoutVars>
      </dgm:prSet>
      <dgm:spPr/>
      <dgm:t>
        <a:bodyPr/>
        <a:lstStyle/>
        <a:p>
          <a:endParaRPr lang="en-GB"/>
        </a:p>
      </dgm:t>
    </dgm:pt>
    <dgm:pt modelId="{A98CFB56-EBF2-4639-8631-728F3BFBE8B0}" type="pres">
      <dgm:prSet presAssocID="{CE985281-DCE1-48A6-8BB8-E167EF2EEB10}" presName="radial" presStyleCnt="0">
        <dgm:presLayoutVars>
          <dgm:animLvl val="ctr"/>
        </dgm:presLayoutVars>
      </dgm:prSet>
      <dgm:spPr/>
    </dgm:pt>
    <dgm:pt modelId="{A88495ED-10A6-4153-95C7-42C26A2CF814}" type="pres">
      <dgm:prSet presAssocID="{2E76FBC5-23D4-409D-9215-A9A7E348D4FB}" presName="centerShape" presStyleLbl="vennNode1" presStyleIdx="0" presStyleCnt="9"/>
      <dgm:spPr/>
      <dgm:t>
        <a:bodyPr/>
        <a:lstStyle/>
        <a:p>
          <a:endParaRPr lang="en-GB"/>
        </a:p>
      </dgm:t>
    </dgm:pt>
    <dgm:pt modelId="{379F8AD1-D5DE-48B1-A80A-DDB68630BE6A}" type="pres">
      <dgm:prSet presAssocID="{FE633843-D642-4316-B630-52AE1103808A}" presName="node" presStyleLbl="vennNode1" presStyleIdx="1" presStyleCnt="9" custScaleX="123680" custScaleY="123680">
        <dgm:presLayoutVars>
          <dgm:bulletEnabled val="1"/>
        </dgm:presLayoutVars>
      </dgm:prSet>
      <dgm:spPr/>
      <dgm:t>
        <a:bodyPr/>
        <a:lstStyle/>
        <a:p>
          <a:endParaRPr lang="en-GB"/>
        </a:p>
      </dgm:t>
    </dgm:pt>
    <dgm:pt modelId="{2C660007-B540-44C3-B9CF-D1F61C70079C}" type="pres">
      <dgm:prSet presAssocID="{B1D55C0A-A5C0-473D-A552-9866D57DE46C}" presName="node" presStyleLbl="vennNode1" presStyleIdx="2" presStyleCnt="9" custScaleX="123680" custScaleY="123680">
        <dgm:presLayoutVars>
          <dgm:bulletEnabled val="1"/>
        </dgm:presLayoutVars>
      </dgm:prSet>
      <dgm:spPr/>
      <dgm:t>
        <a:bodyPr/>
        <a:lstStyle/>
        <a:p>
          <a:endParaRPr lang="en-GB"/>
        </a:p>
      </dgm:t>
    </dgm:pt>
    <dgm:pt modelId="{3C6DD409-1F3B-48E1-9F16-3449F4A5E5AF}" type="pres">
      <dgm:prSet presAssocID="{27F242B7-2285-49C6-9F8B-A2B88F3843BF}" presName="node" presStyleLbl="vennNode1" presStyleIdx="3" presStyleCnt="9" custScaleX="123680" custScaleY="123680">
        <dgm:presLayoutVars>
          <dgm:bulletEnabled val="1"/>
        </dgm:presLayoutVars>
      </dgm:prSet>
      <dgm:spPr/>
      <dgm:t>
        <a:bodyPr/>
        <a:lstStyle/>
        <a:p>
          <a:endParaRPr lang="en-GB"/>
        </a:p>
      </dgm:t>
    </dgm:pt>
    <dgm:pt modelId="{EAE0D083-7E2A-4181-B7BE-9849261355C1}" type="pres">
      <dgm:prSet presAssocID="{A509C70C-3AD2-4B34-BB84-4B3C08ED007E}" presName="node" presStyleLbl="vennNode1" presStyleIdx="4" presStyleCnt="9" custScaleX="123680" custScaleY="123680">
        <dgm:presLayoutVars>
          <dgm:bulletEnabled val="1"/>
        </dgm:presLayoutVars>
      </dgm:prSet>
      <dgm:spPr/>
      <dgm:t>
        <a:bodyPr/>
        <a:lstStyle/>
        <a:p>
          <a:endParaRPr lang="en-GB"/>
        </a:p>
      </dgm:t>
    </dgm:pt>
    <dgm:pt modelId="{BDB64BC9-243F-4368-9787-0A1050D243B0}" type="pres">
      <dgm:prSet presAssocID="{98874E1F-5140-4211-A3B1-A3AAF18DEA8E}" presName="node" presStyleLbl="vennNode1" presStyleIdx="5" presStyleCnt="9" custScaleX="123680" custScaleY="123680">
        <dgm:presLayoutVars>
          <dgm:bulletEnabled val="1"/>
        </dgm:presLayoutVars>
      </dgm:prSet>
      <dgm:spPr/>
      <dgm:t>
        <a:bodyPr/>
        <a:lstStyle/>
        <a:p>
          <a:endParaRPr lang="en-GB"/>
        </a:p>
      </dgm:t>
    </dgm:pt>
    <dgm:pt modelId="{CC5ED7C1-9D89-40F0-852C-5F8049385B1C}" type="pres">
      <dgm:prSet presAssocID="{5F28C4E2-09B3-41AB-805C-7709F4425804}" presName="node" presStyleLbl="vennNode1" presStyleIdx="6" presStyleCnt="9" custScaleX="123680" custScaleY="123680">
        <dgm:presLayoutVars>
          <dgm:bulletEnabled val="1"/>
        </dgm:presLayoutVars>
      </dgm:prSet>
      <dgm:spPr/>
      <dgm:t>
        <a:bodyPr/>
        <a:lstStyle/>
        <a:p>
          <a:endParaRPr lang="en-GB"/>
        </a:p>
      </dgm:t>
    </dgm:pt>
    <dgm:pt modelId="{9476E7F1-BFFB-4D40-9C86-6059AB648298}" type="pres">
      <dgm:prSet presAssocID="{89199EB5-C3D1-442B-9E99-3A326F539936}" presName="node" presStyleLbl="vennNode1" presStyleIdx="7" presStyleCnt="9" custScaleX="123680" custScaleY="123680">
        <dgm:presLayoutVars>
          <dgm:bulletEnabled val="1"/>
        </dgm:presLayoutVars>
      </dgm:prSet>
      <dgm:spPr/>
      <dgm:t>
        <a:bodyPr/>
        <a:lstStyle/>
        <a:p>
          <a:endParaRPr lang="en-GB"/>
        </a:p>
      </dgm:t>
    </dgm:pt>
    <dgm:pt modelId="{6A6C9B81-8492-48C3-81BE-4C99F12D9771}" type="pres">
      <dgm:prSet presAssocID="{9ACC6F55-E905-4A34-9F4B-0A64610A4486}" presName="node" presStyleLbl="vennNode1" presStyleIdx="8" presStyleCnt="9" custScaleX="123680" custScaleY="123680">
        <dgm:presLayoutVars>
          <dgm:bulletEnabled val="1"/>
        </dgm:presLayoutVars>
      </dgm:prSet>
      <dgm:spPr/>
      <dgm:t>
        <a:bodyPr/>
        <a:lstStyle/>
        <a:p>
          <a:endParaRPr lang="en-GB"/>
        </a:p>
      </dgm:t>
    </dgm:pt>
  </dgm:ptLst>
  <dgm:cxnLst>
    <dgm:cxn modelId="{75B1C514-4F3C-4D1F-BF24-9C443DD04F06}" srcId="{2E76FBC5-23D4-409D-9215-A9A7E348D4FB}" destId="{B1D55C0A-A5C0-473D-A552-9866D57DE46C}" srcOrd="1" destOrd="0" parTransId="{82B36FE4-D6C7-40DB-880E-0A2D1FA09A91}" sibTransId="{471CF33D-F927-4091-9F50-8A12EC2E0C56}"/>
    <dgm:cxn modelId="{5B332B60-FE16-48F3-8018-DAD8661E5D3D}" srcId="{2E76FBC5-23D4-409D-9215-A9A7E348D4FB}" destId="{98874E1F-5140-4211-A3B1-A3AAF18DEA8E}" srcOrd="4" destOrd="0" parTransId="{65C95D64-6EAF-4E6F-B599-6B13B4A45FC6}" sibTransId="{AE9AB584-D7ED-469C-BE35-A0C4F40BA1DD}"/>
    <dgm:cxn modelId="{C7BBDB25-64CB-40E5-A16A-0072556929FD}" type="presOf" srcId="{A509C70C-3AD2-4B34-BB84-4B3C08ED007E}" destId="{EAE0D083-7E2A-4181-B7BE-9849261355C1}" srcOrd="0" destOrd="0" presId="urn:microsoft.com/office/officeart/2005/8/layout/radial3"/>
    <dgm:cxn modelId="{C58B8EBC-15D6-4B44-AA7D-6BD06376AA26}" srcId="{CE985281-DCE1-48A6-8BB8-E167EF2EEB10}" destId="{2E76FBC5-23D4-409D-9215-A9A7E348D4FB}" srcOrd="0" destOrd="0" parTransId="{3CDE365C-3576-4395-A15A-487AF09716C9}" sibTransId="{2E7F8322-4826-4F4A-969D-08F147D81DD6}"/>
    <dgm:cxn modelId="{300C58AC-CC91-43DF-B807-57D75A816F22}" srcId="{2E76FBC5-23D4-409D-9215-A9A7E348D4FB}" destId="{A509C70C-3AD2-4B34-BB84-4B3C08ED007E}" srcOrd="3" destOrd="0" parTransId="{EB4733A2-73A8-47BF-B8C9-1AC7640AF2CA}" sibTransId="{173B35D1-0500-49DA-B818-1892C8C0089A}"/>
    <dgm:cxn modelId="{245A03C5-F859-40EB-9BB5-53AAC25BA490}" type="presOf" srcId="{2E76FBC5-23D4-409D-9215-A9A7E348D4FB}" destId="{A88495ED-10A6-4153-95C7-42C26A2CF814}" srcOrd="0" destOrd="0" presId="urn:microsoft.com/office/officeart/2005/8/layout/radial3"/>
    <dgm:cxn modelId="{6365FFAD-9D2C-4865-B6EF-16A825A2DD94}" type="presOf" srcId="{5F28C4E2-09B3-41AB-805C-7709F4425804}" destId="{CC5ED7C1-9D89-40F0-852C-5F8049385B1C}" srcOrd="0" destOrd="0" presId="urn:microsoft.com/office/officeart/2005/8/layout/radial3"/>
    <dgm:cxn modelId="{42222A91-5F11-405A-A89F-7ED8B3C8B65B}" srcId="{2E76FBC5-23D4-409D-9215-A9A7E348D4FB}" destId="{9ACC6F55-E905-4A34-9F4B-0A64610A4486}" srcOrd="7" destOrd="0" parTransId="{2938EC30-F536-4891-8F6B-A47EF44D44A2}" sibTransId="{3420B70D-36AD-4305-9F38-EB809D8E4B91}"/>
    <dgm:cxn modelId="{18E5E026-FF14-486F-8775-AB4C73315EB0}" type="presOf" srcId="{27F242B7-2285-49C6-9F8B-A2B88F3843BF}" destId="{3C6DD409-1F3B-48E1-9F16-3449F4A5E5AF}" srcOrd="0" destOrd="0" presId="urn:microsoft.com/office/officeart/2005/8/layout/radial3"/>
    <dgm:cxn modelId="{8A7B039F-C37B-4E83-B25C-2C9C55617EA8}" srcId="{2E76FBC5-23D4-409D-9215-A9A7E348D4FB}" destId="{27F242B7-2285-49C6-9F8B-A2B88F3843BF}" srcOrd="2" destOrd="0" parTransId="{AE0682D7-D8BB-442D-9185-8505193DDA75}" sibTransId="{C42C75BF-D45A-4BBA-AC8A-3DBA42C4E1F1}"/>
    <dgm:cxn modelId="{0A2ACE50-E6A3-40F1-A90C-918E7E48849E}" type="presOf" srcId="{98874E1F-5140-4211-A3B1-A3AAF18DEA8E}" destId="{BDB64BC9-243F-4368-9787-0A1050D243B0}" srcOrd="0" destOrd="0" presId="urn:microsoft.com/office/officeart/2005/8/layout/radial3"/>
    <dgm:cxn modelId="{A5FF67DB-92F2-4CAA-868E-51CB86FD9122}" type="presOf" srcId="{B1D55C0A-A5C0-473D-A552-9866D57DE46C}" destId="{2C660007-B540-44C3-B9CF-D1F61C70079C}" srcOrd="0" destOrd="0" presId="urn:microsoft.com/office/officeart/2005/8/layout/radial3"/>
    <dgm:cxn modelId="{D0A49E5C-E3FC-4637-8D63-69CB9F825DEE}" type="presOf" srcId="{CE985281-DCE1-48A6-8BB8-E167EF2EEB10}" destId="{52F07B3E-399C-4AA3-AD09-E34EE7C69A0A}" srcOrd="0" destOrd="0" presId="urn:microsoft.com/office/officeart/2005/8/layout/radial3"/>
    <dgm:cxn modelId="{6BACB7A6-7BCF-45B3-A996-20BE553566BA}" type="presOf" srcId="{89199EB5-C3D1-442B-9E99-3A326F539936}" destId="{9476E7F1-BFFB-4D40-9C86-6059AB648298}" srcOrd="0" destOrd="0" presId="urn:microsoft.com/office/officeart/2005/8/layout/radial3"/>
    <dgm:cxn modelId="{6966655F-0BA7-4C2B-A5AE-C11D75BC2A53}" type="presOf" srcId="{9ACC6F55-E905-4A34-9F4B-0A64610A4486}" destId="{6A6C9B81-8492-48C3-81BE-4C99F12D9771}" srcOrd="0" destOrd="0" presId="urn:microsoft.com/office/officeart/2005/8/layout/radial3"/>
    <dgm:cxn modelId="{DD104266-C791-4B58-BC9F-93B737C8CC0C}" srcId="{2E76FBC5-23D4-409D-9215-A9A7E348D4FB}" destId="{5F28C4E2-09B3-41AB-805C-7709F4425804}" srcOrd="5" destOrd="0" parTransId="{8607935E-873A-4760-8AB2-8CDA62AF9EA3}" sibTransId="{E3CE6B9A-9BD5-4AFE-B9A9-D98A773B99B0}"/>
    <dgm:cxn modelId="{62A5BDBD-F614-4C7A-9776-A673CEE99015}" srcId="{2E76FBC5-23D4-409D-9215-A9A7E348D4FB}" destId="{FE633843-D642-4316-B630-52AE1103808A}" srcOrd="0" destOrd="0" parTransId="{520D9271-907B-4750-97CE-F41E560C0A8E}" sibTransId="{6922621A-80BF-41BD-8E48-511CA4FD727B}"/>
    <dgm:cxn modelId="{2A0D80E5-FACC-490A-A4A1-CA99963F9684}" type="presOf" srcId="{FE633843-D642-4316-B630-52AE1103808A}" destId="{379F8AD1-D5DE-48B1-A80A-DDB68630BE6A}" srcOrd="0" destOrd="0" presId="urn:microsoft.com/office/officeart/2005/8/layout/radial3"/>
    <dgm:cxn modelId="{EF6A2D9A-92DA-4487-9932-C5E5799211E5}" srcId="{2E76FBC5-23D4-409D-9215-A9A7E348D4FB}" destId="{89199EB5-C3D1-442B-9E99-3A326F539936}" srcOrd="6" destOrd="0" parTransId="{485B5C14-3826-47D2-BABC-8D6ECBFCD215}" sibTransId="{876FADE1-8CBA-4B6A-80EC-471D2A040A58}"/>
    <dgm:cxn modelId="{9075B6B6-ADF9-440C-B875-1E6A1C3CDF97}" type="presParOf" srcId="{52F07B3E-399C-4AA3-AD09-E34EE7C69A0A}" destId="{A98CFB56-EBF2-4639-8631-728F3BFBE8B0}" srcOrd="0" destOrd="0" presId="urn:microsoft.com/office/officeart/2005/8/layout/radial3"/>
    <dgm:cxn modelId="{437A0325-A9EC-4245-A9D0-49A28AE27FCE}" type="presParOf" srcId="{A98CFB56-EBF2-4639-8631-728F3BFBE8B0}" destId="{A88495ED-10A6-4153-95C7-42C26A2CF814}" srcOrd="0" destOrd="0" presId="urn:microsoft.com/office/officeart/2005/8/layout/radial3"/>
    <dgm:cxn modelId="{554B834B-1705-4953-AA5B-7EBA8206680A}" type="presParOf" srcId="{A98CFB56-EBF2-4639-8631-728F3BFBE8B0}" destId="{379F8AD1-D5DE-48B1-A80A-DDB68630BE6A}" srcOrd="1" destOrd="0" presId="urn:microsoft.com/office/officeart/2005/8/layout/radial3"/>
    <dgm:cxn modelId="{E56A6005-5ACD-4349-B468-0564D3999A1C}" type="presParOf" srcId="{A98CFB56-EBF2-4639-8631-728F3BFBE8B0}" destId="{2C660007-B540-44C3-B9CF-D1F61C70079C}" srcOrd="2" destOrd="0" presId="urn:microsoft.com/office/officeart/2005/8/layout/radial3"/>
    <dgm:cxn modelId="{45B61A0C-58EC-44DB-9B30-F697FA4D4144}" type="presParOf" srcId="{A98CFB56-EBF2-4639-8631-728F3BFBE8B0}" destId="{3C6DD409-1F3B-48E1-9F16-3449F4A5E5AF}" srcOrd="3" destOrd="0" presId="urn:microsoft.com/office/officeart/2005/8/layout/radial3"/>
    <dgm:cxn modelId="{EE400A53-36F0-4EF8-9FD0-AE3C3BC0294C}" type="presParOf" srcId="{A98CFB56-EBF2-4639-8631-728F3BFBE8B0}" destId="{EAE0D083-7E2A-4181-B7BE-9849261355C1}" srcOrd="4" destOrd="0" presId="urn:microsoft.com/office/officeart/2005/8/layout/radial3"/>
    <dgm:cxn modelId="{D9F8F404-21AD-4B79-8E24-52DA9D2BF5AA}" type="presParOf" srcId="{A98CFB56-EBF2-4639-8631-728F3BFBE8B0}" destId="{BDB64BC9-243F-4368-9787-0A1050D243B0}" srcOrd="5" destOrd="0" presId="urn:microsoft.com/office/officeart/2005/8/layout/radial3"/>
    <dgm:cxn modelId="{C2C18DA2-89DE-4F97-B8B4-ECCE9F359EE9}" type="presParOf" srcId="{A98CFB56-EBF2-4639-8631-728F3BFBE8B0}" destId="{CC5ED7C1-9D89-40F0-852C-5F8049385B1C}" srcOrd="6" destOrd="0" presId="urn:microsoft.com/office/officeart/2005/8/layout/radial3"/>
    <dgm:cxn modelId="{FD9140B0-8708-49BF-98D4-068AFC42306D}" type="presParOf" srcId="{A98CFB56-EBF2-4639-8631-728F3BFBE8B0}" destId="{9476E7F1-BFFB-4D40-9C86-6059AB648298}" srcOrd="7" destOrd="0" presId="urn:microsoft.com/office/officeart/2005/8/layout/radial3"/>
    <dgm:cxn modelId="{235F4FEC-DD22-4A45-BAE7-AD782271996B}" type="presParOf" srcId="{A98CFB56-EBF2-4639-8631-728F3BFBE8B0}" destId="{6A6C9B81-8492-48C3-81BE-4C99F12D9771}" srcOrd="8"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CC81C3A-E932-4DBF-8A39-10012AEAA43A}"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CD2EDD7E-BBF5-4EAF-8A5C-DB4D0E4835B3}">
      <dgm:prSet phldrT="[Text]" custT="1"/>
      <dgm:spPr/>
      <dgm:t>
        <a:bodyPr/>
        <a:lstStyle/>
        <a:p>
          <a:r>
            <a:rPr lang="en-GB" sz="900"/>
            <a:t>PESTLE</a:t>
          </a:r>
        </a:p>
        <a:p>
          <a:r>
            <a:rPr lang="en-GB" sz="900"/>
            <a:t>Framework</a:t>
          </a:r>
        </a:p>
      </dgm:t>
    </dgm:pt>
    <dgm:pt modelId="{DF366D50-D103-4493-8B14-39764B5037F5}" type="parTrans" cxnId="{D2AD76DB-7347-47D8-ADE7-D9AC92D4B4E0}">
      <dgm:prSet/>
      <dgm:spPr/>
      <dgm:t>
        <a:bodyPr/>
        <a:lstStyle/>
        <a:p>
          <a:endParaRPr lang="en-GB" sz="900"/>
        </a:p>
      </dgm:t>
    </dgm:pt>
    <dgm:pt modelId="{A603ECD6-5E45-4000-98FE-90A9592690C4}" type="sibTrans" cxnId="{D2AD76DB-7347-47D8-ADE7-D9AC92D4B4E0}">
      <dgm:prSet/>
      <dgm:spPr/>
      <dgm:t>
        <a:bodyPr/>
        <a:lstStyle/>
        <a:p>
          <a:endParaRPr lang="en-GB" sz="900"/>
        </a:p>
      </dgm:t>
    </dgm:pt>
    <dgm:pt modelId="{79E42DB2-82EC-4E57-8F1D-36964BB19690}">
      <dgm:prSet phldrT="[Text]" custT="1"/>
      <dgm:spPr/>
      <dgm:t>
        <a:bodyPr/>
        <a:lstStyle/>
        <a:p>
          <a:r>
            <a:rPr lang="en-GB" sz="900"/>
            <a:t>Political environment</a:t>
          </a:r>
        </a:p>
      </dgm:t>
    </dgm:pt>
    <dgm:pt modelId="{6D75CFC6-1ED8-4584-9B16-C185DCEB92A3}" type="parTrans" cxnId="{10918775-3B0F-45FF-A75C-0D70B753B2DE}">
      <dgm:prSet/>
      <dgm:spPr/>
      <dgm:t>
        <a:bodyPr/>
        <a:lstStyle/>
        <a:p>
          <a:endParaRPr lang="en-GB" sz="900"/>
        </a:p>
      </dgm:t>
    </dgm:pt>
    <dgm:pt modelId="{8C8BAA41-5750-4FE2-BAE2-5E4DEBE6488A}" type="sibTrans" cxnId="{10918775-3B0F-45FF-A75C-0D70B753B2DE}">
      <dgm:prSet/>
      <dgm:spPr/>
      <dgm:t>
        <a:bodyPr/>
        <a:lstStyle/>
        <a:p>
          <a:endParaRPr lang="en-GB" sz="900"/>
        </a:p>
      </dgm:t>
    </dgm:pt>
    <dgm:pt modelId="{DAC8D39A-B907-457E-8C15-1039D705503B}">
      <dgm:prSet phldrT="[Text]" custT="1"/>
      <dgm:spPr/>
      <dgm:t>
        <a:bodyPr/>
        <a:lstStyle/>
        <a:p>
          <a:r>
            <a:rPr lang="en-GB" sz="900"/>
            <a:t>Economic environment</a:t>
          </a:r>
        </a:p>
      </dgm:t>
    </dgm:pt>
    <dgm:pt modelId="{B12BFC19-131E-4B21-90C7-5DFBE6EA110C}" type="parTrans" cxnId="{F56C289C-2D8E-439F-875D-642696DED896}">
      <dgm:prSet/>
      <dgm:spPr/>
      <dgm:t>
        <a:bodyPr/>
        <a:lstStyle/>
        <a:p>
          <a:endParaRPr lang="en-GB" sz="900"/>
        </a:p>
      </dgm:t>
    </dgm:pt>
    <dgm:pt modelId="{48794BCE-A012-4339-942D-1A5116EC2776}" type="sibTrans" cxnId="{F56C289C-2D8E-439F-875D-642696DED896}">
      <dgm:prSet/>
      <dgm:spPr/>
      <dgm:t>
        <a:bodyPr/>
        <a:lstStyle/>
        <a:p>
          <a:endParaRPr lang="en-GB" sz="900"/>
        </a:p>
      </dgm:t>
    </dgm:pt>
    <dgm:pt modelId="{FD09B3FD-6250-4DBD-BB06-02B7D455141D}">
      <dgm:prSet phldrT="[Text]" custT="1"/>
      <dgm:spPr/>
      <dgm:t>
        <a:bodyPr/>
        <a:lstStyle/>
        <a:p>
          <a:r>
            <a:rPr lang="en-GB" sz="900"/>
            <a:t>Social environment</a:t>
          </a:r>
        </a:p>
      </dgm:t>
    </dgm:pt>
    <dgm:pt modelId="{BA1513EE-9B3A-4EFD-B410-707597E3F7B6}" type="parTrans" cxnId="{A290BA2D-C940-49E7-A6F8-F5ECA9B4E6C6}">
      <dgm:prSet/>
      <dgm:spPr/>
      <dgm:t>
        <a:bodyPr/>
        <a:lstStyle/>
        <a:p>
          <a:endParaRPr lang="en-GB" sz="900"/>
        </a:p>
      </dgm:t>
    </dgm:pt>
    <dgm:pt modelId="{EB3D7BB3-3760-44C5-BB65-FCA2C5AA72B2}" type="sibTrans" cxnId="{A290BA2D-C940-49E7-A6F8-F5ECA9B4E6C6}">
      <dgm:prSet/>
      <dgm:spPr/>
      <dgm:t>
        <a:bodyPr/>
        <a:lstStyle/>
        <a:p>
          <a:endParaRPr lang="en-GB" sz="900"/>
        </a:p>
      </dgm:t>
    </dgm:pt>
    <dgm:pt modelId="{6701D8B3-53F9-433F-9664-D2EC45A895FB}">
      <dgm:prSet phldrT="[Text]" custT="1"/>
      <dgm:spPr/>
      <dgm:t>
        <a:bodyPr/>
        <a:lstStyle/>
        <a:p>
          <a:r>
            <a:rPr lang="en-GB" sz="900"/>
            <a:t>Technological environment</a:t>
          </a:r>
        </a:p>
      </dgm:t>
    </dgm:pt>
    <dgm:pt modelId="{C6D0F586-7641-43E8-870D-28A9307BC652}" type="parTrans" cxnId="{99E7E623-EC6A-4EE3-98E3-F978908F64F4}">
      <dgm:prSet/>
      <dgm:spPr/>
      <dgm:t>
        <a:bodyPr/>
        <a:lstStyle/>
        <a:p>
          <a:endParaRPr lang="en-GB" sz="900"/>
        </a:p>
      </dgm:t>
    </dgm:pt>
    <dgm:pt modelId="{2D29C429-85E6-4FB9-9D33-E3BEA3EC17A6}" type="sibTrans" cxnId="{99E7E623-EC6A-4EE3-98E3-F978908F64F4}">
      <dgm:prSet/>
      <dgm:spPr/>
      <dgm:t>
        <a:bodyPr/>
        <a:lstStyle/>
        <a:p>
          <a:endParaRPr lang="en-GB" sz="900"/>
        </a:p>
      </dgm:t>
    </dgm:pt>
    <dgm:pt modelId="{0B5F8607-94F3-449A-BC0E-F092D436EAD5}">
      <dgm:prSet phldrT="[Text]" custT="1"/>
      <dgm:spPr/>
      <dgm:t>
        <a:bodyPr/>
        <a:lstStyle/>
        <a:p>
          <a:r>
            <a:rPr lang="en-GB" sz="900"/>
            <a:t>Ecological environment</a:t>
          </a:r>
        </a:p>
      </dgm:t>
    </dgm:pt>
    <dgm:pt modelId="{FF5ED909-F68E-463E-A921-D146D770A204}" type="parTrans" cxnId="{280876A1-0DFC-40D1-9F9A-FEEC713A0BAF}">
      <dgm:prSet/>
      <dgm:spPr/>
      <dgm:t>
        <a:bodyPr/>
        <a:lstStyle/>
        <a:p>
          <a:endParaRPr lang="en-GB" sz="900"/>
        </a:p>
      </dgm:t>
    </dgm:pt>
    <dgm:pt modelId="{A6C9B02B-2AE4-4D55-BAD6-93E459EC99F5}" type="sibTrans" cxnId="{280876A1-0DFC-40D1-9F9A-FEEC713A0BAF}">
      <dgm:prSet/>
      <dgm:spPr/>
      <dgm:t>
        <a:bodyPr/>
        <a:lstStyle/>
        <a:p>
          <a:endParaRPr lang="en-GB" sz="900"/>
        </a:p>
      </dgm:t>
    </dgm:pt>
    <dgm:pt modelId="{EAC3DEC4-BD70-499C-9C85-E572845D1A4B}">
      <dgm:prSet custT="1"/>
      <dgm:spPr/>
      <dgm:t>
        <a:bodyPr/>
        <a:lstStyle/>
        <a:p>
          <a:r>
            <a:rPr lang="en-GB" sz="900"/>
            <a:t>Legal environment</a:t>
          </a:r>
        </a:p>
      </dgm:t>
    </dgm:pt>
    <dgm:pt modelId="{81B8FDD3-D773-4A23-97CE-B0150BAB98BD}" type="parTrans" cxnId="{D095D662-FAAE-4577-9250-5D7DF04F5462}">
      <dgm:prSet/>
      <dgm:spPr/>
      <dgm:t>
        <a:bodyPr/>
        <a:lstStyle/>
        <a:p>
          <a:endParaRPr lang="en-GB" sz="900"/>
        </a:p>
      </dgm:t>
    </dgm:pt>
    <dgm:pt modelId="{5B7B3306-9AC5-4FD6-AC71-34CA35991940}" type="sibTrans" cxnId="{D095D662-FAAE-4577-9250-5D7DF04F5462}">
      <dgm:prSet/>
      <dgm:spPr/>
      <dgm:t>
        <a:bodyPr/>
        <a:lstStyle/>
        <a:p>
          <a:endParaRPr lang="en-GB" sz="900"/>
        </a:p>
      </dgm:t>
    </dgm:pt>
    <dgm:pt modelId="{CBEDA8B0-64EB-43CF-AE05-1B1DB6BEF200}" type="pres">
      <dgm:prSet presAssocID="{1CC81C3A-E932-4DBF-8A39-10012AEAA43A}" presName="Name0" presStyleCnt="0">
        <dgm:presLayoutVars>
          <dgm:chMax val="1"/>
          <dgm:dir/>
          <dgm:animLvl val="ctr"/>
          <dgm:resizeHandles val="exact"/>
        </dgm:presLayoutVars>
      </dgm:prSet>
      <dgm:spPr/>
      <dgm:t>
        <a:bodyPr/>
        <a:lstStyle/>
        <a:p>
          <a:endParaRPr lang="en-GB"/>
        </a:p>
      </dgm:t>
    </dgm:pt>
    <dgm:pt modelId="{1E7C9CCF-35C8-4E05-B342-FD9D92C6833B}" type="pres">
      <dgm:prSet presAssocID="{CD2EDD7E-BBF5-4EAF-8A5C-DB4D0E4835B3}" presName="centerShape" presStyleLbl="node0" presStyleIdx="0" presStyleCnt="1"/>
      <dgm:spPr/>
      <dgm:t>
        <a:bodyPr/>
        <a:lstStyle/>
        <a:p>
          <a:endParaRPr lang="en-GB"/>
        </a:p>
      </dgm:t>
    </dgm:pt>
    <dgm:pt modelId="{5D7904D2-535B-4FE4-8432-156F8A83BF3A}" type="pres">
      <dgm:prSet presAssocID="{79E42DB2-82EC-4E57-8F1D-36964BB19690}" presName="node" presStyleLbl="node1" presStyleIdx="0" presStyleCnt="6" custScaleX="118284" custScaleY="109640" custRadScaleRad="100082" custRadScaleInc="4838">
        <dgm:presLayoutVars>
          <dgm:bulletEnabled val="1"/>
        </dgm:presLayoutVars>
      </dgm:prSet>
      <dgm:spPr/>
      <dgm:t>
        <a:bodyPr/>
        <a:lstStyle/>
        <a:p>
          <a:endParaRPr lang="en-GB"/>
        </a:p>
      </dgm:t>
    </dgm:pt>
    <dgm:pt modelId="{CF314341-74B0-4F20-82D6-821D52E3AA55}" type="pres">
      <dgm:prSet presAssocID="{79E42DB2-82EC-4E57-8F1D-36964BB19690}" presName="dummy" presStyleCnt="0"/>
      <dgm:spPr/>
    </dgm:pt>
    <dgm:pt modelId="{2E1D54EE-36B1-4530-8405-819D4EC35CBD}" type="pres">
      <dgm:prSet presAssocID="{8C8BAA41-5750-4FE2-BAE2-5E4DEBE6488A}" presName="sibTrans" presStyleLbl="sibTrans2D1" presStyleIdx="0" presStyleCnt="6"/>
      <dgm:spPr/>
      <dgm:t>
        <a:bodyPr/>
        <a:lstStyle/>
        <a:p>
          <a:endParaRPr lang="en-GB"/>
        </a:p>
      </dgm:t>
    </dgm:pt>
    <dgm:pt modelId="{A69386A5-D3EF-4B8E-B0C0-B7FDA09CCB8B}" type="pres">
      <dgm:prSet presAssocID="{DAC8D39A-B907-457E-8C15-1039D705503B}" presName="node" presStyleLbl="node1" presStyleIdx="1" presStyleCnt="6" custScaleX="118284" custScaleY="109640" custRadScaleRad="101501" custRadScaleInc="2219">
        <dgm:presLayoutVars>
          <dgm:bulletEnabled val="1"/>
        </dgm:presLayoutVars>
      </dgm:prSet>
      <dgm:spPr/>
      <dgm:t>
        <a:bodyPr/>
        <a:lstStyle/>
        <a:p>
          <a:endParaRPr lang="en-GB"/>
        </a:p>
      </dgm:t>
    </dgm:pt>
    <dgm:pt modelId="{AB394090-7350-447F-BC0B-0D3F338B48B4}" type="pres">
      <dgm:prSet presAssocID="{DAC8D39A-B907-457E-8C15-1039D705503B}" presName="dummy" presStyleCnt="0"/>
      <dgm:spPr/>
    </dgm:pt>
    <dgm:pt modelId="{A586F4B5-F113-4561-A716-7C29CB309F3A}" type="pres">
      <dgm:prSet presAssocID="{48794BCE-A012-4339-942D-1A5116EC2776}" presName="sibTrans" presStyleLbl="sibTrans2D1" presStyleIdx="1" presStyleCnt="6"/>
      <dgm:spPr/>
      <dgm:t>
        <a:bodyPr/>
        <a:lstStyle/>
        <a:p>
          <a:endParaRPr lang="en-GB"/>
        </a:p>
      </dgm:t>
    </dgm:pt>
    <dgm:pt modelId="{CB06C608-9FFA-4A3E-9051-965C404AD013}" type="pres">
      <dgm:prSet presAssocID="{FD09B3FD-6250-4DBD-BB06-02B7D455141D}" presName="node" presStyleLbl="node1" presStyleIdx="2" presStyleCnt="6" custScaleX="118284" custScaleY="109640" custRadScaleRad="101434" custRadScaleInc="-2553">
        <dgm:presLayoutVars>
          <dgm:bulletEnabled val="1"/>
        </dgm:presLayoutVars>
      </dgm:prSet>
      <dgm:spPr/>
      <dgm:t>
        <a:bodyPr/>
        <a:lstStyle/>
        <a:p>
          <a:endParaRPr lang="en-GB"/>
        </a:p>
      </dgm:t>
    </dgm:pt>
    <dgm:pt modelId="{3673DA44-56BD-4742-A5BE-3E174CD372E6}" type="pres">
      <dgm:prSet presAssocID="{FD09B3FD-6250-4DBD-BB06-02B7D455141D}" presName="dummy" presStyleCnt="0"/>
      <dgm:spPr/>
    </dgm:pt>
    <dgm:pt modelId="{84BF8DA9-3F16-4D4E-80BC-903F50AF6B8A}" type="pres">
      <dgm:prSet presAssocID="{EB3D7BB3-3760-44C5-BB65-FCA2C5AA72B2}" presName="sibTrans" presStyleLbl="sibTrans2D1" presStyleIdx="2" presStyleCnt="6"/>
      <dgm:spPr/>
      <dgm:t>
        <a:bodyPr/>
        <a:lstStyle/>
        <a:p>
          <a:endParaRPr lang="en-GB"/>
        </a:p>
      </dgm:t>
    </dgm:pt>
    <dgm:pt modelId="{E6A5CE78-6369-4BC5-B26B-2D60A1475FB3}" type="pres">
      <dgm:prSet presAssocID="{6701D8B3-53F9-433F-9664-D2EC45A895FB}" presName="node" presStyleLbl="node1" presStyleIdx="3" presStyleCnt="6" custScaleX="118284" custScaleY="109640" custRadScaleRad="99946" custRadScaleInc="-4845">
        <dgm:presLayoutVars>
          <dgm:bulletEnabled val="1"/>
        </dgm:presLayoutVars>
      </dgm:prSet>
      <dgm:spPr/>
      <dgm:t>
        <a:bodyPr/>
        <a:lstStyle/>
        <a:p>
          <a:endParaRPr lang="en-GB"/>
        </a:p>
      </dgm:t>
    </dgm:pt>
    <dgm:pt modelId="{4579DA2F-4AB1-40E4-A299-F2BFF40E7D63}" type="pres">
      <dgm:prSet presAssocID="{6701D8B3-53F9-433F-9664-D2EC45A895FB}" presName="dummy" presStyleCnt="0"/>
      <dgm:spPr/>
    </dgm:pt>
    <dgm:pt modelId="{24F0835B-B931-4224-A075-6B8242676432}" type="pres">
      <dgm:prSet presAssocID="{2D29C429-85E6-4FB9-9D33-E3BEA3EC17A6}" presName="sibTrans" presStyleLbl="sibTrans2D1" presStyleIdx="3" presStyleCnt="6"/>
      <dgm:spPr/>
      <dgm:t>
        <a:bodyPr/>
        <a:lstStyle/>
        <a:p>
          <a:endParaRPr lang="en-GB"/>
        </a:p>
      </dgm:t>
    </dgm:pt>
    <dgm:pt modelId="{05509999-0947-4741-9D89-AFAA3CB299DA}" type="pres">
      <dgm:prSet presAssocID="{0B5F8607-94F3-449A-BC0E-F092D436EAD5}" presName="node" presStyleLbl="node1" presStyleIdx="4" presStyleCnt="6" custScaleX="118284" custScaleY="109640" custRadScaleRad="98505" custRadScaleInc="-2286">
        <dgm:presLayoutVars>
          <dgm:bulletEnabled val="1"/>
        </dgm:presLayoutVars>
      </dgm:prSet>
      <dgm:spPr/>
      <dgm:t>
        <a:bodyPr/>
        <a:lstStyle/>
        <a:p>
          <a:endParaRPr lang="en-GB"/>
        </a:p>
      </dgm:t>
    </dgm:pt>
    <dgm:pt modelId="{0FAC734D-B665-4DBC-915C-4320F462A096}" type="pres">
      <dgm:prSet presAssocID="{0B5F8607-94F3-449A-BC0E-F092D436EAD5}" presName="dummy" presStyleCnt="0"/>
      <dgm:spPr/>
    </dgm:pt>
    <dgm:pt modelId="{9B90CBC7-0C65-44AE-8AB7-95DEB403A32C}" type="pres">
      <dgm:prSet presAssocID="{A6C9B02B-2AE4-4D55-BAD6-93E459EC99F5}" presName="sibTrans" presStyleLbl="sibTrans2D1" presStyleIdx="4" presStyleCnt="6"/>
      <dgm:spPr/>
      <dgm:t>
        <a:bodyPr/>
        <a:lstStyle/>
        <a:p>
          <a:endParaRPr lang="en-GB"/>
        </a:p>
      </dgm:t>
    </dgm:pt>
    <dgm:pt modelId="{62945937-D54A-4E78-AE20-4D2EEC37B009}" type="pres">
      <dgm:prSet presAssocID="{EAC3DEC4-BD70-499C-9C85-E572845D1A4B}" presName="node" presStyleLbl="node1" presStyleIdx="5" presStyleCnt="6" custScaleX="118284" custScaleY="109640" custRadScaleRad="98574" custRadScaleInc="2628">
        <dgm:presLayoutVars>
          <dgm:bulletEnabled val="1"/>
        </dgm:presLayoutVars>
      </dgm:prSet>
      <dgm:spPr/>
      <dgm:t>
        <a:bodyPr/>
        <a:lstStyle/>
        <a:p>
          <a:endParaRPr lang="en-GB"/>
        </a:p>
      </dgm:t>
    </dgm:pt>
    <dgm:pt modelId="{852F835A-F0A4-4288-9169-0575C124BE1D}" type="pres">
      <dgm:prSet presAssocID="{EAC3DEC4-BD70-499C-9C85-E572845D1A4B}" presName="dummy" presStyleCnt="0"/>
      <dgm:spPr/>
    </dgm:pt>
    <dgm:pt modelId="{AB0F1A7A-F895-4E82-B4C1-BC18ED387CB3}" type="pres">
      <dgm:prSet presAssocID="{5B7B3306-9AC5-4FD6-AC71-34CA35991940}" presName="sibTrans" presStyleLbl="sibTrans2D1" presStyleIdx="5" presStyleCnt="6"/>
      <dgm:spPr/>
      <dgm:t>
        <a:bodyPr/>
        <a:lstStyle/>
        <a:p>
          <a:endParaRPr lang="en-GB"/>
        </a:p>
      </dgm:t>
    </dgm:pt>
  </dgm:ptLst>
  <dgm:cxnLst>
    <dgm:cxn modelId="{AAF2B8C9-9511-4C27-9434-E0E27982F0F2}" type="presOf" srcId="{EB3D7BB3-3760-44C5-BB65-FCA2C5AA72B2}" destId="{84BF8DA9-3F16-4D4E-80BC-903F50AF6B8A}" srcOrd="0" destOrd="0" presId="urn:microsoft.com/office/officeart/2005/8/layout/radial6"/>
    <dgm:cxn modelId="{E581355B-33C4-4F1C-ABC0-2C1322C3ABA9}" type="presOf" srcId="{A6C9B02B-2AE4-4D55-BAD6-93E459EC99F5}" destId="{9B90CBC7-0C65-44AE-8AB7-95DEB403A32C}" srcOrd="0" destOrd="0" presId="urn:microsoft.com/office/officeart/2005/8/layout/radial6"/>
    <dgm:cxn modelId="{F65CAE66-137E-4340-8E93-44F19A1FAC45}" type="presOf" srcId="{79E42DB2-82EC-4E57-8F1D-36964BB19690}" destId="{5D7904D2-535B-4FE4-8432-156F8A83BF3A}" srcOrd="0" destOrd="0" presId="urn:microsoft.com/office/officeart/2005/8/layout/radial6"/>
    <dgm:cxn modelId="{201846AF-9840-4122-8565-033A10F81167}" type="presOf" srcId="{DAC8D39A-B907-457E-8C15-1039D705503B}" destId="{A69386A5-D3EF-4B8E-B0C0-B7FDA09CCB8B}" srcOrd="0" destOrd="0" presId="urn:microsoft.com/office/officeart/2005/8/layout/radial6"/>
    <dgm:cxn modelId="{E1AB9C38-BB46-4CB2-8EC0-C41F8EAFF3E5}" type="presOf" srcId="{6701D8B3-53F9-433F-9664-D2EC45A895FB}" destId="{E6A5CE78-6369-4BC5-B26B-2D60A1475FB3}" srcOrd="0" destOrd="0" presId="urn:microsoft.com/office/officeart/2005/8/layout/radial6"/>
    <dgm:cxn modelId="{99E7E623-EC6A-4EE3-98E3-F978908F64F4}" srcId="{CD2EDD7E-BBF5-4EAF-8A5C-DB4D0E4835B3}" destId="{6701D8B3-53F9-433F-9664-D2EC45A895FB}" srcOrd="3" destOrd="0" parTransId="{C6D0F586-7641-43E8-870D-28A9307BC652}" sibTransId="{2D29C429-85E6-4FB9-9D33-E3BEA3EC17A6}"/>
    <dgm:cxn modelId="{434BC3CD-E4CA-46F6-9322-3DD900760554}" type="presOf" srcId="{5B7B3306-9AC5-4FD6-AC71-34CA35991940}" destId="{AB0F1A7A-F895-4E82-B4C1-BC18ED387CB3}" srcOrd="0" destOrd="0" presId="urn:microsoft.com/office/officeart/2005/8/layout/radial6"/>
    <dgm:cxn modelId="{F56C289C-2D8E-439F-875D-642696DED896}" srcId="{CD2EDD7E-BBF5-4EAF-8A5C-DB4D0E4835B3}" destId="{DAC8D39A-B907-457E-8C15-1039D705503B}" srcOrd="1" destOrd="0" parTransId="{B12BFC19-131E-4B21-90C7-5DFBE6EA110C}" sibTransId="{48794BCE-A012-4339-942D-1A5116EC2776}"/>
    <dgm:cxn modelId="{F568E221-F3FC-45CA-86FE-31BA64C71AA0}" type="presOf" srcId="{EAC3DEC4-BD70-499C-9C85-E572845D1A4B}" destId="{62945937-D54A-4E78-AE20-4D2EEC37B009}" srcOrd="0" destOrd="0" presId="urn:microsoft.com/office/officeart/2005/8/layout/radial6"/>
    <dgm:cxn modelId="{F6A0662C-EBA0-45EC-8FEB-35ED061ABCA1}" type="presOf" srcId="{FD09B3FD-6250-4DBD-BB06-02B7D455141D}" destId="{CB06C608-9FFA-4A3E-9051-965C404AD013}" srcOrd="0" destOrd="0" presId="urn:microsoft.com/office/officeart/2005/8/layout/radial6"/>
    <dgm:cxn modelId="{97879DB8-509C-446B-B428-AC6763B2DFE2}" type="presOf" srcId="{2D29C429-85E6-4FB9-9D33-E3BEA3EC17A6}" destId="{24F0835B-B931-4224-A075-6B8242676432}" srcOrd="0" destOrd="0" presId="urn:microsoft.com/office/officeart/2005/8/layout/radial6"/>
    <dgm:cxn modelId="{D095D662-FAAE-4577-9250-5D7DF04F5462}" srcId="{CD2EDD7E-BBF5-4EAF-8A5C-DB4D0E4835B3}" destId="{EAC3DEC4-BD70-499C-9C85-E572845D1A4B}" srcOrd="5" destOrd="0" parTransId="{81B8FDD3-D773-4A23-97CE-B0150BAB98BD}" sibTransId="{5B7B3306-9AC5-4FD6-AC71-34CA35991940}"/>
    <dgm:cxn modelId="{EA4F62B8-9C00-4705-9303-1EC52DC5B496}" type="presOf" srcId="{CD2EDD7E-BBF5-4EAF-8A5C-DB4D0E4835B3}" destId="{1E7C9CCF-35C8-4E05-B342-FD9D92C6833B}" srcOrd="0" destOrd="0" presId="urn:microsoft.com/office/officeart/2005/8/layout/radial6"/>
    <dgm:cxn modelId="{280876A1-0DFC-40D1-9F9A-FEEC713A0BAF}" srcId="{CD2EDD7E-BBF5-4EAF-8A5C-DB4D0E4835B3}" destId="{0B5F8607-94F3-449A-BC0E-F092D436EAD5}" srcOrd="4" destOrd="0" parTransId="{FF5ED909-F68E-463E-A921-D146D770A204}" sibTransId="{A6C9B02B-2AE4-4D55-BAD6-93E459EC99F5}"/>
    <dgm:cxn modelId="{32E7D0B0-17C5-464A-93CF-9BADA8B73A05}" type="presOf" srcId="{0B5F8607-94F3-449A-BC0E-F092D436EAD5}" destId="{05509999-0947-4741-9D89-AFAA3CB299DA}" srcOrd="0" destOrd="0" presId="urn:microsoft.com/office/officeart/2005/8/layout/radial6"/>
    <dgm:cxn modelId="{D2AD76DB-7347-47D8-ADE7-D9AC92D4B4E0}" srcId="{1CC81C3A-E932-4DBF-8A39-10012AEAA43A}" destId="{CD2EDD7E-BBF5-4EAF-8A5C-DB4D0E4835B3}" srcOrd="0" destOrd="0" parTransId="{DF366D50-D103-4493-8B14-39764B5037F5}" sibTransId="{A603ECD6-5E45-4000-98FE-90A9592690C4}"/>
    <dgm:cxn modelId="{A290BA2D-C940-49E7-A6F8-F5ECA9B4E6C6}" srcId="{CD2EDD7E-BBF5-4EAF-8A5C-DB4D0E4835B3}" destId="{FD09B3FD-6250-4DBD-BB06-02B7D455141D}" srcOrd="2" destOrd="0" parTransId="{BA1513EE-9B3A-4EFD-B410-707597E3F7B6}" sibTransId="{EB3D7BB3-3760-44C5-BB65-FCA2C5AA72B2}"/>
    <dgm:cxn modelId="{AE768005-85BF-45BF-AF2C-C0D21A30A7DB}" type="presOf" srcId="{1CC81C3A-E932-4DBF-8A39-10012AEAA43A}" destId="{CBEDA8B0-64EB-43CF-AE05-1B1DB6BEF200}" srcOrd="0" destOrd="0" presId="urn:microsoft.com/office/officeart/2005/8/layout/radial6"/>
    <dgm:cxn modelId="{EA82F951-C5A1-4775-AA5D-C199270F649F}" type="presOf" srcId="{8C8BAA41-5750-4FE2-BAE2-5E4DEBE6488A}" destId="{2E1D54EE-36B1-4530-8405-819D4EC35CBD}" srcOrd="0" destOrd="0" presId="urn:microsoft.com/office/officeart/2005/8/layout/radial6"/>
    <dgm:cxn modelId="{C5462579-3B76-4040-A027-930FC49C90CC}" type="presOf" srcId="{48794BCE-A012-4339-942D-1A5116EC2776}" destId="{A586F4B5-F113-4561-A716-7C29CB309F3A}" srcOrd="0" destOrd="0" presId="urn:microsoft.com/office/officeart/2005/8/layout/radial6"/>
    <dgm:cxn modelId="{10918775-3B0F-45FF-A75C-0D70B753B2DE}" srcId="{CD2EDD7E-BBF5-4EAF-8A5C-DB4D0E4835B3}" destId="{79E42DB2-82EC-4E57-8F1D-36964BB19690}" srcOrd="0" destOrd="0" parTransId="{6D75CFC6-1ED8-4584-9B16-C185DCEB92A3}" sibTransId="{8C8BAA41-5750-4FE2-BAE2-5E4DEBE6488A}"/>
    <dgm:cxn modelId="{6558E08E-4675-4772-82CD-EE8BBD1BEC12}" type="presParOf" srcId="{CBEDA8B0-64EB-43CF-AE05-1B1DB6BEF200}" destId="{1E7C9CCF-35C8-4E05-B342-FD9D92C6833B}" srcOrd="0" destOrd="0" presId="urn:microsoft.com/office/officeart/2005/8/layout/radial6"/>
    <dgm:cxn modelId="{D2DF41C0-AEF7-43C0-8E54-77BEBE2AE15E}" type="presParOf" srcId="{CBEDA8B0-64EB-43CF-AE05-1B1DB6BEF200}" destId="{5D7904D2-535B-4FE4-8432-156F8A83BF3A}" srcOrd="1" destOrd="0" presId="urn:microsoft.com/office/officeart/2005/8/layout/radial6"/>
    <dgm:cxn modelId="{34283B08-79A6-471C-98CC-C8674E40890B}" type="presParOf" srcId="{CBEDA8B0-64EB-43CF-AE05-1B1DB6BEF200}" destId="{CF314341-74B0-4F20-82D6-821D52E3AA55}" srcOrd="2" destOrd="0" presId="urn:microsoft.com/office/officeart/2005/8/layout/radial6"/>
    <dgm:cxn modelId="{BFAF185B-485B-4421-9059-B12DDF0ACAA2}" type="presParOf" srcId="{CBEDA8B0-64EB-43CF-AE05-1B1DB6BEF200}" destId="{2E1D54EE-36B1-4530-8405-819D4EC35CBD}" srcOrd="3" destOrd="0" presId="urn:microsoft.com/office/officeart/2005/8/layout/radial6"/>
    <dgm:cxn modelId="{439F9433-7C74-4D14-AADD-18E6832595E8}" type="presParOf" srcId="{CBEDA8B0-64EB-43CF-AE05-1B1DB6BEF200}" destId="{A69386A5-D3EF-4B8E-B0C0-B7FDA09CCB8B}" srcOrd="4" destOrd="0" presId="urn:microsoft.com/office/officeart/2005/8/layout/radial6"/>
    <dgm:cxn modelId="{EC8955EA-FCF6-4183-9C1A-951D08A86801}" type="presParOf" srcId="{CBEDA8B0-64EB-43CF-AE05-1B1DB6BEF200}" destId="{AB394090-7350-447F-BC0B-0D3F338B48B4}" srcOrd="5" destOrd="0" presId="urn:microsoft.com/office/officeart/2005/8/layout/radial6"/>
    <dgm:cxn modelId="{2E6D82FE-B4CF-48CE-B94A-1AB72DA9C3AB}" type="presParOf" srcId="{CBEDA8B0-64EB-43CF-AE05-1B1DB6BEF200}" destId="{A586F4B5-F113-4561-A716-7C29CB309F3A}" srcOrd="6" destOrd="0" presId="urn:microsoft.com/office/officeart/2005/8/layout/radial6"/>
    <dgm:cxn modelId="{EEE17E2E-2903-452B-A61B-4DFCE66ED788}" type="presParOf" srcId="{CBEDA8B0-64EB-43CF-AE05-1B1DB6BEF200}" destId="{CB06C608-9FFA-4A3E-9051-965C404AD013}" srcOrd="7" destOrd="0" presId="urn:microsoft.com/office/officeart/2005/8/layout/radial6"/>
    <dgm:cxn modelId="{536AF0CC-9544-4FFC-88A6-2634406AF3EB}" type="presParOf" srcId="{CBEDA8B0-64EB-43CF-AE05-1B1DB6BEF200}" destId="{3673DA44-56BD-4742-A5BE-3E174CD372E6}" srcOrd="8" destOrd="0" presId="urn:microsoft.com/office/officeart/2005/8/layout/radial6"/>
    <dgm:cxn modelId="{DD2093DB-10CB-47CC-81F0-B31B106D86BD}" type="presParOf" srcId="{CBEDA8B0-64EB-43CF-AE05-1B1DB6BEF200}" destId="{84BF8DA9-3F16-4D4E-80BC-903F50AF6B8A}" srcOrd="9" destOrd="0" presId="urn:microsoft.com/office/officeart/2005/8/layout/radial6"/>
    <dgm:cxn modelId="{61F96C20-A53C-4B5D-B870-CB14E81249FE}" type="presParOf" srcId="{CBEDA8B0-64EB-43CF-AE05-1B1DB6BEF200}" destId="{E6A5CE78-6369-4BC5-B26B-2D60A1475FB3}" srcOrd="10" destOrd="0" presId="urn:microsoft.com/office/officeart/2005/8/layout/radial6"/>
    <dgm:cxn modelId="{C0031206-8F24-4024-AAF3-5DF06928B138}" type="presParOf" srcId="{CBEDA8B0-64EB-43CF-AE05-1B1DB6BEF200}" destId="{4579DA2F-4AB1-40E4-A299-F2BFF40E7D63}" srcOrd="11" destOrd="0" presId="urn:microsoft.com/office/officeart/2005/8/layout/radial6"/>
    <dgm:cxn modelId="{408E1C99-851B-49B8-B80B-644437B4D989}" type="presParOf" srcId="{CBEDA8B0-64EB-43CF-AE05-1B1DB6BEF200}" destId="{24F0835B-B931-4224-A075-6B8242676432}" srcOrd="12" destOrd="0" presId="urn:microsoft.com/office/officeart/2005/8/layout/radial6"/>
    <dgm:cxn modelId="{9748E5FB-0B60-4538-9A43-8B745EF7EABD}" type="presParOf" srcId="{CBEDA8B0-64EB-43CF-AE05-1B1DB6BEF200}" destId="{05509999-0947-4741-9D89-AFAA3CB299DA}" srcOrd="13" destOrd="0" presId="urn:microsoft.com/office/officeart/2005/8/layout/radial6"/>
    <dgm:cxn modelId="{299DBE89-FA78-4136-8546-294BA815AF69}" type="presParOf" srcId="{CBEDA8B0-64EB-43CF-AE05-1B1DB6BEF200}" destId="{0FAC734D-B665-4DBC-915C-4320F462A096}" srcOrd="14" destOrd="0" presId="urn:microsoft.com/office/officeart/2005/8/layout/radial6"/>
    <dgm:cxn modelId="{D68AB8C9-B569-48E3-BA11-FDAC78B2F380}" type="presParOf" srcId="{CBEDA8B0-64EB-43CF-AE05-1B1DB6BEF200}" destId="{9B90CBC7-0C65-44AE-8AB7-95DEB403A32C}" srcOrd="15" destOrd="0" presId="urn:microsoft.com/office/officeart/2005/8/layout/radial6"/>
    <dgm:cxn modelId="{4670C3F8-1803-4691-A9E5-A11F17F85ED7}" type="presParOf" srcId="{CBEDA8B0-64EB-43CF-AE05-1B1DB6BEF200}" destId="{62945937-D54A-4E78-AE20-4D2EEC37B009}" srcOrd="16" destOrd="0" presId="urn:microsoft.com/office/officeart/2005/8/layout/radial6"/>
    <dgm:cxn modelId="{9B297961-ECF0-42EB-9E29-0B6807F7499C}" type="presParOf" srcId="{CBEDA8B0-64EB-43CF-AE05-1B1DB6BEF200}" destId="{852F835A-F0A4-4288-9169-0575C124BE1D}" srcOrd="17" destOrd="0" presId="urn:microsoft.com/office/officeart/2005/8/layout/radial6"/>
    <dgm:cxn modelId="{A05AF650-B533-4D33-A70C-615AFDC78CD2}" type="presParOf" srcId="{CBEDA8B0-64EB-43CF-AE05-1B1DB6BEF200}" destId="{AB0F1A7A-F895-4E82-B4C1-BC18ED387CB3}" srcOrd="18" destOrd="0" presId="urn:microsoft.com/office/officeart/2005/8/layout/radial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13FF2A1-5593-4265-9C0E-899A699209A7}"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0AB5516D-6806-4896-9DCB-902B882A2008}">
      <dgm:prSet phldrT="[Text]"/>
      <dgm:spPr/>
      <dgm:t>
        <a:bodyPr/>
        <a:lstStyle/>
        <a:p>
          <a:r>
            <a:rPr lang="en-GB"/>
            <a:t>Competitive rivalry</a:t>
          </a:r>
        </a:p>
      </dgm:t>
    </dgm:pt>
    <dgm:pt modelId="{4D0A6FA3-66A0-4107-9A2E-134B665BA704}" type="parTrans" cxnId="{FC329E4D-0E0B-486E-BFB2-64F0F5350CAF}">
      <dgm:prSet/>
      <dgm:spPr/>
      <dgm:t>
        <a:bodyPr/>
        <a:lstStyle/>
        <a:p>
          <a:endParaRPr lang="en-GB"/>
        </a:p>
      </dgm:t>
    </dgm:pt>
    <dgm:pt modelId="{A8095914-554E-4C04-B277-67D4672B7F7E}" type="sibTrans" cxnId="{FC329E4D-0E0B-486E-BFB2-64F0F5350CAF}">
      <dgm:prSet/>
      <dgm:spPr/>
      <dgm:t>
        <a:bodyPr/>
        <a:lstStyle/>
        <a:p>
          <a:endParaRPr lang="en-GB"/>
        </a:p>
      </dgm:t>
    </dgm:pt>
    <dgm:pt modelId="{ADE80142-B7D9-4621-9D94-06A63C314E8D}">
      <dgm:prSet phldrT="[Text]"/>
      <dgm:spPr/>
      <dgm:t>
        <a:bodyPr/>
        <a:lstStyle/>
        <a:p>
          <a:r>
            <a:rPr lang="en-GB"/>
            <a:t>Threats of new entrants</a:t>
          </a:r>
        </a:p>
      </dgm:t>
    </dgm:pt>
    <dgm:pt modelId="{D45F0E48-6B34-46FC-8F6D-AE3BE1BAE27F}" type="parTrans" cxnId="{CB3C4E63-17E8-49B4-A9AE-F63FE6FB3FAD}">
      <dgm:prSet/>
      <dgm:spPr/>
      <dgm:t>
        <a:bodyPr/>
        <a:lstStyle/>
        <a:p>
          <a:endParaRPr lang="en-GB"/>
        </a:p>
      </dgm:t>
    </dgm:pt>
    <dgm:pt modelId="{5A651C52-A055-425E-9505-8CB169902951}" type="sibTrans" cxnId="{CB3C4E63-17E8-49B4-A9AE-F63FE6FB3FAD}">
      <dgm:prSet/>
      <dgm:spPr/>
      <dgm:t>
        <a:bodyPr/>
        <a:lstStyle/>
        <a:p>
          <a:endParaRPr lang="en-GB"/>
        </a:p>
      </dgm:t>
    </dgm:pt>
    <dgm:pt modelId="{9C0BF1E6-7EE2-4286-B33F-928CB84D76B0}">
      <dgm:prSet phldrT="[Text]"/>
      <dgm:spPr/>
      <dgm:t>
        <a:bodyPr/>
        <a:lstStyle/>
        <a:p>
          <a:r>
            <a:rPr lang="en-GB"/>
            <a:t>Threats of substitutes</a:t>
          </a:r>
        </a:p>
      </dgm:t>
    </dgm:pt>
    <dgm:pt modelId="{A97E6CE5-B9F4-43EB-89F2-9F3C227EE55F}" type="parTrans" cxnId="{0F772FE5-BF5A-44D8-9E8F-7150059BDDD8}">
      <dgm:prSet/>
      <dgm:spPr/>
      <dgm:t>
        <a:bodyPr/>
        <a:lstStyle/>
        <a:p>
          <a:endParaRPr lang="en-GB"/>
        </a:p>
      </dgm:t>
    </dgm:pt>
    <dgm:pt modelId="{6CD7A8EA-F526-45F4-9045-B92EE6125EFC}" type="sibTrans" cxnId="{0F772FE5-BF5A-44D8-9E8F-7150059BDDD8}">
      <dgm:prSet/>
      <dgm:spPr/>
      <dgm:t>
        <a:bodyPr/>
        <a:lstStyle/>
        <a:p>
          <a:endParaRPr lang="en-GB"/>
        </a:p>
      </dgm:t>
    </dgm:pt>
    <dgm:pt modelId="{71E90D00-7F39-4903-ACB9-ACCA08CCADC4}">
      <dgm:prSet phldrT="[Text]"/>
      <dgm:spPr/>
      <dgm:t>
        <a:bodyPr/>
        <a:lstStyle/>
        <a:p>
          <a:r>
            <a:rPr lang="en-GB"/>
            <a:t>Bargaining power of suppliers</a:t>
          </a:r>
        </a:p>
      </dgm:t>
    </dgm:pt>
    <dgm:pt modelId="{82F8663A-8666-4E71-B059-3EF0BAEA20A6}" type="parTrans" cxnId="{ABF8BACE-D76F-4F3F-85CD-FC355C232808}">
      <dgm:prSet/>
      <dgm:spPr/>
      <dgm:t>
        <a:bodyPr/>
        <a:lstStyle/>
        <a:p>
          <a:endParaRPr lang="en-GB"/>
        </a:p>
      </dgm:t>
    </dgm:pt>
    <dgm:pt modelId="{3AE2E98C-1E93-4986-AF16-79B55D2B5068}" type="sibTrans" cxnId="{ABF8BACE-D76F-4F3F-85CD-FC355C232808}">
      <dgm:prSet/>
      <dgm:spPr/>
      <dgm:t>
        <a:bodyPr/>
        <a:lstStyle/>
        <a:p>
          <a:endParaRPr lang="en-GB"/>
        </a:p>
      </dgm:t>
    </dgm:pt>
    <dgm:pt modelId="{CFA2A593-2566-4ABC-8332-8171CFC8CA2A}">
      <dgm:prSet phldrT="[Text]"/>
      <dgm:spPr/>
      <dgm:t>
        <a:bodyPr/>
        <a:lstStyle/>
        <a:p>
          <a:r>
            <a:rPr lang="en-GB"/>
            <a:t>Bargaining power of buyers</a:t>
          </a:r>
        </a:p>
      </dgm:t>
    </dgm:pt>
    <dgm:pt modelId="{7F246518-4908-4A49-8F2C-1A2899F64556}" type="parTrans" cxnId="{EDE1BDDD-9DFA-4DB6-A249-1964E36C7DAA}">
      <dgm:prSet/>
      <dgm:spPr/>
      <dgm:t>
        <a:bodyPr/>
        <a:lstStyle/>
        <a:p>
          <a:endParaRPr lang="en-GB"/>
        </a:p>
      </dgm:t>
    </dgm:pt>
    <dgm:pt modelId="{4E745ABF-E3C0-44A9-8BB1-C876BA083AFA}" type="sibTrans" cxnId="{EDE1BDDD-9DFA-4DB6-A249-1964E36C7DAA}">
      <dgm:prSet/>
      <dgm:spPr/>
      <dgm:t>
        <a:bodyPr/>
        <a:lstStyle/>
        <a:p>
          <a:endParaRPr lang="en-GB"/>
        </a:p>
      </dgm:t>
    </dgm:pt>
    <dgm:pt modelId="{9453F2F2-9E2D-4270-B382-32A2A5232258}" type="pres">
      <dgm:prSet presAssocID="{F13FF2A1-5593-4265-9C0E-899A699209A7}" presName="Name0" presStyleCnt="0">
        <dgm:presLayoutVars>
          <dgm:chMax val="1"/>
          <dgm:dir/>
          <dgm:animLvl val="ctr"/>
          <dgm:resizeHandles val="exact"/>
        </dgm:presLayoutVars>
      </dgm:prSet>
      <dgm:spPr/>
      <dgm:t>
        <a:bodyPr/>
        <a:lstStyle/>
        <a:p>
          <a:endParaRPr lang="en-GB"/>
        </a:p>
      </dgm:t>
    </dgm:pt>
    <dgm:pt modelId="{71593414-3B74-4ADA-ACA5-5E78FB02484A}" type="pres">
      <dgm:prSet presAssocID="{0AB5516D-6806-4896-9DCB-902B882A2008}" presName="centerShape" presStyleLbl="node0" presStyleIdx="0" presStyleCnt="1"/>
      <dgm:spPr/>
      <dgm:t>
        <a:bodyPr/>
        <a:lstStyle/>
        <a:p>
          <a:endParaRPr lang="en-GB"/>
        </a:p>
      </dgm:t>
    </dgm:pt>
    <dgm:pt modelId="{4FBAEE60-48F3-4D74-9556-2C9043C3ACC9}" type="pres">
      <dgm:prSet presAssocID="{D45F0E48-6B34-46FC-8F6D-AE3BE1BAE27F}" presName="parTrans" presStyleLbl="sibTrans2D1" presStyleIdx="0" presStyleCnt="4"/>
      <dgm:spPr/>
      <dgm:t>
        <a:bodyPr/>
        <a:lstStyle/>
        <a:p>
          <a:endParaRPr lang="en-GB"/>
        </a:p>
      </dgm:t>
    </dgm:pt>
    <dgm:pt modelId="{92A92B57-AF3B-4432-8965-A1A02B4ECF28}" type="pres">
      <dgm:prSet presAssocID="{D45F0E48-6B34-46FC-8F6D-AE3BE1BAE27F}" presName="connectorText" presStyleLbl="sibTrans2D1" presStyleIdx="0" presStyleCnt="4"/>
      <dgm:spPr/>
      <dgm:t>
        <a:bodyPr/>
        <a:lstStyle/>
        <a:p>
          <a:endParaRPr lang="en-GB"/>
        </a:p>
      </dgm:t>
    </dgm:pt>
    <dgm:pt modelId="{4EF12133-A67C-4CC9-AF19-12AF343D4733}" type="pres">
      <dgm:prSet presAssocID="{ADE80142-B7D9-4621-9D94-06A63C314E8D}" presName="node" presStyleLbl="node1" presStyleIdx="0" presStyleCnt="4">
        <dgm:presLayoutVars>
          <dgm:bulletEnabled val="1"/>
        </dgm:presLayoutVars>
      </dgm:prSet>
      <dgm:spPr/>
      <dgm:t>
        <a:bodyPr/>
        <a:lstStyle/>
        <a:p>
          <a:endParaRPr lang="en-GB"/>
        </a:p>
      </dgm:t>
    </dgm:pt>
    <dgm:pt modelId="{6BF68F25-37FD-4E77-9E79-80BFC2270994}" type="pres">
      <dgm:prSet presAssocID="{A97E6CE5-B9F4-43EB-89F2-9F3C227EE55F}" presName="parTrans" presStyleLbl="sibTrans2D1" presStyleIdx="1" presStyleCnt="4"/>
      <dgm:spPr/>
      <dgm:t>
        <a:bodyPr/>
        <a:lstStyle/>
        <a:p>
          <a:endParaRPr lang="en-GB"/>
        </a:p>
      </dgm:t>
    </dgm:pt>
    <dgm:pt modelId="{F20C771C-E0BB-4B07-9911-DB8FA06117DD}" type="pres">
      <dgm:prSet presAssocID="{A97E6CE5-B9F4-43EB-89F2-9F3C227EE55F}" presName="connectorText" presStyleLbl="sibTrans2D1" presStyleIdx="1" presStyleCnt="4"/>
      <dgm:spPr/>
      <dgm:t>
        <a:bodyPr/>
        <a:lstStyle/>
        <a:p>
          <a:endParaRPr lang="en-GB"/>
        </a:p>
      </dgm:t>
    </dgm:pt>
    <dgm:pt modelId="{A9D23EA4-ED1A-4D2C-A63A-46C0C7F569AD}" type="pres">
      <dgm:prSet presAssocID="{9C0BF1E6-7EE2-4286-B33F-928CB84D76B0}" presName="node" presStyleLbl="node1" presStyleIdx="1" presStyleCnt="4">
        <dgm:presLayoutVars>
          <dgm:bulletEnabled val="1"/>
        </dgm:presLayoutVars>
      </dgm:prSet>
      <dgm:spPr/>
      <dgm:t>
        <a:bodyPr/>
        <a:lstStyle/>
        <a:p>
          <a:endParaRPr lang="en-GB"/>
        </a:p>
      </dgm:t>
    </dgm:pt>
    <dgm:pt modelId="{209386DC-EAB5-495D-852A-7F196EAC6547}" type="pres">
      <dgm:prSet presAssocID="{82F8663A-8666-4E71-B059-3EF0BAEA20A6}" presName="parTrans" presStyleLbl="sibTrans2D1" presStyleIdx="2" presStyleCnt="4"/>
      <dgm:spPr/>
      <dgm:t>
        <a:bodyPr/>
        <a:lstStyle/>
        <a:p>
          <a:endParaRPr lang="en-GB"/>
        </a:p>
      </dgm:t>
    </dgm:pt>
    <dgm:pt modelId="{6EA0B399-3BA1-433E-9A28-FDB53775FFAF}" type="pres">
      <dgm:prSet presAssocID="{82F8663A-8666-4E71-B059-3EF0BAEA20A6}" presName="connectorText" presStyleLbl="sibTrans2D1" presStyleIdx="2" presStyleCnt="4"/>
      <dgm:spPr/>
      <dgm:t>
        <a:bodyPr/>
        <a:lstStyle/>
        <a:p>
          <a:endParaRPr lang="en-GB"/>
        </a:p>
      </dgm:t>
    </dgm:pt>
    <dgm:pt modelId="{C2895BA7-DE27-4200-A127-B7BD32A06AFA}" type="pres">
      <dgm:prSet presAssocID="{71E90D00-7F39-4903-ACB9-ACCA08CCADC4}" presName="node" presStyleLbl="node1" presStyleIdx="2" presStyleCnt="4">
        <dgm:presLayoutVars>
          <dgm:bulletEnabled val="1"/>
        </dgm:presLayoutVars>
      </dgm:prSet>
      <dgm:spPr/>
      <dgm:t>
        <a:bodyPr/>
        <a:lstStyle/>
        <a:p>
          <a:endParaRPr lang="en-GB"/>
        </a:p>
      </dgm:t>
    </dgm:pt>
    <dgm:pt modelId="{9F411ADC-8AFD-49F2-973A-996A3B6B95E9}" type="pres">
      <dgm:prSet presAssocID="{7F246518-4908-4A49-8F2C-1A2899F64556}" presName="parTrans" presStyleLbl="sibTrans2D1" presStyleIdx="3" presStyleCnt="4"/>
      <dgm:spPr/>
      <dgm:t>
        <a:bodyPr/>
        <a:lstStyle/>
        <a:p>
          <a:endParaRPr lang="en-GB"/>
        </a:p>
      </dgm:t>
    </dgm:pt>
    <dgm:pt modelId="{169E4483-622C-46BA-AF4A-71FBD0D86093}" type="pres">
      <dgm:prSet presAssocID="{7F246518-4908-4A49-8F2C-1A2899F64556}" presName="connectorText" presStyleLbl="sibTrans2D1" presStyleIdx="3" presStyleCnt="4"/>
      <dgm:spPr/>
      <dgm:t>
        <a:bodyPr/>
        <a:lstStyle/>
        <a:p>
          <a:endParaRPr lang="en-GB"/>
        </a:p>
      </dgm:t>
    </dgm:pt>
    <dgm:pt modelId="{AEC590B9-685F-44F8-9DCA-2E7035E82259}" type="pres">
      <dgm:prSet presAssocID="{CFA2A593-2566-4ABC-8332-8171CFC8CA2A}" presName="node" presStyleLbl="node1" presStyleIdx="3" presStyleCnt="4">
        <dgm:presLayoutVars>
          <dgm:bulletEnabled val="1"/>
        </dgm:presLayoutVars>
      </dgm:prSet>
      <dgm:spPr/>
      <dgm:t>
        <a:bodyPr/>
        <a:lstStyle/>
        <a:p>
          <a:endParaRPr lang="en-GB"/>
        </a:p>
      </dgm:t>
    </dgm:pt>
  </dgm:ptLst>
  <dgm:cxnLst>
    <dgm:cxn modelId="{FFE11B0B-D651-42BF-AE84-F5F828FE90A8}" type="presOf" srcId="{82F8663A-8666-4E71-B059-3EF0BAEA20A6}" destId="{209386DC-EAB5-495D-852A-7F196EAC6547}" srcOrd="0" destOrd="0" presId="urn:microsoft.com/office/officeart/2005/8/layout/radial5"/>
    <dgm:cxn modelId="{90CEE3EB-30A8-47EE-9606-E498F5DB1ACC}" type="presOf" srcId="{7F246518-4908-4A49-8F2C-1A2899F64556}" destId="{169E4483-622C-46BA-AF4A-71FBD0D86093}" srcOrd="1" destOrd="0" presId="urn:microsoft.com/office/officeart/2005/8/layout/radial5"/>
    <dgm:cxn modelId="{A4FBDF6F-1D32-47A7-935E-4685D31248ED}" type="presOf" srcId="{71E90D00-7F39-4903-ACB9-ACCA08CCADC4}" destId="{C2895BA7-DE27-4200-A127-B7BD32A06AFA}" srcOrd="0" destOrd="0" presId="urn:microsoft.com/office/officeart/2005/8/layout/radial5"/>
    <dgm:cxn modelId="{EDE1BDDD-9DFA-4DB6-A249-1964E36C7DAA}" srcId="{0AB5516D-6806-4896-9DCB-902B882A2008}" destId="{CFA2A593-2566-4ABC-8332-8171CFC8CA2A}" srcOrd="3" destOrd="0" parTransId="{7F246518-4908-4A49-8F2C-1A2899F64556}" sibTransId="{4E745ABF-E3C0-44A9-8BB1-C876BA083AFA}"/>
    <dgm:cxn modelId="{CB3C4E63-17E8-49B4-A9AE-F63FE6FB3FAD}" srcId="{0AB5516D-6806-4896-9DCB-902B882A2008}" destId="{ADE80142-B7D9-4621-9D94-06A63C314E8D}" srcOrd="0" destOrd="0" parTransId="{D45F0E48-6B34-46FC-8F6D-AE3BE1BAE27F}" sibTransId="{5A651C52-A055-425E-9505-8CB169902951}"/>
    <dgm:cxn modelId="{054B63A5-29F4-4E42-AA5F-A798B5C705F9}" type="presOf" srcId="{A97E6CE5-B9F4-43EB-89F2-9F3C227EE55F}" destId="{F20C771C-E0BB-4B07-9911-DB8FA06117DD}" srcOrd="1" destOrd="0" presId="urn:microsoft.com/office/officeart/2005/8/layout/radial5"/>
    <dgm:cxn modelId="{51530369-D50E-4DCB-A0C2-47D169E0920A}" type="presOf" srcId="{7F246518-4908-4A49-8F2C-1A2899F64556}" destId="{9F411ADC-8AFD-49F2-973A-996A3B6B95E9}" srcOrd="0" destOrd="0" presId="urn:microsoft.com/office/officeart/2005/8/layout/radial5"/>
    <dgm:cxn modelId="{662CE0D4-CE3F-48EB-9AC8-B093D2725E34}" type="presOf" srcId="{A97E6CE5-B9F4-43EB-89F2-9F3C227EE55F}" destId="{6BF68F25-37FD-4E77-9E79-80BFC2270994}" srcOrd="0" destOrd="0" presId="urn:microsoft.com/office/officeart/2005/8/layout/radial5"/>
    <dgm:cxn modelId="{ABF8BACE-D76F-4F3F-85CD-FC355C232808}" srcId="{0AB5516D-6806-4896-9DCB-902B882A2008}" destId="{71E90D00-7F39-4903-ACB9-ACCA08CCADC4}" srcOrd="2" destOrd="0" parTransId="{82F8663A-8666-4E71-B059-3EF0BAEA20A6}" sibTransId="{3AE2E98C-1E93-4986-AF16-79B55D2B5068}"/>
    <dgm:cxn modelId="{C8A2DDE0-B49C-4B10-A34C-D424798C10EB}" type="presOf" srcId="{CFA2A593-2566-4ABC-8332-8171CFC8CA2A}" destId="{AEC590B9-685F-44F8-9DCA-2E7035E82259}" srcOrd="0" destOrd="0" presId="urn:microsoft.com/office/officeart/2005/8/layout/radial5"/>
    <dgm:cxn modelId="{A2CCF08E-31FB-471D-A4DE-F70DDB7F96DD}" type="presOf" srcId="{ADE80142-B7D9-4621-9D94-06A63C314E8D}" destId="{4EF12133-A67C-4CC9-AF19-12AF343D4733}" srcOrd="0" destOrd="0" presId="urn:microsoft.com/office/officeart/2005/8/layout/radial5"/>
    <dgm:cxn modelId="{5362965E-762E-4F43-BA96-9FD50C0E5573}" type="presOf" srcId="{F13FF2A1-5593-4265-9C0E-899A699209A7}" destId="{9453F2F2-9E2D-4270-B382-32A2A5232258}" srcOrd="0" destOrd="0" presId="urn:microsoft.com/office/officeart/2005/8/layout/radial5"/>
    <dgm:cxn modelId="{EEE0AFEE-D6D8-4706-997D-704BBB667AA4}" type="presOf" srcId="{82F8663A-8666-4E71-B059-3EF0BAEA20A6}" destId="{6EA0B399-3BA1-433E-9A28-FDB53775FFAF}" srcOrd="1" destOrd="0" presId="urn:microsoft.com/office/officeart/2005/8/layout/radial5"/>
    <dgm:cxn modelId="{418A468F-985F-4586-94E6-1AE424C3D674}" type="presOf" srcId="{9C0BF1E6-7EE2-4286-B33F-928CB84D76B0}" destId="{A9D23EA4-ED1A-4D2C-A63A-46C0C7F569AD}" srcOrd="0" destOrd="0" presId="urn:microsoft.com/office/officeart/2005/8/layout/radial5"/>
    <dgm:cxn modelId="{8E1D2A92-6C83-40CC-B627-A94B3B17A09A}" type="presOf" srcId="{0AB5516D-6806-4896-9DCB-902B882A2008}" destId="{71593414-3B74-4ADA-ACA5-5E78FB02484A}" srcOrd="0" destOrd="0" presId="urn:microsoft.com/office/officeart/2005/8/layout/radial5"/>
    <dgm:cxn modelId="{6D10871E-1398-4099-BD42-E652A7A6071C}" type="presOf" srcId="{D45F0E48-6B34-46FC-8F6D-AE3BE1BAE27F}" destId="{4FBAEE60-48F3-4D74-9556-2C9043C3ACC9}" srcOrd="0" destOrd="0" presId="urn:microsoft.com/office/officeart/2005/8/layout/radial5"/>
    <dgm:cxn modelId="{FC329E4D-0E0B-486E-BFB2-64F0F5350CAF}" srcId="{F13FF2A1-5593-4265-9C0E-899A699209A7}" destId="{0AB5516D-6806-4896-9DCB-902B882A2008}" srcOrd="0" destOrd="0" parTransId="{4D0A6FA3-66A0-4107-9A2E-134B665BA704}" sibTransId="{A8095914-554E-4C04-B277-67D4672B7F7E}"/>
    <dgm:cxn modelId="{0F772FE5-BF5A-44D8-9E8F-7150059BDDD8}" srcId="{0AB5516D-6806-4896-9DCB-902B882A2008}" destId="{9C0BF1E6-7EE2-4286-B33F-928CB84D76B0}" srcOrd="1" destOrd="0" parTransId="{A97E6CE5-B9F4-43EB-89F2-9F3C227EE55F}" sibTransId="{6CD7A8EA-F526-45F4-9045-B92EE6125EFC}"/>
    <dgm:cxn modelId="{B8679061-953B-4049-9716-146E804E1932}" type="presOf" srcId="{D45F0E48-6B34-46FC-8F6D-AE3BE1BAE27F}" destId="{92A92B57-AF3B-4432-8965-A1A02B4ECF28}" srcOrd="1" destOrd="0" presId="urn:microsoft.com/office/officeart/2005/8/layout/radial5"/>
    <dgm:cxn modelId="{904E19A1-1E59-425E-97A6-ED6C27F5EC32}" type="presParOf" srcId="{9453F2F2-9E2D-4270-B382-32A2A5232258}" destId="{71593414-3B74-4ADA-ACA5-5E78FB02484A}" srcOrd="0" destOrd="0" presId="urn:microsoft.com/office/officeart/2005/8/layout/radial5"/>
    <dgm:cxn modelId="{6BA13A44-7231-4E0B-B623-67CF5620B0A6}" type="presParOf" srcId="{9453F2F2-9E2D-4270-B382-32A2A5232258}" destId="{4FBAEE60-48F3-4D74-9556-2C9043C3ACC9}" srcOrd="1" destOrd="0" presId="urn:microsoft.com/office/officeart/2005/8/layout/radial5"/>
    <dgm:cxn modelId="{3E3AA4D4-FFBB-488A-94BF-EB5CB5E591A7}" type="presParOf" srcId="{4FBAEE60-48F3-4D74-9556-2C9043C3ACC9}" destId="{92A92B57-AF3B-4432-8965-A1A02B4ECF28}" srcOrd="0" destOrd="0" presId="urn:microsoft.com/office/officeart/2005/8/layout/radial5"/>
    <dgm:cxn modelId="{C2F42A84-B25B-457F-9155-038798535EE7}" type="presParOf" srcId="{9453F2F2-9E2D-4270-B382-32A2A5232258}" destId="{4EF12133-A67C-4CC9-AF19-12AF343D4733}" srcOrd="2" destOrd="0" presId="urn:microsoft.com/office/officeart/2005/8/layout/radial5"/>
    <dgm:cxn modelId="{00E2C231-6350-4246-A6A3-33E1F853DF4B}" type="presParOf" srcId="{9453F2F2-9E2D-4270-B382-32A2A5232258}" destId="{6BF68F25-37FD-4E77-9E79-80BFC2270994}" srcOrd="3" destOrd="0" presId="urn:microsoft.com/office/officeart/2005/8/layout/radial5"/>
    <dgm:cxn modelId="{4E1B7D83-8A55-4B61-932B-CB42C0D349EC}" type="presParOf" srcId="{6BF68F25-37FD-4E77-9E79-80BFC2270994}" destId="{F20C771C-E0BB-4B07-9911-DB8FA06117DD}" srcOrd="0" destOrd="0" presId="urn:microsoft.com/office/officeart/2005/8/layout/radial5"/>
    <dgm:cxn modelId="{7DA64A40-3E6B-4A08-B012-55C94CD9E53B}" type="presParOf" srcId="{9453F2F2-9E2D-4270-B382-32A2A5232258}" destId="{A9D23EA4-ED1A-4D2C-A63A-46C0C7F569AD}" srcOrd="4" destOrd="0" presId="urn:microsoft.com/office/officeart/2005/8/layout/radial5"/>
    <dgm:cxn modelId="{9AA1D521-E8A7-48BF-A125-FFC6987085BB}" type="presParOf" srcId="{9453F2F2-9E2D-4270-B382-32A2A5232258}" destId="{209386DC-EAB5-495D-852A-7F196EAC6547}" srcOrd="5" destOrd="0" presId="urn:microsoft.com/office/officeart/2005/8/layout/radial5"/>
    <dgm:cxn modelId="{5295EACE-5181-4D46-8455-EADD8DD04C94}" type="presParOf" srcId="{209386DC-EAB5-495D-852A-7F196EAC6547}" destId="{6EA0B399-3BA1-433E-9A28-FDB53775FFAF}" srcOrd="0" destOrd="0" presId="urn:microsoft.com/office/officeart/2005/8/layout/radial5"/>
    <dgm:cxn modelId="{35FC8993-E80D-47B4-96C4-F5CE9082F728}" type="presParOf" srcId="{9453F2F2-9E2D-4270-B382-32A2A5232258}" destId="{C2895BA7-DE27-4200-A127-B7BD32A06AFA}" srcOrd="6" destOrd="0" presId="urn:microsoft.com/office/officeart/2005/8/layout/radial5"/>
    <dgm:cxn modelId="{463A6D99-05BE-424D-B929-399AF3A74030}" type="presParOf" srcId="{9453F2F2-9E2D-4270-B382-32A2A5232258}" destId="{9F411ADC-8AFD-49F2-973A-996A3B6B95E9}" srcOrd="7" destOrd="0" presId="urn:microsoft.com/office/officeart/2005/8/layout/radial5"/>
    <dgm:cxn modelId="{456B11A1-5AD0-4E39-B3BD-FE35CF9AA819}" type="presParOf" srcId="{9F411ADC-8AFD-49F2-973A-996A3B6B95E9}" destId="{169E4483-622C-46BA-AF4A-71FBD0D86093}" srcOrd="0" destOrd="0" presId="urn:microsoft.com/office/officeart/2005/8/layout/radial5"/>
    <dgm:cxn modelId="{77926168-7A5A-49E2-B6E4-90C367DA572B}" type="presParOf" srcId="{9453F2F2-9E2D-4270-B382-32A2A5232258}" destId="{AEC590B9-685F-44F8-9DCA-2E7035E82259}" srcOrd="8" destOrd="0" presId="urn:microsoft.com/office/officeart/2005/8/layout/radial5"/>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07B1910-CE10-4725-B6E9-2DD744EDC7B0}"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78A3C34F-3D67-4DC2-96AE-3E6FF33AE77F}">
      <dgm:prSet phldrT="[Text]" custT="1"/>
      <dgm:spPr/>
      <dgm:t>
        <a:bodyPr/>
        <a:lstStyle/>
        <a:p>
          <a:r>
            <a:rPr lang="en-GB" sz="900"/>
            <a:t>SWOT Analysis</a:t>
          </a:r>
        </a:p>
      </dgm:t>
    </dgm:pt>
    <dgm:pt modelId="{54EC0803-C609-4B33-A501-D066A9A8569F}" type="parTrans" cxnId="{744D1F1E-0760-48FB-BED1-16EEEC49078F}">
      <dgm:prSet/>
      <dgm:spPr/>
      <dgm:t>
        <a:bodyPr/>
        <a:lstStyle/>
        <a:p>
          <a:endParaRPr lang="en-GB" sz="900"/>
        </a:p>
      </dgm:t>
    </dgm:pt>
    <dgm:pt modelId="{78E73D2E-2AFB-40F4-BFBC-F4958B3FDBDA}" type="sibTrans" cxnId="{744D1F1E-0760-48FB-BED1-16EEEC49078F}">
      <dgm:prSet/>
      <dgm:spPr/>
      <dgm:t>
        <a:bodyPr/>
        <a:lstStyle/>
        <a:p>
          <a:endParaRPr lang="en-GB" sz="900"/>
        </a:p>
      </dgm:t>
    </dgm:pt>
    <dgm:pt modelId="{82802C9A-85ED-417A-9EF3-5E72F5E6928B}">
      <dgm:prSet phldrT="[Text]" custT="1"/>
      <dgm:spPr/>
      <dgm:t>
        <a:bodyPr/>
        <a:lstStyle/>
        <a:p>
          <a:r>
            <a:rPr lang="en-GB" sz="900"/>
            <a:t>Strength</a:t>
          </a:r>
        </a:p>
      </dgm:t>
    </dgm:pt>
    <dgm:pt modelId="{E7919267-5B0B-491A-8CA0-E202EDE853E4}" type="parTrans" cxnId="{CD84317E-1291-4EAF-9621-0C6F524B7346}">
      <dgm:prSet custT="1"/>
      <dgm:spPr/>
      <dgm:t>
        <a:bodyPr/>
        <a:lstStyle/>
        <a:p>
          <a:endParaRPr lang="en-GB" sz="900"/>
        </a:p>
      </dgm:t>
    </dgm:pt>
    <dgm:pt modelId="{64571994-45E1-4C5B-B3E0-928DBEC5442E}" type="sibTrans" cxnId="{CD84317E-1291-4EAF-9621-0C6F524B7346}">
      <dgm:prSet/>
      <dgm:spPr/>
      <dgm:t>
        <a:bodyPr/>
        <a:lstStyle/>
        <a:p>
          <a:endParaRPr lang="en-GB" sz="900"/>
        </a:p>
      </dgm:t>
    </dgm:pt>
    <dgm:pt modelId="{AFE53262-2FA2-46EC-B01C-2630967AFA96}">
      <dgm:prSet phldrT="[Text]" custT="1"/>
      <dgm:spPr/>
      <dgm:t>
        <a:bodyPr/>
        <a:lstStyle/>
        <a:p>
          <a:r>
            <a:rPr lang="en-GB" sz="900"/>
            <a:t>Weakness</a:t>
          </a:r>
        </a:p>
      </dgm:t>
    </dgm:pt>
    <dgm:pt modelId="{07DD6B8C-C799-4B23-88F5-1C0D427728F6}" type="parTrans" cxnId="{5586A71E-BC55-4728-BC67-311DB0AAB2AF}">
      <dgm:prSet custT="1"/>
      <dgm:spPr/>
      <dgm:t>
        <a:bodyPr/>
        <a:lstStyle/>
        <a:p>
          <a:endParaRPr lang="en-GB" sz="900"/>
        </a:p>
      </dgm:t>
    </dgm:pt>
    <dgm:pt modelId="{A169220F-CE70-403D-8434-1F9DCCBB96F3}" type="sibTrans" cxnId="{5586A71E-BC55-4728-BC67-311DB0AAB2AF}">
      <dgm:prSet/>
      <dgm:spPr/>
      <dgm:t>
        <a:bodyPr/>
        <a:lstStyle/>
        <a:p>
          <a:endParaRPr lang="en-GB" sz="900"/>
        </a:p>
      </dgm:t>
    </dgm:pt>
    <dgm:pt modelId="{2A2CDCC3-BB0D-41A5-A60A-4250114AF957}">
      <dgm:prSet phldrT="[Text]" custT="1"/>
      <dgm:spPr/>
      <dgm:t>
        <a:bodyPr/>
        <a:lstStyle/>
        <a:p>
          <a:r>
            <a:rPr lang="en-GB" sz="900"/>
            <a:t>Opportunities</a:t>
          </a:r>
        </a:p>
      </dgm:t>
    </dgm:pt>
    <dgm:pt modelId="{A8145BF5-8E35-4DF0-BA4A-CFBB37B15B7A}" type="parTrans" cxnId="{AF48ACB1-AEC6-459C-80F4-B505D2379860}">
      <dgm:prSet custT="1"/>
      <dgm:spPr/>
      <dgm:t>
        <a:bodyPr/>
        <a:lstStyle/>
        <a:p>
          <a:endParaRPr lang="en-GB" sz="900"/>
        </a:p>
      </dgm:t>
    </dgm:pt>
    <dgm:pt modelId="{010F8778-AEA7-4962-AE01-5F64F292B8CE}" type="sibTrans" cxnId="{AF48ACB1-AEC6-459C-80F4-B505D2379860}">
      <dgm:prSet/>
      <dgm:spPr/>
      <dgm:t>
        <a:bodyPr/>
        <a:lstStyle/>
        <a:p>
          <a:endParaRPr lang="en-GB" sz="900"/>
        </a:p>
      </dgm:t>
    </dgm:pt>
    <dgm:pt modelId="{81ECB1B3-4FD0-4491-B574-78982BBB8254}">
      <dgm:prSet phldrT="[Text]" custT="1"/>
      <dgm:spPr/>
      <dgm:t>
        <a:bodyPr/>
        <a:lstStyle/>
        <a:p>
          <a:r>
            <a:rPr lang="en-GB" sz="900"/>
            <a:t>Threats</a:t>
          </a:r>
        </a:p>
      </dgm:t>
    </dgm:pt>
    <dgm:pt modelId="{18B856E2-89D2-4201-BCE8-42CCAC079B17}" type="parTrans" cxnId="{8D34B744-B19F-4B3F-A1F5-B6961F34F943}">
      <dgm:prSet custT="1"/>
      <dgm:spPr/>
      <dgm:t>
        <a:bodyPr/>
        <a:lstStyle/>
        <a:p>
          <a:endParaRPr lang="en-GB" sz="900"/>
        </a:p>
      </dgm:t>
    </dgm:pt>
    <dgm:pt modelId="{1C7E6A92-A0BB-4D79-87D2-6563D34C1CB5}" type="sibTrans" cxnId="{8D34B744-B19F-4B3F-A1F5-B6961F34F943}">
      <dgm:prSet/>
      <dgm:spPr/>
      <dgm:t>
        <a:bodyPr/>
        <a:lstStyle/>
        <a:p>
          <a:endParaRPr lang="en-GB" sz="900"/>
        </a:p>
      </dgm:t>
    </dgm:pt>
    <dgm:pt modelId="{F51A7663-BBB4-4D02-95CC-C16EF525F3C4}" type="pres">
      <dgm:prSet presAssocID="{707B1910-CE10-4725-B6E9-2DD744EDC7B0}" presName="cycle" presStyleCnt="0">
        <dgm:presLayoutVars>
          <dgm:chMax val="1"/>
          <dgm:dir/>
          <dgm:animLvl val="ctr"/>
          <dgm:resizeHandles val="exact"/>
        </dgm:presLayoutVars>
      </dgm:prSet>
      <dgm:spPr/>
      <dgm:t>
        <a:bodyPr/>
        <a:lstStyle/>
        <a:p>
          <a:endParaRPr lang="en-GB"/>
        </a:p>
      </dgm:t>
    </dgm:pt>
    <dgm:pt modelId="{2B5C5EF4-D932-4356-98E1-989C008C0E6B}" type="pres">
      <dgm:prSet presAssocID="{78A3C34F-3D67-4DC2-96AE-3E6FF33AE77F}" presName="centerShape" presStyleLbl="node0" presStyleIdx="0" presStyleCnt="1"/>
      <dgm:spPr/>
      <dgm:t>
        <a:bodyPr/>
        <a:lstStyle/>
        <a:p>
          <a:endParaRPr lang="en-GB"/>
        </a:p>
      </dgm:t>
    </dgm:pt>
    <dgm:pt modelId="{7FEA795A-5124-4838-B849-27E2C71B3F82}" type="pres">
      <dgm:prSet presAssocID="{E7919267-5B0B-491A-8CA0-E202EDE853E4}" presName="Name9" presStyleLbl="parChTrans1D2" presStyleIdx="0" presStyleCnt="4"/>
      <dgm:spPr/>
      <dgm:t>
        <a:bodyPr/>
        <a:lstStyle/>
        <a:p>
          <a:endParaRPr lang="en-GB"/>
        </a:p>
      </dgm:t>
    </dgm:pt>
    <dgm:pt modelId="{65C1A4D2-6FC2-44A6-8345-358FF59BCA7A}" type="pres">
      <dgm:prSet presAssocID="{E7919267-5B0B-491A-8CA0-E202EDE853E4}" presName="connTx" presStyleLbl="parChTrans1D2" presStyleIdx="0" presStyleCnt="4"/>
      <dgm:spPr/>
      <dgm:t>
        <a:bodyPr/>
        <a:lstStyle/>
        <a:p>
          <a:endParaRPr lang="en-GB"/>
        </a:p>
      </dgm:t>
    </dgm:pt>
    <dgm:pt modelId="{3DE5D447-EDC3-4352-A40B-7949EB7EC9C6}" type="pres">
      <dgm:prSet presAssocID="{82802C9A-85ED-417A-9EF3-5E72F5E6928B}" presName="node" presStyleLbl="node1" presStyleIdx="0" presStyleCnt="4">
        <dgm:presLayoutVars>
          <dgm:bulletEnabled val="1"/>
        </dgm:presLayoutVars>
      </dgm:prSet>
      <dgm:spPr/>
      <dgm:t>
        <a:bodyPr/>
        <a:lstStyle/>
        <a:p>
          <a:endParaRPr lang="en-GB"/>
        </a:p>
      </dgm:t>
    </dgm:pt>
    <dgm:pt modelId="{A6D92F02-8A87-4B0C-87C9-2580D82D98B0}" type="pres">
      <dgm:prSet presAssocID="{07DD6B8C-C799-4B23-88F5-1C0D427728F6}" presName="Name9" presStyleLbl="parChTrans1D2" presStyleIdx="1" presStyleCnt="4"/>
      <dgm:spPr/>
      <dgm:t>
        <a:bodyPr/>
        <a:lstStyle/>
        <a:p>
          <a:endParaRPr lang="en-GB"/>
        </a:p>
      </dgm:t>
    </dgm:pt>
    <dgm:pt modelId="{BDCDD729-3954-4049-AA50-77F85821D0C4}" type="pres">
      <dgm:prSet presAssocID="{07DD6B8C-C799-4B23-88F5-1C0D427728F6}" presName="connTx" presStyleLbl="parChTrans1D2" presStyleIdx="1" presStyleCnt="4"/>
      <dgm:spPr/>
      <dgm:t>
        <a:bodyPr/>
        <a:lstStyle/>
        <a:p>
          <a:endParaRPr lang="en-GB"/>
        </a:p>
      </dgm:t>
    </dgm:pt>
    <dgm:pt modelId="{FD82B02C-6E3E-41E4-841F-FDDA3A187982}" type="pres">
      <dgm:prSet presAssocID="{AFE53262-2FA2-46EC-B01C-2630967AFA96}" presName="node" presStyleLbl="node1" presStyleIdx="1" presStyleCnt="4">
        <dgm:presLayoutVars>
          <dgm:bulletEnabled val="1"/>
        </dgm:presLayoutVars>
      </dgm:prSet>
      <dgm:spPr/>
      <dgm:t>
        <a:bodyPr/>
        <a:lstStyle/>
        <a:p>
          <a:endParaRPr lang="en-GB"/>
        </a:p>
      </dgm:t>
    </dgm:pt>
    <dgm:pt modelId="{58C75471-1BE9-492A-BAA7-522AA4527EC4}" type="pres">
      <dgm:prSet presAssocID="{A8145BF5-8E35-4DF0-BA4A-CFBB37B15B7A}" presName="Name9" presStyleLbl="parChTrans1D2" presStyleIdx="2" presStyleCnt="4"/>
      <dgm:spPr/>
      <dgm:t>
        <a:bodyPr/>
        <a:lstStyle/>
        <a:p>
          <a:endParaRPr lang="en-GB"/>
        </a:p>
      </dgm:t>
    </dgm:pt>
    <dgm:pt modelId="{E84CE212-2CCF-4A4B-A50E-9810227F8943}" type="pres">
      <dgm:prSet presAssocID="{A8145BF5-8E35-4DF0-BA4A-CFBB37B15B7A}" presName="connTx" presStyleLbl="parChTrans1D2" presStyleIdx="2" presStyleCnt="4"/>
      <dgm:spPr/>
      <dgm:t>
        <a:bodyPr/>
        <a:lstStyle/>
        <a:p>
          <a:endParaRPr lang="en-GB"/>
        </a:p>
      </dgm:t>
    </dgm:pt>
    <dgm:pt modelId="{9A619C04-C05F-4548-B46C-791F2916DF3A}" type="pres">
      <dgm:prSet presAssocID="{2A2CDCC3-BB0D-41A5-A60A-4250114AF957}" presName="node" presStyleLbl="node1" presStyleIdx="2" presStyleCnt="4">
        <dgm:presLayoutVars>
          <dgm:bulletEnabled val="1"/>
        </dgm:presLayoutVars>
      </dgm:prSet>
      <dgm:spPr/>
      <dgm:t>
        <a:bodyPr/>
        <a:lstStyle/>
        <a:p>
          <a:endParaRPr lang="en-GB"/>
        </a:p>
      </dgm:t>
    </dgm:pt>
    <dgm:pt modelId="{5DDA54A9-51B0-4403-92E0-42C2BE103685}" type="pres">
      <dgm:prSet presAssocID="{18B856E2-89D2-4201-BCE8-42CCAC079B17}" presName="Name9" presStyleLbl="parChTrans1D2" presStyleIdx="3" presStyleCnt="4"/>
      <dgm:spPr/>
      <dgm:t>
        <a:bodyPr/>
        <a:lstStyle/>
        <a:p>
          <a:endParaRPr lang="en-GB"/>
        </a:p>
      </dgm:t>
    </dgm:pt>
    <dgm:pt modelId="{1121E661-30FC-4EA1-9858-6C1371B7000A}" type="pres">
      <dgm:prSet presAssocID="{18B856E2-89D2-4201-BCE8-42CCAC079B17}" presName="connTx" presStyleLbl="parChTrans1D2" presStyleIdx="3" presStyleCnt="4"/>
      <dgm:spPr/>
      <dgm:t>
        <a:bodyPr/>
        <a:lstStyle/>
        <a:p>
          <a:endParaRPr lang="en-GB"/>
        </a:p>
      </dgm:t>
    </dgm:pt>
    <dgm:pt modelId="{A66567CB-DE9E-40DD-B5C2-9E6351E1CD4F}" type="pres">
      <dgm:prSet presAssocID="{81ECB1B3-4FD0-4491-B574-78982BBB8254}" presName="node" presStyleLbl="node1" presStyleIdx="3" presStyleCnt="4">
        <dgm:presLayoutVars>
          <dgm:bulletEnabled val="1"/>
        </dgm:presLayoutVars>
      </dgm:prSet>
      <dgm:spPr/>
      <dgm:t>
        <a:bodyPr/>
        <a:lstStyle/>
        <a:p>
          <a:endParaRPr lang="en-GB"/>
        </a:p>
      </dgm:t>
    </dgm:pt>
  </dgm:ptLst>
  <dgm:cxnLst>
    <dgm:cxn modelId="{1E6C7A34-6ED3-48E4-9ECD-00972338DDFE}" type="presOf" srcId="{07DD6B8C-C799-4B23-88F5-1C0D427728F6}" destId="{BDCDD729-3954-4049-AA50-77F85821D0C4}" srcOrd="1" destOrd="0" presId="urn:microsoft.com/office/officeart/2005/8/layout/radial1"/>
    <dgm:cxn modelId="{18FD7FD0-7520-4653-959E-E4C355060859}" type="presOf" srcId="{18B856E2-89D2-4201-BCE8-42CCAC079B17}" destId="{1121E661-30FC-4EA1-9858-6C1371B7000A}" srcOrd="1" destOrd="0" presId="urn:microsoft.com/office/officeart/2005/8/layout/radial1"/>
    <dgm:cxn modelId="{F2AB6019-32CB-4D0D-B21E-C8DCBC7CA494}" type="presOf" srcId="{A8145BF5-8E35-4DF0-BA4A-CFBB37B15B7A}" destId="{58C75471-1BE9-492A-BAA7-522AA4527EC4}" srcOrd="0" destOrd="0" presId="urn:microsoft.com/office/officeart/2005/8/layout/radial1"/>
    <dgm:cxn modelId="{FEFD7307-53B8-4DC2-AF46-82C7C8BA13A5}" type="presOf" srcId="{E7919267-5B0B-491A-8CA0-E202EDE853E4}" destId="{7FEA795A-5124-4838-B849-27E2C71B3F82}" srcOrd="0" destOrd="0" presId="urn:microsoft.com/office/officeart/2005/8/layout/radial1"/>
    <dgm:cxn modelId="{5AE40F94-2173-4427-B8A3-ACC84EFFF426}" type="presOf" srcId="{2A2CDCC3-BB0D-41A5-A60A-4250114AF957}" destId="{9A619C04-C05F-4548-B46C-791F2916DF3A}" srcOrd="0" destOrd="0" presId="urn:microsoft.com/office/officeart/2005/8/layout/radial1"/>
    <dgm:cxn modelId="{AF48ACB1-AEC6-459C-80F4-B505D2379860}" srcId="{78A3C34F-3D67-4DC2-96AE-3E6FF33AE77F}" destId="{2A2CDCC3-BB0D-41A5-A60A-4250114AF957}" srcOrd="2" destOrd="0" parTransId="{A8145BF5-8E35-4DF0-BA4A-CFBB37B15B7A}" sibTransId="{010F8778-AEA7-4962-AE01-5F64F292B8CE}"/>
    <dgm:cxn modelId="{0F5B5190-EEAF-492C-AA61-CBB81011221E}" type="presOf" srcId="{07DD6B8C-C799-4B23-88F5-1C0D427728F6}" destId="{A6D92F02-8A87-4B0C-87C9-2580D82D98B0}" srcOrd="0" destOrd="0" presId="urn:microsoft.com/office/officeart/2005/8/layout/radial1"/>
    <dgm:cxn modelId="{B610A50E-66AD-46DA-BB8B-ECB4A168AFFD}" type="presOf" srcId="{18B856E2-89D2-4201-BCE8-42CCAC079B17}" destId="{5DDA54A9-51B0-4403-92E0-42C2BE103685}" srcOrd="0" destOrd="0" presId="urn:microsoft.com/office/officeart/2005/8/layout/radial1"/>
    <dgm:cxn modelId="{924A6A1B-0A42-44C6-8EA7-DA8FCAD1001B}" type="presOf" srcId="{707B1910-CE10-4725-B6E9-2DD744EDC7B0}" destId="{F51A7663-BBB4-4D02-95CC-C16EF525F3C4}" srcOrd="0" destOrd="0" presId="urn:microsoft.com/office/officeart/2005/8/layout/radial1"/>
    <dgm:cxn modelId="{2206F51E-0707-441B-B91C-6D878F3E76B7}" type="presOf" srcId="{81ECB1B3-4FD0-4491-B574-78982BBB8254}" destId="{A66567CB-DE9E-40DD-B5C2-9E6351E1CD4F}" srcOrd="0" destOrd="0" presId="urn:microsoft.com/office/officeart/2005/8/layout/radial1"/>
    <dgm:cxn modelId="{0983ABAC-54BB-401D-B232-D3883C62A307}" type="presOf" srcId="{82802C9A-85ED-417A-9EF3-5E72F5E6928B}" destId="{3DE5D447-EDC3-4352-A40B-7949EB7EC9C6}" srcOrd="0" destOrd="0" presId="urn:microsoft.com/office/officeart/2005/8/layout/radial1"/>
    <dgm:cxn modelId="{5586A71E-BC55-4728-BC67-311DB0AAB2AF}" srcId="{78A3C34F-3D67-4DC2-96AE-3E6FF33AE77F}" destId="{AFE53262-2FA2-46EC-B01C-2630967AFA96}" srcOrd="1" destOrd="0" parTransId="{07DD6B8C-C799-4B23-88F5-1C0D427728F6}" sibTransId="{A169220F-CE70-403D-8434-1F9DCCBB96F3}"/>
    <dgm:cxn modelId="{8D34B744-B19F-4B3F-A1F5-B6961F34F943}" srcId="{78A3C34F-3D67-4DC2-96AE-3E6FF33AE77F}" destId="{81ECB1B3-4FD0-4491-B574-78982BBB8254}" srcOrd="3" destOrd="0" parTransId="{18B856E2-89D2-4201-BCE8-42CCAC079B17}" sibTransId="{1C7E6A92-A0BB-4D79-87D2-6563D34C1CB5}"/>
    <dgm:cxn modelId="{1040913E-563B-46D0-9A60-B2F30F991C50}" type="presOf" srcId="{A8145BF5-8E35-4DF0-BA4A-CFBB37B15B7A}" destId="{E84CE212-2CCF-4A4B-A50E-9810227F8943}" srcOrd="1" destOrd="0" presId="urn:microsoft.com/office/officeart/2005/8/layout/radial1"/>
    <dgm:cxn modelId="{CD84317E-1291-4EAF-9621-0C6F524B7346}" srcId="{78A3C34F-3D67-4DC2-96AE-3E6FF33AE77F}" destId="{82802C9A-85ED-417A-9EF3-5E72F5E6928B}" srcOrd="0" destOrd="0" parTransId="{E7919267-5B0B-491A-8CA0-E202EDE853E4}" sibTransId="{64571994-45E1-4C5B-B3E0-928DBEC5442E}"/>
    <dgm:cxn modelId="{1C8F3257-9CEE-4811-A709-0E48E8651863}" type="presOf" srcId="{E7919267-5B0B-491A-8CA0-E202EDE853E4}" destId="{65C1A4D2-6FC2-44A6-8345-358FF59BCA7A}" srcOrd="1" destOrd="0" presId="urn:microsoft.com/office/officeart/2005/8/layout/radial1"/>
    <dgm:cxn modelId="{A96398B0-9D32-481D-94A2-8DD95AE4BCD8}" type="presOf" srcId="{78A3C34F-3D67-4DC2-96AE-3E6FF33AE77F}" destId="{2B5C5EF4-D932-4356-98E1-989C008C0E6B}" srcOrd="0" destOrd="0" presId="urn:microsoft.com/office/officeart/2005/8/layout/radial1"/>
    <dgm:cxn modelId="{F7E1FEC8-CD04-400E-9910-81D705749B6D}" type="presOf" srcId="{AFE53262-2FA2-46EC-B01C-2630967AFA96}" destId="{FD82B02C-6E3E-41E4-841F-FDDA3A187982}" srcOrd="0" destOrd="0" presId="urn:microsoft.com/office/officeart/2005/8/layout/radial1"/>
    <dgm:cxn modelId="{744D1F1E-0760-48FB-BED1-16EEEC49078F}" srcId="{707B1910-CE10-4725-B6E9-2DD744EDC7B0}" destId="{78A3C34F-3D67-4DC2-96AE-3E6FF33AE77F}" srcOrd="0" destOrd="0" parTransId="{54EC0803-C609-4B33-A501-D066A9A8569F}" sibTransId="{78E73D2E-2AFB-40F4-BFBC-F4958B3FDBDA}"/>
    <dgm:cxn modelId="{0700C06F-9D14-443D-B1F5-9FCFE94DE1EE}" type="presParOf" srcId="{F51A7663-BBB4-4D02-95CC-C16EF525F3C4}" destId="{2B5C5EF4-D932-4356-98E1-989C008C0E6B}" srcOrd="0" destOrd="0" presId="urn:microsoft.com/office/officeart/2005/8/layout/radial1"/>
    <dgm:cxn modelId="{7BCCDA12-7FBD-4FD1-976C-3F77A955179A}" type="presParOf" srcId="{F51A7663-BBB4-4D02-95CC-C16EF525F3C4}" destId="{7FEA795A-5124-4838-B849-27E2C71B3F82}" srcOrd="1" destOrd="0" presId="urn:microsoft.com/office/officeart/2005/8/layout/radial1"/>
    <dgm:cxn modelId="{13886373-A8B6-4ED2-A1E0-D1CF68A3A007}" type="presParOf" srcId="{7FEA795A-5124-4838-B849-27E2C71B3F82}" destId="{65C1A4D2-6FC2-44A6-8345-358FF59BCA7A}" srcOrd="0" destOrd="0" presId="urn:microsoft.com/office/officeart/2005/8/layout/radial1"/>
    <dgm:cxn modelId="{8E850785-4E87-4B50-985B-398308EA5129}" type="presParOf" srcId="{F51A7663-BBB4-4D02-95CC-C16EF525F3C4}" destId="{3DE5D447-EDC3-4352-A40B-7949EB7EC9C6}" srcOrd="2" destOrd="0" presId="urn:microsoft.com/office/officeart/2005/8/layout/radial1"/>
    <dgm:cxn modelId="{3A9E46A8-B1A6-4CA7-A8CE-8756898BEDCD}" type="presParOf" srcId="{F51A7663-BBB4-4D02-95CC-C16EF525F3C4}" destId="{A6D92F02-8A87-4B0C-87C9-2580D82D98B0}" srcOrd="3" destOrd="0" presId="urn:microsoft.com/office/officeart/2005/8/layout/radial1"/>
    <dgm:cxn modelId="{9E824D3C-5D9B-4507-BE7D-606A42AB9DC8}" type="presParOf" srcId="{A6D92F02-8A87-4B0C-87C9-2580D82D98B0}" destId="{BDCDD729-3954-4049-AA50-77F85821D0C4}" srcOrd="0" destOrd="0" presId="urn:microsoft.com/office/officeart/2005/8/layout/radial1"/>
    <dgm:cxn modelId="{95C7F4FE-AA2D-4E6A-9ADB-AFAB56C9BD4D}" type="presParOf" srcId="{F51A7663-BBB4-4D02-95CC-C16EF525F3C4}" destId="{FD82B02C-6E3E-41E4-841F-FDDA3A187982}" srcOrd="4" destOrd="0" presId="urn:microsoft.com/office/officeart/2005/8/layout/radial1"/>
    <dgm:cxn modelId="{9897B40D-CC99-414E-8CF1-2A46523D21B2}" type="presParOf" srcId="{F51A7663-BBB4-4D02-95CC-C16EF525F3C4}" destId="{58C75471-1BE9-492A-BAA7-522AA4527EC4}" srcOrd="5" destOrd="0" presId="urn:microsoft.com/office/officeart/2005/8/layout/radial1"/>
    <dgm:cxn modelId="{9739063D-BE19-4828-B3D4-078D925A68C5}" type="presParOf" srcId="{58C75471-1BE9-492A-BAA7-522AA4527EC4}" destId="{E84CE212-2CCF-4A4B-A50E-9810227F8943}" srcOrd="0" destOrd="0" presId="urn:microsoft.com/office/officeart/2005/8/layout/radial1"/>
    <dgm:cxn modelId="{B2EDDD71-A3EE-4AF6-ACD5-AAC59AAF6C17}" type="presParOf" srcId="{F51A7663-BBB4-4D02-95CC-C16EF525F3C4}" destId="{9A619C04-C05F-4548-B46C-791F2916DF3A}" srcOrd="6" destOrd="0" presId="urn:microsoft.com/office/officeart/2005/8/layout/radial1"/>
    <dgm:cxn modelId="{1E6D5B2C-B0F6-4568-AEFD-73169ED42868}" type="presParOf" srcId="{F51A7663-BBB4-4D02-95CC-C16EF525F3C4}" destId="{5DDA54A9-51B0-4403-92E0-42C2BE103685}" srcOrd="7" destOrd="0" presId="urn:microsoft.com/office/officeart/2005/8/layout/radial1"/>
    <dgm:cxn modelId="{E20D5E51-20D6-4BD5-8F5B-20B054246461}" type="presParOf" srcId="{5DDA54A9-51B0-4403-92E0-42C2BE103685}" destId="{1121E661-30FC-4EA1-9858-6C1371B7000A}" srcOrd="0" destOrd="0" presId="urn:microsoft.com/office/officeart/2005/8/layout/radial1"/>
    <dgm:cxn modelId="{60FB5426-083E-4958-827C-7CFD2D3E21FC}" type="presParOf" srcId="{F51A7663-BBB4-4D02-95CC-C16EF525F3C4}" destId="{A66567CB-DE9E-40DD-B5C2-9E6351E1CD4F}" srcOrd="8" destOrd="0" presId="urn:microsoft.com/office/officeart/2005/8/layout/radial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8495ED-10A6-4153-95C7-42C26A2CF814}">
      <dsp:nvSpPr>
        <dsp:cNvPr id="0" name=""/>
        <dsp:cNvSpPr/>
      </dsp:nvSpPr>
      <dsp:spPr>
        <a:xfrm>
          <a:off x="1855589" y="712589"/>
          <a:ext cx="1775221" cy="177522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2860" tIns="22860" rIns="22860" bIns="22860" numCol="1" spcCol="1270" anchor="ctr" anchorCtr="0">
          <a:noAutofit/>
        </a:bodyPr>
        <a:lstStyle/>
        <a:p>
          <a:pPr lvl="0" algn="ctr" defTabSz="800100">
            <a:lnSpc>
              <a:spcPct val="90000"/>
            </a:lnSpc>
            <a:spcBef>
              <a:spcPct val="0"/>
            </a:spcBef>
            <a:spcAft>
              <a:spcPct val="35000"/>
            </a:spcAft>
          </a:pPr>
          <a:r>
            <a:rPr lang="en-GB" sz="1800" b="1" kern="1200"/>
            <a:t>GSK Priorities</a:t>
          </a:r>
        </a:p>
      </dsp:txBody>
      <dsp:txXfrm>
        <a:off x="2115564" y="972564"/>
        <a:ext cx="1255271" cy="1255271"/>
      </dsp:txXfrm>
    </dsp:sp>
    <dsp:sp modelId="{379F8AD1-D5DE-48B1-A80A-DDB68630BE6A}">
      <dsp:nvSpPr>
        <dsp:cNvPr id="0" name=""/>
        <dsp:cNvSpPr/>
      </dsp:nvSpPr>
      <dsp:spPr>
        <a:xfrm>
          <a:off x="2194301" y="-104776"/>
          <a:ext cx="1097797" cy="109779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Innovation</a:t>
          </a:r>
        </a:p>
      </dsp:txBody>
      <dsp:txXfrm>
        <a:off x="2355070" y="55993"/>
        <a:ext cx="776259" cy="776259"/>
      </dsp:txXfrm>
    </dsp:sp>
    <dsp:sp modelId="{2C660007-B540-44C3-B9CF-D1F61C70079C}">
      <dsp:nvSpPr>
        <dsp:cNvPr id="0" name=""/>
        <dsp:cNvSpPr/>
      </dsp:nvSpPr>
      <dsp:spPr>
        <a:xfrm>
          <a:off x="3011771" y="233831"/>
          <a:ext cx="1097797" cy="109779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Patient focus</a:t>
          </a:r>
        </a:p>
      </dsp:txBody>
      <dsp:txXfrm>
        <a:off x="3172540" y="394600"/>
        <a:ext cx="776259" cy="776259"/>
      </dsp:txXfrm>
    </dsp:sp>
    <dsp:sp modelId="{3C6DD409-1F3B-48E1-9F16-3449F4A5E5AF}">
      <dsp:nvSpPr>
        <dsp:cNvPr id="0" name=""/>
        <dsp:cNvSpPr/>
      </dsp:nvSpPr>
      <dsp:spPr>
        <a:xfrm>
          <a:off x="3350379" y="1051301"/>
          <a:ext cx="1097797" cy="109779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Transparency</a:t>
          </a:r>
        </a:p>
      </dsp:txBody>
      <dsp:txXfrm>
        <a:off x="3511148" y="1212070"/>
        <a:ext cx="776259" cy="776259"/>
      </dsp:txXfrm>
    </dsp:sp>
    <dsp:sp modelId="{EAE0D083-7E2A-4181-B7BE-9849261355C1}">
      <dsp:nvSpPr>
        <dsp:cNvPr id="0" name=""/>
        <dsp:cNvSpPr/>
      </dsp:nvSpPr>
      <dsp:spPr>
        <a:xfrm>
          <a:off x="3011771" y="1868771"/>
          <a:ext cx="1097797" cy="109779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Respect</a:t>
          </a:r>
        </a:p>
      </dsp:txBody>
      <dsp:txXfrm>
        <a:off x="3172540" y="2029540"/>
        <a:ext cx="776259" cy="776259"/>
      </dsp:txXfrm>
    </dsp:sp>
    <dsp:sp modelId="{BDB64BC9-243F-4368-9787-0A1050D243B0}">
      <dsp:nvSpPr>
        <dsp:cNvPr id="0" name=""/>
        <dsp:cNvSpPr/>
      </dsp:nvSpPr>
      <dsp:spPr>
        <a:xfrm>
          <a:off x="2194301" y="2207379"/>
          <a:ext cx="1097797" cy="109779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Integrity</a:t>
          </a:r>
        </a:p>
      </dsp:txBody>
      <dsp:txXfrm>
        <a:off x="2355070" y="2368148"/>
        <a:ext cx="776259" cy="776259"/>
      </dsp:txXfrm>
    </dsp:sp>
    <dsp:sp modelId="{CC5ED7C1-9D89-40F0-852C-5F8049385B1C}">
      <dsp:nvSpPr>
        <dsp:cNvPr id="0" name=""/>
        <dsp:cNvSpPr/>
      </dsp:nvSpPr>
      <dsp:spPr>
        <a:xfrm>
          <a:off x="1376831" y="1868771"/>
          <a:ext cx="1097797" cy="109779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Courage</a:t>
          </a:r>
        </a:p>
      </dsp:txBody>
      <dsp:txXfrm>
        <a:off x="1537600" y="2029540"/>
        <a:ext cx="776259" cy="776259"/>
      </dsp:txXfrm>
    </dsp:sp>
    <dsp:sp modelId="{9476E7F1-BFFB-4D40-9C86-6059AB648298}">
      <dsp:nvSpPr>
        <dsp:cNvPr id="0" name=""/>
        <dsp:cNvSpPr/>
      </dsp:nvSpPr>
      <dsp:spPr>
        <a:xfrm>
          <a:off x="1038223" y="1051301"/>
          <a:ext cx="1097797" cy="109779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Accountability</a:t>
          </a:r>
        </a:p>
      </dsp:txBody>
      <dsp:txXfrm>
        <a:off x="1198992" y="1212070"/>
        <a:ext cx="776259" cy="776259"/>
      </dsp:txXfrm>
    </dsp:sp>
    <dsp:sp modelId="{6A6C9B81-8492-48C3-81BE-4C99F12D9771}">
      <dsp:nvSpPr>
        <dsp:cNvPr id="0" name=""/>
        <dsp:cNvSpPr/>
      </dsp:nvSpPr>
      <dsp:spPr>
        <a:xfrm>
          <a:off x="1376831" y="233831"/>
          <a:ext cx="1097797" cy="109779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Teamwork</a:t>
          </a:r>
        </a:p>
      </dsp:txBody>
      <dsp:txXfrm>
        <a:off x="1537600" y="394600"/>
        <a:ext cx="776259" cy="77625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0F1A7A-F895-4E82-B4C1-BC18ED387CB3}">
      <dsp:nvSpPr>
        <dsp:cNvPr id="0" name=""/>
        <dsp:cNvSpPr/>
      </dsp:nvSpPr>
      <dsp:spPr>
        <a:xfrm>
          <a:off x="1524051" y="361050"/>
          <a:ext cx="2478299" cy="2478299"/>
        </a:xfrm>
        <a:prstGeom prst="blockArc">
          <a:avLst>
            <a:gd name="adj1" fmla="val 12602701"/>
            <a:gd name="adj2" fmla="val 16201331"/>
            <a:gd name="adj3" fmla="val 451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B90CBC7-0C65-44AE-8AB7-95DEB403A32C}">
      <dsp:nvSpPr>
        <dsp:cNvPr id="0" name=""/>
        <dsp:cNvSpPr/>
      </dsp:nvSpPr>
      <dsp:spPr>
        <a:xfrm>
          <a:off x="1524527" y="360227"/>
          <a:ext cx="2478299" cy="2478299"/>
        </a:xfrm>
        <a:prstGeom prst="blockArc">
          <a:avLst>
            <a:gd name="adj1" fmla="val 9000014"/>
            <a:gd name="adj2" fmla="val 12600002"/>
            <a:gd name="adj3" fmla="val 451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4F0835B-B931-4224-A075-6B8242676432}">
      <dsp:nvSpPr>
        <dsp:cNvPr id="0" name=""/>
        <dsp:cNvSpPr/>
      </dsp:nvSpPr>
      <dsp:spPr>
        <a:xfrm>
          <a:off x="1524525" y="360223"/>
          <a:ext cx="2478299" cy="2478299"/>
        </a:xfrm>
        <a:prstGeom prst="blockArc">
          <a:avLst>
            <a:gd name="adj1" fmla="val 5400008"/>
            <a:gd name="adj2" fmla="val 9000002"/>
            <a:gd name="adj3" fmla="val 451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4BF8DA9-3F16-4D4E-80BC-903F50AF6B8A}">
      <dsp:nvSpPr>
        <dsp:cNvPr id="0" name=""/>
        <dsp:cNvSpPr/>
      </dsp:nvSpPr>
      <dsp:spPr>
        <a:xfrm>
          <a:off x="1524527" y="360223"/>
          <a:ext cx="2478299" cy="2478299"/>
        </a:xfrm>
        <a:prstGeom prst="blockArc">
          <a:avLst>
            <a:gd name="adj1" fmla="val 1800018"/>
            <a:gd name="adj2" fmla="val 5400013"/>
            <a:gd name="adj3" fmla="val 451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586F4B5-F113-4561-A716-7C29CB309F3A}">
      <dsp:nvSpPr>
        <dsp:cNvPr id="0" name=""/>
        <dsp:cNvSpPr/>
      </dsp:nvSpPr>
      <dsp:spPr>
        <a:xfrm>
          <a:off x="1524525" y="360227"/>
          <a:ext cx="2478299" cy="2478299"/>
        </a:xfrm>
        <a:prstGeom prst="blockArc">
          <a:avLst>
            <a:gd name="adj1" fmla="val 19799995"/>
            <a:gd name="adj2" fmla="val 1800006"/>
            <a:gd name="adj3" fmla="val 451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E1D54EE-36B1-4530-8405-819D4EC35CBD}">
      <dsp:nvSpPr>
        <dsp:cNvPr id="0" name=""/>
        <dsp:cNvSpPr/>
      </dsp:nvSpPr>
      <dsp:spPr>
        <a:xfrm>
          <a:off x="1525000" y="361050"/>
          <a:ext cx="2478299" cy="2478299"/>
        </a:xfrm>
        <a:prstGeom prst="blockArc">
          <a:avLst>
            <a:gd name="adj1" fmla="val 16198637"/>
            <a:gd name="adj2" fmla="val 19797296"/>
            <a:gd name="adj3" fmla="val 451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E7C9CCF-35C8-4E05-B342-FD9D92C6833B}">
      <dsp:nvSpPr>
        <dsp:cNvPr id="0" name=""/>
        <dsp:cNvSpPr/>
      </dsp:nvSpPr>
      <dsp:spPr>
        <a:xfrm>
          <a:off x="2188666" y="1045666"/>
          <a:ext cx="1109067" cy="110906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PESTLE</a:t>
          </a:r>
        </a:p>
        <a:p>
          <a:pPr lvl="0" algn="ctr" defTabSz="400050">
            <a:lnSpc>
              <a:spcPct val="90000"/>
            </a:lnSpc>
            <a:spcBef>
              <a:spcPct val="0"/>
            </a:spcBef>
            <a:spcAft>
              <a:spcPct val="35000"/>
            </a:spcAft>
          </a:pPr>
          <a:r>
            <a:rPr lang="en-GB" sz="900" kern="1200"/>
            <a:t>Framework</a:t>
          </a:r>
        </a:p>
      </dsp:txBody>
      <dsp:txXfrm>
        <a:off x="2351085" y="1208085"/>
        <a:ext cx="784229" cy="784229"/>
      </dsp:txXfrm>
    </dsp:sp>
    <dsp:sp modelId="{5D7904D2-535B-4FE4-8432-156F8A83BF3A}">
      <dsp:nvSpPr>
        <dsp:cNvPr id="0" name=""/>
        <dsp:cNvSpPr/>
      </dsp:nvSpPr>
      <dsp:spPr>
        <a:xfrm>
          <a:off x="2304523" y="-36594"/>
          <a:ext cx="918294" cy="85118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Political environment</a:t>
          </a:r>
        </a:p>
      </dsp:txBody>
      <dsp:txXfrm>
        <a:off x="2439004" y="88059"/>
        <a:ext cx="649332" cy="601880"/>
      </dsp:txXfrm>
    </dsp:sp>
    <dsp:sp modelId="{A69386A5-D3EF-4B8E-B0C0-B7FDA09CCB8B}">
      <dsp:nvSpPr>
        <dsp:cNvPr id="0" name=""/>
        <dsp:cNvSpPr/>
      </dsp:nvSpPr>
      <dsp:spPr>
        <a:xfrm>
          <a:off x="3353457" y="568181"/>
          <a:ext cx="918294" cy="85118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Economic environment</a:t>
          </a:r>
        </a:p>
      </dsp:txBody>
      <dsp:txXfrm>
        <a:off x="3487938" y="692834"/>
        <a:ext cx="649332" cy="601880"/>
      </dsp:txXfrm>
    </dsp:sp>
    <dsp:sp modelId="{CB06C608-9FFA-4A3E-9051-965C404AD013}">
      <dsp:nvSpPr>
        <dsp:cNvPr id="0" name=""/>
        <dsp:cNvSpPr/>
      </dsp:nvSpPr>
      <dsp:spPr>
        <a:xfrm>
          <a:off x="3353457" y="1779385"/>
          <a:ext cx="918294" cy="85118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Social environment</a:t>
          </a:r>
        </a:p>
      </dsp:txBody>
      <dsp:txXfrm>
        <a:off x="3487938" y="1904038"/>
        <a:ext cx="649332" cy="601880"/>
      </dsp:txXfrm>
    </dsp:sp>
    <dsp:sp modelId="{E6A5CE78-6369-4BC5-B26B-2D60A1475FB3}">
      <dsp:nvSpPr>
        <dsp:cNvPr id="0" name=""/>
        <dsp:cNvSpPr/>
      </dsp:nvSpPr>
      <dsp:spPr>
        <a:xfrm>
          <a:off x="2304524" y="2384980"/>
          <a:ext cx="918294" cy="85118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Technological environment</a:t>
          </a:r>
        </a:p>
      </dsp:txBody>
      <dsp:txXfrm>
        <a:off x="2439005" y="2509633"/>
        <a:ext cx="649332" cy="601880"/>
      </dsp:txXfrm>
    </dsp:sp>
    <dsp:sp modelId="{05509999-0947-4741-9D89-AFAA3CB299DA}">
      <dsp:nvSpPr>
        <dsp:cNvPr id="0" name=""/>
        <dsp:cNvSpPr/>
      </dsp:nvSpPr>
      <dsp:spPr>
        <a:xfrm>
          <a:off x="1255596" y="1779379"/>
          <a:ext cx="918294" cy="85118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Ecological environment</a:t>
          </a:r>
        </a:p>
      </dsp:txBody>
      <dsp:txXfrm>
        <a:off x="1390077" y="1904032"/>
        <a:ext cx="649332" cy="601880"/>
      </dsp:txXfrm>
    </dsp:sp>
    <dsp:sp modelId="{62945937-D54A-4E78-AE20-4D2EEC37B009}">
      <dsp:nvSpPr>
        <dsp:cNvPr id="0" name=""/>
        <dsp:cNvSpPr/>
      </dsp:nvSpPr>
      <dsp:spPr>
        <a:xfrm>
          <a:off x="1255599" y="568182"/>
          <a:ext cx="918294" cy="85118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Legal environment</a:t>
          </a:r>
        </a:p>
      </dsp:txBody>
      <dsp:txXfrm>
        <a:off x="1390080" y="692835"/>
        <a:ext cx="649332" cy="60188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593414-3B74-4ADA-ACA5-5E78FB02484A}">
      <dsp:nvSpPr>
        <dsp:cNvPr id="0" name=""/>
        <dsp:cNvSpPr/>
      </dsp:nvSpPr>
      <dsp:spPr>
        <a:xfrm>
          <a:off x="2322611" y="1179611"/>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Competitive rivalry</a:t>
          </a:r>
        </a:p>
      </dsp:txBody>
      <dsp:txXfrm>
        <a:off x="2445798" y="1302798"/>
        <a:ext cx="594802" cy="594802"/>
      </dsp:txXfrm>
    </dsp:sp>
    <dsp:sp modelId="{4FBAEE60-48F3-4D74-9556-2C9043C3ACC9}">
      <dsp:nvSpPr>
        <dsp:cNvPr id="0" name=""/>
        <dsp:cNvSpPr/>
      </dsp:nvSpPr>
      <dsp:spPr>
        <a:xfrm rot="16200000">
          <a:off x="2653889" y="873157"/>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a:off x="2680682" y="957150"/>
        <a:ext cx="125034" cy="171600"/>
      </dsp:txXfrm>
    </dsp:sp>
    <dsp:sp modelId="{4EF12133-A67C-4CC9-AF19-12AF343D4733}">
      <dsp:nvSpPr>
        <dsp:cNvPr id="0" name=""/>
        <dsp:cNvSpPr/>
      </dsp:nvSpPr>
      <dsp:spPr>
        <a:xfrm>
          <a:off x="2322611" y="1416"/>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Threats of new entrants</a:t>
          </a:r>
        </a:p>
      </dsp:txBody>
      <dsp:txXfrm>
        <a:off x="2445798" y="124603"/>
        <a:ext cx="594802" cy="594802"/>
      </dsp:txXfrm>
    </dsp:sp>
    <dsp:sp modelId="{6BF68F25-37FD-4E77-9E79-80BFC2270994}">
      <dsp:nvSpPr>
        <dsp:cNvPr id="0" name=""/>
        <dsp:cNvSpPr/>
      </dsp:nvSpPr>
      <dsp:spPr>
        <a:xfrm>
          <a:off x="3237932" y="1457199"/>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a:off x="3237932" y="1514399"/>
        <a:ext cx="125034" cy="171600"/>
      </dsp:txXfrm>
    </dsp:sp>
    <dsp:sp modelId="{A9D23EA4-ED1A-4D2C-A63A-46C0C7F569AD}">
      <dsp:nvSpPr>
        <dsp:cNvPr id="0" name=""/>
        <dsp:cNvSpPr/>
      </dsp:nvSpPr>
      <dsp:spPr>
        <a:xfrm>
          <a:off x="3500807" y="1179611"/>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Threats of substitutes</a:t>
          </a:r>
        </a:p>
      </dsp:txBody>
      <dsp:txXfrm>
        <a:off x="3623994" y="1302798"/>
        <a:ext cx="594802" cy="594802"/>
      </dsp:txXfrm>
    </dsp:sp>
    <dsp:sp modelId="{209386DC-EAB5-495D-852A-7F196EAC6547}">
      <dsp:nvSpPr>
        <dsp:cNvPr id="0" name=""/>
        <dsp:cNvSpPr/>
      </dsp:nvSpPr>
      <dsp:spPr>
        <a:xfrm rot="5400000">
          <a:off x="2653889" y="2041242"/>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a:off x="2680682" y="2071649"/>
        <a:ext cx="125034" cy="171600"/>
      </dsp:txXfrm>
    </dsp:sp>
    <dsp:sp modelId="{C2895BA7-DE27-4200-A127-B7BD32A06AFA}">
      <dsp:nvSpPr>
        <dsp:cNvPr id="0" name=""/>
        <dsp:cNvSpPr/>
      </dsp:nvSpPr>
      <dsp:spPr>
        <a:xfrm>
          <a:off x="2322611" y="2357807"/>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Bargaining power of suppliers</a:t>
          </a:r>
        </a:p>
      </dsp:txBody>
      <dsp:txXfrm>
        <a:off x="2445798" y="2480994"/>
        <a:ext cx="594802" cy="594802"/>
      </dsp:txXfrm>
    </dsp:sp>
    <dsp:sp modelId="{9F411ADC-8AFD-49F2-973A-996A3B6B95E9}">
      <dsp:nvSpPr>
        <dsp:cNvPr id="0" name=""/>
        <dsp:cNvSpPr/>
      </dsp:nvSpPr>
      <dsp:spPr>
        <a:xfrm rot="10800000">
          <a:off x="2069847" y="1457199"/>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rot="10800000">
        <a:off x="2123433" y="1514399"/>
        <a:ext cx="125034" cy="171600"/>
      </dsp:txXfrm>
    </dsp:sp>
    <dsp:sp modelId="{AEC590B9-685F-44F8-9DCA-2E7035E82259}">
      <dsp:nvSpPr>
        <dsp:cNvPr id="0" name=""/>
        <dsp:cNvSpPr/>
      </dsp:nvSpPr>
      <dsp:spPr>
        <a:xfrm>
          <a:off x="1144416" y="1179611"/>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Bargaining power of buyers</a:t>
          </a:r>
        </a:p>
      </dsp:txBody>
      <dsp:txXfrm>
        <a:off x="1267603" y="1302798"/>
        <a:ext cx="594802" cy="59480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5C5EF4-D932-4356-98E1-989C008C0E6B}">
      <dsp:nvSpPr>
        <dsp:cNvPr id="0" name=""/>
        <dsp:cNvSpPr/>
      </dsp:nvSpPr>
      <dsp:spPr>
        <a:xfrm>
          <a:off x="2302640" y="1159640"/>
          <a:ext cx="881119" cy="88111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SWOT Analysis</a:t>
          </a:r>
        </a:p>
      </dsp:txBody>
      <dsp:txXfrm>
        <a:off x="2431677" y="1288677"/>
        <a:ext cx="623045" cy="623045"/>
      </dsp:txXfrm>
    </dsp:sp>
    <dsp:sp modelId="{7FEA795A-5124-4838-B849-27E2C71B3F82}">
      <dsp:nvSpPr>
        <dsp:cNvPr id="0" name=""/>
        <dsp:cNvSpPr/>
      </dsp:nvSpPr>
      <dsp:spPr>
        <a:xfrm rot="16200000">
          <a:off x="2610406" y="1012392"/>
          <a:ext cx="265587" cy="28908"/>
        </a:xfrm>
        <a:custGeom>
          <a:avLst/>
          <a:gdLst/>
          <a:ahLst/>
          <a:cxnLst/>
          <a:rect l="0" t="0" r="0" b="0"/>
          <a:pathLst>
            <a:path>
              <a:moveTo>
                <a:pt x="0" y="14454"/>
              </a:moveTo>
              <a:lnTo>
                <a:pt x="265587" y="144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400050">
            <a:lnSpc>
              <a:spcPct val="90000"/>
            </a:lnSpc>
            <a:spcBef>
              <a:spcPct val="0"/>
            </a:spcBef>
            <a:spcAft>
              <a:spcPct val="35000"/>
            </a:spcAft>
          </a:pPr>
          <a:endParaRPr lang="en-GB" sz="900" kern="1200"/>
        </a:p>
      </dsp:txBody>
      <dsp:txXfrm>
        <a:off x="2736560" y="1020206"/>
        <a:ext cx="13279" cy="13279"/>
      </dsp:txXfrm>
    </dsp:sp>
    <dsp:sp modelId="{3DE5D447-EDC3-4352-A40B-7949EB7EC9C6}">
      <dsp:nvSpPr>
        <dsp:cNvPr id="0" name=""/>
        <dsp:cNvSpPr/>
      </dsp:nvSpPr>
      <dsp:spPr>
        <a:xfrm>
          <a:off x="2302640" y="12932"/>
          <a:ext cx="881119" cy="88111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Strength</a:t>
          </a:r>
        </a:p>
      </dsp:txBody>
      <dsp:txXfrm>
        <a:off x="2431677" y="141969"/>
        <a:ext cx="623045" cy="623045"/>
      </dsp:txXfrm>
    </dsp:sp>
    <dsp:sp modelId="{A6D92F02-8A87-4B0C-87C9-2580D82D98B0}">
      <dsp:nvSpPr>
        <dsp:cNvPr id="0" name=""/>
        <dsp:cNvSpPr/>
      </dsp:nvSpPr>
      <dsp:spPr>
        <a:xfrm>
          <a:off x="3183759" y="1585745"/>
          <a:ext cx="265587" cy="28908"/>
        </a:xfrm>
        <a:custGeom>
          <a:avLst/>
          <a:gdLst/>
          <a:ahLst/>
          <a:cxnLst/>
          <a:rect l="0" t="0" r="0" b="0"/>
          <a:pathLst>
            <a:path>
              <a:moveTo>
                <a:pt x="0" y="14454"/>
              </a:moveTo>
              <a:lnTo>
                <a:pt x="265587" y="144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400050">
            <a:lnSpc>
              <a:spcPct val="90000"/>
            </a:lnSpc>
            <a:spcBef>
              <a:spcPct val="0"/>
            </a:spcBef>
            <a:spcAft>
              <a:spcPct val="35000"/>
            </a:spcAft>
          </a:pPr>
          <a:endParaRPr lang="en-GB" sz="900" kern="1200"/>
        </a:p>
      </dsp:txBody>
      <dsp:txXfrm>
        <a:off x="3309913" y="1593560"/>
        <a:ext cx="13279" cy="13279"/>
      </dsp:txXfrm>
    </dsp:sp>
    <dsp:sp modelId="{FD82B02C-6E3E-41E4-841F-FDDA3A187982}">
      <dsp:nvSpPr>
        <dsp:cNvPr id="0" name=""/>
        <dsp:cNvSpPr/>
      </dsp:nvSpPr>
      <dsp:spPr>
        <a:xfrm>
          <a:off x="3449347" y="1159640"/>
          <a:ext cx="881119" cy="88111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Weakness</a:t>
          </a:r>
        </a:p>
      </dsp:txBody>
      <dsp:txXfrm>
        <a:off x="3578384" y="1288677"/>
        <a:ext cx="623045" cy="623045"/>
      </dsp:txXfrm>
    </dsp:sp>
    <dsp:sp modelId="{58C75471-1BE9-492A-BAA7-522AA4527EC4}">
      <dsp:nvSpPr>
        <dsp:cNvPr id="0" name=""/>
        <dsp:cNvSpPr/>
      </dsp:nvSpPr>
      <dsp:spPr>
        <a:xfrm rot="5400000">
          <a:off x="2610406" y="2159099"/>
          <a:ext cx="265587" cy="28908"/>
        </a:xfrm>
        <a:custGeom>
          <a:avLst/>
          <a:gdLst/>
          <a:ahLst/>
          <a:cxnLst/>
          <a:rect l="0" t="0" r="0" b="0"/>
          <a:pathLst>
            <a:path>
              <a:moveTo>
                <a:pt x="0" y="14454"/>
              </a:moveTo>
              <a:lnTo>
                <a:pt x="265587" y="144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400050">
            <a:lnSpc>
              <a:spcPct val="90000"/>
            </a:lnSpc>
            <a:spcBef>
              <a:spcPct val="0"/>
            </a:spcBef>
            <a:spcAft>
              <a:spcPct val="35000"/>
            </a:spcAft>
          </a:pPr>
          <a:endParaRPr lang="en-GB" sz="900" kern="1200"/>
        </a:p>
      </dsp:txBody>
      <dsp:txXfrm>
        <a:off x="2736560" y="2166913"/>
        <a:ext cx="13279" cy="13279"/>
      </dsp:txXfrm>
    </dsp:sp>
    <dsp:sp modelId="{9A619C04-C05F-4548-B46C-791F2916DF3A}">
      <dsp:nvSpPr>
        <dsp:cNvPr id="0" name=""/>
        <dsp:cNvSpPr/>
      </dsp:nvSpPr>
      <dsp:spPr>
        <a:xfrm>
          <a:off x="2302640" y="2306347"/>
          <a:ext cx="881119" cy="88111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Opportunities</a:t>
          </a:r>
        </a:p>
      </dsp:txBody>
      <dsp:txXfrm>
        <a:off x="2431677" y="2435384"/>
        <a:ext cx="623045" cy="623045"/>
      </dsp:txXfrm>
    </dsp:sp>
    <dsp:sp modelId="{5DDA54A9-51B0-4403-92E0-42C2BE103685}">
      <dsp:nvSpPr>
        <dsp:cNvPr id="0" name=""/>
        <dsp:cNvSpPr/>
      </dsp:nvSpPr>
      <dsp:spPr>
        <a:xfrm rot="10800000">
          <a:off x="2037052" y="1585745"/>
          <a:ext cx="265587" cy="28908"/>
        </a:xfrm>
        <a:custGeom>
          <a:avLst/>
          <a:gdLst/>
          <a:ahLst/>
          <a:cxnLst/>
          <a:rect l="0" t="0" r="0" b="0"/>
          <a:pathLst>
            <a:path>
              <a:moveTo>
                <a:pt x="0" y="14454"/>
              </a:moveTo>
              <a:lnTo>
                <a:pt x="265587" y="144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400050">
            <a:lnSpc>
              <a:spcPct val="90000"/>
            </a:lnSpc>
            <a:spcBef>
              <a:spcPct val="0"/>
            </a:spcBef>
            <a:spcAft>
              <a:spcPct val="35000"/>
            </a:spcAft>
          </a:pPr>
          <a:endParaRPr lang="en-GB" sz="900" kern="1200"/>
        </a:p>
      </dsp:txBody>
      <dsp:txXfrm rot="10800000">
        <a:off x="2163206" y="1593560"/>
        <a:ext cx="13279" cy="13279"/>
      </dsp:txXfrm>
    </dsp:sp>
    <dsp:sp modelId="{A66567CB-DE9E-40DD-B5C2-9E6351E1CD4F}">
      <dsp:nvSpPr>
        <dsp:cNvPr id="0" name=""/>
        <dsp:cNvSpPr/>
      </dsp:nvSpPr>
      <dsp:spPr>
        <a:xfrm>
          <a:off x="1155932" y="1159640"/>
          <a:ext cx="881119" cy="88111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Threats</a:t>
          </a:r>
        </a:p>
      </dsp:txBody>
      <dsp:txXfrm>
        <a:off x="1284969" y="1288677"/>
        <a:ext cx="623045" cy="623045"/>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005B3-42BE-4B7F-9B74-527514B67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28</Pages>
  <Words>6150</Words>
  <Characters>35056</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Iqbal</cp:lastModifiedBy>
  <cp:revision>985</cp:revision>
  <dcterms:created xsi:type="dcterms:W3CDTF">2021-05-13T16:46:00Z</dcterms:created>
  <dcterms:modified xsi:type="dcterms:W3CDTF">2021-05-14T21:35:00Z</dcterms:modified>
</cp:coreProperties>
</file>