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6AF0C" w14:textId="6428725B" w:rsidR="00EA4F45" w:rsidRDefault="00EA4F45" w:rsidP="00EA4F45">
      <w:pPr>
        <w:rPr>
          <w:rFonts w:eastAsia="Times New Roman" w:cs="Times New Roman"/>
          <w:b/>
          <w:sz w:val="32"/>
          <w:szCs w:val="32"/>
        </w:rPr>
      </w:pPr>
    </w:p>
    <w:p w14:paraId="59E6537F" w14:textId="00323E57" w:rsidR="00EA4F45" w:rsidRDefault="00EA4F45" w:rsidP="00EA4F45">
      <w:pPr>
        <w:jc w:val="center"/>
        <w:rPr>
          <w:rFonts w:asciiTheme="minorHAnsi" w:eastAsia="Times New Roman" w:hAnsiTheme="minorHAnsi" w:cstheme="minorHAnsi"/>
          <w:b/>
          <w:sz w:val="28"/>
          <w:szCs w:val="28"/>
        </w:rPr>
      </w:pPr>
      <w:r w:rsidRPr="00055ABC">
        <w:rPr>
          <w:rFonts w:asciiTheme="minorHAnsi" w:eastAsia="Times New Roman" w:hAnsiTheme="minorHAnsi" w:cstheme="minorHAnsi"/>
          <w:b/>
          <w:sz w:val="28"/>
          <w:szCs w:val="28"/>
        </w:rPr>
        <w:t>Module code: BMIH5007</w:t>
      </w:r>
    </w:p>
    <w:p w14:paraId="594B5C74" w14:textId="77777777" w:rsidR="005F6555" w:rsidRPr="00055ABC" w:rsidRDefault="005F6555" w:rsidP="00EA4F45">
      <w:pPr>
        <w:jc w:val="center"/>
        <w:rPr>
          <w:rFonts w:asciiTheme="minorHAnsi" w:eastAsia="Times New Roman" w:hAnsiTheme="minorHAnsi" w:cstheme="minorHAnsi"/>
          <w:b/>
          <w:sz w:val="28"/>
          <w:szCs w:val="28"/>
        </w:rPr>
      </w:pPr>
    </w:p>
    <w:p w14:paraId="36F0BBDE" w14:textId="77777777" w:rsidR="00055ABC" w:rsidRPr="00055ABC" w:rsidRDefault="00EA4F45" w:rsidP="00055ABC">
      <w:pPr>
        <w:spacing w:line="259" w:lineRule="auto"/>
        <w:jc w:val="center"/>
        <w:rPr>
          <w:rFonts w:asciiTheme="minorHAnsi" w:hAnsiTheme="minorHAnsi" w:cstheme="minorHAnsi"/>
          <w:b/>
          <w:bCs/>
          <w:sz w:val="28"/>
          <w:szCs w:val="28"/>
        </w:rPr>
      </w:pPr>
      <w:r w:rsidRPr="00055ABC">
        <w:rPr>
          <w:rFonts w:asciiTheme="minorHAnsi" w:eastAsia="Times New Roman" w:hAnsiTheme="minorHAnsi" w:cstheme="minorHAnsi"/>
          <w:b/>
          <w:sz w:val="28"/>
          <w:szCs w:val="28"/>
        </w:rPr>
        <w:t>Module Title</w:t>
      </w:r>
      <w:r w:rsidR="00055ABC" w:rsidRPr="00055ABC">
        <w:rPr>
          <w:rFonts w:asciiTheme="minorHAnsi" w:eastAsia="Times New Roman" w:hAnsiTheme="minorHAnsi" w:cstheme="minorHAnsi"/>
          <w:b/>
          <w:sz w:val="28"/>
          <w:szCs w:val="28"/>
        </w:rPr>
        <w:t xml:space="preserve">: </w:t>
      </w:r>
      <w:r w:rsidR="00055ABC" w:rsidRPr="00055ABC">
        <w:rPr>
          <w:rFonts w:asciiTheme="minorHAnsi" w:hAnsiTheme="minorHAnsi" w:cstheme="minorHAnsi"/>
          <w:b/>
          <w:bCs/>
          <w:sz w:val="28"/>
          <w:szCs w:val="28"/>
        </w:rPr>
        <w:t>Financial Management for the Hotel Industry</w:t>
      </w:r>
    </w:p>
    <w:p w14:paraId="7F8560A6" w14:textId="77777777" w:rsidR="00055ABC" w:rsidRPr="00055ABC" w:rsidRDefault="00055ABC" w:rsidP="00055ABC">
      <w:pPr>
        <w:jc w:val="center"/>
        <w:rPr>
          <w:rFonts w:asciiTheme="minorHAnsi" w:eastAsia="Times New Roman" w:hAnsiTheme="minorHAnsi" w:cstheme="minorHAnsi"/>
          <w:b/>
          <w:sz w:val="28"/>
          <w:szCs w:val="28"/>
        </w:rPr>
      </w:pPr>
      <w:r w:rsidRPr="00055ABC">
        <w:rPr>
          <w:rFonts w:asciiTheme="minorHAnsi" w:eastAsia="Times New Roman" w:hAnsiTheme="minorHAnsi" w:cstheme="minorHAnsi"/>
          <w:b/>
          <w:sz w:val="28"/>
          <w:szCs w:val="28"/>
        </w:rPr>
        <w:t xml:space="preserve">Assessment title: </w:t>
      </w:r>
      <w:r w:rsidRPr="00055ABC">
        <w:rPr>
          <w:rFonts w:asciiTheme="minorHAnsi" w:hAnsiTheme="minorHAnsi" w:cstheme="minorHAnsi"/>
          <w:b/>
          <w:bCs/>
          <w:sz w:val="28"/>
          <w:szCs w:val="28"/>
        </w:rPr>
        <w:t>Business Report - Comparison of Two Hospitality Organisations</w:t>
      </w:r>
    </w:p>
    <w:p w14:paraId="5F93FCB2" w14:textId="77777777" w:rsidR="00EA4F45" w:rsidRPr="00055ABC" w:rsidRDefault="00EA4F45" w:rsidP="00EA4F45">
      <w:pPr>
        <w:jc w:val="center"/>
        <w:rPr>
          <w:rFonts w:asciiTheme="minorHAnsi" w:eastAsia="Times New Roman" w:hAnsiTheme="minorHAnsi" w:cstheme="minorHAnsi"/>
          <w:b/>
          <w:sz w:val="28"/>
          <w:szCs w:val="28"/>
        </w:rPr>
      </w:pPr>
    </w:p>
    <w:p w14:paraId="4B523100" w14:textId="77777777" w:rsidR="00EA4F45" w:rsidRPr="00055ABC" w:rsidRDefault="00EA4F45" w:rsidP="00EA4F45">
      <w:pPr>
        <w:jc w:val="center"/>
        <w:rPr>
          <w:rFonts w:asciiTheme="minorHAnsi" w:eastAsia="Times New Roman" w:hAnsiTheme="minorHAnsi" w:cstheme="minorHAnsi"/>
          <w:b/>
          <w:sz w:val="28"/>
          <w:szCs w:val="28"/>
        </w:rPr>
      </w:pPr>
      <w:r w:rsidRPr="00055ABC">
        <w:rPr>
          <w:rFonts w:asciiTheme="minorHAnsi" w:eastAsia="Times New Roman" w:hAnsiTheme="minorHAnsi" w:cstheme="minorHAnsi"/>
          <w:b/>
          <w:sz w:val="28"/>
          <w:szCs w:val="28"/>
        </w:rPr>
        <w:t>Name: Ioana Dobre</w:t>
      </w:r>
    </w:p>
    <w:p w14:paraId="2B2E9BE7" w14:textId="77777777" w:rsidR="00EA4F45" w:rsidRPr="00055ABC" w:rsidRDefault="00EA4F45" w:rsidP="00EA4F45">
      <w:pPr>
        <w:jc w:val="center"/>
        <w:rPr>
          <w:rFonts w:asciiTheme="minorHAnsi" w:eastAsia="Times New Roman" w:hAnsiTheme="minorHAnsi" w:cstheme="minorHAnsi"/>
          <w:b/>
          <w:sz w:val="28"/>
          <w:szCs w:val="28"/>
        </w:rPr>
      </w:pPr>
      <w:r w:rsidRPr="00055ABC">
        <w:rPr>
          <w:rFonts w:asciiTheme="minorHAnsi" w:eastAsia="Times New Roman" w:hAnsiTheme="minorHAnsi" w:cstheme="minorHAnsi"/>
          <w:b/>
          <w:sz w:val="28"/>
          <w:szCs w:val="28"/>
        </w:rPr>
        <w:t>Student ID number: 2224087</w:t>
      </w:r>
    </w:p>
    <w:p w14:paraId="53698C6F" w14:textId="77777777" w:rsidR="009028D1" w:rsidRDefault="009028D1" w:rsidP="009028D1">
      <w:pPr>
        <w:spacing w:line="259" w:lineRule="auto"/>
        <w:jc w:val="center"/>
        <w:rPr>
          <w:b/>
          <w:bCs/>
          <w:sz w:val="36"/>
          <w:szCs w:val="32"/>
        </w:rPr>
      </w:pPr>
    </w:p>
    <w:p w14:paraId="33FBCE77" w14:textId="77777777" w:rsidR="009028D1" w:rsidRDefault="009028D1" w:rsidP="009028D1">
      <w:pPr>
        <w:spacing w:line="259" w:lineRule="auto"/>
        <w:jc w:val="center"/>
        <w:rPr>
          <w:b/>
          <w:bCs/>
          <w:sz w:val="36"/>
          <w:szCs w:val="32"/>
        </w:rPr>
      </w:pPr>
    </w:p>
    <w:p w14:paraId="1751461A" w14:textId="7947AE3C" w:rsidR="00D01D3A" w:rsidRDefault="00055ABC" w:rsidP="00EA4F45">
      <w:pPr>
        <w:spacing w:line="259" w:lineRule="auto"/>
      </w:pPr>
      <w:r>
        <w:br w:type="page"/>
      </w:r>
    </w:p>
    <w:p w14:paraId="12A0E82C" w14:textId="2C2DA35F" w:rsidR="00957FA5" w:rsidRPr="00226B95" w:rsidRDefault="00055ABC">
      <w:pPr>
        <w:spacing w:line="259" w:lineRule="auto"/>
        <w:jc w:val="left"/>
        <w:rPr>
          <w:b/>
          <w:bCs/>
        </w:rPr>
      </w:pPr>
      <w:r w:rsidRPr="00226B95">
        <w:rPr>
          <w:b/>
          <w:bCs/>
        </w:rPr>
        <w:lastRenderedPageBreak/>
        <w:t>Executive Summary</w:t>
      </w:r>
    </w:p>
    <w:p w14:paraId="50C1121B" w14:textId="7D549C3B" w:rsidR="00376F1C" w:rsidRDefault="00055ABC" w:rsidP="00376F1C">
      <w:r w:rsidRPr="00132908">
        <w:t>This</w:t>
      </w:r>
      <w:r>
        <w:t xml:space="preserve"> report</w:t>
      </w:r>
      <w:r w:rsidRPr="00132908">
        <w:t xml:space="preserve"> focuses on evaluating the financial management styles of the well-known hotel chains – Shangri-La Hotels and Travelodge Hotels. It reviews their consolidated sales, market niches, opportunities for future expansion, as well as proactive policies in terms of CSR. While Shangri-La is an upscale brand that aims at individual attention to its clientele, Travelodge is deliberately targeting an economy category guest. The two organisations are quite able to be innovative in their respective markets, as evidenced by potential growth that can be brought by technological advancements and improvements in their online marketing strategies. The </w:t>
      </w:r>
      <w:r>
        <w:t>report</w:t>
      </w:r>
      <w:r w:rsidRPr="00132908">
        <w:t xml:space="preserve"> provides specific suggestions for each company to improve its position within the market and guarantee a better financial position, which will, in turn, lead to these businesses' success in the future dynamics of the hospitality sector.</w:t>
      </w:r>
    </w:p>
    <w:p w14:paraId="19E080F5" w14:textId="77777777" w:rsidR="00376F1C" w:rsidRDefault="00376F1C" w:rsidP="00376F1C"/>
    <w:p w14:paraId="54C0071A" w14:textId="77777777" w:rsidR="00376F1C" w:rsidRDefault="00376F1C" w:rsidP="00376F1C"/>
    <w:p w14:paraId="65DD50F3" w14:textId="77777777" w:rsidR="00376F1C" w:rsidRDefault="00376F1C" w:rsidP="00376F1C"/>
    <w:p w14:paraId="6DE14196" w14:textId="77777777" w:rsidR="00957FA5" w:rsidRDefault="00055ABC" w:rsidP="00376F1C">
      <w:r>
        <w:br w:type="page"/>
      </w:r>
    </w:p>
    <w:sdt>
      <w:sdtPr>
        <w:id w:val="-1389256955"/>
        <w:docPartObj>
          <w:docPartGallery w:val="Table of Contents"/>
          <w:docPartUnique/>
        </w:docPartObj>
      </w:sdtPr>
      <w:sdtEndPr>
        <w:rPr>
          <w:b/>
          <w:bCs/>
        </w:rPr>
      </w:sdtEndPr>
      <w:sdtContent>
        <w:p w14:paraId="603CF164" w14:textId="0079AAC7" w:rsidR="00A46686" w:rsidRPr="000810BB" w:rsidRDefault="00055ABC" w:rsidP="00A46686">
          <w:pPr>
            <w:jc w:val="center"/>
            <w:rPr>
              <w:b/>
              <w:bCs/>
              <w:sz w:val="28"/>
              <w:szCs w:val="24"/>
            </w:rPr>
          </w:pPr>
          <w:r w:rsidRPr="000810BB">
            <w:rPr>
              <w:b/>
              <w:bCs/>
              <w:sz w:val="28"/>
              <w:szCs w:val="24"/>
            </w:rPr>
            <w:t>Table of Contents</w:t>
          </w:r>
        </w:p>
        <w:p w14:paraId="632100BF" w14:textId="1E310A6F" w:rsidR="00B13B65" w:rsidRDefault="00055ABC">
          <w:pPr>
            <w:pStyle w:val="TOC1"/>
            <w:tabs>
              <w:tab w:val="right" w:leader="dot" w:pos="9016"/>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81347378" w:history="1">
            <w:r w:rsidR="00B13B65" w:rsidRPr="006D059A">
              <w:rPr>
                <w:rStyle w:val="Hyperlink"/>
                <w:noProof/>
              </w:rPr>
              <w:t>Introduction</w:t>
            </w:r>
            <w:r w:rsidR="00B13B65">
              <w:rPr>
                <w:noProof/>
                <w:webHidden/>
              </w:rPr>
              <w:tab/>
            </w:r>
            <w:r w:rsidR="00B13B65">
              <w:rPr>
                <w:noProof/>
                <w:webHidden/>
              </w:rPr>
              <w:fldChar w:fldCharType="begin"/>
            </w:r>
            <w:r w:rsidR="00B13B65">
              <w:rPr>
                <w:noProof/>
                <w:webHidden/>
              </w:rPr>
              <w:instrText xml:space="preserve"> PAGEREF _Toc181347378 \h </w:instrText>
            </w:r>
            <w:r w:rsidR="00B13B65">
              <w:rPr>
                <w:noProof/>
                <w:webHidden/>
              </w:rPr>
            </w:r>
            <w:r w:rsidR="00B13B65">
              <w:rPr>
                <w:noProof/>
                <w:webHidden/>
              </w:rPr>
              <w:fldChar w:fldCharType="separate"/>
            </w:r>
            <w:r w:rsidR="00B13B65">
              <w:rPr>
                <w:noProof/>
                <w:webHidden/>
              </w:rPr>
              <w:t>4</w:t>
            </w:r>
            <w:r w:rsidR="00B13B65">
              <w:rPr>
                <w:noProof/>
                <w:webHidden/>
              </w:rPr>
              <w:fldChar w:fldCharType="end"/>
            </w:r>
          </w:hyperlink>
        </w:p>
        <w:p w14:paraId="04267ED9" w14:textId="6BBC5536" w:rsidR="00B13B65" w:rsidRDefault="00B13B65">
          <w:pPr>
            <w:pStyle w:val="TOC1"/>
            <w:tabs>
              <w:tab w:val="right" w:leader="dot" w:pos="9016"/>
            </w:tabs>
            <w:rPr>
              <w:rFonts w:asciiTheme="minorHAnsi" w:eastAsiaTheme="minorEastAsia" w:hAnsiTheme="minorHAnsi"/>
              <w:noProof/>
              <w:kern w:val="2"/>
              <w:sz w:val="22"/>
              <w:lang w:eastAsia="en-GB"/>
              <w14:ligatures w14:val="standardContextual"/>
            </w:rPr>
          </w:pPr>
          <w:hyperlink w:anchor="_Toc181347379" w:history="1">
            <w:r w:rsidRPr="006D059A">
              <w:rPr>
                <w:rStyle w:val="Hyperlink"/>
                <w:noProof/>
              </w:rPr>
              <w:t>Analysis and Comparison</w:t>
            </w:r>
            <w:r>
              <w:rPr>
                <w:noProof/>
                <w:webHidden/>
              </w:rPr>
              <w:tab/>
            </w:r>
            <w:r>
              <w:rPr>
                <w:noProof/>
                <w:webHidden/>
              </w:rPr>
              <w:fldChar w:fldCharType="begin"/>
            </w:r>
            <w:r>
              <w:rPr>
                <w:noProof/>
                <w:webHidden/>
              </w:rPr>
              <w:instrText xml:space="preserve"> PAGEREF _Toc181347379 \h </w:instrText>
            </w:r>
            <w:r>
              <w:rPr>
                <w:noProof/>
                <w:webHidden/>
              </w:rPr>
            </w:r>
            <w:r>
              <w:rPr>
                <w:noProof/>
                <w:webHidden/>
              </w:rPr>
              <w:fldChar w:fldCharType="separate"/>
            </w:r>
            <w:r>
              <w:rPr>
                <w:noProof/>
                <w:webHidden/>
              </w:rPr>
              <w:t>4</w:t>
            </w:r>
            <w:r>
              <w:rPr>
                <w:noProof/>
                <w:webHidden/>
              </w:rPr>
              <w:fldChar w:fldCharType="end"/>
            </w:r>
          </w:hyperlink>
        </w:p>
        <w:p w14:paraId="53DD0E0B" w14:textId="5A7EA391" w:rsidR="00B13B65" w:rsidRDefault="00B13B65">
          <w:pPr>
            <w:pStyle w:val="TOC2"/>
            <w:tabs>
              <w:tab w:val="right" w:leader="dot" w:pos="9016"/>
            </w:tabs>
            <w:rPr>
              <w:rFonts w:asciiTheme="minorHAnsi" w:eastAsiaTheme="minorEastAsia" w:hAnsiTheme="minorHAnsi"/>
              <w:noProof/>
              <w:kern w:val="2"/>
              <w:sz w:val="22"/>
              <w:lang w:eastAsia="en-GB"/>
              <w14:ligatures w14:val="standardContextual"/>
            </w:rPr>
          </w:pPr>
          <w:hyperlink w:anchor="_Toc181347380" w:history="1">
            <w:r w:rsidRPr="006D059A">
              <w:rPr>
                <w:rStyle w:val="Hyperlink"/>
                <w:noProof/>
              </w:rPr>
              <w:t>Total Revenue</w:t>
            </w:r>
            <w:r>
              <w:rPr>
                <w:noProof/>
                <w:webHidden/>
              </w:rPr>
              <w:tab/>
            </w:r>
            <w:r>
              <w:rPr>
                <w:noProof/>
                <w:webHidden/>
              </w:rPr>
              <w:fldChar w:fldCharType="begin"/>
            </w:r>
            <w:r>
              <w:rPr>
                <w:noProof/>
                <w:webHidden/>
              </w:rPr>
              <w:instrText xml:space="preserve"> PAGEREF _Toc181347380 \h </w:instrText>
            </w:r>
            <w:r>
              <w:rPr>
                <w:noProof/>
                <w:webHidden/>
              </w:rPr>
            </w:r>
            <w:r>
              <w:rPr>
                <w:noProof/>
                <w:webHidden/>
              </w:rPr>
              <w:fldChar w:fldCharType="separate"/>
            </w:r>
            <w:r>
              <w:rPr>
                <w:noProof/>
                <w:webHidden/>
              </w:rPr>
              <w:t>4</w:t>
            </w:r>
            <w:r>
              <w:rPr>
                <w:noProof/>
                <w:webHidden/>
              </w:rPr>
              <w:fldChar w:fldCharType="end"/>
            </w:r>
          </w:hyperlink>
        </w:p>
        <w:p w14:paraId="62709336" w14:textId="2432059F" w:rsidR="00B13B65" w:rsidRDefault="00B13B65">
          <w:pPr>
            <w:pStyle w:val="TOC2"/>
            <w:tabs>
              <w:tab w:val="right" w:leader="dot" w:pos="9016"/>
            </w:tabs>
            <w:rPr>
              <w:rFonts w:asciiTheme="minorHAnsi" w:eastAsiaTheme="minorEastAsia" w:hAnsiTheme="minorHAnsi"/>
              <w:noProof/>
              <w:kern w:val="2"/>
              <w:sz w:val="22"/>
              <w:lang w:eastAsia="en-GB"/>
              <w14:ligatures w14:val="standardContextual"/>
            </w:rPr>
          </w:pPr>
          <w:hyperlink w:anchor="_Toc181347381" w:history="1">
            <w:r w:rsidRPr="006D059A">
              <w:rPr>
                <w:rStyle w:val="Hyperlink"/>
                <w:noProof/>
              </w:rPr>
              <w:t>Market Position</w:t>
            </w:r>
            <w:r>
              <w:rPr>
                <w:noProof/>
                <w:webHidden/>
              </w:rPr>
              <w:tab/>
            </w:r>
            <w:r>
              <w:rPr>
                <w:noProof/>
                <w:webHidden/>
              </w:rPr>
              <w:fldChar w:fldCharType="begin"/>
            </w:r>
            <w:r>
              <w:rPr>
                <w:noProof/>
                <w:webHidden/>
              </w:rPr>
              <w:instrText xml:space="preserve"> PAGEREF _Toc181347381 \h </w:instrText>
            </w:r>
            <w:r>
              <w:rPr>
                <w:noProof/>
                <w:webHidden/>
              </w:rPr>
            </w:r>
            <w:r>
              <w:rPr>
                <w:noProof/>
                <w:webHidden/>
              </w:rPr>
              <w:fldChar w:fldCharType="separate"/>
            </w:r>
            <w:r>
              <w:rPr>
                <w:noProof/>
                <w:webHidden/>
              </w:rPr>
              <w:t>5</w:t>
            </w:r>
            <w:r>
              <w:rPr>
                <w:noProof/>
                <w:webHidden/>
              </w:rPr>
              <w:fldChar w:fldCharType="end"/>
            </w:r>
          </w:hyperlink>
        </w:p>
        <w:p w14:paraId="13CC68F2" w14:textId="6CCB5334" w:rsidR="00B13B65" w:rsidRDefault="00B13B65">
          <w:pPr>
            <w:pStyle w:val="TOC2"/>
            <w:tabs>
              <w:tab w:val="right" w:leader="dot" w:pos="9016"/>
            </w:tabs>
            <w:rPr>
              <w:rFonts w:asciiTheme="minorHAnsi" w:eastAsiaTheme="minorEastAsia" w:hAnsiTheme="minorHAnsi"/>
              <w:noProof/>
              <w:kern w:val="2"/>
              <w:sz w:val="22"/>
              <w:lang w:eastAsia="en-GB"/>
              <w14:ligatures w14:val="standardContextual"/>
            </w:rPr>
          </w:pPr>
          <w:hyperlink w:anchor="_Toc181347382" w:history="1">
            <w:r w:rsidRPr="006D059A">
              <w:rPr>
                <w:rStyle w:val="Hyperlink"/>
                <w:noProof/>
              </w:rPr>
              <w:t>Growth Potential</w:t>
            </w:r>
            <w:r>
              <w:rPr>
                <w:noProof/>
                <w:webHidden/>
              </w:rPr>
              <w:tab/>
            </w:r>
            <w:r>
              <w:rPr>
                <w:noProof/>
                <w:webHidden/>
              </w:rPr>
              <w:fldChar w:fldCharType="begin"/>
            </w:r>
            <w:r>
              <w:rPr>
                <w:noProof/>
                <w:webHidden/>
              </w:rPr>
              <w:instrText xml:space="preserve"> PAGEREF _Toc181347382 \h </w:instrText>
            </w:r>
            <w:r>
              <w:rPr>
                <w:noProof/>
                <w:webHidden/>
              </w:rPr>
            </w:r>
            <w:r>
              <w:rPr>
                <w:noProof/>
                <w:webHidden/>
              </w:rPr>
              <w:fldChar w:fldCharType="separate"/>
            </w:r>
            <w:r>
              <w:rPr>
                <w:noProof/>
                <w:webHidden/>
              </w:rPr>
              <w:t>6</w:t>
            </w:r>
            <w:r>
              <w:rPr>
                <w:noProof/>
                <w:webHidden/>
              </w:rPr>
              <w:fldChar w:fldCharType="end"/>
            </w:r>
          </w:hyperlink>
        </w:p>
        <w:p w14:paraId="23E2B5BA" w14:textId="6C1C47A3" w:rsidR="00B13B65" w:rsidRDefault="00B13B65">
          <w:pPr>
            <w:pStyle w:val="TOC2"/>
            <w:tabs>
              <w:tab w:val="right" w:leader="dot" w:pos="9016"/>
            </w:tabs>
            <w:rPr>
              <w:rFonts w:asciiTheme="minorHAnsi" w:eastAsiaTheme="minorEastAsia" w:hAnsiTheme="minorHAnsi"/>
              <w:noProof/>
              <w:kern w:val="2"/>
              <w:sz w:val="22"/>
              <w:lang w:eastAsia="en-GB"/>
              <w14:ligatures w14:val="standardContextual"/>
            </w:rPr>
          </w:pPr>
          <w:hyperlink w:anchor="_Toc181347383" w:history="1">
            <w:r w:rsidRPr="006D059A">
              <w:rPr>
                <w:rStyle w:val="Hyperlink"/>
                <w:noProof/>
              </w:rPr>
              <w:t>Financial Commitment to CSR (Corporate Social Responsibility)</w:t>
            </w:r>
            <w:r>
              <w:rPr>
                <w:noProof/>
                <w:webHidden/>
              </w:rPr>
              <w:tab/>
            </w:r>
            <w:r>
              <w:rPr>
                <w:noProof/>
                <w:webHidden/>
              </w:rPr>
              <w:fldChar w:fldCharType="begin"/>
            </w:r>
            <w:r>
              <w:rPr>
                <w:noProof/>
                <w:webHidden/>
              </w:rPr>
              <w:instrText xml:space="preserve"> PAGEREF _Toc181347383 \h </w:instrText>
            </w:r>
            <w:r>
              <w:rPr>
                <w:noProof/>
                <w:webHidden/>
              </w:rPr>
            </w:r>
            <w:r>
              <w:rPr>
                <w:noProof/>
                <w:webHidden/>
              </w:rPr>
              <w:fldChar w:fldCharType="separate"/>
            </w:r>
            <w:r>
              <w:rPr>
                <w:noProof/>
                <w:webHidden/>
              </w:rPr>
              <w:t>8</w:t>
            </w:r>
            <w:r>
              <w:rPr>
                <w:noProof/>
                <w:webHidden/>
              </w:rPr>
              <w:fldChar w:fldCharType="end"/>
            </w:r>
          </w:hyperlink>
        </w:p>
        <w:p w14:paraId="4B6261AF" w14:textId="418A4CCE" w:rsidR="00B13B65" w:rsidRDefault="00B13B65">
          <w:pPr>
            <w:pStyle w:val="TOC1"/>
            <w:tabs>
              <w:tab w:val="right" w:leader="dot" w:pos="9016"/>
            </w:tabs>
            <w:rPr>
              <w:rFonts w:asciiTheme="minorHAnsi" w:eastAsiaTheme="minorEastAsia" w:hAnsiTheme="minorHAnsi"/>
              <w:noProof/>
              <w:kern w:val="2"/>
              <w:sz w:val="22"/>
              <w:lang w:eastAsia="en-GB"/>
              <w14:ligatures w14:val="standardContextual"/>
            </w:rPr>
          </w:pPr>
          <w:hyperlink w:anchor="_Toc181347384" w:history="1">
            <w:r w:rsidRPr="006D059A">
              <w:rPr>
                <w:rStyle w:val="Hyperlink"/>
                <w:noProof/>
              </w:rPr>
              <w:t>Recommendations</w:t>
            </w:r>
            <w:r>
              <w:rPr>
                <w:noProof/>
                <w:webHidden/>
              </w:rPr>
              <w:tab/>
            </w:r>
            <w:r>
              <w:rPr>
                <w:noProof/>
                <w:webHidden/>
              </w:rPr>
              <w:fldChar w:fldCharType="begin"/>
            </w:r>
            <w:r>
              <w:rPr>
                <w:noProof/>
                <w:webHidden/>
              </w:rPr>
              <w:instrText xml:space="preserve"> PAGEREF _Toc181347384 \h </w:instrText>
            </w:r>
            <w:r>
              <w:rPr>
                <w:noProof/>
                <w:webHidden/>
              </w:rPr>
            </w:r>
            <w:r>
              <w:rPr>
                <w:noProof/>
                <w:webHidden/>
              </w:rPr>
              <w:fldChar w:fldCharType="separate"/>
            </w:r>
            <w:r>
              <w:rPr>
                <w:noProof/>
                <w:webHidden/>
              </w:rPr>
              <w:t>8</w:t>
            </w:r>
            <w:r>
              <w:rPr>
                <w:noProof/>
                <w:webHidden/>
              </w:rPr>
              <w:fldChar w:fldCharType="end"/>
            </w:r>
          </w:hyperlink>
        </w:p>
        <w:p w14:paraId="184A4A7F" w14:textId="7296EDFA" w:rsidR="00B13B65" w:rsidRDefault="00B13B65">
          <w:pPr>
            <w:pStyle w:val="TOC1"/>
            <w:tabs>
              <w:tab w:val="right" w:leader="dot" w:pos="9016"/>
            </w:tabs>
            <w:rPr>
              <w:rFonts w:asciiTheme="minorHAnsi" w:eastAsiaTheme="minorEastAsia" w:hAnsiTheme="minorHAnsi"/>
              <w:noProof/>
              <w:kern w:val="2"/>
              <w:sz w:val="22"/>
              <w:lang w:eastAsia="en-GB"/>
              <w14:ligatures w14:val="standardContextual"/>
            </w:rPr>
          </w:pPr>
          <w:hyperlink w:anchor="_Toc181347385" w:history="1">
            <w:r w:rsidRPr="006D059A">
              <w:rPr>
                <w:rStyle w:val="Hyperlink"/>
                <w:noProof/>
              </w:rPr>
              <w:t>Conclusion</w:t>
            </w:r>
            <w:r>
              <w:rPr>
                <w:noProof/>
                <w:webHidden/>
              </w:rPr>
              <w:tab/>
            </w:r>
            <w:r>
              <w:rPr>
                <w:noProof/>
                <w:webHidden/>
              </w:rPr>
              <w:fldChar w:fldCharType="begin"/>
            </w:r>
            <w:r>
              <w:rPr>
                <w:noProof/>
                <w:webHidden/>
              </w:rPr>
              <w:instrText xml:space="preserve"> PAGEREF _Toc181347385 \h </w:instrText>
            </w:r>
            <w:r>
              <w:rPr>
                <w:noProof/>
                <w:webHidden/>
              </w:rPr>
            </w:r>
            <w:r>
              <w:rPr>
                <w:noProof/>
                <w:webHidden/>
              </w:rPr>
              <w:fldChar w:fldCharType="separate"/>
            </w:r>
            <w:r>
              <w:rPr>
                <w:noProof/>
                <w:webHidden/>
              </w:rPr>
              <w:t>9</w:t>
            </w:r>
            <w:r>
              <w:rPr>
                <w:noProof/>
                <w:webHidden/>
              </w:rPr>
              <w:fldChar w:fldCharType="end"/>
            </w:r>
          </w:hyperlink>
        </w:p>
        <w:p w14:paraId="7518AE65" w14:textId="0AA41FAE" w:rsidR="00B13B65" w:rsidRDefault="00B13B65">
          <w:pPr>
            <w:pStyle w:val="TOC1"/>
            <w:tabs>
              <w:tab w:val="right" w:leader="dot" w:pos="9016"/>
            </w:tabs>
            <w:rPr>
              <w:rFonts w:asciiTheme="minorHAnsi" w:eastAsiaTheme="minorEastAsia" w:hAnsiTheme="minorHAnsi"/>
              <w:noProof/>
              <w:kern w:val="2"/>
              <w:sz w:val="22"/>
              <w:lang w:eastAsia="en-GB"/>
              <w14:ligatures w14:val="standardContextual"/>
            </w:rPr>
          </w:pPr>
          <w:hyperlink w:anchor="_Toc181347386" w:history="1">
            <w:r w:rsidRPr="006D059A">
              <w:rPr>
                <w:rStyle w:val="Hyperlink"/>
                <w:noProof/>
              </w:rPr>
              <w:t>Bibliography</w:t>
            </w:r>
            <w:r>
              <w:rPr>
                <w:noProof/>
                <w:webHidden/>
              </w:rPr>
              <w:tab/>
            </w:r>
            <w:r>
              <w:rPr>
                <w:noProof/>
                <w:webHidden/>
              </w:rPr>
              <w:fldChar w:fldCharType="begin"/>
            </w:r>
            <w:r>
              <w:rPr>
                <w:noProof/>
                <w:webHidden/>
              </w:rPr>
              <w:instrText xml:space="preserve"> PAGEREF _Toc181347386 \h </w:instrText>
            </w:r>
            <w:r>
              <w:rPr>
                <w:noProof/>
                <w:webHidden/>
              </w:rPr>
            </w:r>
            <w:r>
              <w:rPr>
                <w:noProof/>
                <w:webHidden/>
              </w:rPr>
              <w:fldChar w:fldCharType="separate"/>
            </w:r>
            <w:r>
              <w:rPr>
                <w:noProof/>
                <w:webHidden/>
              </w:rPr>
              <w:t>10</w:t>
            </w:r>
            <w:r>
              <w:rPr>
                <w:noProof/>
                <w:webHidden/>
              </w:rPr>
              <w:fldChar w:fldCharType="end"/>
            </w:r>
          </w:hyperlink>
        </w:p>
        <w:p w14:paraId="1D0576CD" w14:textId="4EE744BD" w:rsidR="00A46686" w:rsidRDefault="00055ABC">
          <w:r>
            <w:rPr>
              <w:b/>
              <w:bCs/>
            </w:rPr>
            <w:fldChar w:fldCharType="end"/>
          </w:r>
        </w:p>
      </w:sdtContent>
    </w:sdt>
    <w:p w14:paraId="53061A59" w14:textId="42AB5AF0" w:rsidR="00E36B3D" w:rsidRDefault="00055ABC">
      <w:pPr>
        <w:spacing w:line="259" w:lineRule="auto"/>
        <w:jc w:val="left"/>
      </w:pPr>
      <w:r>
        <w:br w:type="page"/>
      </w:r>
    </w:p>
    <w:p w14:paraId="42CC892C" w14:textId="22756EF8" w:rsidR="00957FA5" w:rsidRDefault="00055ABC" w:rsidP="00D379C1">
      <w:pPr>
        <w:pStyle w:val="Heading1"/>
      </w:pPr>
      <w:bookmarkStart w:id="0" w:name="_Toc181347378"/>
      <w:r>
        <w:lastRenderedPageBreak/>
        <w:t>Introduction</w:t>
      </w:r>
      <w:bookmarkEnd w:id="0"/>
    </w:p>
    <w:p w14:paraId="2D116370" w14:textId="5F16EF62" w:rsidR="00D54051" w:rsidRPr="00D54051" w:rsidRDefault="00055ABC" w:rsidP="00D54051">
      <w:r>
        <w:t>Th</w:t>
      </w:r>
      <w:r w:rsidRPr="003A0959">
        <w:t>is report provides an in-depth analysis of two prominent players in the hospitality industry</w:t>
      </w:r>
      <w:r>
        <w:t xml:space="preserve"> stated as</w:t>
      </w:r>
      <w:r w:rsidRPr="003A0959">
        <w:t xml:space="preserve"> Shangri-La Hotels and Travelodge Hotels. It analyses its financial planning process, overall revenues, strategic market position, revenue growth, and the extent of financial engagement in CSR. Thus, while comparing them, the report seeks to establish their variations in financial sustenance and performance. This report will primarily focus on the analysis of Shangri-La and Travelodge to understand how both organisations unlock the competition and respond to the challenges and opportunities in the global hospitality industry.</w:t>
      </w:r>
    </w:p>
    <w:p w14:paraId="3284AAB7" w14:textId="180EEAFB" w:rsidR="005E715B" w:rsidRDefault="00055ABC" w:rsidP="005E715B">
      <w:pPr>
        <w:pStyle w:val="Heading1"/>
      </w:pPr>
      <w:bookmarkStart w:id="1" w:name="_Toc181347379"/>
      <w:r>
        <w:t>Analysis and Comparison</w:t>
      </w:r>
      <w:bookmarkEnd w:id="1"/>
    </w:p>
    <w:p w14:paraId="72A7D956" w14:textId="1AED308F" w:rsidR="005E715B" w:rsidRDefault="00055ABC" w:rsidP="00F242C9">
      <w:pPr>
        <w:pStyle w:val="Heading2"/>
      </w:pPr>
      <w:bookmarkStart w:id="2" w:name="_Toc181347380"/>
      <w:r>
        <w:t>Total Revenue</w:t>
      </w:r>
      <w:bookmarkEnd w:id="2"/>
    </w:p>
    <w:p w14:paraId="0CD529FF" w14:textId="5CF4ED68" w:rsidR="0013016D" w:rsidRPr="008A78A2" w:rsidRDefault="00055ABC" w:rsidP="0013016D">
      <w:pPr>
        <w:rPr>
          <w:b/>
          <w:bCs/>
        </w:rPr>
      </w:pPr>
      <w:r w:rsidRPr="008A78A2">
        <w:rPr>
          <w:b/>
          <w:bCs/>
        </w:rPr>
        <w:t>Shangri-La Hotels</w:t>
      </w:r>
    </w:p>
    <w:p w14:paraId="27D0AB04" w14:textId="4B0AB103" w:rsidR="008A78A2" w:rsidRDefault="00055ABC" w:rsidP="0013016D">
      <w:r w:rsidRPr="008A78A2">
        <w:t>The company's total assets for the fiscal year ended December 2023 stood at MYR 1,332 million, bearing testimony to its luxurious amenities and premium services, which complement its hotels. It is highly advantageous for the company that it has concentrated on high-end market segments and locations in certain prime cities, which in turn fortifies its pricing power across the board</w:t>
      </w:r>
      <w:r w:rsidR="00CC6743">
        <w:t xml:space="preserve"> (Bhimani, 2006).</w:t>
      </w:r>
      <w:r w:rsidRPr="008A78A2">
        <w:t xml:space="preserve"> In terms of operating revenue, Shangri-La has experienced revenue increase on a continuous yearly basis up to the year 2023 with a year-on-year increment of 3.50%</w:t>
      </w:r>
      <w:r w:rsidR="00CC6743">
        <w:t xml:space="preserve"> (Shangri-La Group Media, 2024).</w:t>
      </w:r>
    </w:p>
    <w:p w14:paraId="450BF60A" w14:textId="13E39191" w:rsidR="008A78A2" w:rsidRDefault="00055ABC" w:rsidP="0013016D">
      <w:r w:rsidRPr="008A78A2">
        <w:t xml:space="preserve">Although the </w:t>
      </w:r>
      <w:r>
        <w:t xml:space="preserve">hotel </w:t>
      </w:r>
      <w:r w:rsidRPr="008A78A2">
        <w:t>faced problems with its operating revenues linked to COVID</w:t>
      </w:r>
      <w:r>
        <w:t>-</w:t>
      </w:r>
      <w:r w:rsidRPr="008A78A2">
        <w:t>19 in the prior years. The increase in operating cash flows (77.99% from 2022) points to a rebound in demand as well as operational performance that is crucial for generating sustainable revenues</w:t>
      </w:r>
      <w:r w:rsidR="00CC6743">
        <w:t xml:space="preserve"> (Wall Street Journal., 2024).</w:t>
      </w:r>
      <w:r w:rsidRPr="008A78A2">
        <w:t xml:space="preserve"> Shangri-La has a diverse revenue structure of a hotel business where the island generates its revenue from accommodation,</w:t>
      </w:r>
      <w:r>
        <w:t xml:space="preserve"> food and beverages</w:t>
      </w:r>
      <w:r w:rsidRPr="008A78A2">
        <w:t xml:space="preserve"> and banquet services. The luxury recovery path opened rapidly after the pandemic, with a view to enhancement in leisure and business travel and occasions in segments of Asia-Pacific. Marketing efforts and sound management strategies, better client satisfaction and brand image contributed to the sources of revenue growth.</w:t>
      </w:r>
    </w:p>
    <w:p w14:paraId="66D90D0F" w14:textId="7C77D5D2" w:rsidR="0013016D" w:rsidRPr="008A78A2" w:rsidRDefault="00055ABC" w:rsidP="0013016D">
      <w:pPr>
        <w:rPr>
          <w:b/>
          <w:bCs/>
        </w:rPr>
      </w:pPr>
      <w:r w:rsidRPr="008A78A2">
        <w:rPr>
          <w:b/>
          <w:bCs/>
        </w:rPr>
        <w:t>Travelodge Hotels</w:t>
      </w:r>
    </w:p>
    <w:p w14:paraId="45DE5390" w14:textId="7CBDE9A5" w:rsidR="00781BB6" w:rsidRDefault="00055ABC" w:rsidP="0013016D">
      <w:r w:rsidRPr="00781BB6">
        <w:t>In contrast, Travelodge has realised a total underlying revenue of £669.9</w:t>
      </w:r>
      <w:r>
        <w:t xml:space="preserve"> million</w:t>
      </w:r>
      <w:r w:rsidRPr="00781BB6">
        <w:t xml:space="preserve"> for the nine months to 30 September 2022, and this is 22.7% up on the same period in 2019, thus underpinning a clear recovery path</w:t>
      </w:r>
      <w:r w:rsidR="00CC6743">
        <w:t xml:space="preserve"> (TravelLodge.co.uk, 2024).</w:t>
      </w:r>
      <w:r w:rsidRPr="00781BB6">
        <w:t xml:space="preserve"> Its average room rate stood at </w:t>
      </w:r>
      <w:r w:rsidRPr="00781BB6">
        <w:lastRenderedPageBreak/>
        <w:t>£83.61, an improvement of 4% compared to 2019, while occupancy surged to 62.2%. Thus, the RevPAR progressed to £51.80, an improvement of 20.8%. Here, it will be pertinent to mention that these firms have been able to enhance their cash reserves, which stood at £221.6 million in September 2022</w:t>
      </w:r>
      <w:r w:rsidR="00CC6743">
        <w:t xml:space="preserve"> (TravelLodge.co.uk, 2024).</w:t>
      </w:r>
    </w:p>
    <w:p w14:paraId="2403A059" w14:textId="1C6D275E" w:rsidR="008A78A2" w:rsidRDefault="00055ABC" w:rsidP="0013016D">
      <w:r>
        <w:t>C</w:t>
      </w:r>
      <w:r w:rsidRPr="00781BB6">
        <w:t>onsequently, they would be able to augment their stakes by investing in further expansion. Travelodge earns its revenue from selling budget accommodation services, most importantly to business and/or leisure travellers within the United Kingdom and now into Ireland and Spain. Such a focused strategy has helped the company to deliver the best performances against competitors consistently by concentrating on easy NLRH segments such as the blue-collar and leisure segments</w:t>
      </w:r>
      <w:r w:rsidR="00CC6743">
        <w:t xml:space="preserve"> (</w:t>
      </w:r>
      <w:r w:rsidR="00CC6743" w:rsidRPr="00D260CA">
        <w:t>Alvarez</w:t>
      </w:r>
      <w:r w:rsidR="00CC6743">
        <w:t xml:space="preserve"> </w:t>
      </w:r>
      <w:r w:rsidR="00CC6743" w:rsidRPr="00CC6743">
        <w:rPr>
          <w:i/>
          <w:iCs/>
        </w:rPr>
        <w:t>et al.,</w:t>
      </w:r>
      <w:r w:rsidR="00CC6743">
        <w:t xml:space="preserve"> 2021).</w:t>
      </w:r>
      <w:r w:rsidRPr="00781BB6">
        <w:t xml:space="preserve"> Further, the high occupancy rate in Q</w:t>
      </w:r>
      <w:r>
        <w:t xml:space="preserve">uarter- </w:t>
      </w:r>
      <w:r w:rsidRPr="00781BB6">
        <w:t>3</w:t>
      </w:r>
      <w:r>
        <w:t xml:space="preserve"> (financial year 20</w:t>
      </w:r>
      <w:r w:rsidRPr="00781BB6">
        <w:t>22</w:t>
      </w:r>
      <w:r>
        <w:t>)</w:t>
      </w:r>
      <w:r w:rsidRPr="00781BB6">
        <w:t xml:space="preserve"> after the relaxation of COVID-19 norms from July 2021 has boosted the revenue growth.</w:t>
      </w:r>
    </w:p>
    <w:p w14:paraId="0303DDC3" w14:textId="77777777" w:rsidR="0040223E" w:rsidRPr="0040223E" w:rsidRDefault="00055ABC" w:rsidP="0013016D">
      <w:pPr>
        <w:rPr>
          <w:b/>
          <w:bCs/>
        </w:rPr>
      </w:pPr>
      <w:r w:rsidRPr="0040223E">
        <w:rPr>
          <w:b/>
          <w:bCs/>
        </w:rPr>
        <w:t xml:space="preserve">Comparison and Key Insights </w:t>
      </w:r>
    </w:p>
    <w:p w14:paraId="7D900391" w14:textId="5D52C20B" w:rsidR="00781BB6" w:rsidRPr="0013016D" w:rsidRDefault="00055ABC" w:rsidP="0013016D">
      <w:r w:rsidRPr="0040223E">
        <w:t xml:space="preserve">When comparing the gross revenue of both organisations, a </w:t>
      </w:r>
      <w:r>
        <w:t xml:space="preserve">discussion </w:t>
      </w:r>
      <w:r w:rsidRPr="0040223E">
        <w:t>clearly emerges that Shangri-La is in the luxury segment</w:t>
      </w:r>
      <w:r>
        <w:t xml:space="preserve"> and,</w:t>
      </w:r>
      <w:r w:rsidRPr="0040223E">
        <w:t xml:space="preserve"> hence, can afford to have a small number of rooms but with a higher average occupancy rate</w:t>
      </w:r>
      <w:r w:rsidR="00B26754">
        <w:t xml:space="preserve"> (</w:t>
      </w:r>
      <w:r w:rsidR="00B26754" w:rsidRPr="00D260CA">
        <w:t>Alvarez</w:t>
      </w:r>
      <w:r w:rsidR="00B26754">
        <w:t xml:space="preserve"> </w:t>
      </w:r>
      <w:r w:rsidR="00B26754" w:rsidRPr="00CC6743">
        <w:rPr>
          <w:i/>
          <w:iCs/>
        </w:rPr>
        <w:t>et al.,</w:t>
      </w:r>
      <w:r w:rsidR="00B26754">
        <w:t xml:space="preserve"> 2021).</w:t>
      </w:r>
      <w:r w:rsidR="00B26754" w:rsidRPr="00781BB6">
        <w:t xml:space="preserve"> </w:t>
      </w:r>
      <w:r w:rsidRPr="0040223E">
        <w:t>In this respect, it becomes clear that Travelodge's budget positioning provides it an advantage of gaining higher volume booking, especially during phases of economic upturn. Therefore, Shangri-La enjoys many consumers' loyalty and has a powerful brand image as the generated revenues demonstrate</w:t>
      </w:r>
      <w:r>
        <w:t>.</w:t>
      </w:r>
      <w:r w:rsidRPr="0040223E">
        <w:t xml:space="preserve"> At the same time, Travelodge focuses on offering cheap and convenient accommodations, which probably explains its robust revenues as well</w:t>
      </w:r>
      <w:r w:rsidR="00B26754">
        <w:t xml:space="preserve"> (</w:t>
      </w:r>
      <w:r w:rsidR="00B26754" w:rsidRPr="00D260CA">
        <w:t>Alvarez</w:t>
      </w:r>
      <w:r w:rsidR="00B26754">
        <w:t xml:space="preserve"> </w:t>
      </w:r>
      <w:r w:rsidR="00B26754" w:rsidRPr="00CC6743">
        <w:rPr>
          <w:i/>
          <w:iCs/>
        </w:rPr>
        <w:t>et al.,</w:t>
      </w:r>
      <w:r w:rsidR="00B26754">
        <w:t xml:space="preserve"> 2021).</w:t>
      </w:r>
      <w:r w:rsidR="00B26754" w:rsidRPr="00781BB6">
        <w:t xml:space="preserve"> </w:t>
      </w:r>
      <w:r w:rsidRPr="0040223E">
        <w:t xml:space="preserve">Although both companies have experienced and are still in the process of pandemic recovery, they are driven by different standards of revenue: Shangri-La operates in a higher-end market segment. </w:t>
      </w:r>
    </w:p>
    <w:p w14:paraId="1C976048" w14:textId="4EDDF1F9" w:rsidR="005E715B" w:rsidRDefault="00055ABC" w:rsidP="00F242C9">
      <w:pPr>
        <w:pStyle w:val="Heading2"/>
      </w:pPr>
      <w:bookmarkStart w:id="3" w:name="_Toc181347381"/>
      <w:r>
        <w:t xml:space="preserve">Market </w:t>
      </w:r>
      <w:r w:rsidR="00F242C9">
        <w:t>P</w:t>
      </w:r>
      <w:r>
        <w:t>osition</w:t>
      </w:r>
      <w:bookmarkEnd w:id="3"/>
    </w:p>
    <w:p w14:paraId="5E36C53F" w14:textId="77777777" w:rsidR="006D0235" w:rsidRPr="006D0235" w:rsidRDefault="00055ABC" w:rsidP="006D0235">
      <w:pPr>
        <w:rPr>
          <w:b/>
          <w:bCs/>
        </w:rPr>
      </w:pPr>
      <w:r w:rsidRPr="006D0235">
        <w:rPr>
          <w:b/>
          <w:bCs/>
        </w:rPr>
        <w:t>Shangri-La Hotels</w:t>
      </w:r>
    </w:p>
    <w:p w14:paraId="259DD583" w14:textId="6CDFA3A4" w:rsidR="006D0235" w:rsidRDefault="00055ABC" w:rsidP="006D0235">
      <w:r>
        <w:t>Shangri-La Hotels focuses mainly on the luxury hotel and services industry with a competitive market share in the Asia-Pacific, the Middle East, and North America region</w:t>
      </w:r>
      <w:r w:rsidR="00B26754">
        <w:t xml:space="preserve"> (Shangri-La Group, 2024).</w:t>
      </w:r>
      <w:r>
        <w:t xml:space="preserve"> By 2023, Shangri-La is to become a leading brand that offers luxury services, comfortable rooms, and exclusive and special services. The company currently manages more than 100 hotels globally, targeting locations which are likely to experience increased demand from high earners and wealthy people</w:t>
      </w:r>
      <w:r w:rsidR="00B26754">
        <w:t xml:space="preserve"> (Shangri-La Group Media, 2024).</w:t>
      </w:r>
    </w:p>
    <w:p w14:paraId="3314B8EA" w14:textId="4AEB0440" w:rsidR="006D0235" w:rsidRDefault="00055ABC" w:rsidP="006D0235">
      <w:r>
        <w:lastRenderedPageBreak/>
        <w:t xml:space="preserve">Shangri-La occupies a large piece of the market share within the luxury category, especially in Singapore, Hong Kong, and Beijing, among others. The hotel group aims at affluent leisure </w:t>
      </w:r>
      <w:r w:rsidR="00B26754">
        <w:t>and</w:t>
      </w:r>
      <w:r>
        <w:t xml:space="preserve"> business travellers with facilities such as luxury restaurants, spas, and bespoke services. Customer demographics primarily involve foreign visitors, businesspeople, professionals, and other travellers in the high-end bracket who expect and are willing to pay for the best</w:t>
      </w:r>
      <w:r w:rsidR="00B26754">
        <w:t xml:space="preserve"> (</w:t>
      </w:r>
      <w:r w:rsidR="00B26754" w:rsidRPr="00D260CA">
        <w:t>Alvarez</w:t>
      </w:r>
      <w:r w:rsidR="00B26754">
        <w:t xml:space="preserve"> </w:t>
      </w:r>
      <w:r w:rsidR="00B26754" w:rsidRPr="00B26754">
        <w:rPr>
          <w:i/>
          <w:iCs/>
        </w:rPr>
        <w:t>et al.,</w:t>
      </w:r>
      <w:r w:rsidR="00B26754">
        <w:t xml:space="preserve"> 2021).</w:t>
      </w:r>
      <w:r>
        <w:t xml:space="preserve"> Customer-perceived brand image is rather stable, being marked by the professionalism and splendour of the product. </w:t>
      </w:r>
    </w:p>
    <w:p w14:paraId="45A4C511" w14:textId="77777777" w:rsidR="006D0235" w:rsidRPr="006D0235" w:rsidRDefault="00055ABC" w:rsidP="006D0235">
      <w:pPr>
        <w:rPr>
          <w:b/>
          <w:bCs/>
        </w:rPr>
      </w:pPr>
      <w:r w:rsidRPr="006D0235">
        <w:rPr>
          <w:b/>
          <w:bCs/>
        </w:rPr>
        <w:t>Travelodge Hotels</w:t>
      </w:r>
    </w:p>
    <w:p w14:paraId="2CF8ED30" w14:textId="350EE670" w:rsidR="006D0235" w:rsidRDefault="00055ABC" w:rsidP="006D0235">
      <w:r>
        <w:t>On the other hand, Travelodge Hotels has aimed to serve the bottom-up and the mid-scale markets, especially in the UK, Ireland, and Spain. Being an economy hotel brand, Travelodge had 595 hotels and well over 45000 rooms worldwide by 2022</w:t>
      </w:r>
      <w:r w:rsidR="00E24B29">
        <w:t xml:space="preserve"> (TravelLodge.co.uk, 2024).</w:t>
      </w:r>
      <w:r>
        <w:t xml:space="preserve"> These are the key areas the brand is famous for the store's pricing policy, its locations, and the overall value for money proposed. The customer base of Travelodge </w:t>
      </w:r>
      <w:r w:rsidR="00447994">
        <w:t>includes</w:t>
      </w:r>
      <w:r>
        <w:t xml:space="preserve"> family-oriented people, businessmen and women who </w:t>
      </w:r>
      <w:r w:rsidR="00447994">
        <w:t>must</w:t>
      </w:r>
      <w:r>
        <w:t xml:space="preserve"> travel often and are looking for cheaper accommodations and who do not have much money to spend on the brand image</w:t>
      </w:r>
      <w:r w:rsidR="00447994">
        <w:t>. I</w:t>
      </w:r>
      <w:r>
        <w:t>n other words,</w:t>
      </w:r>
      <w:r w:rsidR="00447994">
        <w:t xml:space="preserve"> it</w:t>
      </w:r>
      <w:r>
        <w:t xml:space="preserve"> is a solidly dependable, no-frills place to lodge that is appropriate for domestic visitors and budget tourists who do not require or wish to pay for lavish accommodation amenities</w:t>
      </w:r>
      <w:r w:rsidR="00E24B29">
        <w:t xml:space="preserve"> (TravelLodge, 2024).</w:t>
      </w:r>
      <w:r>
        <w:t xml:space="preserve"> </w:t>
      </w:r>
    </w:p>
    <w:p w14:paraId="54A606E1" w14:textId="77777777" w:rsidR="006D0235" w:rsidRPr="00447994" w:rsidRDefault="00055ABC" w:rsidP="006D0235">
      <w:pPr>
        <w:rPr>
          <w:b/>
          <w:bCs/>
        </w:rPr>
      </w:pPr>
      <w:r w:rsidRPr="00447994">
        <w:rPr>
          <w:b/>
          <w:bCs/>
        </w:rPr>
        <w:t>Comparative Insights</w:t>
      </w:r>
    </w:p>
    <w:p w14:paraId="420E6D0C" w14:textId="53AEDC8C" w:rsidR="0040223E" w:rsidRPr="0040223E" w:rsidRDefault="00055ABC" w:rsidP="006D0235">
      <w:r>
        <w:t xml:space="preserve">The analysis of the market positioning strategy of Shangri-La and Travelodge shows different approaches and goals for the target audiences. Shangri-La's operation reflection targets the upper market </w:t>
      </w:r>
      <w:proofErr w:type="gramStart"/>
      <w:r>
        <w:t>segment</w:t>
      </w:r>
      <w:proofErr w:type="gramEnd"/>
      <w:r>
        <w:t xml:space="preserve"> and this enables the firm to set high prices and establish a strong brand presence</w:t>
      </w:r>
      <w:r w:rsidR="00E24B29">
        <w:t xml:space="preserve"> (Guilding, 2014).</w:t>
      </w:r>
      <w:r>
        <w:t xml:space="preserve"> On the other hand, the accommodation uses a low-cost strategy with demand from </w:t>
      </w:r>
      <w:r w:rsidR="00447994">
        <w:t>many</w:t>
      </w:r>
      <w:r>
        <w:t xml:space="preserve"> customers searching for affordable solutions.</w:t>
      </w:r>
      <w:r w:rsidR="00447994">
        <w:t xml:space="preserve"> </w:t>
      </w:r>
      <w:r>
        <w:t xml:space="preserve">To sum up, while Shangri-La company is keen on the top tier and tries to offer the best for clients, Travelodge is oriented on economy and convenient pricing policy. </w:t>
      </w:r>
      <w:r w:rsidR="00447994">
        <w:t xml:space="preserve">The </w:t>
      </w:r>
      <w:r>
        <w:t xml:space="preserve">hotel groups </w:t>
      </w:r>
      <w:r w:rsidR="00447994">
        <w:t>have proved to be</w:t>
      </w:r>
      <w:r>
        <w:t xml:space="preserve"> effective in occupying their chosen segments in the market</w:t>
      </w:r>
      <w:r w:rsidR="00447994">
        <w:t>.</w:t>
      </w:r>
      <w:r>
        <w:t xml:space="preserve"> </w:t>
      </w:r>
      <w:r w:rsidR="00447994">
        <w:t>T</w:t>
      </w:r>
      <w:r>
        <w:t>hus, adopting these consumer trends and the economic pressures makes the two hotel groups competitive within the growing hospitality industry</w:t>
      </w:r>
      <w:r w:rsidR="00E24B29">
        <w:t xml:space="preserve"> (Jagels, 2007).</w:t>
      </w:r>
    </w:p>
    <w:p w14:paraId="1DC4D8F7" w14:textId="77777777" w:rsidR="000848B0" w:rsidRDefault="00055ABC">
      <w:pPr>
        <w:spacing w:line="259" w:lineRule="auto"/>
        <w:jc w:val="left"/>
        <w:rPr>
          <w:rFonts w:eastAsiaTheme="majorEastAsia" w:cstheme="majorBidi"/>
          <w:b/>
          <w:color w:val="000000" w:themeColor="text1"/>
          <w:kern w:val="2"/>
          <w:szCs w:val="26"/>
          <w14:ligatures w14:val="standardContextual"/>
        </w:rPr>
      </w:pPr>
      <w:bookmarkStart w:id="4" w:name="_Toc181347382"/>
      <w:r>
        <w:br w:type="page"/>
      </w:r>
    </w:p>
    <w:p w14:paraId="1696A53E" w14:textId="17AB32B4" w:rsidR="00F242C9" w:rsidRDefault="00055ABC" w:rsidP="00F242C9">
      <w:pPr>
        <w:pStyle w:val="Heading2"/>
      </w:pPr>
      <w:r>
        <w:lastRenderedPageBreak/>
        <w:t>Growth Potential</w:t>
      </w:r>
      <w:bookmarkEnd w:id="4"/>
    </w:p>
    <w:p w14:paraId="27CB3DFC" w14:textId="77777777" w:rsidR="002B2AFE" w:rsidRPr="002B2AFE" w:rsidRDefault="00055ABC" w:rsidP="002B2AFE">
      <w:pPr>
        <w:rPr>
          <w:b/>
          <w:bCs/>
        </w:rPr>
      </w:pPr>
      <w:r w:rsidRPr="002B2AFE">
        <w:rPr>
          <w:b/>
          <w:bCs/>
        </w:rPr>
        <w:t>Shangri-La Hotels</w:t>
      </w:r>
    </w:p>
    <w:p w14:paraId="498206E3" w14:textId="711045F8" w:rsidR="002B2AFE" w:rsidRDefault="00055ABC" w:rsidP="002B2AFE">
      <w:r>
        <w:t>There is a significant growth potential for Shangri-La Hotels through several business development strategies and market factors. Considering its long-standing brand equity in the sector, the company is uniquely placed to grow especially now with a new-found affluence in the Asia Pacific and the Middle East travel markets</w:t>
      </w:r>
      <w:r w:rsidR="00E24B29">
        <w:t xml:space="preserve"> (Shangri-La Group Media, 2024).</w:t>
      </w:r>
      <w:r>
        <w:t xml:space="preserve"> These areas are slowly coming out of the tourism downturn caused by COVID-19 and openings of new facilities in strategic locations and resorts are planned by the end of the year. The executive goals of the company involve developing an impressive digital position and engagement with travellers through loyalty programs, an online booking system, and targeting individual travellers and groups. Not only does this approach entice new consumers, but it also maintains people who have already used the company's services</w:t>
      </w:r>
      <w:r w:rsidR="00E24B29">
        <w:t xml:space="preserve"> (Wild, 2018).</w:t>
      </w:r>
      <w:r>
        <w:t xml:space="preserve"> Moreover, spending on environmental concerns as several clients become more environmentally sensitive has also been identified as strategic. In this way, Shangri-La can differentiate itself within the high-end market by fostering green practices and thus covering as much target audience as possible.</w:t>
      </w:r>
    </w:p>
    <w:p w14:paraId="1C4F1932" w14:textId="23C450B4" w:rsidR="002B2AFE" w:rsidRDefault="00055ABC" w:rsidP="002B2AFE">
      <w:r>
        <w:t>On the downside, threats that are prevalent include political rivalry and instabilities in different countries that can make or break high-end travelling. Thus, economic instabilities affect the demand for high-end travelling greatly</w:t>
      </w:r>
      <w:r w:rsidR="00E24B29">
        <w:t xml:space="preserve"> (Tranter </w:t>
      </w:r>
      <w:r w:rsidR="00E24B29" w:rsidRPr="00E24B29">
        <w:rPr>
          <w:i/>
          <w:iCs/>
        </w:rPr>
        <w:t>et al.,</w:t>
      </w:r>
      <w:r w:rsidR="00E24B29">
        <w:t xml:space="preserve"> 2014).</w:t>
      </w:r>
      <w:r>
        <w:t xml:space="preserve"> Other threats include the likelihood of intense competition from other existing and potential luxury hotel franchises, and growing threat from other rival hospitality forms. This includes other forms of luxury accommodation like luxury rentals and some boutique hotels.</w:t>
      </w:r>
    </w:p>
    <w:p w14:paraId="377BF150" w14:textId="77777777" w:rsidR="002B2AFE" w:rsidRPr="002B2AFE" w:rsidRDefault="00055ABC" w:rsidP="002B2AFE">
      <w:pPr>
        <w:rPr>
          <w:b/>
          <w:bCs/>
        </w:rPr>
      </w:pPr>
      <w:r w:rsidRPr="002B2AFE">
        <w:rPr>
          <w:b/>
          <w:bCs/>
        </w:rPr>
        <w:t>Travelodge Hotels</w:t>
      </w:r>
    </w:p>
    <w:p w14:paraId="6F4C951F" w14:textId="5BEC21B6" w:rsidR="002B2AFE" w:rsidRDefault="00055ABC" w:rsidP="002B2AFE">
      <w:r>
        <w:t xml:space="preserve">Travelodge Hotels is interested in growing </w:t>
      </w:r>
      <w:r w:rsidR="0074618C">
        <w:t xml:space="preserve">and exploring </w:t>
      </w:r>
      <w:r>
        <w:t xml:space="preserve">throughout the UK and other countries, whereby the current facilities, already owned or leased, will be developed to increase the </w:t>
      </w:r>
      <w:proofErr w:type="gramStart"/>
      <w:r w:rsidR="0074618C">
        <w:t>quality of service</w:t>
      </w:r>
      <w:proofErr w:type="gramEnd"/>
      <w:r>
        <w:t xml:space="preserve"> delivery. Having a distinct positioning strategy focusing on the 'value for money,' current marketing and positioning strategies suggest that Travelodge has an opportunity to appeal to a broad clientele base</w:t>
      </w:r>
      <w:r w:rsidR="008957F2">
        <w:t xml:space="preserve"> (</w:t>
      </w:r>
      <w:r w:rsidR="008957F2" w:rsidRPr="00D260CA">
        <w:t>Alvarez</w:t>
      </w:r>
      <w:r w:rsidR="008957F2">
        <w:t xml:space="preserve"> </w:t>
      </w:r>
      <w:r w:rsidR="008957F2" w:rsidRPr="008957F2">
        <w:rPr>
          <w:i/>
          <w:iCs/>
        </w:rPr>
        <w:t>et al.,</w:t>
      </w:r>
      <w:r w:rsidR="008957F2">
        <w:t xml:space="preserve"> 2021).</w:t>
      </w:r>
      <w:r w:rsidR="0074618C">
        <w:t xml:space="preserve"> This</w:t>
      </w:r>
      <w:r>
        <w:t xml:space="preserve"> encompass</w:t>
      </w:r>
      <w:r w:rsidR="0074618C">
        <w:t>es</w:t>
      </w:r>
      <w:r>
        <w:t xml:space="preserve"> families and </w:t>
      </w:r>
      <w:proofErr w:type="gramStart"/>
      <w:r>
        <w:t>business people</w:t>
      </w:r>
      <w:proofErr w:type="gramEnd"/>
      <w:r>
        <w:t xml:space="preserve"> in search of cheap places to lodge.</w:t>
      </w:r>
      <w:r w:rsidR="0074618C">
        <w:t xml:space="preserve"> </w:t>
      </w:r>
      <w:r>
        <w:t xml:space="preserve">Increased staycation home home-centric tourism </w:t>
      </w:r>
      <w:r w:rsidR="0074618C">
        <w:t>because</w:t>
      </w:r>
      <w:r>
        <w:t xml:space="preserve"> of the pandemic could prove beneficial for Travelodge to meet the growing demand for short-term accommodation</w:t>
      </w:r>
      <w:r w:rsidR="008957F2">
        <w:t xml:space="preserve"> (</w:t>
      </w:r>
      <w:r w:rsidR="008957F2" w:rsidRPr="00BE2FA5">
        <w:t>Yahyoyevna</w:t>
      </w:r>
      <w:r w:rsidR="008957F2">
        <w:t xml:space="preserve"> </w:t>
      </w:r>
      <w:r w:rsidR="008957F2" w:rsidRPr="00BE2FA5">
        <w:t xml:space="preserve">and Alexandrovich, </w:t>
      </w:r>
      <w:r w:rsidR="008957F2">
        <w:t>2024).</w:t>
      </w:r>
      <w:r>
        <w:t xml:space="preserve"> Furthermore, such measures as the focus on the increase of customer-oriented approach and </w:t>
      </w:r>
      <w:r>
        <w:lastRenderedPageBreak/>
        <w:t>the development and upgrades of the facilities can boost the competitive advantage within the budget segment.</w:t>
      </w:r>
    </w:p>
    <w:p w14:paraId="24C63065" w14:textId="3D58BC1E" w:rsidR="002B2AFE" w:rsidRDefault="00055ABC" w:rsidP="002B2AFE">
      <w:r>
        <w:t xml:space="preserve">Nevertheless, the threats that might hinder Travelodge's growth are threats of market saturation in key regions as numerous </w:t>
      </w:r>
      <w:proofErr w:type="gramStart"/>
      <w:r>
        <w:t>like</w:t>
      </w:r>
      <w:proofErr w:type="gramEnd"/>
      <w:r>
        <w:t>-commodity possesses tend to weaken a market share. Furthermore, the company faces challenges in increasing costs of both labour and various supplies that might affect the possible pricing policies</w:t>
      </w:r>
      <w:r w:rsidR="008957F2">
        <w:t xml:space="preserve"> (</w:t>
      </w:r>
      <w:r w:rsidR="008957F2" w:rsidRPr="00C93F65">
        <w:t>G</w:t>
      </w:r>
      <w:r w:rsidR="008957F2">
        <w:t>u</w:t>
      </w:r>
      <w:r w:rsidR="008957F2" w:rsidRPr="00C93F65">
        <w:t>ng</w:t>
      </w:r>
      <w:r w:rsidR="008957F2">
        <w:t>o</w:t>
      </w:r>
      <w:r w:rsidR="008957F2" w:rsidRPr="00C93F65">
        <w:t>r G</w:t>
      </w:r>
      <w:r w:rsidR="008957F2">
        <w:t>o</w:t>
      </w:r>
      <w:r w:rsidR="008957F2" w:rsidRPr="00C93F65">
        <w:t xml:space="preserve">ksu, </w:t>
      </w:r>
      <w:r w:rsidR="008957F2">
        <w:t xml:space="preserve">2023). </w:t>
      </w:r>
    </w:p>
    <w:p w14:paraId="338375CD" w14:textId="67B56D31" w:rsidR="00F242C9" w:rsidRDefault="00055ABC" w:rsidP="00F242C9">
      <w:pPr>
        <w:pStyle w:val="Heading2"/>
      </w:pPr>
      <w:bookmarkStart w:id="5" w:name="_Toc181347383"/>
      <w:r w:rsidRPr="00F242C9">
        <w:t>Financial Commitment to CSR (Corporate Social Responsibility)</w:t>
      </w:r>
      <w:bookmarkEnd w:id="5"/>
    </w:p>
    <w:p w14:paraId="1DCB6872" w14:textId="77777777" w:rsidR="008A634F" w:rsidRPr="008A634F" w:rsidRDefault="00055ABC" w:rsidP="008A634F">
      <w:pPr>
        <w:rPr>
          <w:b/>
          <w:bCs/>
        </w:rPr>
      </w:pPr>
      <w:r w:rsidRPr="008A634F">
        <w:rPr>
          <w:b/>
          <w:bCs/>
        </w:rPr>
        <w:t>Shangri-La Hotels</w:t>
      </w:r>
    </w:p>
    <w:p w14:paraId="1F72AFC3" w14:textId="72C2B8CD" w:rsidR="008A634F" w:rsidRDefault="00055ABC" w:rsidP="008A634F">
      <w:r>
        <w:t xml:space="preserve">Shangri-La CSR budget shows that it appropriates substantial fiscal capital for the actualisation of CSR plans through improvements in sustainably and community involvement. The hotel </w:t>
      </w:r>
      <w:r w:rsidR="008957F2">
        <w:t>has</w:t>
      </w:r>
      <w:r>
        <w:t xml:space="preserve"> set a target of decreasing its energy use and greenhouse gas emissions by 20% by 2025 relative to 2019 levels, which will be invested in renewable power and energy conservation</w:t>
      </w:r>
      <w:r w:rsidR="008957F2">
        <w:t xml:space="preserve"> (Shangri-La Group Media, 2024).</w:t>
      </w:r>
      <w:r>
        <w:t xml:space="preserve"> Furthermore, the community is the focus of Shangri-La's contribution in sectors including education and disaster response; the company partners with NGOs in most of its contributions. Such programs not only help improve the brand image but also become important to customers who care about sustainable tourism and create customer loyalty.</w:t>
      </w:r>
    </w:p>
    <w:p w14:paraId="232F0ED8" w14:textId="77777777" w:rsidR="008A634F" w:rsidRPr="000729A6" w:rsidRDefault="00055ABC" w:rsidP="008A634F">
      <w:pPr>
        <w:rPr>
          <w:b/>
          <w:bCs/>
        </w:rPr>
      </w:pPr>
      <w:r w:rsidRPr="000729A6">
        <w:rPr>
          <w:b/>
          <w:bCs/>
        </w:rPr>
        <w:t>Travelodge Hotels</w:t>
      </w:r>
    </w:p>
    <w:p w14:paraId="5F594397" w14:textId="218CC43C" w:rsidR="008A634F" w:rsidRDefault="00055ABC" w:rsidP="008A634F">
      <w:r>
        <w:t>Another example of a company that takes CSR seriously is Travelodge Hotels</w:t>
      </w:r>
      <w:r w:rsidR="000729A6">
        <w:t>.</w:t>
      </w:r>
      <w:r>
        <w:t xml:space="preserve"> </w:t>
      </w:r>
      <w:r w:rsidR="000729A6">
        <w:t>T</w:t>
      </w:r>
      <w:r>
        <w:t xml:space="preserve">he </w:t>
      </w:r>
      <w:r w:rsidR="000729A6">
        <w:t xml:space="preserve">hotel </w:t>
      </w:r>
      <w:r>
        <w:t>has a special section that</w:t>
      </w:r>
      <w:r w:rsidR="000729A6">
        <w:t xml:space="preserve"> is</w:t>
      </w:r>
      <w:r>
        <w:t xml:space="preserve"> devoted to sustainable development and community investment. The company has planned strategic objectives, such as cutting CO2 emissions by 15% by 2025 from the level of 2019</w:t>
      </w:r>
      <w:r w:rsidR="008957F2">
        <w:t xml:space="preserve"> (TravelLodge, 2024).</w:t>
      </w:r>
      <w:r>
        <w:t xml:space="preserve"> On the financial aspect, Travelodge invests in the enhancement of energy use and resources and the minimisation of waste as part of its environmental management policy. In addition, Travelodge actively participates in the support of local charities and other community initiatives both financially and by securing volunteer officers from its staff, which also strengthens its </w:t>
      </w:r>
      <w:r w:rsidR="000729A6">
        <w:t>socially</w:t>
      </w:r>
      <w:r>
        <w:t xml:space="preserve"> responsible image.</w:t>
      </w:r>
    </w:p>
    <w:p w14:paraId="27F98A36" w14:textId="2BEBE83C" w:rsidR="00F242C9" w:rsidRDefault="00055ABC" w:rsidP="00F242C9">
      <w:pPr>
        <w:pStyle w:val="Heading1"/>
      </w:pPr>
      <w:bookmarkStart w:id="6" w:name="_Toc181347384"/>
      <w:r>
        <w:t>Recommendations</w:t>
      </w:r>
      <w:bookmarkEnd w:id="6"/>
    </w:p>
    <w:p w14:paraId="0BFEB737" w14:textId="77777777" w:rsidR="006D524C" w:rsidRPr="006D524C" w:rsidRDefault="00055ABC" w:rsidP="006D524C">
      <w:pPr>
        <w:rPr>
          <w:b/>
          <w:bCs/>
        </w:rPr>
      </w:pPr>
      <w:r w:rsidRPr="006D524C">
        <w:rPr>
          <w:b/>
          <w:bCs/>
        </w:rPr>
        <w:t>Shangri-La Hotels</w:t>
      </w:r>
    </w:p>
    <w:p w14:paraId="45C77273" w14:textId="2B6FFC67" w:rsidR="006D524C" w:rsidRDefault="00055ABC" w:rsidP="006D524C">
      <w:r>
        <w:t xml:space="preserve">There are many areas that require Shangri-La Hotels to consider valuable suggestions that can help it in the improvement of its revenues and financial health and sustainability and one of them is the investment in technology-based products for guests. Superior technologies such as </w:t>
      </w:r>
      <w:r>
        <w:lastRenderedPageBreak/>
        <w:t>the advanced CRM system and the integrated use of artificial intelligence and related services will enhance customers' relations and overall performance</w:t>
      </w:r>
      <w:r w:rsidR="008957F2">
        <w:t xml:space="preserve"> (Tranter </w:t>
      </w:r>
      <w:r w:rsidR="008957F2" w:rsidRPr="008957F2">
        <w:rPr>
          <w:i/>
          <w:iCs/>
        </w:rPr>
        <w:t>et al.,</w:t>
      </w:r>
      <w:r w:rsidR="008957F2">
        <w:t xml:space="preserve"> 2014).</w:t>
      </w:r>
      <w:r>
        <w:t xml:space="preserve"> For example, the rise of greater personalisation in the hospitality industry as guests demand brands that can decipher what they want is seen clearly, with 73% of guests expecting brands to know what they want and need based on raging data analytics</w:t>
      </w:r>
      <w:r w:rsidR="008957F2">
        <w:t xml:space="preserve"> (</w:t>
      </w:r>
      <w:r w:rsidR="008957F2" w:rsidRPr="00D260CA">
        <w:t>Alvarez</w:t>
      </w:r>
      <w:r w:rsidR="008957F2">
        <w:t xml:space="preserve"> </w:t>
      </w:r>
      <w:r w:rsidR="008957F2" w:rsidRPr="008957F2">
        <w:rPr>
          <w:i/>
          <w:iCs/>
        </w:rPr>
        <w:t>et al.,</w:t>
      </w:r>
      <w:r w:rsidR="008957F2">
        <w:t xml:space="preserve"> 2021).</w:t>
      </w:r>
      <w:r>
        <w:t xml:space="preserve"> Shangri-La can use this information to design tailored marketing strategies and unique services. It does not only help in building customer loyalty but also increases the times consumers spend their money with the company since the velocity of user-generated content helps in selling more rooms at higher prices within the same booking period.</w:t>
      </w:r>
    </w:p>
    <w:p w14:paraId="04C72CFE" w14:textId="77777777" w:rsidR="006D524C" w:rsidRPr="006D524C" w:rsidRDefault="00055ABC" w:rsidP="006D524C">
      <w:pPr>
        <w:rPr>
          <w:b/>
          <w:bCs/>
        </w:rPr>
      </w:pPr>
      <w:r w:rsidRPr="006D524C">
        <w:rPr>
          <w:b/>
          <w:bCs/>
        </w:rPr>
        <w:t>Travelodge Hotels</w:t>
      </w:r>
    </w:p>
    <w:p w14:paraId="6815D21B" w14:textId="1C579DEB" w:rsidR="006D524C" w:rsidRDefault="00055ABC" w:rsidP="006D524C">
      <w:r>
        <w:t>Therefore, for Travelodge Hotels, the recommendations would be to improve its digital marketing strategy to reach out to many guests. Since the travel purchases are mostly made online where most of them represent more than 70% of total bookings, the investment must develop an appealing online marketing strategy</w:t>
      </w:r>
      <w:r w:rsidR="008957F2">
        <w:t xml:space="preserve"> (</w:t>
      </w:r>
      <w:r w:rsidR="008957F2" w:rsidRPr="00D260CA">
        <w:t>Alvarez</w:t>
      </w:r>
      <w:r w:rsidR="008957F2">
        <w:t xml:space="preserve"> </w:t>
      </w:r>
      <w:r w:rsidR="008957F2" w:rsidRPr="008957F2">
        <w:rPr>
          <w:i/>
          <w:iCs/>
        </w:rPr>
        <w:t>et al.,</w:t>
      </w:r>
      <w:r w:rsidR="008957F2">
        <w:t xml:space="preserve"> 2021). </w:t>
      </w:r>
      <w:r>
        <w:t>This may be through promotional activity on social media, engaging with travel influencers, and optimisation of website search engine results. Research indicates that hotels that adopt digital marketing strategies prospectively can receive up to 20% increase in direct bookings</w:t>
      </w:r>
      <w:r w:rsidR="008957F2">
        <w:t xml:space="preserve"> (</w:t>
      </w:r>
      <w:r w:rsidR="008957F2" w:rsidRPr="00D260CA">
        <w:t>Alvarez</w:t>
      </w:r>
      <w:r w:rsidR="008957F2">
        <w:t xml:space="preserve"> </w:t>
      </w:r>
      <w:r w:rsidR="008957F2" w:rsidRPr="008957F2">
        <w:rPr>
          <w:i/>
          <w:iCs/>
        </w:rPr>
        <w:t>et al.,</w:t>
      </w:r>
      <w:r w:rsidR="008957F2">
        <w:t xml:space="preserve"> 2021). </w:t>
      </w:r>
      <w:r>
        <w:t>Moreover, promotions for direct bookings help minimise intermediaries, such as those who attract high commissions for services. This feasible strategy reflects the objectives of Travelodge to sustain cost-effectively and increase revenue-bearing as travel returns to growth.</w:t>
      </w:r>
    </w:p>
    <w:p w14:paraId="2E81F371" w14:textId="5621E48C" w:rsidR="000A3F75" w:rsidRDefault="00055ABC" w:rsidP="00AE12BF">
      <w:pPr>
        <w:pStyle w:val="Heading1"/>
      </w:pPr>
      <w:bookmarkStart w:id="7" w:name="_Toc181347385"/>
      <w:r>
        <w:t>Conclusion</w:t>
      </w:r>
      <w:bookmarkEnd w:id="7"/>
    </w:p>
    <w:p w14:paraId="40D80263" w14:textId="3AA0CF33" w:rsidR="006D524C" w:rsidRPr="006D524C" w:rsidRDefault="00055ABC" w:rsidP="006D524C">
      <w:r>
        <w:t>This is to conclude that</w:t>
      </w:r>
      <w:r w:rsidR="00D54051" w:rsidRPr="00D54051">
        <w:t>, the difference in the cases of Shangri-La Hotels and Travelodge Hotels clearly demonstrates two conflicting strategies in the industry while taking into consideration their positions on the market and the approaches to financial management that were chosen. While Shangri-La occurs as an indulgent and unique experience, Travelodge is all about simplicity and low cost. There are strengths and weaknesses for both organisations in a post-lockdown environment, which require innovation to respond to changing customers' needs. Through technology investment and improving the activity of digital marketing, the two companies will expand their competitive advantage, therefore, guaranteeing a stable and profitable business in the future more competitive environment.</w:t>
      </w:r>
    </w:p>
    <w:p w14:paraId="6C0ECA5B" w14:textId="4CEC138D" w:rsidR="00AE12BF" w:rsidRDefault="00055ABC" w:rsidP="00226B95">
      <w:pPr>
        <w:rPr>
          <w:rFonts w:eastAsiaTheme="majorEastAsia" w:cstheme="majorBidi"/>
          <w:color w:val="000000" w:themeColor="text1"/>
          <w:kern w:val="2"/>
          <w:szCs w:val="32"/>
          <w14:ligatures w14:val="standardContextual"/>
        </w:rPr>
      </w:pPr>
      <w:r>
        <w:br w:type="page"/>
      </w:r>
    </w:p>
    <w:p w14:paraId="4353C677" w14:textId="0D529E9A" w:rsidR="00AE12BF" w:rsidRDefault="00055ABC" w:rsidP="00AE12BF">
      <w:pPr>
        <w:pStyle w:val="Heading1"/>
      </w:pPr>
      <w:bookmarkStart w:id="8" w:name="_Toc181347386"/>
      <w:r>
        <w:lastRenderedPageBreak/>
        <w:t>Bibliography</w:t>
      </w:r>
      <w:bookmarkEnd w:id="8"/>
    </w:p>
    <w:p w14:paraId="2B5B069B" w14:textId="77777777" w:rsidR="00D260CA" w:rsidRDefault="00055ABC" w:rsidP="00D260CA">
      <w:bookmarkStart w:id="9" w:name="_Hlk181342280"/>
      <w:bookmarkStart w:id="10" w:name="_Hlk181347982"/>
      <w:r w:rsidRPr="00FC7CB7">
        <w:t>Ahmad, S., Connolly, C. and Demirag, I.</w:t>
      </w:r>
      <w:r>
        <w:t xml:space="preserve"> (</w:t>
      </w:r>
      <w:r w:rsidRPr="00FC7CB7">
        <w:t>2020</w:t>
      </w:r>
      <w:r>
        <w:t>)</w:t>
      </w:r>
      <w:r w:rsidRPr="00FC7CB7">
        <w:t xml:space="preserve"> A study of the operationalisation of management controls in United Kingdom private finance initiative contracts. </w:t>
      </w:r>
      <w:r w:rsidRPr="00FC7CB7">
        <w:rPr>
          <w:i/>
          <w:iCs/>
        </w:rPr>
        <w:t>Public Administration</w:t>
      </w:r>
      <w:r w:rsidRPr="00FC7CB7">
        <w:t>, </w:t>
      </w:r>
      <w:r w:rsidRPr="00FC7CB7">
        <w:rPr>
          <w:i/>
          <w:iCs/>
        </w:rPr>
        <w:t>98</w:t>
      </w:r>
      <w:r w:rsidRPr="00FC7CB7">
        <w:t>(1), pp.92-108.</w:t>
      </w:r>
    </w:p>
    <w:p w14:paraId="5E19394E" w14:textId="77777777" w:rsidR="00D260CA" w:rsidRDefault="00055ABC" w:rsidP="00D260CA">
      <w:r w:rsidRPr="00D260CA">
        <w:t>Ahrens, T. and Ferry, L.</w:t>
      </w:r>
      <w:r>
        <w:t xml:space="preserve"> (</w:t>
      </w:r>
      <w:r w:rsidRPr="00D260CA">
        <w:t>2021</w:t>
      </w:r>
      <w:r>
        <w:t>)</w:t>
      </w:r>
      <w:r w:rsidRPr="00D260CA">
        <w:t xml:space="preserve"> Accounting and accountability practices in times of crisis: a Foucauldian perspective on the UK government's response to COVID-19 for England. </w:t>
      </w:r>
      <w:r w:rsidRPr="00D260CA">
        <w:rPr>
          <w:i/>
          <w:iCs/>
        </w:rPr>
        <w:t>Accounting, Auditing &amp; Accountability Journal</w:t>
      </w:r>
      <w:r w:rsidRPr="00D260CA">
        <w:t>, </w:t>
      </w:r>
      <w:r w:rsidRPr="00D260CA">
        <w:rPr>
          <w:i/>
          <w:iCs/>
        </w:rPr>
        <w:t>34</w:t>
      </w:r>
      <w:r w:rsidRPr="00D260CA">
        <w:t>(6), pp.1332-1344.</w:t>
      </w:r>
    </w:p>
    <w:p w14:paraId="08B84CBE" w14:textId="77777777" w:rsidR="00D260CA" w:rsidRDefault="00055ABC" w:rsidP="00D260CA">
      <w:r w:rsidRPr="00D260CA">
        <w:t>Alvarez, T., Sensini, L., Bello, C. and Vazquez, M.</w:t>
      </w:r>
      <w:r>
        <w:t xml:space="preserve"> (</w:t>
      </w:r>
      <w:r w:rsidRPr="00D260CA">
        <w:t>2021</w:t>
      </w:r>
      <w:r>
        <w:t>)</w:t>
      </w:r>
      <w:r w:rsidRPr="00D260CA">
        <w:t xml:space="preserve"> Management accounting practices and performance of SMEs in the Hotel industry: Evidence from an emerging economy. </w:t>
      </w:r>
      <w:r w:rsidRPr="00D260CA">
        <w:rPr>
          <w:i/>
          <w:iCs/>
        </w:rPr>
        <w:t>International Journal of Business and Social Science</w:t>
      </w:r>
      <w:r w:rsidRPr="00D260CA">
        <w:t>, </w:t>
      </w:r>
      <w:r w:rsidRPr="00D260CA">
        <w:rPr>
          <w:i/>
          <w:iCs/>
        </w:rPr>
        <w:t>12</w:t>
      </w:r>
      <w:r w:rsidRPr="00D260CA">
        <w:t>(2), pp.24-35.</w:t>
      </w:r>
    </w:p>
    <w:p w14:paraId="2164BB9D" w14:textId="77777777" w:rsidR="00D260CA" w:rsidRDefault="00055ABC" w:rsidP="00D260CA">
      <w:r w:rsidRPr="00C93F65">
        <w:t>Bandy, G.</w:t>
      </w:r>
      <w:r>
        <w:t xml:space="preserve"> (</w:t>
      </w:r>
      <w:r w:rsidRPr="00C93F65">
        <w:t>2023</w:t>
      </w:r>
      <w:r>
        <w:t>)</w:t>
      </w:r>
      <w:r w:rsidRPr="00C93F65">
        <w:t> </w:t>
      </w:r>
      <w:r w:rsidRPr="00C93F65">
        <w:rPr>
          <w:i/>
          <w:iCs/>
        </w:rPr>
        <w:t>Financial management and accounting in the public sector</w:t>
      </w:r>
      <w:r w:rsidRPr="00C93F65">
        <w:t>. Routledge.</w:t>
      </w:r>
    </w:p>
    <w:p w14:paraId="307E3E6B" w14:textId="77777777" w:rsidR="00D260CA" w:rsidRDefault="00055ABC" w:rsidP="00D260CA">
      <w:r>
        <w:t>Bhimani A. (2006) Contemporary Issues in Management Accounting, Oxford.</w:t>
      </w:r>
    </w:p>
    <w:p w14:paraId="762D542D" w14:textId="77777777" w:rsidR="00D260CA" w:rsidRDefault="00055ABC" w:rsidP="00D260CA">
      <w:r>
        <w:t>Drury C. (2021) (11</w:t>
      </w:r>
      <w:r w:rsidRPr="00DD0122">
        <w:rPr>
          <w:vertAlign w:val="superscript"/>
        </w:rPr>
        <w:t>th</w:t>
      </w:r>
      <w:r>
        <w:t xml:space="preserve"> Ed) Management and Cost Accounting, London, Prentice Hall.</w:t>
      </w:r>
    </w:p>
    <w:p w14:paraId="44034339" w14:textId="77777777" w:rsidR="00D260CA" w:rsidRDefault="00055ABC" w:rsidP="00D260CA">
      <w:r>
        <w:t>Guilding, C. (2014) (3</w:t>
      </w:r>
      <w:r w:rsidRPr="00DD0122">
        <w:rPr>
          <w:vertAlign w:val="superscript"/>
        </w:rPr>
        <w:t>rd</w:t>
      </w:r>
      <w:r>
        <w:t xml:space="preserve"> Edition) Accounting Essentials for Hospitality Managers, London, Routledge.</w:t>
      </w:r>
    </w:p>
    <w:p w14:paraId="4C36CBBB" w14:textId="77777777" w:rsidR="00D260CA" w:rsidRDefault="00055ABC" w:rsidP="00D260CA">
      <w:r w:rsidRPr="00C93F65">
        <w:t>G</w:t>
      </w:r>
      <w:r>
        <w:t>u</w:t>
      </w:r>
      <w:r w:rsidRPr="00C93F65">
        <w:t>ng</w:t>
      </w:r>
      <w:r>
        <w:t>o</w:t>
      </w:r>
      <w:r w:rsidRPr="00C93F65">
        <w:t>r G</w:t>
      </w:r>
      <w:r>
        <w:t>o</w:t>
      </w:r>
      <w:r w:rsidRPr="00C93F65">
        <w:t>ksu, G.</w:t>
      </w:r>
      <w:r>
        <w:t xml:space="preserve"> (</w:t>
      </w:r>
      <w:r w:rsidRPr="00C93F65">
        <w:t>2023</w:t>
      </w:r>
      <w:r>
        <w:t>)</w:t>
      </w:r>
      <w:r w:rsidRPr="00C93F65">
        <w:t xml:space="preserve"> A retrospective overview of the Journal of Public Budgeting, Accounting and Financial Management using bibliometric analysis. </w:t>
      </w:r>
      <w:r w:rsidRPr="00C93F65">
        <w:rPr>
          <w:i/>
          <w:iCs/>
        </w:rPr>
        <w:t>Journal of Public Budgeting, Accounting &amp; Financial Management</w:t>
      </w:r>
      <w:r w:rsidRPr="00C93F65">
        <w:t>, </w:t>
      </w:r>
      <w:r w:rsidRPr="00C93F65">
        <w:rPr>
          <w:i/>
          <w:iCs/>
        </w:rPr>
        <w:t>35</w:t>
      </w:r>
      <w:r w:rsidRPr="00C93F65">
        <w:t>(2), pp.264-295.</w:t>
      </w:r>
    </w:p>
    <w:p w14:paraId="6D329F98" w14:textId="77777777" w:rsidR="00D260CA" w:rsidRDefault="00055ABC" w:rsidP="00D260CA">
      <w:r>
        <w:t>Jagels, M. (2007) Hospitality Management Accounting, London, Wiley.</w:t>
      </w:r>
    </w:p>
    <w:p w14:paraId="4A21822E" w14:textId="77777777" w:rsidR="00D260CA" w:rsidRDefault="00055ABC" w:rsidP="00D260CA">
      <w:r w:rsidRPr="00D260CA">
        <w:t>Loft, A.</w:t>
      </w:r>
      <w:r>
        <w:t xml:space="preserve"> (</w:t>
      </w:r>
      <w:r w:rsidRPr="00D260CA">
        <w:t>2020</w:t>
      </w:r>
      <w:r>
        <w:t>)</w:t>
      </w:r>
      <w:r w:rsidRPr="00D260CA">
        <w:t> </w:t>
      </w:r>
      <w:r w:rsidRPr="00D260CA">
        <w:rPr>
          <w:i/>
          <w:iCs/>
        </w:rPr>
        <w:t>Understanding accounting in its social and historical context: the case of cost accounting in Britain, 1914-1925</w:t>
      </w:r>
      <w:r w:rsidRPr="00D260CA">
        <w:t>. Routledge.</w:t>
      </w:r>
    </w:p>
    <w:p w14:paraId="028BF136" w14:textId="77777777" w:rsidR="00D260CA" w:rsidRDefault="00055ABC" w:rsidP="00D260CA">
      <w:r>
        <w:t>Seal W, Garrison RH, Noreen E. (2008) Management Accounting, McGraw Hill.</w:t>
      </w:r>
    </w:p>
    <w:p w14:paraId="4DB15791" w14:textId="77777777" w:rsidR="00D260CA" w:rsidRDefault="00055ABC" w:rsidP="00D260CA">
      <w:r>
        <w:t>Seal W. (2019) (6</w:t>
      </w:r>
      <w:r w:rsidRPr="00DD0122">
        <w:rPr>
          <w:vertAlign w:val="superscript"/>
        </w:rPr>
        <w:t>th</w:t>
      </w:r>
      <w:r>
        <w:t xml:space="preserve"> Ed) Management Accounting, London, McGraw Hill.</w:t>
      </w:r>
    </w:p>
    <w:bookmarkEnd w:id="9"/>
    <w:p w14:paraId="2779434D" w14:textId="77777777" w:rsidR="00D260CA" w:rsidRPr="00DD0122" w:rsidRDefault="00055ABC" w:rsidP="00D260CA">
      <w:pPr>
        <w:rPr>
          <w:i/>
          <w:iCs/>
        </w:rPr>
      </w:pPr>
      <w:r>
        <w:t xml:space="preserve">Shangri-La Group Media. (2024) </w:t>
      </w:r>
      <w:r w:rsidRPr="00DD0122">
        <w:rPr>
          <w:i/>
          <w:iCs/>
        </w:rPr>
        <w:t xml:space="preserve">Shangri-La Group Releases 2023. Full Year Results. </w:t>
      </w:r>
      <w:r>
        <w:t xml:space="preserve">Available at: </w:t>
      </w:r>
      <w:hyperlink r:id="rId8" w:history="1">
        <w:r w:rsidR="00D260CA" w:rsidRPr="00A0020D">
          <w:rPr>
            <w:rStyle w:val="Hyperlink"/>
          </w:rPr>
          <w:t>https://www.shangri-la.com/group/media/media_post?post=Shangri-La%20Group%20Releases%202023%20Full%20Year%20Results</w:t>
        </w:r>
      </w:hyperlink>
      <w:r>
        <w:rPr>
          <w:rStyle w:val="Hyperlink"/>
        </w:rPr>
        <w:t xml:space="preserve"> </w:t>
      </w:r>
      <w:r>
        <w:t>[Accessed on: 01 November 2024].</w:t>
      </w:r>
    </w:p>
    <w:p w14:paraId="7217A17C" w14:textId="77777777" w:rsidR="00D260CA" w:rsidRDefault="00055ABC" w:rsidP="00D260CA">
      <w:r>
        <w:t xml:space="preserve">Shangri-La Group, 2024. </w:t>
      </w:r>
      <w:r w:rsidRPr="00DD0122">
        <w:rPr>
          <w:i/>
          <w:iCs/>
        </w:rPr>
        <w:t>Home | Our presence | Our Story.</w:t>
      </w:r>
      <w:r>
        <w:t xml:space="preserve"> Available at: </w:t>
      </w:r>
      <w:hyperlink r:id="rId9" w:history="1">
        <w:r w:rsidR="00D260CA" w:rsidRPr="00140B8A">
          <w:rPr>
            <w:rStyle w:val="Hyperlink"/>
          </w:rPr>
          <w:t>https://www.shangri-la.com/group/</w:t>
        </w:r>
      </w:hyperlink>
      <w:r>
        <w:t xml:space="preserve"> [Accessed on: 01 November 2024].</w:t>
      </w:r>
    </w:p>
    <w:p w14:paraId="0F9AFAF3" w14:textId="77777777" w:rsidR="00D260CA" w:rsidRDefault="00055ABC" w:rsidP="00D260CA">
      <w:r>
        <w:lastRenderedPageBreak/>
        <w:t>Tranter, K. Stuart-Hill, T. Parker, J. (2014) Introduction to Revenue Management for the Hospitality Industry, London, Pearson.</w:t>
      </w:r>
    </w:p>
    <w:p w14:paraId="4799FB24" w14:textId="77777777" w:rsidR="00D260CA" w:rsidRDefault="00055ABC" w:rsidP="00D260CA">
      <w:r>
        <w:t xml:space="preserve">Travelodge. (2024) </w:t>
      </w:r>
      <w:r w:rsidRPr="00DD0122">
        <w:rPr>
          <w:i/>
          <w:iCs/>
        </w:rPr>
        <w:t xml:space="preserve">Home | Autumn rooms for £35 or LESS. </w:t>
      </w:r>
      <w:r>
        <w:t xml:space="preserve">Available at: </w:t>
      </w:r>
      <w:hyperlink r:id="rId10" w:history="1">
        <w:r w:rsidR="00D260CA" w:rsidRPr="00A0020D">
          <w:rPr>
            <w:rStyle w:val="Hyperlink"/>
          </w:rPr>
          <w:t>https://www.travelodge.co.uk/</w:t>
        </w:r>
      </w:hyperlink>
      <w:r>
        <w:t xml:space="preserve"> Accessed on: 01 November 2024].</w:t>
      </w:r>
    </w:p>
    <w:p w14:paraId="79447D20" w14:textId="77777777" w:rsidR="00D260CA" w:rsidRDefault="00055ABC" w:rsidP="00D260CA">
      <w:r>
        <w:t xml:space="preserve">TravelLodge.co.uk. (2024) </w:t>
      </w:r>
      <w:r w:rsidRPr="00DD0122">
        <w:rPr>
          <w:i/>
          <w:iCs/>
        </w:rPr>
        <w:t xml:space="preserve">Investors, Group Overview. </w:t>
      </w:r>
      <w:r>
        <w:t xml:space="preserve">Available at: </w:t>
      </w:r>
      <w:hyperlink r:id="rId11" w:history="1">
        <w:r w:rsidR="00D260CA" w:rsidRPr="00A0020D">
          <w:rPr>
            <w:rStyle w:val="Hyperlink"/>
          </w:rPr>
          <w:t>https://www.travelodge.co.uk/investors/home</w:t>
        </w:r>
      </w:hyperlink>
      <w:r>
        <w:rPr>
          <w:rStyle w:val="Hyperlink"/>
        </w:rPr>
        <w:t xml:space="preserve"> </w:t>
      </w:r>
      <w:r>
        <w:t>Accessed on: 01 November 2024].</w:t>
      </w:r>
    </w:p>
    <w:p w14:paraId="538127CA" w14:textId="77777777" w:rsidR="00D260CA" w:rsidRPr="00DD0122" w:rsidRDefault="00055ABC" w:rsidP="00D260CA">
      <w:pPr>
        <w:rPr>
          <w:i/>
          <w:iCs/>
        </w:rPr>
      </w:pPr>
      <w:r>
        <w:t xml:space="preserve">Wall Street Journal. (2024) </w:t>
      </w:r>
      <w:r w:rsidRPr="00DD0122">
        <w:rPr>
          <w:i/>
          <w:iCs/>
        </w:rPr>
        <w:t xml:space="preserve">Shangri-La Hotels Financial Results. </w:t>
      </w:r>
      <w:r>
        <w:t xml:space="preserve">Available at: </w:t>
      </w:r>
      <w:hyperlink r:id="rId12" w:history="1">
        <w:r w:rsidR="00D260CA" w:rsidRPr="00F66A50">
          <w:rPr>
            <w:rStyle w:val="Hyperlink"/>
          </w:rPr>
          <w:t>https://www.wsj.com/market-data/quotes/MY/XKLS/5517/financials/annual/balance-sheet</w:t>
        </w:r>
      </w:hyperlink>
      <w:r>
        <w:t xml:space="preserve"> Accessed on: 01 November 2024].</w:t>
      </w:r>
    </w:p>
    <w:p w14:paraId="1CE05144" w14:textId="77777777" w:rsidR="00D260CA" w:rsidRDefault="00055ABC" w:rsidP="00D260CA">
      <w:r>
        <w:t>Wild J. (2018) Fundamental Accounting Principles, New York, McGraw Hill.</w:t>
      </w:r>
    </w:p>
    <w:bookmarkEnd w:id="10"/>
    <w:p w14:paraId="649A7238" w14:textId="77777777" w:rsidR="00D260CA" w:rsidRDefault="00055ABC" w:rsidP="00D260CA">
      <w:r w:rsidRPr="00BE2FA5">
        <w:t>Yahyoyevna, O.F. and Alexandrovich, A.A.</w:t>
      </w:r>
      <w:r>
        <w:t xml:space="preserve"> (</w:t>
      </w:r>
      <w:r w:rsidRPr="00BE2FA5">
        <w:t>2024</w:t>
      </w:r>
      <w:r>
        <w:t>)</w:t>
      </w:r>
      <w:r w:rsidRPr="00BE2FA5">
        <w:t xml:space="preserve"> THE ROLE OF FINANCIAL MANAGEMENT IN IMPROVING THE FINANCIAL CONDITION OF ENTERPRISES. </w:t>
      </w:r>
      <w:r w:rsidRPr="00BE2FA5">
        <w:rPr>
          <w:i/>
          <w:iCs/>
        </w:rPr>
        <w:t>JOURNAL OF EDUCATION, ETHICS AND VALUE</w:t>
      </w:r>
      <w:r w:rsidRPr="00BE2FA5">
        <w:t>, </w:t>
      </w:r>
      <w:r w:rsidRPr="00BE2FA5">
        <w:rPr>
          <w:i/>
          <w:iCs/>
        </w:rPr>
        <w:t>3</w:t>
      </w:r>
      <w:r w:rsidRPr="00BE2FA5">
        <w:t>(1), pp.44-47.</w:t>
      </w:r>
    </w:p>
    <w:sectPr w:rsidR="00D260CA" w:rsidSect="00321A9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0F864" w14:textId="77777777" w:rsidR="00B33E62" w:rsidRDefault="00B33E62">
      <w:pPr>
        <w:spacing w:after="0" w:line="240" w:lineRule="auto"/>
      </w:pPr>
      <w:r>
        <w:separator/>
      </w:r>
    </w:p>
  </w:endnote>
  <w:endnote w:type="continuationSeparator" w:id="0">
    <w:p w14:paraId="293BDDAD" w14:textId="77777777" w:rsidR="00B33E62" w:rsidRDefault="00B33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7256443"/>
      <w:docPartObj>
        <w:docPartGallery w:val="Page Numbers (Bottom of Page)"/>
        <w:docPartUnique/>
      </w:docPartObj>
    </w:sdtPr>
    <w:sdtEndPr>
      <w:rPr>
        <w:color w:val="7F7F7F" w:themeColor="background1" w:themeShade="7F"/>
        <w:spacing w:val="60"/>
      </w:rPr>
    </w:sdtEndPr>
    <w:sdtContent>
      <w:p w14:paraId="5A90EF9B" w14:textId="42D9C6A5" w:rsidR="009028D1" w:rsidRDefault="00055ABC">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0FF15E21" w14:textId="77777777" w:rsidR="009028D1" w:rsidRDefault="00902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57AB51" w14:textId="77777777" w:rsidR="00B33E62" w:rsidRDefault="00B33E62">
      <w:pPr>
        <w:spacing w:after="0" w:line="240" w:lineRule="auto"/>
      </w:pPr>
      <w:r>
        <w:separator/>
      </w:r>
    </w:p>
  </w:footnote>
  <w:footnote w:type="continuationSeparator" w:id="0">
    <w:p w14:paraId="5350E5E5" w14:textId="77777777" w:rsidR="00B33E62" w:rsidRDefault="00B33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020F6"/>
    <w:multiLevelType w:val="hybridMultilevel"/>
    <w:tmpl w:val="4DA888F2"/>
    <w:lvl w:ilvl="0" w:tplc="2A906150">
      <w:start w:val="1"/>
      <w:numFmt w:val="bullet"/>
      <w:lvlText w:val=""/>
      <w:lvlJc w:val="left"/>
      <w:pPr>
        <w:ind w:left="720" w:hanging="360"/>
      </w:pPr>
      <w:rPr>
        <w:rFonts w:ascii="Symbol" w:hAnsi="Symbol" w:hint="default"/>
      </w:rPr>
    </w:lvl>
    <w:lvl w:ilvl="1" w:tplc="CE38D876" w:tentative="1">
      <w:start w:val="1"/>
      <w:numFmt w:val="bullet"/>
      <w:lvlText w:val="o"/>
      <w:lvlJc w:val="left"/>
      <w:pPr>
        <w:ind w:left="1440" w:hanging="360"/>
      </w:pPr>
      <w:rPr>
        <w:rFonts w:ascii="Courier New" w:hAnsi="Courier New" w:cs="Courier New" w:hint="default"/>
      </w:rPr>
    </w:lvl>
    <w:lvl w:ilvl="2" w:tplc="A1443DEE" w:tentative="1">
      <w:start w:val="1"/>
      <w:numFmt w:val="bullet"/>
      <w:lvlText w:val=""/>
      <w:lvlJc w:val="left"/>
      <w:pPr>
        <w:ind w:left="2160" w:hanging="360"/>
      </w:pPr>
      <w:rPr>
        <w:rFonts w:ascii="Wingdings" w:hAnsi="Wingdings" w:hint="default"/>
      </w:rPr>
    </w:lvl>
    <w:lvl w:ilvl="3" w:tplc="348433BA" w:tentative="1">
      <w:start w:val="1"/>
      <w:numFmt w:val="bullet"/>
      <w:lvlText w:val=""/>
      <w:lvlJc w:val="left"/>
      <w:pPr>
        <w:ind w:left="2880" w:hanging="360"/>
      </w:pPr>
      <w:rPr>
        <w:rFonts w:ascii="Symbol" w:hAnsi="Symbol" w:hint="default"/>
      </w:rPr>
    </w:lvl>
    <w:lvl w:ilvl="4" w:tplc="B9B04A00" w:tentative="1">
      <w:start w:val="1"/>
      <w:numFmt w:val="bullet"/>
      <w:lvlText w:val="o"/>
      <w:lvlJc w:val="left"/>
      <w:pPr>
        <w:ind w:left="3600" w:hanging="360"/>
      </w:pPr>
      <w:rPr>
        <w:rFonts w:ascii="Courier New" w:hAnsi="Courier New" w:cs="Courier New" w:hint="default"/>
      </w:rPr>
    </w:lvl>
    <w:lvl w:ilvl="5" w:tplc="7AB04790" w:tentative="1">
      <w:start w:val="1"/>
      <w:numFmt w:val="bullet"/>
      <w:lvlText w:val=""/>
      <w:lvlJc w:val="left"/>
      <w:pPr>
        <w:ind w:left="4320" w:hanging="360"/>
      </w:pPr>
      <w:rPr>
        <w:rFonts w:ascii="Wingdings" w:hAnsi="Wingdings" w:hint="default"/>
      </w:rPr>
    </w:lvl>
    <w:lvl w:ilvl="6" w:tplc="CF42B218" w:tentative="1">
      <w:start w:val="1"/>
      <w:numFmt w:val="bullet"/>
      <w:lvlText w:val=""/>
      <w:lvlJc w:val="left"/>
      <w:pPr>
        <w:ind w:left="5040" w:hanging="360"/>
      </w:pPr>
      <w:rPr>
        <w:rFonts w:ascii="Symbol" w:hAnsi="Symbol" w:hint="default"/>
      </w:rPr>
    </w:lvl>
    <w:lvl w:ilvl="7" w:tplc="E7C059C4" w:tentative="1">
      <w:start w:val="1"/>
      <w:numFmt w:val="bullet"/>
      <w:lvlText w:val="o"/>
      <w:lvlJc w:val="left"/>
      <w:pPr>
        <w:ind w:left="5760" w:hanging="360"/>
      </w:pPr>
      <w:rPr>
        <w:rFonts w:ascii="Courier New" w:hAnsi="Courier New" w:cs="Courier New" w:hint="default"/>
      </w:rPr>
    </w:lvl>
    <w:lvl w:ilvl="8" w:tplc="237A7B60" w:tentative="1">
      <w:start w:val="1"/>
      <w:numFmt w:val="bullet"/>
      <w:lvlText w:val=""/>
      <w:lvlJc w:val="left"/>
      <w:pPr>
        <w:ind w:left="6480" w:hanging="360"/>
      </w:pPr>
      <w:rPr>
        <w:rFonts w:ascii="Wingdings" w:hAnsi="Wingdings" w:hint="default"/>
      </w:rPr>
    </w:lvl>
  </w:abstractNum>
  <w:abstractNum w:abstractNumId="1" w15:restartNumberingAfterBreak="0">
    <w:nsid w:val="1F385F5A"/>
    <w:multiLevelType w:val="hybridMultilevel"/>
    <w:tmpl w:val="3FA876C8"/>
    <w:lvl w:ilvl="0" w:tplc="FB207D50">
      <w:start w:val="1"/>
      <w:numFmt w:val="decimal"/>
      <w:lvlText w:val="%1."/>
      <w:lvlJc w:val="left"/>
      <w:pPr>
        <w:ind w:left="720" w:hanging="360"/>
      </w:pPr>
    </w:lvl>
    <w:lvl w:ilvl="1" w:tplc="D8885842" w:tentative="1">
      <w:start w:val="1"/>
      <w:numFmt w:val="lowerLetter"/>
      <w:lvlText w:val="%2."/>
      <w:lvlJc w:val="left"/>
      <w:pPr>
        <w:ind w:left="1440" w:hanging="360"/>
      </w:pPr>
    </w:lvl>
    <w:lvl w:ilvl="2" w:tplc="4894DBF4" w:tentative="1">
      <w:start w:val="1"/>
      <w:numFmt w:val="lowerRoman"/>
      <w:lvlText w:val="%3."/>
      <w:lvlJc w:val="right"/>
      <w:pPr>
        <w:ind w:left="2160" w:hanging="180"/>
      </w:pPr>
    </w:lvl>
    <w:lvl w:ilvl="3" w:tplc="B70240B4" w:tentative="1">
      <w:start w:val="1"/>
      <w:numFmt w:val="decimal"/>
      <w:lvlText w:val="%4."/>
      <w:lvlJc w:val="left"/>
      <w:pPr>
        <w:ind w:left="2880" w:hanging="360"/>
      </w:pPr>
    </w:lvl>
    <w:lvl w:ilvl="4" w:tplc="CCDA5CA2" w:tentative="1">
      <w:start w:val="1"/>
      <w:numFmt w:val="lowerLetter"/>
      <w:lvlText w:val="%5."/>
      <w:lvlJc w:val="left"/>
      <w:pPr>
        <w:ind w:left="3600" w:hanging="360"/>
      </w:pPr>
    </w:lvl>
    <w:lvl w:ilvl="5" w:tplc="1E96E9DC" w:tentative="1">
      <w:start w:val="1"/>
      <w:numFmt w:val="lowerRoman"/>
      <w:lvlText w:val="%6."/>
      <w:lvlJc w:val="right"/>
      <w:pPr>
        <w:ind w:left="4320" w:hanging="180"/>
      </w:pPr>
    </w:lvl>
    <w:lvl w:ilvl="6" w:tplc="3EF461FA" w:tentative="1">
      <w:start w:val="1"/>
      <w:numFmt w:val="decimal"/>
      <w:lvlText w:val="%7."/>
      <w:lvlJc w:val="left"/>
      <w:pPr>
        <w:ind w:left="5040" w:hanging="360"/>
      </w:pPr>
    </w:lvl>
    <w:lvl w:ilvl="7" w:tplc="2DCE874A" w:tentative="1">
      <w:start w:val="1"/>
      <w:numFmt w:val="lowerLetter"/>
      <w:lvlText w:val="%8."/>
      <w:lvlJc w:val="left"/>
      <w:pPr>
        <w:ind w:left="5760" w:hanging="360"/>
      </w:pPr>
    </w:lvl>
    <w:lvl w:ilvl="8" w:tplc="A440C47E" w:tentative="1">
      <w:start w:val="1"/>
      <w:numFmt w:val="lowerRoman"/>
      <w:lvlText w:val="%9."/>
      <w:lvlJc w:val="right"/>
      <w:pPr>
        <w:ind w:left="6480" w:hanging="180"/>
      </w:pPr>
    </w:lvl>
  </w:abstractNum>
  <w:abstractNum w:abstractNumId="2" w15:restartNumberingAfterBreak="0">
    <w:nsid w:val="3CF37458"/>
    <w:multiLevelType w:val="hybridMultilevel"/>
    <w:tmpl w:val="48EE5624"/>
    <w:lvl w:ilvl="0" w:tplc="5E3A6468">
      <w:start w:val="1"/>
      <w:numFmt w:val="bullet"/>
      <w:lvlText w:val=""/>
      <w:lvlJc w:val="left"/>
      <w:pPr>
        <w:ind w:left="720" w:hanging="360"/>
      </w:pPr>
      <w:rPr>
        <w:rFonts w:ascii="Symbol" w:hAnsi="Symbol" w:hint="default"/>
      </w:rPr>
    </w:lvl>
    <w:lvl w:ilvl="1" w:tplc="7FD0ED76" w:tentative="1">
      <w:start w:val="1"/>
      <w:numFmt w:val="bullet"/>
      <w:lvlText w:val="o"/>
      <w:lvlJc w:val="left"/>
      <w:pPr>
        <w:ind w:left="1440" w:hanging="360"/>
      </w:pPr>
      <w:rPr>
        <w:rFonts w:ascii="Courier New" w:hAnsi="Courier New" w:cs="Courier New" w:hint="default"/>
      </w:rPr>
    </w:lvl>
    <w:lvl w:ilvl="2" w:tplc="5E8A5BE0" w:tentative="1">
      <w:start w:val="1"/>
      <w:numFmt w:val="bullet"/>
      <w:lvlText w:val=""/>
      <w:lvlJc w:val="left"/>
      <w:pPr>
        <w:ind w:left="2160" w:hanging="360"/>
      </w:pPr>
      <w:rPr>
        <w:rFonts w:ascii="Wingdings" w:hAnsi="Wingdings" w:hint="default"/>
      </w:rPr>
    </w:lvl>
    <w:lvl w:ilvl="3" w:tplc="2312EB7C" w:tentative="1">
      <w:start w:val="1"/>
      <w:numFmt w:val="bullet"/>
      <w:lvlText w:val=""/>
      <w:lvlJc w:val="left"/>
      <w:pPr>
        <w:ind w:left="2880" w:hanging="360"/>
      </w:pPr>
      <w:rPr>
        <w:rFonts w:ascii="Symbol" w:hAnsi="Symbol" w:hint="default"/>
      </w:rPr>
    </w:lvl>
    <w:lvl w:ilvl="4" w:tplc="A6B29836" w:tentative="1">
      <w:start w:val="1"/>
      <w:numFmt w:val="bullet"/>
      <w:lvlText w:val="o"/>
      <w:lvlJc w:val="left"/>
      <w:pPr>
        <w:ind w:left="3600" w:hanging="360"/>
      </w:pPr>
      <w:rPr>
        <w:rFonts w:ascii="Courier New" w:hAnsi="Courier New" w:cs="Courier New" w:hint="default"/>
      </w:rPr>
    </w:lvl>
    <w:lvl w:ilvl="5" w:tplc="00007F98" w:tentative="1">
      <w:start w:val="1"/>
      <w:numFmt w:val="bullet"/>
      <w:lvlText w:val=""/>
      <w:lvlJc w:val="left"/>
      <w:pPr>
        <w:ind w:left="4320" w:hanging="360"/>
      </w:pPr>
      <w:rPr>
        <w:rFonts w:ascii="Wingdings" w:hAnsi="Wingdings" w:hint="default"/>
      </w:rPr>
    </w:lvl>
    <w:lvl w:ilvl="6" w:tplc="84808C18" w:tentative="1">
      <w:start w:val="1"/>
      <w:numFmt w:val="bullet"/>
      <w:lvlText w:val=""/>
      <w:lvlJc w:val="left"/>
      <w:pPr>
        <w:ind w:left="5040" w:hanging="360"/>
      </w:pPr>
      <w:rPr>
        <w:rFonts w:ascii="Symbol" w:hAnsi="Symbol" w:hint="default"/>
      </w:rPr>
    </w:lvl>
    <w:lvl w:ilvl="7" w:tplc="19B4713E" w:tentative="1">
      <w:start w:val="1"/>
      <w:numFmt w:val="bullet"/>
      <w:lvlText w:val="o"/>
      <w:lvlJc w:val="left"/>
      <w:pPr>
        <w:ind w:left="5760" w:hanging="360"/>
      </w:pPr>
      <w:rPr>
        <w:rFonts w:ascii="Courier New" w:hAnsi="Courier New" w:cs="Courier New" w:hint="default"/>
      </w:rPr>
    </w:lvl>
    <w:lvl w:ilvl="8" w:tplc="C1C2C0C8" w:tentative="1">
      <w:start w:val="1"/>
      <w:numFmt w:val="bullet"/>
      <w:lvlText w:val=""/>
      <w:lvlJc w:val="left"/>
      <w:pPr>
        <w:ind w:left="6480" w:hanging="360"/>
      </w:pPr>
      <w:rPr>
        <w:rFonts w:ascii="Wingdings" w:hAnsi="Wingdings" w:hint="default"/>
      </w:rPr>
    </w:lvl>
  </w:abstractNum>
  <w:abstractNum w:abstractNumId="3" w15:restartNumberingAfterBreak="0">
    <w:nsid w:val="683926C1"/>
    <w:multiLevelType w:val="hybridMultilevel"/>
    <w:tmpl w:val="DB02567E"/>
    <w:lvl w:ilvl="0" w:tplc="FD8A2A96">
      <w:start w:val="1"/>
      <w:numFmt w:val="decimal"/>
      <w:lvlText w:val="%1."/>
      <w:lvlJc w:val="left"/>
      <w:pPr>
        <w:ind w:left="720" w:hanging="360"/>
      </w:pPr>
    </w:lvl>
    <w:lvl w:ilvl="1" w:tplc="34F4CD70" w:tentative="1">
      <w:start w:val="1"/>
      <w:numFmt w:val="lowerLetter"/>
      <w:lvlText w:val="%2."/>
      <w:lvlJc w:val="left"/>
      <w:pPr>
        <w:ind w:left="1440" w:hanging="360"/>
      </w:pPr>
    </w:lvl>
    <w:lvl w:ilvl="2" w:tplc="C2D280FA" w:tentative="1">
      <w:start w:val="1"/>
      <w:numFmt w:val="lowerRoman"/>
      <w:lvlText w:val="%3."/>
      <w:lvlJc w:val="right"/>
      <w:pPr>
        <w:ind w:left="2160" w:hanging="180"/>
      </w:pPr>
    </w:lvl>
    <w:lvl w:ilvl="3" w:tplc="5FA22916" w:tentative="1">
      <w:start w:val="1"/>
      <w:numFmt w:val="decimal"/>
      <w:lvlText w:val="%4."/>
      <w:lvlJc w:val="left"/>
      <w:pPr>
        <w:ind w:left="2880" w:hanging="360"/>
      </w:pPr>
    </w:lvl>
    <w:lvl w:ilvl="4" w:tplc="8D9896B4" w:tentative="1">
      <w:start w:val="1"/>
      <w:numFmt w:val="lowerLetter"/>
      <w:lvlText w:val="%5."/>
      <w:lvlJc w:val="left"/>
      <w:pPr>
        <w:ind w:left="3600" w:hanging="360"/>
      </w:pPr>
    </w:lvl>
    <w:lvl w:ilvl="5" w:tplc="E63C2A02" w:tentative="1">
      <w:start w:val="1"/>
      <w:numFmt w:val="lowerRoman"/>
      <w:lvlText w:val="%6."/>
      <w:lvlJc w:val="right"/>
      <w:pPr>
        <w:ind w:left="4320" w:hanging="180"/>
      </w:pPr>
    </w:lvl>
    <w:lvl w:ilvl="6" w:tplc="1A82459C" w:tentative="1">
      <w:start w:val="1"/>
      <w:numFmt w:val="decimal"/>
      <w:lvlText w:val="%7."/>
      <w:lvlJc w:val="left"/>
      <w:pPr>
        <w:ind w:left="5040" w:hanging="360"/>
      </w:pPr>
    </w:lvl>
    <w:lvl w:ilvl="7" w:tplc="C2B2CD20" w:tentative="1">
      <w:start w:val="1"/>
      <w:numFmt w:val="lowerLetter"/>
      <w:lvlText w:val="%8."/>
      <w:lvlJc w:val="left"/>
      <w:pPr>
        <w:ind w:left="5760" w:hanging="360"/>
      </w:pPr>
    </w:lvl>
    <w:lvl w:ilvl="8" w:tplc="F20A15D0" w:tentative="1">
      <w:start w:val="1"/>
      <w:numFmt w:val="lowerRoman"/>
      <w:lvlText w:val="%9."/>
      <w:lvlJc w:val="right"/>
      <w:pPr>
        <w:ind w:left="6480" w:hanging="180"/>
      </w:pPr>
    </w:lvl>
  </w:abstractNum>
  <w:num w:numId="1" w16cid:durableId="1340546896">
    <w:abstractNumId w:val="0"/>
  </w:num>
  <w:num w:numId="2" w16cid:durableId="1203053097">
    <w:abstractNumId w:val="2"/>
  </w:num>
  <w:num w:numId="3" w16cid:durableId="946280219">
    <w:abstractNumId w:val="1"/>
  </w:num>
  <w:num w:numId="4" w16cid:durableId="15321138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147"/>
    <w:rsid w:val="000014FA"/>
    <w:rsid w:val="0001798D"/>
    <w:rsid w:val="00026BC7"/>
    <w:rsid w:val="00032B26"/>
    <w:rsid w:val="00041460"/>
    <w:rsid w:val="00055ABC"/>
    <w:rsid w:val="00055FF0"/>
    <w:rsid w:val="000635E5"/>
    <w:rsid w:val="00063F95"/>
    <w:rsid w:val="000729A6"/>
    <w:rsid w:val="000810BB"/>
    <w:rsid w:val="000848B0"/>
    <w:rsid w:val="000A3F75"/>
    <w:rsid w:val="000A552B"/>
    <w:rsid w:val="000B0FEE"/>
    <w:rsid w:val="000B20FF"/>
    <w:rsid w:val="000B41EF"/>
    <w:rsid w:val="000D261E"/>
    <w:rsid w:val="001138E6"/>
    <w:rsid w:val="00115275"/>
    <w:rsid w:val="00125D02"/>
    <w:rsid w:val="00126D2B"/>
    <w:rsid w:val="001272BD"/>
    <w:rsid w:val="0013016D"/>
    <w:rsid w:val="00132908"/>
    <w:rsid w:val="00133DD7"/>
    <w:rsid w:val="00140B8A"/>
    <w:rsid w:val="00142BED"/>
    <w:rsid w:val="00143E05"/>
    <w:rsid w:val="0014666A"/>
    <w:rsid w:val="00167A40"/>
    <w:rsid w:val="00175829"/>
    <w:rsid w:val="00183A0E"/>
    <w:rsid w:val="00194B0E"/>
    <w:rsid w:val="001D681F"/>
    <w:rsid w:val="001D6F97"/>
    <w:rsid w:val="001E0625"/>
    <w:rsid w:val="001F7261"/>
    <w:rsid w:val="0021219F"/>
    <w:rsid w:val="00221657"/>
    <w:rsid w:val="00226B95"/>
    <w:rsid w:val="002349B9"/>
    <w:rsid w:val="002408E4"/>
    <w:rsid w:val="00253FF4"/>
    <w:rsid w:val="00275309"/>
    <w:rsid w:val="002855B5"/>
    <w:rsid w:val="00286AAA"/>
    <w:rsid w:val="002B2AFE"/>
    <w:rsid w:val="002F5075"/>
    <w:rsid w:val="002F6F89"/>
    <w:rsid w:val="00300998"/>
    <w:rsid w:val="003043EC"/>
    <w:rsid w:val="0032012B"/>
    <w:rsid w:val="00321A9C"/>
    <w:rsid w:val="0033101E"/>
    <w:rsid w:val="0037283B"/>
    <w:rsid w:val="00376F1C"/>
    <w:rsid w:val="0038575E"/>
    <w:rsid w:val="0038681E"/>
    <w:rsid w:val="0039399C"/>
    <w:rsid w:val="003A0959"/>
    <w:rsid w:val="003A0B1B"/>
    <w:rsid w:val="003A6DFF"/>
    <w:rsid w:val="003B009F"/>
    <w:rsid w:val="003C107E"/>
    <w:rsid w:val="003E7AC6"/>
    <w:rsid w:val="0040223E"/>
    <w:rsid w:val="00407AD2"/>
    <w:rsid w:val="00420E16"/>
    <w:rsid w:val="00440AD1"/>
    <w:rsid w:val="00445187"/>
    <w:rsid w:val="00447994"/>
    <w:rsid w:val="004613E4"/>
    <w:rsid w:val="004B1B49"/>
    <w:rsid w:val="004B5A36"/>
    <w:rsid w:val="004B7091"/>
    <w:rsid w:val="004C2022"/>
    <w:rsid w:val="004E575D"/>
    <w:rsid w:val="004E5FC4"/>
    <w:rsid w:val="00502B25"/>
    <w:rsid w:val="00511471"/>
    <w:rsid w:val="0051601C"/>
    <w:rsid w:val="00516ECB"/>
    <w:rsid w:val="00521F68"/>
    <w:rsid w:val="00525901"/>
    <w:rsid w:val="0053006A"/>
    <w:rsid w:val="00530DD4"/>
    <w:rsid w:val="00533247"/>
    <w:rsid w:val="005365E9"/>
    <w:rsid w:val="00541967"/>
    <w:rsid w:val="00592071"/>
    <w:rsid w:val="005A524C"/>
    <w:rsid w:val="005E715B"/>
    <w:rsid w:val="005F6555"/>
    <w:rsid w:val="00606338"/>
    <w:rsid w:val="006168F8"/>
    <w:rsid w:val="006224E5"/>
    <w:rsid w:val="0065715B"/>
    <w:rsid w:val="00661913"/>
    <w:rsid w:val="00675412"/>
    <w:rsid w:val="00686F3B"/>
    <w:rsid w:val="006953B5"/>
    <w:rsid w:val="006B3AE3"/>
    <w:rsid w:val="006B45FF"/>
    <w:rsid w:val="006C5B0B"/>
    <w:rsid w:val="006D0235"/>
    <w:rsid w:val="006D059A"/>
    <w:rsid w:val="006D524C"/>
    <w:rsid w:val="0070101C"/>
    <w:rsid w:val="00720127"/>
    <w:rsid w:val="0072287F"/>
    <w:rsid w:val="00727489"/>
    <w:rsid w:val="0074618C"/>
    <w:rsid w:val="00760693"/>
    <w:rsid w:val="00765147"/>
    <w:rsid w:val="0077593A"/>
    <w:rsid w:val="007776EB"/>
    <w:rsid w:val="00781BB6"/>
    <w:rsid w:val="0078321E"/>
    <w:rsid w:val="007A63CF"/>
    <w:rsid w:val="007A764F"/>
    <w:rsid w:val="007C349F"/>
    <w:rsid w:val="007F1F06"/>
    <w:rsid w:val="00815A92"/>
    <w:rsid w:val="008166A7"/>
    <w:rsid w:val="00820D82"/>
    <w:rsid w:val="00822B00"/>
    <w:rsid w:val="00827A49"/>
    <w:rsid w:val="008416DF"/>
    <w:rsid w:val="00842D1C"/>
    <w:rsid w:val="00862914"/>
    <w:rsid w:val="00877E36"/>
    <w:rsid w:val="00883165"/>
    <w:rsid w:val="008957F2"/>
    <w:rsid w:val="008A201F"/>
    <w:rsid w:val="008A634F"/>
    <w:rsid w:val="008A78A2"/>
    <w:rsid w:val="009002B9"/>
    <w:rsid w:val="009028D1"/>
    <w:rsid w:val="00913E12"/>
    <w:rsid w:val="009378EC"/>
    <w:rsid w:val="009452B5"/>
    <w:rsid w:val="00945823"/>
    <w:rsid w:val="00945DC4"/>
    <w:rsid w:val="009565F6"/>
    <w:rsid w:val="00957FA5"/>
    <w:rsid w:val="00967377"/>
    <w:rsid w:val="009766E8"/>
    <w:rsid w:val="00980B2A"/>
    <w:rsid w:val="00983741"/>
    <w:rsid w:val="009A171A"/>
    <w:rsid w:val="009D0ABA"/>
    <w:rsid w:val="009F5D8E"/>
    <w:rsid w:val="00A0020D"/>
    <w:rsid w:val="00A031FB"/>
    <w:rsid w:val="00A066D8"/>
    <w:rsid w:val="00A11A40"/>
    <w:rsid w:val="00A435EF"/>
    <w:rsid w:val="00A46686"/>
    <w:rsid w:val="00A54A39"/>
    <w:rsid w:val="00A67393"/>
    <w:rsid w:val="00A72A4D"/>
    <w:rsid w:val="00A86F63"/>
    <w:rsid w:val="00A95A56"/>
    <w:rsid w:val="00AB0CB3"/>
    <w:rsid w:val="00AD0FDF"/>
    <w:rsid w:val="00AD26EB"/>
    <w:rsid w:val="00AE12BF"/>
    <w:rsid w:val="00B11C57"/>
    <w:rsid w:val="00B13B65"/>
    <w:rsid w:val="00B20111"/>
    <w:rsid w:val="00B260DC"/>
    <w:rsid w:val="00B26754"/>
    <w:rsid w:val="00B3016E"/>
    <w:rsid w:val="00B33E62"/>
    <w:rsid w:val="00B45F7C"/>
    <w:rsid w:val="00B56DA5"/>
    <w:rsid w:val="00B675B6"/>
    <w:rsid w:val="00B6764F"/>
    <w:rsid w:val="00BB5854"/>
    <w:rsid w:val="00BD5550"/>
    <w:rsid w:val="00BD7B1E"/>
    <w:rsid w:val="00BE2FA5"/>
    <w:rsid w:val="00BE7B89"/>
    <w:rsid w:val="00BF4B8C"/>
    <w:rsid w:val="00C36DBA"/>
    <w:rsid w:val="00C4566C"/>
    <w:rsid w:val="00C71020"/>
    <w:rsid w:val="00C771E1"/>
    <w:rsid w:val="00C93F65"/>
    <w:rsid w:val="00CC6743"/>
    <w:rsid w:val="00CE5BDB"/>
    <w:rsid w:val="00D01D3A"/>
    <w:rsid w:val="00D10BE8"/>
    <w:rsid w:val="00D13213"/>
    <w:rsid w:val="00D14B80"/>
    <w:rsid w:val="00D227E9"/>
    <w:rsid w:val="00D260CA"/>
    <w:rsid w:val="00D379C1"/>
    <w:rsid w:val="00D54051"/>
    <w:rsid w:val="00D57D21"/>
    <w:rsid w:val="00D6027E"/>
    <w:rsid w:val="00DB4580"/>
    <w:rsid w:val="00DB5538"/>
    <w:rsid w:val="00DC422E"/>
    <w:rsid w:val="00DD0122"/>
    <w:rsid w:val="00DE092B"/>
    <w:rsid w:val="00DE3CF3"/>
    <w:rsid w:val="00DE7074"/>
    <w:rsid w:val="00E24B29"/>
    <w:rsid w:val="00E36B3D"/>
    <w:rsid w:val="00E46F69"/>
    <w:rsid w:val="00E51C92"/>
    <w:rsid w:val="00E52C13"/>
    <w:rsid w:val="00E621BB"/>
    <w:rsid w:val="00E6594D"/>
    <w:rsid w:val="00E664AA"/>
    <w:rsid w:val="00E74860"/>
    <w:rsid w:val="00E90950"/>
    <w:rsid w:val="00EA033D"/>
    <w:rsid w:val="00EA1A62"/>
    <w:rsid w:val="00EA4F45"/>
    <w:rsid w:val="00EA5904"/>
    <w:rsid w:val="00EC6D00"/>
    <w:rsid w:val="00EE37F3"/>
    <w:rsid w:val="00EE4A9C"/>
    <w:rsid w:val="00EF7089"/>
    <w:rsid w:val="00F02B29"/>
    <w:rsid w:val="00F22FEA"/>
    <w:rsid w:val="00F242C9"/>
    <w:rsid w:val="00F4200D"/>
    <w:rsid w:val="00F517A3"/>
    <w:rsid w:val="00F66A50"/>
    <w:rsid w:val="00F724DB"/>
    <w:rsid w:val="00F75104"/>
    <w:rsid w:val="00F92775"/>
    <w:rsid w:val="00FA5103"/>
    <w:rsid w:val="00FB2A97"/>
    <w:rsid w:val="00FB3BC7"/>
    <w:rsid w:val="00FC7CB7"/>
    <w:rsid w:val="00FE5BFA"/>
    <w:rsid w:val="00FE5EC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8604EE"/>
  <w15:chartTrackingRefBased/>
  <w15:docId w15:val="{4AA84D79-DAEE-4815-BBF3-876738103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0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143E05"/>
    <w:pPr>
      <w:keepNext/>
      <w:keepLines/>
      <w:spacing w:before="320" w:after="0"/>
      <w:outlineLvl w:val="0"/>
    </w:pPr>
    <w:rPr>
      <w:rFonts w:eastAsiaTheme="majorEastAsia" w:cstheme="majorBidi"/>
      <w:b/>
      <w:color w:val="000000" w:themeColor="text1"/>
      <w:kern w:val="2"/>
      <w:szCs w:val="32"/>
      <w14:ligatures w14:val="standardContextual"/>
    </w:rPr>
  </w:style>
  <w:style w:type="paragraph" w:styleId="Heading2">
    <w:name w:val="heading 2"/>
    <w:basedOn w:val="Normal"/>
    <w:next w:val="Normal"/>
    <w:link w:val="Heading2Char"/>
    <w:autoRedefine/>
    <w:uiPriority w:val="9"/>
    <w:unhideWhenUsed/>
    <w:qFormat/>
    <w:rsid w:val="00143E05"/>
    <w:pPr>
      <w:keepNext/>
      <w:keepLines/>
      <w:spacing w:before="40" w:after="0"/>
      <w:outlineLvl w:val="1"/>
    </w:pPr>
    <w:rPr>
      <w:rFonts w:eastAsiaTheme="majorEastAsia" w:cstheme="majorBidi"/>
      <w:b/>
      <w:color w:val="000000" w:themeColor="text1"/>
      <w:kern w:val="2"/>
      <w:szCs w:val="26"/>
      <w14:ligatures w14:val="standardContextual"/>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E0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143E05"/>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9028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8D1"/>
    <w:rPr>
      <w:rFonts w:ascii="Times New Roman" w:hAnsi="Times New Roman"/>
      <w:kern w:val="0"/>
      <w:sz w:val="24"/>
      <w14:ligatures w14:val="none"/>
    </w:rPr>
  </w:style>
  <w:style w:type="paragraph" w:styleId="Footer">
    <w:name w:val="footer"/>
    <w:basedOn w:val="Normal"/>
    <w:link w:val="FooterChar"/>
    <w:uiPriority w:val="99"/>
    <w:unhideWhenUsed/>
    <w:rsid w:val="00902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8D1"/>
    <w:rPr>
      <w:rFonts w:ascii="Times New Roman" w:hAnsi="Times New Roman"/>
      <w:kern w:val="0"/>
      <w:sz w:val="24"/>
      <w14:ligatures w14:val="none"/>
    </w:rPr>
  </w:style>
  <w:style w:type="paragraph" w:styleId="ListParagraph">
    <w:name w:val="List Paragraph"/>
    <w:basedOn w:val="Normal"/>
    <w:uiPriority w:val="34"/>
    <w:qFormat/>
    <w:rsid w:val="00502B25"/>
    <w:pPr>
      <w:ind w:left="720"/>
      <w:contextualSpacing/>
    </w:pPr>
  </w:style>
  <w:style w:type="paragraph" w:styleId="TOCHeading">
    <w:name w:val="TOC Heading"/>
    <w:basedOn w:val="Heading1"/>
    <w:next w:val="Normal"/>
    <w:uiPriority w:val="39"/>
    <w:unhideWhenUsed/>
    <w:qFormat/>
    <w:rsid w:val="00A46686"/>
    <w:pPr>
      <w:spacing w:before="240"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A46686"/>
    <w:pPr>
      <w:spacing w:after="100"/>
    </w:pPr>
  </w:style>
  <w:style w:type="paragraph" w:styleId="TOC2">
    <w:name w:val="toc 2"/>
    <w:basedOn w:val="Normal"/>
    <w:next w:val="Normal"/>
    <w:autoRedefine/>
    <w:uiPriority w:val="39"/>
    <w:unhideWhenUsed/>
    <w:rsid w:val="00A46686"/>
    <w:pPr>
      <w:spacing w:after="100"/>
      <w:ind w:left="240"/>
    </w:pPr>
  </w:style>
  <w:style w:type="character" w:styleId="Hyperlink">
    <w:name w:val="Hyperlink"/>
    <w:basedOn w:val="DefaultParagraphFont"/>
    <w:uiPriority w:val="99"/>
    <w:unhideWhenUsed/>
    <w:rsid w:val="00A46686"/>
    <w:rPr>
      <w:color w:val="0563C1" w:themeColor="hyperlink"/>
      <w:u w:val="single"/>
    </w:rPr>
  </w:style>
  <w:style w:type="character" w:styleId="UnresolvedMention">
    <w:name w:val="Unresolved Mention"/>
    <w:basedOn w:val="DefaultParagraphFont"/>
    <w:uiPriority w:val="99"/>
    <w:semiHidden/>
    <w:unhideWhenUsed/>
    <w:rsid w:val="00221657"/>
    <w:rPr>
      <w:color w:val="605E5C"/>
      <w:shd w:val="clear" w:color="auto" w:fill="E1DFDD"/>
    </w:rPr>
  </w:style>
  <w:style w:type="character" w:styleId="FollowedHyperlink">
    <w:name w:val="FollowedHyperlink"/>
    <w:basedOn w:val="DefaultParagraphFont"/>
    <w:uiPriority w:val="99"/>
    <w:semiHidden/>
    <w:unhideWhenUsed/>
    <w:rsid w:val="004C20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angri-la.com/group/media/media_post?post=Shangri-La%20Group%20Releases%202023%20Full%20Year%20Result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sj.com/market-data/quotes/MY/XKLS/5517/financials/annual/balance-she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velodge.co.uk/investors/hom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ravelodge.co.uk/" TargetMode="External"/><Relationship Id="rId4" Type="http://schemas.openxmlformats.org/officeDocument/2006/relationships/settings" Target="settings.xml"/><Relationship Id="rId9" Type="http://schemas.openxmlformats.org/officeDocument/2006/relationships/hyperlink" Target="https://www.shangri-la.com/grou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5BEF7-EF05-443A-A644-D9167D894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2710</Words>
  <Characters>17086</Characters>
  <Application>Microsoft Office Word</Application>
  <DocSecurity>0</DocSecurity>
  <Lines>142</Lines>
  <Paragraphs>39</Paragraphs>
  <ScaleCrop>false</ScaleCrop>
  <Company/>
  <LinksUpToDate>false</LinksUpToDate>
  <CharactersWithSpaces>19757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Pico</dc:creator>
  <cp:lastModifiedBy>pycusan pycu</cp:lastModifiedBy>
  <cp:revision>2</cp:revision>
  <dcterms:created xsi:type="dcterms:W3CDTF">2024-11-08T16:19:00Z</dcterms:created>
  <dcterms:modified xsi:type="dcterms:W3CDTF">2024-11-08T16:19:00Z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1447cca9b16c83a2b227b29c80ea3bef29e74bffe7657027a555ac87aa309f1b</vt:lpwstr>
  </property>
</Properties>
</file>