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p w:rsidR="00DF7D98" w:rsidRDefault="00F3753C">
      <w:pPr>
        <w:rPr>
          <w:sz w:val="40"/>
          <w:szCs w:val="40"/>
        </w:rPr>
      </w:pPr>
      <w:r w:rsidRPr="00A9543A">
        <w:rPr>
          <w:sz w:val="40"/>
          <w:szCs w:val="40"/>
        </w:rPr>
        <w:t>Criticism of CLT from CLT READER</w:t>
      </w:r>
    </w:p>
    <w:p w:rsidR="00F3753C" w:rsidRPr="008D0977" w:rsidRDefault="00DF7D98">
      <w:pPr>
        <w:rPr>
          <w:b/>
          <w:sz w:val="28"/>
          <w:szCs w:val="28"/>
        </w:rPr>
      </w:pPr>
      <w:r w:rsidRPr="008D0977">
        <w:rPr>
          <w:b/>
          <w:sz w:val="28"/>
          <w:szCs w:val="28"/>
        </w:rPr>
        <w:t xml:space="preserve"> </w:t>
      </w:r>
      <w:r w:rsidR="004F21DC" w:rsidRPr="008D0977">
        <w:rPr>
          <w:b/>
          <w:sz w:val="28"/>
          <w:szCs w:val="28"/>
        </w:rPr>
        <w:t xml:space="preserve">(A) </w:t>
      </w:r>
      <w:r w:rsidR="003349C6" w:rsidRPr="008D0977">
        <w:rPr>
          <w:b/>
          <w:sz w:val="28"/>
          <w:szCs w:val="28"/>
        </w:rPr>
        <w:t>Brown, H.D.</w:t>
      </w:r>
      <w:r w:rsidR="004F21DC" w:rsidRPr="008D0977">
        <w:rPr>
          <w:b/>
          <w:sz w:val="28"/>
          <w:szCs w:val="28"/>
        </w:rPr>
        <w:t>(</w:t>
      </w:r>
      <w:r w:rsidR="003349C6" w:rsidRPr="008D0977">
        <w:rPr>
          <w:b/>
          <w:sz w:val="28"/>
          <w:szCs w:val="28"/>
        </w:rPr>
        <w:t>2001</w:t>
      </w:r>
      <w:r w:rsidR="004F21DC" w:rsidRPr="008D0977">
        <w:rPr>
          <w:b/>
          <w:sz w:val="28"/>
          <w:szCs w:val="28"/>
        </w:rPr>
        <w:t>)</w:t>
      </w:r>
      <w:r w:rsidR="009D6544" w:rsidRPr="008D0977">
        <w:rPr>
          <w:b/>
          <w:sz w:val="28"/>
          <w:szCs w:val="28"/>
        </w:rPr>
        <w:t xml:space="preserve">. </w:t>
      </w:r>
      <w:r w:rsidR="009D6544" w:rsidRPr="003D381F">
        <w:rPr>
          <w:b/>
          <w:i/>
          <w:sz w:val="28"/>
          <w:szCs w:val="28"/>
        </w:rPr>
        <w:t>Teaching by Principles: An Interactive Approach to Language Pedagogy</w:t>
      </w:r>
      <w:r w:rsidR="009D6544" w:rsidRPr="008D0977">
        <w:rPr>
          <w:b/>
          <w:sz w:val="28"/>
          <w:szCs w:val="28"/>
        </w:rPr>
        <w:t xml:space="preserve"> (2</w:t>
      </w:r>
      <w:r w:rsidR="009D6544" w:rsidRPr="008D0977">
        <w:rPr>
          <w:b/>
          <w:sz w:val="28"/>
          <w:szCs w:val="28"/>
          <w:vertAlign w:val="superscript"/>
        </w:rPr>
        <w:t>nd</w:t>
      </w:r>
      <w:r w:rsidR="009D6544" w:rsidRPr="008D0977">
        <w:rPr>
          <w:b/>
          <w:sz w:val="28"/>
          <w:szCs w:val="28"/>
        </w:rPr>
        <w:t xml:space="preserve"> edition)(New York: Longman) pp.39-53</w:t>
      </w:r>
      <w:r w:rsidR="00F3753C" w:rsidRPr="008D0977">
        <w:rPr>
          <w:b/>
          <w:sz w:val="28"/>
          <w:szCs w:val="28"/>
        </w:rPr>
        <w:t xml:space="preserve"> </w:t>
      </w:r>
    </w:p>
    <w:p w:rsidR="009D6544" w:rsidRPr="009D6544" w:rsidRDefault="009D6544">
      <w:pPr>
        <w:rPr>
          <w:sz w:val="28"/>
          <w:szCs w:val="28"/>
        </w:rPr>
      </w:pPr>
      <w:r>
        <w:rPr>
          <w:sz w:val="28"/>
          <w:szCs w:val="28"/>
        </w:rPr>
        <w:t>---------------------------------------------------------------------------------------------------------</w:t>
      </w:r>
    </w:p>
    <w:p w:rsidR="008D0977" w:rsidRPr="008D0977" w:rsidRDefault="008D0977" w:rsidP="008D0977">
      <w:pPr>
        <w:rPr>
          <w:i/>
          <w:sz w:val="28"/>
          <w:szCs w:val="28"/>
        </w:rPr>
      </w:pPr>
      <w:r w:rsidRPr="008D0977">
        <w:rPr>
          <w:i/>
          <w:sz w:val="28"/>
          <w:szCs w:val="28"/>
        </w:rPr>
        <w:t>from chapter 3: The Present: An informed Approach Brown:-</w:t>
      </w:r>
    </w:p>
    <w:p w:rsidR="00B677C0" w:rsidRPr="00346D2D" w:rsidRDefault="009D0A50" w:rsidP="003B3410">
      <w:pPr>
        <w:jc w:val="both"/>
        <w:rPr>
          <w:b/>
          <w:i/>
          <w:sz w:val="24"/>
          <w:szCs w:val="24"/>
        </w:rPr>
      </w:pPr>
      <w:r w:rsidRPr="00346D2D">
        <w:rPr>
          <w:b/>
          <w:i/>
          <w:sz w:val="24"/>
          <w:szCs w:val="24"/>
        </w:rPr>
        <w:t>Page 43:-</w:t>
      </w:r>
    </w:p>
    <w:p w:rsidR="009D0A50" w:rsidRPr="00346D2D" w:rsidRDefault="009D0A50" w:rsidP="003B3410">
      <w:pPr>
        <w:jc w:val="both"/>
        <w:rPr>
          <w:b/>
          <w:i/>
          <w:sz w:val="24"/>
          <w:szCs w:val="24"/>
        </w:rPr>
      </w:pPr>
      <w:r w:rsidRPr="00346D2D">
        <w:rPr>
          <w:b/>
          <w:i/>
          <w:sz w:val="24"/>
          <w:szCs w:val="24"/>
        </w:rPr>
        <w:t>In CLT we pay considerably less attention to the overt presentation and discussion of grammatical rules than we traditionally did</w:t>
      </w:r>
    </w:p>
    <w:p w:rsidR="00B677C0" w:rsidRPr="00346D2D" w:rsidRDefault="00B677C0" w:rsidP="003B3410">
      <w:pPr>
        <w:jc w:val="both"/>
        <w:rPr>
          <w:b/>
          <w:i/>
          <w:sz w:val="24"/>
          <w:szCs w:val="24"/>
        </w:rPr>
      </w:pPr>
      <w:r w:rsidRPr="00346D2D">
        <w:rPr>
          <w:b/>
          <w:i/>
          <w:sz w:val="24"/>
          <w:szCs w:val="24"/>
        </w:rPr>
        <w:t>Page 44:-</w:t>
      </w:r>
    </w:p>
    <w:p w:rsidR="00F3753C" w:rsidRPr="008D0977" w:rsidRDefault="009D6544" w:rsidP="003B3410">
      <w:pPr>
        <w:jc w:val="both"/>
        <w:rPr>
          <w:sz w:val="24"/>
          <w:szCs w:val="24"/>
        </w:rPr>
      </w:pPr>
      <w:r w:rsidRPr="00346D2D">
        <w:rPr>
          <w:b/>
          <w:i/>
          <w:sz w:val="24"/>
          <w:szCs w:val="24"/>
        </w:rPr>
        <w:t>Some of the characteristics of CLT make it difficult for a non-native speaking teacher who is not very proficient in the second language to teach effectively</w:t>
      </w:r>
      <w:r w:rsidR="003B3410" w:rsidRPr="00346D2D">
        <w:rPr>
          <w:b/>
          <w:i/>
          <w:sz w:val="24"/>
          <w:szCs w:val="24"/>
        </w:rPr>
        <w:t>. Dialogues, drills, rehearsed exercises, and discussions (in the first language) of grammatical rules are much simpler for some non-native speakers to contend with.</w:t>
      </w:r>
      <w:r w:rsidR="003B3410" w:rsidRPr="008D0977">
        <w:rPr>
          <w:b/>
          <w:i/>
          <w:color w:val="0070C0"/>
          <w:sz w:val="24"/>
          <w:szCs w:val="24"/>
        </w:rPr>
        <w:t xml:space="preserve"> </w:t>
      </w:r>
      <w:r w:rsidR="003B3410" w:rsidRPr="008D0977">
        <w:rPr>
          <w:sz w:val="24"/>
          <w:szCs w:val="24"/>
        </w:rPr>
        <w:t>This drawback should not deter one</w:t>
      </w:r>
      <w:r w:rsidR="00D45505" w:rsidRPr="008D0977">
        <w:rPr>
          <w:sz w:val="24"/>
          <w:szCs w:val="24"/>
        </w:rPr>
        <w:t>, h</w:t>
      </w:r>
      <w:r w:rsidR="003B3410" w:rsidRPr="008D0977">
        <w:rPr>
          <w:sz w:val="24"/>
          <w:szCs w:val="24"/>
        </w:rPr>
        <w:t>owever, from pursuing communicative goals in the classroom.</w:t>
      </w:r>
      <w:r w:rsidR="00135E6C" w:rsidRPr="008D0977">
        <w:rPr>
          <w:sz w:val="24"/>
          <w:szCs w:val="24"/>
        </w:rPr>
        <w:t xml:space="preserve"> </w:t>
      </w:r>
      <w:r w:rsidR="00D45505" w:rsidRPr="008D0977">
        <w:rPr>
          <w:sz w:val="24"/>
          <w:szCs w:val="24"/>
        </w:rPr>
        <w:t>Technology can aid such teachers. Moreover, in the last decade or so, we have seen a marked increase in English teachers proficiency levels around the world</w:t>
      </w:r>
      <w:r w:rsidR="004F43D0" w:rsidRPr="008D0977">
        <w:rPr>
          <w:sz w:val="24"/>
          <w:szCs w:val="24"/>
        </w:rPr>
        <w:t>…………………………………….</w:t>
      </w:r>
    </w:p>
    <w:p w:rsidR="004F43D0" w:rsidRPr="008D0977" w:rsidRDefault="004F43D0" w:rsidP="003B3410">
      <w:pPr>
        <w:jc w:val="both"/>
        <w:rPr>
          <w:sz w:val="24"/>
          <w:szCs w:val="24"/>
        </w:rPr>
      </w:pPr>
      <w:r w:rsidRPr="008D0977">
        <w:rPr>
          <w:sz w:val="24"/>
          <w:szCs w:val="24"/>
        </w:rPr>
        <w:t>…………………………………….</w:t>
      </w:r>
      <w:r w:rsidR="00B677C0" w:rsidRPr="00346D2D">
        <w:rPr>
          <w:b/>
          <w:i/>
          <w:sz w:val="24"/>
          <w:szCs w:val="24"/>
        </w:rPr>
        <w:t>No one these days would admit to a disbelief in principles of CLT; they would be marked as a heretic</w:t>
      </w:r>
      <w:r w:rsidRPr="008D0977">
        <w:rPr>
          <w:sz w:val="24"/>
          <w:szCs w:val="24"/>
        </w:rPr>
        <w:t>………..</w:t>
      </w:r>
    </w:p>
    <w:p w:rsidR="003D6A10" w:rsidRDefault="003D6A10" w:rsidP="003B3410">
      <w:pPr>
        <w:jc w:val="both"/>
      </w:pPr>
      <w:r>
        <w:t>--------------------------------------------------------------------------------------------------------------------------------------</w:t>
      </w:r>
    </w:p>
    <w:p w:rsidR="00B677C0" w:rsidRPr="008D0977" w:rsidRDefault="003D6A10" w:rsidP="008D0977">
      <w:pPr>
        <w:jc w:val="both"/>
        <w:rPr>
          <w:b/>
          <w:sz w:val="28"/>
          <w:szCs w:val="28"/>
        </w:rPr>
      </w:pPr>
      <w:r w:rsidRPr="008D0977">
        <w:rPr>
          <w:b/>
          <w:sz w:val="28"/>
          <w:szCs w:val="28"/>
        </w:rPr>
        <w:t xml:space="preserve">(B) Savignon, S.J. (2001). </w:t>
      </w:r>
      <w:r w:rsidRPr="003D381F">
        <w:rPr>
          <w:b/>
          <w:i/>
          <w:sz w:val="28"/>
          <w:szCs w:val="28"/>
        </w:rPr>
        <w:t xml:space="preserve">Communicative Language Teaching for the Twenty-First Century </w:t>
      </w:r>
      <w:r w:rsidRPr="008D0977">
        <w:rPr>
          <w:b/>
          <w:sz w:val="28"/>
          <w:szCs w:val="28"/>
        </w:rPr>
        <w:t xml:space="preserve">in Celce-Murcia, M. (ed.) </w:t>
      </w:r>
      <w:r w:rsidRPr="003D381F">
        <w:rPr>
          <w:b/>
          <w:i/>
          <w:sz w:val="28"/>
          <w:szCs w:val="28"/>
        </w:rPr>
        <w:t>Teaching English as a Second or Foreign Language</w:t>
      </w:r>
      <w:r w:rsidR="00755CED" w:rsidRPr="003D381F">
        <w:rPr>
          <w:b/>
          <w:i/>
          <w:sz w:val="28"/>
          <w:szCs w:val="28"/>
        </w:rPr>
        <w:t xml:space="preserve"> </w:t>
      </w:r>
      <w:r w:rsidR="00755CED" w:rsidRPr="008D0977">
        <w:rPr>
          <w:b/>
          <w:sz w:val="28"/>
          <w:szCs w:val="28"/>
        </w:rPr>
        <w:t>(London: Heinle &amp; Heinle pp. 12 -28)</w:t>
      </w:r>
      <w:r w:rsidRPr="008D0977">
        <w:rPr>
          <w:b/>
          <w:sz w:val="28"/>
          <w:szCs w:val="28"/>
        </w:rPr>
        <w:t xml:space="preserve">  </w:t>
      </w:r>
    </w:p>
    <w:p w:rsidR="001B593B" w:rsidRDefault="00BB4B68" w:rsidP="003B3410">
      <w:pPr>
        <w:jc w:val="both"/>
        <w:rPr>
          <w:sz w:val="24"/>
          <w:szCs w:val="24"/>
        </w:rPr>
      </w:pPr>
      <w:r w:rsidRPr="008D0977">
        <w:rPr>
          <w:sz w:val="24"/>
          <w:szCs w:val="24"/>
        </w:rPr>
        <w:t>Page</w:t>
      </w:r>
      <w:r w:rsidR="001B593B">
        <w:rPr>
          <w:sz w:val="24"/>
          <w:szCs w:val="24"/>
        </w:rPr>
        <w:t>s</w:t>
      </w:r>
      <w:r w:rsidRPr="008D0977">
        <w:rPr>
          <w:sz w:val="24"/>
          <w:szCs w:val="24"/>
        </w:rPr>
        <w:t xml:space="preserve"> 24 </w:t>
      </w:r>
      <w:r w:rsidR="001B593B">
        <w:rPr>
          <w:sz w:val="24"/>
          <w:szCs w:val="24"/>
        </w:rPr>
        <w:t>&amp; 25</w:t>
      </w:r>
      <w:r w:rsidRPr="008D0977">
        <w:rPr>
          <w:sz w:val="24"/>
          <w:szCs w:val="24"/>
        </w:rPr>
        <w:t>/ What about Grammar ?</w:t>
      </w:r>
    </w:p>
    <w:p w:rsidR="00293F1E" w:rsidRPr="00346D2D" w:rsidRDefault="00BB4B68" w:rsidP="003B3410">
      <w:pPr>
        <w:jc w:val="both"/>
        <w:rPr>
          <w:b/>
          <w:i/>
          <w:sz w:val="24"/>
          <w:szCs w:val="24"/>
        </w:rPr>
      </w:pPr>
      <w:r w:rsidRPr="008D0977">
        <w:rPr>
          <w:sz w:val="24"/>
          <w:szCs w:val="24"/>
        </w:rPr>
        <w:t xml:space="preserve">Discussions of CLT not infrequently lead to questions of grammatical or formal accuracy. The perceived displacement of attention to morphosyntactic features in learner expression in favour of a focus on meaning </w:t>
      </w:r>
      <w:r w:rsidR="008D0977" w:rsidRPr="00346D2D">
        <w:rPr>
          <w:b/>
          <w:i/>
          <w:sz w:val="24"/>
          <w:szCs w:val="24"/>
        </w:rPr>
        <w:t>has led in some cases to the impression that grammar is not important,</w:t>
      </w:r>
      <w:r w:rsidR="00AC4EB2" w:rsidRPr="00346D2D">
        <w:rPr>
          <w:b/>
          <w:i/>
          <w:sz w:val="24"/>
          <w:szCs w:val="24"/>
        </w:rPr>
        <w:t xml:space="preserve"> or that proponents of CLT favour self-expression without regard to form</w:t>
      </w:r>
      <w:r w:rsidR="00F72896" w:rsidRPr="00346D2D">
        <w:rPr>
          <w:b/>
          <w:i/>
          <w:sz w:val="24"/>
          <w:szCs w:val="24"/>
        </w:rPr>
        <w:t>…The nature of both form-focused and meaningful focused classroom activity remains a question in ongoing research</w:t>
      </w:r>
      <w:r w:rsidR="00AC4EB2" w:rsidRPr="00346D2D">
        <w:rPr>
          <w:b/>
          <w:i/>
          <w:sz w:val="24"/>
          <w:szCs w:val="24"/>
        </w:rPr>
        <w:t>.</w:t>
      </w:r>
    </w:p>
    <w:p w:rsidR="00293F1E" w:rsidRDefault="00293F1E" w:rsidP="003B3410">
      <w:pPr>
        <w:jc w:val="both"/>
        <w:rPr>
          <w:b/>
          <w:i/>
          <w:color w:val="0070C0"/>
          <w:sz w:val="24"/>
          <w:szCs w:val="24"/>
        </w:rPr>
      </w:pPr>
    </w:p>
    <w:p w:rsidR="00AF17F8" w:rsidRDefault="00AF17F8" w:rsidP="003B3410">
      <w:pPr>
        <w:jc w:val="both"/>
        <w:rPr>
          <w:sz w:val="24"/>
          <w:szCs w:val="24"/>
        </w:rPr>
      </w:pPr>
    </w:p>
    <w:p w:rsidR="001B593B" w:rsidRDefault="001B593B" w:rsidP="003B3410">
      <w:pPr>
        <w:jc w:val="both"/>
        <w:rPr>
          <w:sz w:val="24"/>
          <w:szCs w:val="24"/>
        </w:rPr>
      </w:pPr>
      <w:r>
        <w:rPr>
          <w:sz w:val="24"/>
          <w:szCs w:val="24"/>
        </w:rPr>
        <w:t>Page 27</w:t>
      </w:r>
      <w:r w:rsidR="004139E6">
        <w:rPr>
          <w:sz w:val="24"/>
          <w:szCs w:val="24"/>
        </w:rPr>
        <w:t xml:space="preserve"> / What CLT is not</w:t>
      </w:r>
    </w:p>
    <w:p w:rsidR="00AB3229" w:rsidRPr="00346D2D" w:rsidRDefault="00293F1E" w:rsidP="003B3410">
      <w:pPr>
        <w:jc w:val="both"/>
        <w:rPr>
          <w:b/>
          <w:i/>
          <w:sz w:val="24"/>
          <w:szCs w:val="24"/>
        </w:rPr>
      </w:pPr>
      <w:r w:rsidRPr="00293F1E">
        <w:rPr>
          <w:sz w:val="24"/>
          <w:szCs w:val="24"/>
        </w:rPr>
        <w:t>According</w:t>
      </w:r>
      <w:r>
        <w:rPr>
          <w:sz w:val="24"/>
          <w:szCs w:val="24"/>
        </w:rPr>
        <w:t xml:space="preserve"> to Savignon, </w:t>
      </w:r>
      <w:r w:rsidRPr="00346D2D">
        <w:rPr>
          <w:b/>
          <w:i/>
          <w:sz w:val="24"/>
          <w:szCs w:val="24"/>
        </w:rPr>
        <w:t>CLT is not exclusively concerned with face-to-face oral communication</w:t>
      </w:r>
      <w:r w:rsidR="004139E6" w:rsidRPr="00346D2D">
        <w:rPr>
          <w:b/>
          <w:i/>
          <w:sz w:val="24"/>
          <w:szCs w:val="24"/>
        </w:rPr>
        <w:t>…CLT does not require small groups or pair work…CLT does no</w:t>
      </w:r>
      <w:r w:rsidR="000C0DE8" w:rsidRPr="00346D2D">
        <w:rPr>
          <w:b/>
          <w:i/>
          <w:sz w:val="24"/>
          <w:szCs w:val="24"/>
        </w:rPr>
        <w:t>t exclude a focus on metalinguistic awareness or knowledge of rules of syntax, discourse, and social appropriateness.</w:t>
      </w:r>
    </w:p>
    <w:p w:rsidR="00AB3229" w:rsidRDefault="00AB3229" w:rsidP="003B3410">
      <w:pPr>
        <w:jc w:val="both"/>
        <w:rPr>
          <w:sz w:val="24"/>
          <w:szCs w:val="24"/>
        </w:rPr>
      </w:pPr>
      <w:r>
        <w:rPr>
          <w:sz w:val="24"/>
          <w:szCs w:val="24"/>
        </w:rPr>
        <w:t>--------------------------------------------------------------------------------------------------------------------------</w:t>
      </w:r>
    </w:p>
    <w:p w:rsidR="000E31EF" w:rsidRPr="00BE07FB" w:rsidRDefault="00BE07FB" w:rsidP="003B3410">
      <w:pPr>
        <w:jc w:val="both"/>
        <w:rPr>
          <w:b/>
          <w:i/>
          <w:sz w:val="40"/>
          <w:szCs w:val="40"/>
        </w:rPr>
      </w:pPr>
      <w:r w:rsidRPr="00BE07FB">
        <w:rPr>
          <w:b/>
          <w:i/>
          <w:sz w:val="40"/>
          <w:szCs w:val="40"/>
        </w:rPr>
        <w:t xml:space="preserve">A particularly useful </w:t>
      </w:r>
      <w:r w:rsidR="000E31EF" w:rsidRPr="00BE07FB">
        <w:rPr>
          <w:b/>
          <w:i/>
          <w:sz w:val="40"/>
          <w:szCs w:val="40"/>
        </w:rPr>
        <w:t xml:space="preserve">sources for </w:t>
      </w:r>
      <w:r w:rsidR="00A55121" w:rsidRPr="00BE07FB">
        <w:rPr>
          <w:b/>
          <w:i/>
          <w:sz w:val="40"/>
          <w:szCs w:val="40"/>
        </w:rPr>
        <w:t>critiqui</w:t>
      </w:r>
      <w:r w:rsidR="00A55121">
        <w:rPr>
          <w:b/>
          <w:i/>
          <w:sz w:val="40"/>
          <w:szCs w:val="40"/>
        </w:rPr>
        <w:t>ng</w:t>
      </w:r>
      <w:r w:rsidR="000E31EF" w:rsidRPr="00BE07FB">
        <w:rPr>
          <w:b/>
          <w:i/>
          <w:sz w:val="40"/>
          <w:szCs w:val="40"/>
        </w:rPr>
        <w:t xml:space="preserve"> CLT</w:t>
      </w:r>
      <w:r>
        <w:rPr>
          <w:b/>
          <w:i/>
          <w:sz w:val="40"/>
          <w:szCs w:val="40"/>
        </w:rPr>
        <w:t>:-</w:t>
      </w:r>
    </w:p>
    <w:p w:rsidR="000E31EF" w:rsidRDefault="000E31EF" w:rsidP="003B3410">
      <w:pPr>
        <w:jc w:val="both"/>
        <w:rPr>
          <w:b/>
          <w:sz w:val="28"/>
          <w:szCs w:val="28"/>
        </w:rPr>
      </w:pPr>
      <w:r w:rsidRPr="003D381F">
        <w:rPr>
          <w:b/>
          <w:sz w:val="28"/>
          <w:szCs w:val="28"/>
        </w:rPr>
        <w:t xml:space="preserve">(4) Cook, V. (2008). </w:t>
      </w:r>
      <w:r w:rsidRPr="003D381F">
        <w:rPr>
          <w:b/>
          <w:i/>
          <w:sz w:val="28"/>
          <w:szCs w:val="28"/>
        </w:rPr>
        <w:t>Second Language Learning and Language Teaching</w:t>
      </w:r>
      <w:r w:rsidRPr="003D381F">
        <w:rPr>
          <w:b/>
          <w:sz w:val="28"/>
          <w:szCs w:val="28"/>
        </w:rPr>
        <w:t>. London: Hodder Education</w:t>
      </w:r>
      <w:r w:rsidR="001D5FE3">
        <w:rPr>
          <w:b/>
          <w:sz w:val="28"/>
          <w:szCs w:val="28"/>
        </w:rPr>
        <w:t>.</w:t>
      </w:r>
    </w:p>
    <w:p w:rsidR="001D5FE3" w:rsidRDefault="001D5FE3" w:rsidP="003B3410">
      <w:pPr>
        <w:jc w:val="both"/>
        <w:rPr>
          <w:sz w:val="24"/>
          <w:szCs w:val="24"/>
        </w:rPr>
      </w:pPr>
      <w:r w:rsidRPr="001D5FE3">
        <w:rPr>
          <w:sz w:val="24"/>
          <w:szCs w:val="24"/>
        </w:rPr>
        <w:t>Learning in communicative language teaching, p251</w:t>
      </w:r>
    </w:p>
    <w:p w:rsidR="00E53D30" w:rsidRPr="00346D2D" w:rsidRDefault="008F0907" w:rsidP="003B3410">
      <w:pPr>
        <w:jc w:val="both"/>
        <w:rPr>
          <w:b/>
          <w:i/>
          <w:sz w:val="24"/>
          <w:szCs w:val="24"/>
        </w:rPr>
      </w:pPr>
      <w:r w:rsidRPr="00346D2D">
        <w:rPr>
          <w:b/>
          <w:i/>
          <w:sz w:val="24"/>
          <w:szCs w:val="24"/>
          <w:u w:val="single"/>
        </w:rPr>
        <w:t>Paragraph 3</w:t>
      </w:r>
      <w:r w:rsidRPr="00346D2D">
        <w:rPr>
          <w:b/>
          <w:i/>
          <w:sz w:val="24"/>
          <w:szCs w:val="24"/>
        </w:rPr>
        <w:t xml:space="preserve"> </w:t>
      </w:r>
      <w:r w:rsidR="003B5B4E" w:rsidRPr="00346D2D">
        <w:rPr>
          <w:b/>
          <w:i/>
          <w:sz w:val="24"/>
          <w:szCs w:val="24"/>
        </w:rPr>
        <w:t>–</w:t>
      </w:r>
      <w:r w:rsidRPr="00346D2D">
        <w:rPr>
          <w:b/>
          <w:i/>
          <w:sz w:val="24"/>
          <w:szCs w:val="24"/>
        </w:rPr>
        <w:t xml:space="preserve"> </w:t>
      </w:r>
      <w:r w:rsidR="003B5B4E" w:rsidRPr="00346D2D">
        <w:rPr>
          <w:b/>
          <w:i/>
          <w:sz w:val="24"/>
          <w:szCs w:val="24"/>
        </w:rPr>
        <w:t>The communicative style does not hold a view about L2 learning as such, but maintains that it happens automatically, provided the student interacts with other people in the proper way.</w:t>
      </w:r>
      <w:r w:rsidR="00C520E5" w:rsidRPr="00346D2D">
        <w:rPr>
          <w:b/>
          <w:i/>
          <w:sz w:val="24"/>
          <w:szCs w:val="24"/>
        </w:rPr>
        <w:t xml:space="preserve"> Many of its techniques carry on the audio-lingual style preoccupations with active practice and with spoke language. Communicative tasks belong</w:t>
      </w:r>
      <w:r w:rsidR="00FD4535" w:rsidRPr="00346D2D">
        <w:rPr>
          <w:b/>
          <w:i/>
          <w:sz w:val="24"/>
          <w:szCs w:val="24"/>
        </w:rPr>
        <w:t xml:space="preserve"> in the historical tradition of the exploitation phase of the audio-lingual style, which the students</w:t>
      </w:r>
      <w:r w:rsidR="00E53D30" w:rsidRPr="00346D2D">
        <w:rPr>
          <w:b/>
          <w:i/>
          <w:sz w:val="24"/>
          <w:szCs w:val="24"/>
        </w:rPr>
        <w:t xml:space="preserve"> use the language actively for themselves; they have now been developed into a style of their own, task-based (TBL).</w:t>
      </w:r>
    </w:p>
    <w:p w:rsidR="0017565A" w:rsidRPr="00346D2D" w:rsidRDefault="00F31DBF" w:rsidP="003B3410">
      <w:pPr>
        <w:jc w:val="both"/>
        <w:rPr>
          <w:b/>
          <w:i/>
          <w:sz w:val="24"/>
          <w:szCs w:val="24"/>
        </w:rPr>
      </w:pPr>
      <w:r w:rsidRPr="00346D2D">
        <w:rPr>
          <w:b/>
          <w:i/>
          <w:sz w:val="24"/>
          <w:szCs w:val="24"/>
        </w:rPr>
        <w:t>This exploitation phase was regarded as essential by all the commentators on</w:t>
      </w:r>
      <w:r w:rsidR="00C520E5" w:rsidRPr="00346D2D">
        <w:rPr>
          <w:b/>
          <w:i/>
          <w:sz w:val="24"/>
          <w:szCs w:val="24"/>
        </w:rPr>
        <w:t xml:space="preserve"> </w:t>
      </w:r>
      <w:r w:rsidRPr="00346D2D">
        <w:rPr>
          <w:b/>
          <w:i/>
          <w:sz w:val="24"/>
          <w:szCs w:val="24"/>
        </w:rPr>
        <w:t>audio-lingualism</w:t>
      </w:r>
      <w:r w:rsidR="00E27D44" w:rsidRPr="00346D2D">
        <w:rPr>
          <w:b/>
          <w:i/>
          <w:sz w:val="24"/>
          <w:szCs w:val="24"/>
        </w:rPr>
        <w:t>, whether Lado or Rivers.</w:t>
      </w:r>
      <w:r w:rsidR="00EA09AD" w:rsidRPr="00346D2D">
        <w:rPr>
          <w:b/>
          <w:i/>
          <w:sz w:val="24"/>
          <w:szCs w:val="24"/>
        </w:rPr>
        <w:t xml:space="preserve"> It consists of purposeful communication (Lado, 1964) such as role play and games – precisely the core of the communicative style. The main difference is that in communicative teaching there is no previous phase in which the students are learning dialogues and drills in a highly controlled fashion.</w:t>
      </w:r>
    </w:p>
    <w:p w:rsidR="001D5FE3" w:rsidRPr="00346D2D" w:rsidRDefault="0017565A" w:rsidP="003B3410">
      <w:pPr>
        <w:jc w:val="both"/>
        <w:rPr>
          <w:b/>
          <w:sz w:val="24"/>
          <w:szCs w:val="24"/>
        </w:rPr>
      </w:pPr>
      <w:r w:rsidRPr="00346D2D">
        <w:rPr>
          <w:b/>
          <w:i/>
          <w:sz w:val="24"/>
          <w:szCs w:val="24"/>
          <w:u w:val="single"/>
        </w:rPr>
        <w:t>Paragraph (5)</w:t>
      </w:r>
      <w:r w:rsidRPr="00346D2D">
        <w:rPr>
          <w:b/>
          <w:i/>
          <w:sz w:val="24"/>
          <w:szCs w:val="24"/>
        </w:rPr>
        <w:t xml:space="preserve"> - </w:t>
      </w:r>
      <w:r w:rsidR="0041689C" w:rsidRPr="00346D2D">
        <w:rPr>
          <w:b/>
          <w:i/>
          <w:sz w:val="24"/>
          <w:szCs w:val="24"/>
        </w:rPr>
        <w:t>The style is potentially limited to certain types of student. For instance, it might benefit</w:t>
      </w:r>
      <w:r w:rsidR="000957F0" w:rsidRPr="00346D2D">
        <w:rPr>
          <w:b/>
          <w:i/>
          <w:sz w:val="24"/>
          <w:szCs w:val="24"/>
        </w:rPr>
        <w:t xml:space="preserve"> </w:t>
      </w:r>
      <w:r w:rsidR="0041689C" w:rsidRPr="00346D2D">
        <w:rPr>
          <w:b/>
          <w:i/>
          <w:sz w:val="24"/>
          <w:szCs w:val="24"/>
        </w:rPr>
        <w:t>fie</w:t>
      </w:r>
      <w:r w:rsidR="000957F0" w:rsidRPr="00346D2D">
        <w:rPr>
          <w:b/>
          <w:i/>
          <w:sz w:val="24"/>
          <w:szCs w:val="24"/>
        </w:rPr>
        <w:t>l</w:t>
      </w:r>
      <w:r w:rsidR="0041689C" w:rsidRPr="00346D2D">
        <w:rPr>
          <w:b/>
          <w:i/>
          <w:sz w:val="24"/>
          <w:szCs w:val="24"/>
        </w:rPr>
        <w:t>d–independent</w:t>
      </w:r>
      <w:r w:rsidR="000957F0" w:rsidRPr="00346D2D">
        <w:rPr>
          <w:b/>
          <w:i/>
          <w:sz w:val="24"/>
          <w:szCs w:val="24"/>
        </w:rPr>
        <w:t xml:space="preserve"> </w:t>
      </w:r>
      <w:r w:rsidR="0041689C" w:rsidRPr="00346D2D">
        <w:rPr>
          <w:b/>
          <w:i/>
          <w:sz w:val="24"/>
          <w:szCs w:val="24"/>
        </w:rPr>
        <w:t>students rather than filed-dependent students, extroverts rather than introverts and less academic students.</w:t>
      </w:r>
      <w:r w:rsidRPr="00346D2D">
        <w:rPr>
          <w:b/>
          <w:i/>
          <w:sz w:val="24"/>
          <w:szCs w:val="24"/>
        </w:rPr>
        <w:t xml:space="preserve"> </w:t>
      </w:r>
      <w:r w:rsidR="00C36531" w:rsidRPr="00346D2D">
        <w:rPr>
          <w:b/>
          <w:i/>
          <w:sz w:val="24"/>
          <w:szCs w:val="24"/>
        </w:rPr>
        <w:t xml:space="preserve">Its cultural implications can also go against students expectations of the classroom more than other styles; students in some countries have indeed been upset </w:t>
      </w:r>
      <w:r w:rsidR="00AA1DB5" w:rsidRPr="00346D2D">
        <w:rPr>
          <w:b/>
          <w:i/>
          <w:sz w:val="24"/>
          <w:szCs w:val="24"/>
        </w:rPr>
        <w:t xml:space="preserve">by its apparent rejection of the ways of learning current in their culture. </w:t>
      </w:r>
      <w:r w:rsidR="001862FB" w:rsidRPr="00346D2D">
        <w:rPr>
          <w:b/>
          <w:i/>
          <w:sz w:val="24"/>
          <w:szCs w:val="24"/>
        </w:rPr>
        <w:t>In favour of what they regard as a Western view. The audio-lingual style, with its authoritarian teacher controlling</w:t>
      </w:r>
      <w:r w:rsidR="0045237F" w:rsidRPr="00346D2D">
        <w:rPr>
          <w:b/>
          <w:i/>
          <w:sz w:val="24"/>
          <w:szCs w:val="24"/>
        </w:rPr>
        <w:t xml:space="preserve"> every move the students make fits more with cultures that are collectivist</w:t>
      </w:r>
      <w:r w:rsidR="0009773C" w:rsidRPr="00346D2D">
        <w:rPr>
          <w:b/>
          <w:i/>
          <w:sz w:val="24"/>
          <w:szCs w:val="24"/>
        </w:rPr>
        <w:t>. To use Hofstede’s term (Hofstede, 1980)</w:t>
      </w:r>
      <w:r w:rsidR="008F0907" w:rsidRPr="00346D2D">
        <w:rPr>
          <w:b/>
          <w:i/>
          <w:sz w:val="24"/>
          <w:szCs w:val="24"/>
        </w:rPr>
        <w:t xml:space="preserve">, say, in Japan; the communicative style, with the teacher setting up and organising activities, goes more with cultures that are individualistic, say, in Australia. </w:t>
      </w:r>
    </w:p>
    <w:p w:rsidR="00AB3229" w:rsidRPr="00346D2D" w:rsidRDefault="00AB3229" w:rsidP="003B3410">
      <w:pPr>
        <w:jc w:val="both"/>
      </w:pPr>
    </w:p>
    <w:sectPr w:rsidR="00AB3229" w:rsidRPr="00346D2D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doNotDisplayPageBoundaries/>
  <w:defaultTabStop w:val="720"/>
  <w:characterSpacingControl w:val="doNotCompress"/>
  <w:compat/>
  <w:rsids>
    <w:rsidRoot w:val="00F3753C"/>
    <w:rsid w:val="000957F0"/>
    <w:rsid w:val="0009773C"/>
    <w:rsid w:val="000C0DE8"/>
    <w:rsid w:val="000D0B30"/>
    <w:rsid w:val="000E31EF"/>
    <w:rsid w:val="00135E6C"/>
    <w:rsid w:val="0017565A"/>
    <w:rsid w:val="001862FB"/>
    <w:rsid w:val="001B593B"/>
    <w:rsid w:val="001D5FE3"/>
    <w:rsid w:val="002116E9"/>
    <w:rsid w:val="00293F1E"/>
    <w:rsid w:val="003349C6"/>
    <w:rsid w:val="00346D2D"/>
    <w:rsid w:val="003B3410"/>
    <w:rsid w:val="003B5B4E"/>
    <w:rsid w:val="003B5E5F"/>
    <w:rsid w:val="003D381F"/>
    <w:rsid w:val="003D6A10"/>
    <w:rsid w:val="004139E6"/>
    <w:rsid w:val="0041689C"/>
    <w:rsid w:val="0045237F"/>
    <w:rsid w:val="004619DA"/>
    <w:rsid w:val="0049450E"/>
    <w:rsid w:val="004F21DC"/>
    <w:rsid w:val="004F43D0"/>
    <w:rsid w:val="005A6A33"/>
    <w:rsid w:val="00755CED"/>
    <w:rsid w:val="008A5656"/>
    <w:rsid w:val="008D0977"/>
    <w:rsid w:val="008D3A91"/>
    <w:rsid w:val="008F0907"/>
    <w:rsid w:val="00904B77"/>
    <w:rsid w:val="009D0A50"/>
    <w:rsid w:val="009D6544"/>
    <w:rsid w:val="00A55121"/>
    <w:rsid w:val="00A9543A"/>
    <w:rsid w:val="00AA1DB5"/>
    <w:rsid w:val="00AB3229"/>
    <w:rsid w:val="00AC4EB2"/>
    <w:rsid w:val="00AF17F8"/>
    <w:rsid w:val="00B677C0"/>
    <w:rsid w:val="00BB4B68"/>
    <w:rsid w:val="00BE07FB"/>
    <w:rsid w:val="00C36531"/>
    <w:rsid w:val="00C520E5"/>
    <w:rsid w:val="00CB43C1"/>
    <w:rsid w:val="00D45505"/>
    <w:rsid w:val="00DF55B1"/>
    <w:rsid w:val="00DF7D98"/>
    <w:rsid w:val="00E15892"/>
    <w:rsid w:val="00E27D44"/>
    <w:rsid w:val="00E53D30"/>
    <w:rsid w:val="00E72CBB"/>
    <w:rsid w:val="00EA09AD"/>
    <w:rsid w:val="00F31DBF"/>
    <w:rsid w:val="00F3753C"/>
    <w:rsid w:val="00F72896"/>
    <w:rsid w:val="00FD453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672</Words>
  <Characters>3831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4495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dcterms:created xsi:type="dcterms:W3CDTF">2013-03-13T16:28:00Z</dcterms:created>
  <dcterms:modified xsi:type="dcterms:W3CDTF">2013-03-13T16:28:00Z</dcterms:modified>
</cp:coreProperties>
</file>