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C7A598" w14:textId="0FAF7E58" w:rsidR="69EE2FF9" w:rsidRDefault="69EE2FF9" w:rsidP="1BC90D7B">
      <w:pPr>
        <w:rPr>
          <w:rFonts w:ascii="Aptos" w:eastAsia="Aptos" w:hAnsi="Aptos" w:cs="Aptos"/>
          <w:color w:val="000000" w:themeColor="text1"/>
          <w:sz w:val="28"/>
          <w:szCs w:val="28"/>
        </w:rPr>
      </w:pPr>
      <w:r>
        <w:rPr>
          <w:noProof/>
        </w:rPr>
        <w:drawing>
          <wp:inline distT="0" distB="0" distL="0" distR="0" wp14:anchorId="78901CC2" wp14:editId="7780BF17">
            <wp:extent cx="1809750" cy="723900"/>
            <wp:effectExtent l="0" t="0" r="0" b="0"/>
            <wp:docPr id="1675512228"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12228" name="Picture 1675512228"/>
                    <pic:cNvPicPr/>
                  </pic:nvPicPr>
                  <pic:blipFill>
                    <a:blip r:embed="rId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Pr="1BC90D7B">
        <w:rPr>
          <w:rFonts w:ascii="Aptos" w:eastAsia="Aptos" w:hAnsi="Aptos" w:cs="Aptos"/>
          <w:b/>
          <w:bCs/>
          <w:color w:val="000000" w:themeColor="text1"/>
          <w:sz w:val="28"/>
          <w:szCs w:val="28"/>
        </w:rPr>
        <w:t>FULL ASSIGNMENT.</w:t>
      </w:r>
    </w:p>
    <w:p w14:paraId="415236E2" w14:textId="76EE0F84" w:rsidR="69EE2FF9" w:rsidRDefault="69EE2FF9">
      <w:r w:rsidRPr="1BC90D7B">
        <w:rPr>
          <w:rFonts w:ascii="Aptos" w:eastAsia="Aptos" w:hAnsi="Aptos" w:cs="Aptos"/>
          <w:b/>
          <w:bCs/>
          <w:color w:val="000000" w:themeColor="text1"/>
          <w:sz w:val="28"/>
          <w:szCs w:val="28"/>
        </w:rPr>
        <w:t xml:space="preserve">Assignment Title: </w:t>
      </w:r>
      <w:r>
        <w:t>BARRIERS TO ACCESSING HEALTH AND SOCIAL CARE SUPPORT</w:t>
      </w:r>
    </w:p>
    <w:p w14:paraId="44996B23" w14:textId="3D9DF1CA" w:rsidR="69EE2FF9" w:rsidRDefault="69EE2FF9" w:rsidP="1BC90D7B">
      <w:pPr>
        <w:ind w:left="1440"/>
        <w:rPr>
          <w:rFonts w:ascii="Aptos" w:eastAsia="Aptos" w:hAnsi="Aptos" w:cs="Aptos"/>
          <w:color w:val="000000" w:themeColor="text1"/>
          <w:sz w:val="28"/>
          <w:szCs w:val="28"/>
        </w:rPr>
      </w:pPr>
      <w:r w:rsidRPr="1BC90D7B">
        <w:rPr>
          <w:rFonts w:ascii="Aptos" w:eastAsia="Aptos" w:hAnsi="Aptos" w:cs="Aptos"/>
          <w:b/>
          <w:bCs/>
          <w:color w:val="000000" w:themeColor="text1"/>
          <w:sz w:val="28"/>
          <w:szCs w:val="28"/>
        </w:rPr>
        <w:t xml:space="preserve">Student Name: </w:t>
      </w:r>
      <w:r w:rsidRPr="1BC90D7B">
        <w:rPr>
          <w:rFonts w:ascii="Aptos" w:eastAsia="Aptos" w:hAnsi="Aptos" w:cs="Aptos"/>
          <w:color w:val="000000" w:themeColor="text1"/>
          <w:sz w:val="28"/>
          <w:szCs w:val="28"/>
        </w:rPr>
        <w:t>Vasile Baiculescu</w:t>
      </w:r>
    </w:p>
    <w:p w14:paraId="12171E39" w14:textId="4492FFD3" w:rsidR="69EE2FF9" w:rsidRDefault="69EE2FF9" w:rsidP="1BC90D7B">
      <w:pPr>
        <w:ind w:left="1440"/>
        <w:rPr>
          <w:rFonts w:ascii="Aptos" w:eastAsia="Aptos" w:hAnsi="Aptos" w:cs="Aptos"/>
          <w:color w:val="000000" w:themeColor="text1"/>
          <w:sz w:val="32"/>
          <w:szCs w:val="32"/>
        </w:rPr>
      </w:pPr>
      <w:r w:rsidRPr="1BC90D7B">
        <w:rPr>
          <w:rFonts w:ascii="Aptos" w:eastAsia="Aptos" w:hAnsi="Aptos" w:cs="Aptos"/>
          <w:b/>
          <w:bCs/>
          <w:color w:val="000000" w:themeColor="text1"/>
          <w:sz w:val="28"/>
          <w:szCs w:val="28"/>
        </w:rPr>
        <w:t xml:space="preserve">Student ID: </w:t>
      </w:r>
      <w:r w:rsidR="23696E62" w:rsidRPr="455522F6">
        <w:rPr>
          <w:rFonts w:ascii="Aptos" w:eastAsia="Aptos" w:hAnsi="Aptos" w:cs="Aptos"/>
          <w:color w:val="000000" w:themeColor="text1"/>
          <w:sz w:val="32"/>
          <w:szCs w:val="32"/>
        </w:rPr>
        <w:t>2541646</w:t>
      </w:r>
    </w:p>
    <w:p w14:paraId="635CF618" w14:textId="04D41490" w:rsidR="69EE2FF9" w:rsidRDefault="69EE2FF9" w:rsidP="1BC90D7B">
      <w:pPr>
        <w:ind w:left="1440"/>
        <w:rPr>
          <w:rFonts w:ascii="Aptos" w:eastAsia="Aptos" w:hAnsi="Aptos" w:cs="Aptos"/>
          <w:color w:val="000000" w:themeColor="text1"/>
          <w:sz w:val="28"/>
          <w:szCs w:val="28"/>
        </w:rPr>
      </w:pPr>
      <w:r w:rsidRPr="1BC90D7B">
        <w:rPr>
          <w:rFonts w:ascii="Aptos" w:eastAsia="Aptos" w:hAnsi="Aptos" w:cs="Aptos"/>
          <w:b/>
          <w:bCs/>
          <w:color w:val="000000" w:themeColor="text1"/>
          <w:sz w:val="28"/>
          <w:szCs w:val="28"/>
        </w:rPr>
        <w:t>Module Code:</w:t>
      </w:r>
      <w:r w:rsidRPr="1BC90D7B">
        <w:rPr>
          <w:rFonts w:ascii="Aptos" w:eastAsia="Aptos" w:hAnsi="Aptos" w:cs="Aptos"/>
          <w:color w:val="000000" w:themeColor="text1"/>
          <w:sz w:val="28"/>
          <w:szCs w:val="28"/>
        </w:rPr>
        <w:t xml:space="preserve"> LCHS4007</w:t>
      </w:r>
    </w:p>
    <w:p w14:paraId="1B5035FC" w14:textId="405DA026" w:rsidR="69EE2FF9" w:rsidRDefault="69EE2FF9" w:rsidP="1BC90D7B">
      <w:pPr>
        <w:ind w:left="1440"/>
        <w:rPr>
          <w:rFonts w:ascii="Aptos" w:eastAsia="Aptos" w:hAnsi="Aptos" w:cs="Aptos"/>
          <w:color w:val="000000" w:themeColor="text1"/>
          <w:sz w:val="28"/>
          <w:szCs w:val="28"/>
        </w:rPr>
      </w:pPr>
      <w:r w:rsidRPr="1BC90D7B">
        <w:rPr>
          <w:rFonts w:ascii="Aptos" w:eastAsia="Aptos" w:hAnsi="Aptos" w:cs="Aptos"/>
          <w:b/>
          <w:bCs/>
          <w:color w:val="000000" w:themeColor="text1"/>
          <w:sz w:val="28"/>
          <w:szCs w:val="28"/>
        </w:rPr>
        <w:t xml:space="preserve">Lecture Name: </w:t>
      </w:r>
      <w:r w:rsidRPr="1BC90D7B">
        <w:rPr>
          <w:rFonts w:ascii="Aptos" w:eastAsia="Aptos" w:hAnsi="Aptos" w:cs="Aptos"/>
          <w:color w:val="000000" w:themeColor="text1"/>
          <w:sz w:val="28"/>
          <w:szCs w:val="28"/>
        </w:rPr>
        <w:t>Hajra Mustasim.</w:t>
      </w:r>
    </w:p>
    <w:p w14:paraId="53B74FB2" w14:textId="754592BB" w:rsidR="69EE2FF9" w:rsidRDefault="69EE2FF9" w:rsidP="1BC90D7B">
      <w:pPr>
        <w:ind w:left="1440"/>
        <w:rPr>
          <w:rFonts w:ascii="Aptos" w:eastAsia="Aptos" w:hAnsi="Aptos" w:cs="Aptos"/>
          <w:color w:val="000000" w:themeColor="text1"/>
          <w:sz w:val="28"/>
          <w:szCs w:val="28"/>
        </w:rPr>
      </w:pPr>
      <w:r w:rsidRPr="1BC90D7B">
        <w:rPr>
          <w:rFonts w:ascii="Aptos" w:eastAsia="Aptos" w:hAnsi="Aptos" w:cs="Aptos"/>
          <w:b/>
          <w:bCs/>
          <w:color w:val="000000" w:themeColor="text1"/>
          <w:sz w:val="28"/>
          <w:szCs w:val="28"/>
        </w:rPr>
        <w:t>Submission Date</w:t>
      </w:r>
      <w:r w:rsidRPr="1BC90D7B">
        <w:rPr>
          <w:rFonts w:ascii="Aptos" w:eastAsia="Aptos" w:hAnsi="Aptos" w:cs="Aptos"/>
          <w:color w:val="000000" w:themeColor="text1"/>
          <w:sz w:val="28"/>
          <w:szCs w:val="28"/>
        </w:rPr>
        <w:t>: 21</w:t>
      </w:r>
      <w:r w:rsidRPr="1BC90D7B">
        <w:rPr>
          <w:rFonts w:ascii="Aptos" w:eastAsia="Aptos" w:hAnsi="Aptos" w:cs="Aptos"/>
          <w:color w:val="000000" w:themeColor="text1"/>
          <w:sz w:val="28"/>
          <w:szCs w:val="28"/>
          <w:vertAlign w:val="superscript"/>
        </w:rPr>
        <w:t>st</w:t>
      </w:r>
      <w:r w:rsidRPr="1BC90D7B">
        <w:rPr>
          <w:rFonts w:ascii="Aptos" w:eastAsia="Aptos" w:hAnsi="Aptos" w:cs="Aptos"/>
          <w:color w:val="000000" w:themeColor="text1"/>
          <w:sz w:val="28"/>
          <w:szCs w:val="28"/>
        </w:rPr>
        <w:t xml:space="preserve"> July 2026.</w:t>
      </w:r>
    </w:p>
    <w:p w14:paraId="2FD4A077" w14:textId="0542CFDE" w:rsidR="69EE2FF9" w:rsidRDefault="69EE2FF9" w:rsidP="1BC90D7B">
      <w:pPr>
        <w:ind w:left="1440"/>
        <w:rPr>
          <w:rFonts w:ascii="Aptos" w:eastAsia="Aptos" w:hAnsi="Aptos" w:cs="Aptos"/>
          <w:color w:val="000000" w:themeColor="text1"/>
          <w:sz w:val="28"/>
          <w:szCs w:val="28"/>
        </w:rPr>
      </w:pPr>
      <w:r w:rsidRPr="1BC90D7B">
        <w:rPr>
          <w:rFonts w:ascii="Aptos" w:eastAsia="Aptos" w:hAnsi="Aptos" w:cs="Aptos"/>
          <w:b/>
          <w:bCs/>
          <w:color w:val="000000" w:themeColor="text1"/>
          <w:sz w:val="28"/>
          <w:szCs w:val="28"/>
        </w:rPr>
        <w:t>Total word count</w:t>
      </w:r>
      <w:r w:rsidRPr="1BC90D7B">
        <w:rPr>
          <w:rFonts w:ascii="Aptos" w:eastAsia="Aptos" w:hAnsi="Aptos" w:cs="Aptos"/>
          <w:color w:val="000000" w:themeColor="text1"/>
          <w:sz w:val="28"/>
          <w:szCs w:val="28"/>
        </w:rPr>
        <w:t>: 1500 words.</w:t>
      </w:r>
    </w:p>
    <w:p w14:paraId="7D11A97B" w14:textId="6014B76D" w:rsidR="1BC90D7B" w:rsidRDefault="1BC90D7B" w:rsidP="1BC90D7B"/>
    <w:p w14:paraId="303EBA93" w14:textId="2FD7D027" w:rsidR="1BC90D7B" w:rsidRDefault="1BC90D7B"/>
    <w:p w14:paraId="72E4D488" w14:textId="5B9266B7" w:rsidR="1BC90D7B" w:rsidRDefault="1BC90D7B"/>
    <w:p w14:paraId="07F9C387" w14:textId="5C375E48" w:rsidR="1BC90D7B" w:rsidRDefault="1BC90D7B"/>
    <w:p w14:paraId="608A6BD3" w14:textId="4C1B8C39" w:rsidR="1BC90D7B" w:rsidRDefault="1BC90D7B"/>
    <w:p w14:paraId="5A743D00" w14:textId="443FC5E0" w:rsidR="1BC90D7B" w:rsidRDefault="1BC90D7B"/>
    <w:p w14:paraId="5A0637A3" w14:textId="06346FE7" w:rsidR="1BC90D7B" w:rsidRDefault="1BC90D7B"/>
    <w:p w14:paraId="72CB9593" w14:textId="2D78D344" w:rsidR="1BC90D7B" w:rsidRDefault="1BC90D7B"/>
    <w:p w14:paraId="60430179" w14:textId="3D14C6BD" w:rsidR="1BC90D7B" w:rsidRDefault="1BC90D7B"/>
    <w:p w14:paraId="7B962C47" w14:textId="353168AA" w:rsidR="1BC90D7B" w:rsidRDefault="1BC90D7B"/>
    <w:p w14:paraId="6598BB40" w14:textId="62C17F7D" w:rsidR="6862D254" w:rsidRDefault="6862D254"/>
    <w:p w14:paraId="3FD0CFF7" w14:textId="599C85AF" w:rsidR="6862D254" w:rsidRDefault="6862D254"/>
    <w:p w14:paraId="7F333E5A" w14:textId="673C801E" w:rsidR="6862D254" w:rsidRDefault="6862D254"/>
    <w:p w14:paraId="71C47836" w14:textId="41CC98CC" w:rsidR="6862D254" w:rsidRDefault="6862D254"/>
    <w:p w14:paraId="4439AA55" w14:textId="15B3DE36" w:rsidR="6862D254" w:rsidRDefault="6862D254"/>
    <w:p w14:paraId="0E8B3E35" w14:textId="1AC275C5" w:rsidR="6862D254" w:rsidRDefault="6862D254"/>
    <w:p w14:paraId="5B390373" w14:textId="01FC9E4E" w:rsidR="007632CB" w:rsidRDefault="1BDFB845" w:rsidP="6862D254">
      <w:pPr>
        <w:rPr>
          <w:b/>
          <w:bCs/>
          <w:sz w:val="32"/>
          <w:szCs w:val="32"/>
        </w:rPr>
      </w:pPr>
      <w:r w:rsidRPr="6862D254">
        <w:rPr>
          <w:b/>
          <w:bCs/>
          <w:sz w:val="32"/>
          <w:szCs w:val="32"/>
        </w:rPr>
        <w:t>Section 1: Introducing the Research Paper and Topic Development</w:t>
      </w:r>
      <w:r w:rsidR="680CEC81" w:rsidRPr="6862D254">
        <w:rPr>
          <w:b/>
          <w:bCs/>
          <w:sz w:val="32"/>
          <w:szCs w:val="32"/>
        </w:rPr>
        <w:t xml:space="preserve"> </w:t>
      </w:r>
      <w:r w:rsidRPr="6862D254">
        <w:rPr>
          <w:b/>
          <w:bCs/>
          <w:sz w:val="32"/>
          <w:szCs w:val="32"/>
        </w:rPr>
        <w:t>(~360 words)</w:t>
      </w:r>
    </w:p>
    <w:p w14:paraId="3546457E" w14:textId="77777777" w:rsidR="007632CB" w:rsidRDefault="007632CB" w:rsidP="007632CB">
      <w:r>
        <w:t>Title of the research paper: Barriers to accessing health and social care support among vulnerable groups</w:t>
      </w:r>
    </w:p>
    <w:p w14:paraId="63E4D022" w14:textId="77777777" w:rsidR="007632CB" w:rsidRDefault="007632CB" w:rsidP="007632CB">
      <w:r>
        <w:t>Authors: Mensah, R. and Thompson, J.</w:t>
      </w:r>
    </w:p>
    <w:p w14:paraId="5C118EA1" w14:textId="77777777" w:rsidR="007632CB" w:rsidRDefault="007632CB" w:rsidP="007632CB">
      <w:r>
        <w:t>Year of publication: 2025</w:t>
      </w:r>
    </w:p>
    <w:p w14:paraId="28998E02" w14:textId="77777777" w:rsidR="007632CB" w:rsidRDefault="007632CB" w:rsidP="007632CB"/>
    <w:p w14:paraId="0E1A1038" w14:textId="5C067E92" w:rsidR="007632CB" w:rsidRDefault="10CFD9A6" w:rsidP="007632CB">
      <w:r>
        <w:t xml:space="preserve">This paper looks at what stops people from getting the care or support they need </w:t>
      </w:r>
      <w:r w:rsidR="3B2DA138">
        <w:t xml:space="preserve">: </w:t>
      </w:r>
      <w:r>
        <w:t xml:space="preserve"> even when they have the legal right to ask for it. These problems are called “barriers”. A barrier can be anything that makes it difficult to find out what help exists, to make contact and ask for that help, or to receive the support in a way that actually works for that individual person. For example, it could be that there is no easy way to travel to an appointment, letters or forms sent by services are written in language that is too complicated to understand, or people feel that staff do not listen properly or treat them with respect.</w:t>
      </w:r>
    </w:p>
    <w:p w14:paraId="55CADAD6" w14:textId="77CF59CA" w:rsidR="007632CB" w:rsidRDefault="1BDFB845" w:rsidP="007632CB">
      <w:r>
        <w:t>The topic was chosen because even though the NHS and social care services are designed and funded to help everyone in the community, in practice some people still find it extremely difficult to get what they need. Sometimes people do not even try to ask for support because they believe the process will be too confusing, take too long, or that they will be turned away anyway. Researchers wanted to find out exactly which groups of people find it hardest to access care, what the most common problems are, and what practical changes could be made to make services fairer, more welcoming, and easier for everyone to use (Mensah and Thompson, 2025).</w:t>
      </w:r>
    </w:p>
    <w:p w14:paraId="623A28AB" w14:textId="4A06E3FD" w:rsidR="007632CB" w:rsidRDefault="3B0A7714" w:rsidP="007632CB">
      <w:r>
        <w:t xml:space="preserve">The research focused on people who are known to often face extra difficulties when trying to access support. This includes people on low incomes, people with physical disabilities or learning difficulties, people whose first language is not English, older people who may have mobility or sensory problems, families with young children living in difficult circumstances, and people from minority ethnic or cultural backgrounds. It also examined the wider effects of these difficulties </w:t>
      </w:r>
      <w:r w:rsidR="2B182DAE">
        <w:t xml:space="preserve">: </w:t>
      </w:r>
      <w:r>
        <w:t xml:space="preserve"> such as how small health concerns that are not addressed early can develop into serious illness that then requires hospital treatment, or how being unable to get practical support can lead to loneliness, loss of confidence, or people struggling to stay living safely in their own homes.</w:t>
      </w:r>
    </w:p>
    <w:p w14:paraId="6C371BA8" w14:textId="77777777" w:rsidR="007632CB" w:rsidRDefault="007632CB" w:rsidP="007632CB"/>
    <w:p w14:paraId="797C6932" w14:textId="75E2D6A1" w:rsidR="6862D254" w:rsidRDefault="6862D254"/>
    <w:p w14:paraId="192CFFAF" w14:textId="77777777" w:rsidR="007632CB" w:rsidRDefault="007632CB" w:rsidP="007632CB">
      <w:r>
        <w:t>This topic is very important for UK health and social care for many reasons:</w:t>
      </w:r>
    </w:p>
    <w:p w14:paraId="6E599598" w14:textId="77777777" w:rsidR="007632CB" w:rsidRDefault="007632CB" w:rsidP="007632CB"/>
    <w:p w14:paraId="348DDBFE" w14:textId="59552E34" w:rsidR="007632CB" w:rsidRDefault="10CFD9A6" w:rsidP="007632CB">
      <w:r>
        <w:t xml:space="preserve">• Everyone should have an equal chance to receive good quality care and support, no matter who they are or where they live </w:t>
      </w:r>
      <w:r w:rsidR="3DC3C7DA">
        <w:t xml:space="preserve">: </w:t>
      </w:r>
      <w:r>
        <w:t>this is part of the basic legal and ethical standards that all health and care services must follow (Care Quality Commission, 2024).</w:t>
      </w:r>
    </w:p>
    <w:p w14:paraId="6B09457C" w14:textId="637A7122" w:rsidR="007632CB" w:rsidRDefault="1BDFB845" w:rsidP="007632CB">
      <w:r>
        <w:t>• When people cannot get help early when they first need it, it can lead to more serious health crises or social problems, which often cost public services much more money to resolve and cause people unnecessary pain, stress, or worry (NHS England, 2025).</w:t>
      </w:r>
    </w:p>
    <w:p w14:paraId="01A9853A" w14:textId="4B86998E" w:rsidR="007632CB" w:rsidRDefault="10CFD9A6" w:rsidP="007632CB">
      <w:r>
        <w:t xml:space="preserve">• Many common barriers could be removed or reduced with quite simple changes </w:t>
      </w:r>
      <w:r w:rsidR="00FD67B7">
        <w:t>:</w:t>
      </w:r>
      <w:r>
        <w:t xml:space="preserve"> such as writing all letters and forms in plain clear English, offering appointments in the evening or at weekends, or making sure information is available in different community languages (Department of Health and Social Care, 2025).</w:t>
      </w:r>
    </w:p>
    <w:p w14:paraId="4EF56E70" w14:textId="2ADA666E" w:rsidR="007632CB" w:rsidRDefault="1BDFB845" w:rsidP="007632CB">
      <w:r>
        <w:t>• Understanding these barriers helps services think of better ways to reach out to people who may be isolated, or who do not know what support they are entitled to ask for (Age UK, 2024).</w:t>
      </w:r>
    </w:p>
    <w:p w14:paraId="389A9A07" w14:textId="101E7319" w:rsidR="007632CB" w:rsidRDefault="10CFD9A6" w:rsidP="007632CB">
      <w:r>
        <w:t xml:space="preserve">• Taking time to understand and remove barriers helps build better trust and positive relationships between care services and the people who use them </w:t>
      </w:r>
      <w:r w:rsidR="216D1E8E">
        <w:t xml:space="preserve">: </w:t>
      </w:r>
      <w:r>
        <w:t>so people feel more confident and comfortable asking for help when they need it (The King’s Fund, 2025).</w:t>
      </w:r>
    </w:p>
    <w:p w14:paraId="4DC7E511" w14:textId="194E2909" w:rsidR="6862D254" w:rsidRDefault="6862D254"/>
    <w:p w14:paraId="0596F24C" w14:textId="19BE0837" w:rsidR="007632CB" w:rsidRDefault="1BDFB845" w:rsidP="6862D254">
      <w:pPr>
        <w:rPr>
          <w:b/>
          <w:bCs/>
          <w:sz w:val="32"/>
          <w:szCs w:val="32"/>
        </w:rPr>
      </w:pPr>
      <w:r w:rsidRPr="6862D254">
        <w:rPr>
          <w:b/>
          <w:bCs/>
          <w:sz w:val="32"/>
          <w:szCs w:val="32"/>
        </w:rPr>
        <w:t>Section 2: Understanding the Purpose and Research Question</w:t>
      </w:r>
      <w:r w:rsidR="2E6DC9EF" w:rsidRPr="6862D254">
        <w:rPr>
          <w:b/>
          <w:bCs/>
          <w:sz w:val="32"/>
          <w:szCs w:val="32"/>
        </w:rPr>
        <w:t xml:space="preserve"> </w:t>
      </w:r>
      <w:r w:rsidRPr="6862D254">
        <w:rPr>
          <w:b/>
          <w:bCs/>
          <w:sz w:val="32"/>
          <w:szCs w:val="32"/>
        </w:rPr>
        <w:t>(~110 words)</w:t>
      </w:r>
    </w:p>
    <w:p w14:paraId="0AD9F94C" w14:textId="77777777" w:rsidR="007632CB" w:rsidRDefault="007632CB" w:rsidP="007632CB"/>
    <w:p w14:paraId="673D881D" w14:textId="77777777" w:rsidR="007632CB" w:rsidRDefault="007632CB" w:rsidP="007632CB">
      <w:r>
        <w:t>The main aim of this research was to identify and understand the most common barriers people face when they try to access health or social care, and also to find out what kinds of things help people overcome these difficulties or make the process easier (Mensah and Thompson, 2025).</w:t>
      </w:r>
    </w:p>
    <w:p w14:paraId="3E9BA085" w14:textId="77777777" w:rsidR="007632CB" w:rsidRDefault="007632CB" w:rsidP="007632CB"/>
    <w:p w14:paraId="3F278D49" w14:textId="0B6B8AF1" w:rsidR="007632CB" w:rsidRDefault="1BDFB845" w:rsidP="007632CB">
      <w:r>
        <w:t>The research set out to answer these key questions:</w:t>
      </w:r>
    </w:p>
    <w:p w14:paraId="6B63F02D" w14:textId="77777777" w:rsidR="007632CB" w:rsidRDefault="007632CB" w:rsidP="007632CB">
      <w:r>
        <w:t>• What are the main reasons or situations that make it hard for people to get the support they need?</w:t>
      </w:r>
    </w:p>
    <w:p w14:paraId="7401D333" w14:textId="77777777" w:rsidR="007632CB" w:rsidRDefault="007632CB" w:rsidP="007632CB"/>
    <w:p w14:paraId="5A44F890" w14:textId="1303D64D" w:rsidR="007632CB" w:rsidRDefault="1BDFB845" w:rsidP="007632CB">
      <w:r>
        <w:t>• Do some groups of people face more or different problems than others, and if so why?</w:t>
      </w:r>
    </w:p>
    <w:p w14:paraId="67F62304" w14:textId="7F8D0150" w:rsidR="007632CB" w:rsidRDefault="1BDFB845" w:rsidP="007632CB">
      <w:r>
        <w:t>• How do practical things like how much money someone has, transport options, or where someone lives affect whether they can get the care they need?</w:t>
      </w:r>
    </w:p>
    <w:p w14:paraId="6721C301" w14:textId="5199A7C3" w:rsidR="007632CB" w:rsidRDefault="1BDFB845" w:rsidP="007632CB">
      <w:r>
        <w:t>• How much difference do things like staff attitudes, kindness, or communication skills make to how easy people find it to access support?</w:t>
      </w:r>
    </w:p>
    <w:p w14:paraId="1542F7F3" w14:textId="77777777" w:rsidR="007632CB" w:rsidRDefault="1BDFB845" w:rsidP="007632CB">
      <w:r>
        <w:t>• What changes do people who use services believe would make the biggest difference to make things easier and fairer for them?</w:t>
      </w:r>
    </w:p>
    <w:p w14:paraId="6585BBE7" w14:textId="57E89A46" w:rsidR="6862D254" w:rsidRDefault="6862D254"/>
    <w:p w14:paraId="69BCF839" w14:textId="02CF77D3" w:rsidR="007632CB" w:rsidRDefault="1BDFB845" w:rsidP="6862D254">
      <w:pPr>
        <w:rPr>
          <w:b/>
          <w:bCs/>
          <w:sz w:val="32"/>
          <w:szCs w:val="32"/>
        </w:rPr>
      </w:pPr>
      <w:r w:rsidRPr="6862D254">
        <w:rPr>
          <w:b/>
          <w:bCs/>
          <w:sz w:val="32"/>
          <w:szCs w:val="32"/>
        </w:rPr>
        <w:t>Section 3: Understanding the Research Methods</w:t>
      </w:r>
      <w:r w:rsidR="21B04B0B" w:rsidRPr="6862D254">
        <w:rPr>
          <w:b/>
          <w:bCs/>
          <w:sz w:val="32"/>
          <w:szCs w:val="32"/>
        </w:rPr>
        <w:t xml:space="preserve"> </w:t>
      </w:r>
      <w:r w:rsidRPr="6862D254">
        <w:rPr>
          <w:b/>
          <w:bCs/>
          <w:sz w:val="32"/>
          <w:szCs w:val="32"/>
        </w:rPr>
        <w:t>(~800 words)</w:t>
      </w:r>
    </w:p>
    <w:p w14:paraId="118B9068" w14:textId="77777777" w:rsidR="007632CB" w:rsidRDefault="007632CB" w:rsidP="007632CB"/>
    <w:p w14:paraId="66A44FD2" w14:textId="421D5E21" w:rsidR="007632CB" w:rsidRDefault="1BDFB845" w:rsidP="007632CB">
      <w:r>
        <w:t>There are different ways to carry out research, and each method gives a different kind of information and understanding:</w:t>
      </w:r>
    </w:p>
    <w:p w14:paraId="665041C7" w14:textId="0D2FECF0" w:rsidR="007632CB" w:rsidRDefault="1BDFB845" w:rsidP="007632CB">
      <w:r>
        <w:t>• Quantitative research: This approach uses numbers, counts, and statistics to show facts and patterns. It answers questions like “how many people”, “how often does this happen”, or “what is the most common problem people face”. For example, counting how many people miss medical appointments because they have no way to get there. It is very useful for seeing the broad overall picture and spotting trends across large groups, but it does not usually explain why something happens or how it makes people feel.</w:t>
      </w:r>
    </w:p>
    <w:p w14:paraId="64DADAD9" w14:textId="11804E6A" w:rsidR="007632CB" w:rsidRDefault="1BDFB845" w:rsidP="007632CB">
      <w:r>
        <w:t>• Qualitative research: This focuses on people’s own experiences, opinions, feelings, and the reasons behind their actions. It answers questions like “why does this happen” or “how does this make you feel”. For example, asking someone to describe what it is like when you cannot understand a letter sent by your doctor, or what stops you from asking for help. It helps you understand the real story behind the numbers, but it does not give broad statistical facts.</w:t>
      </w:r>
    </w:p>
    <w:p w14:paraId="20B018E6" w14:textId="27EDF04E" w:rsidR="007632CB" w:rsidRDefault="1BDFB845" w:rsidP="007632CB">
      <w:r>
        <w:t xml:space="preserve">• Mixed-methods research: This uses </w:t>
      </w:r>
      <w:r w:rsidR="1957E696">
        <w:t>both</w:t>
      </w:r>
      <w:r>
        <w:t xml:space="preserve"> ways together. You can collect facts and numbers to see the big </w:t>
      </w:r>
      <w:r w:rsidR="28569F7D">
        <w:t>picture but</w:t>
      </w:r>
      <w:r>
        <w:t xml:space="preserve"> also speak to people to understand their own views and experiences. This often gives the fullest and most balanced picture of what is really happening.</w:t>
      </w:r>
    </w:p>
    <w:p w14:paraId="1EB7EF05" w14:textId="210B472B" w:rsidR="007632CB" w:rsidRDefault="10CFD9A6" w:rsidP="007632CB">
      <w:r>
        <w:t xml:space="preserve">This research paper used mixed-methods research </w:t>
      </w:r>
      <w:r w:rsidR="2936D832">
        <w:t xml:space="preserve">: </w:t>
      </w:r>
      <w:r>
        <w:t xml:space="preserve"> so the researchers collected both measurable statistics </w:t>
      </w:r>
      <w:r w:rsidR="71B97609">
        <w:t>and</w:t>
      </w:r>
      <w:r>
        <w:t xml:space="preserve"> spoke directly to people about their own lives and experiences (Mensah and Thompson, 2025).</w:t>
      </w:r>
    </w:p>
    <w:p w14:paraId="115966E4" w14:textId="77777777" w:rsidR="007632CB" w:rsidRDefault="007632CB" w:rsidP="007632CB"/>
    <w:p w14:paraId="2DCCE4AA" w14:textId="77777777" w:rsidR="007632CB" w:rsidRDefault="007632CB" w:rsidP="007632CB">
      <w:r>
        <w:t>Researchers also choose between two main types of information sources:</w:t>
      </w:r>
    </w:p>
    <w:p w14:paraId="286D0B33" w14:textId="77777777" w:rsidR="007632CB" w:rsidRDefault="007632CB" w:rsidP="007632CB"/>
    <w:p w14:paraId="7A537B44" w14:textId="77777777" w:rsidR="007632CB" w:rsidRDefault="1BDFB845" w:rsidP="007632CB">
      <w:r w:rsidRPr="6862D254">
        <w:rPr>
          <w:highlight w:val="yellow"/>
        </w:rPr>
        <w:t>• Primary data</w:t>
      </w:r>
      <w:r>
        <w:t>: This is new information collected directly from the people the research is about. The researchers go out and speak to people, ask questions, or carry out observations to get fresh answers that have not been collected before.</w:t>
      </w:r>
    </w:p>
    <w:p w14:paraId="6FACD470" w14:textId="77777777" w:rsidR="007632CB" w:rsidRDefault="007632CB" w:rsidP="007632CB"/>
    <w:p w14:paraId="545ECCBD" w14:textId="4E6914B3" w:rsidR="007632CB" w:rsidRDefault="10CFD9A6" w:rsidP="007632CB">
      <w:r w:rsidRPr="40E56F44">
        <w:rPr>
          <w:highlight w:val="yellow"/>
        </w:rPr>
        <w:t>• Secondary data</w:t>
      </w:r>
      <w:r>
        <w:t xml:space="preserve">: This uses information that already exists somewhere else </w:t>
      </w:r>
      <w:r w:rsidR="0E17BCC7">
        <w:t>:</w:t>
      </w:r>
      <w:r>
        <w:t>such as previous research papers, government reports, or records kept by hospitals or local councils.</w:t>
      </w:r>
    </w:p>
    <w:p w14:paraId="53E158D5" w14:textId="77777777" w:rsidR="007632CB" w:rsidRDefault="007632CB" w:rsidP="007632CB"/>
    <w:p w14:paraId="0719CBFC" w14:textId="07D4704A" w:rsidR="007632CB" w:rsidRDefault="3B0A7714" w:rsidP="007632CB">
      <w:r>
        <w:t xml:space="preserve">For this study, the researchers used mostly primary data </w:t>
      </w:r>
      <w:r w:rsidR="0339D296">
        <w:t xml:space="preserve">: </w:t>
      </w:r>
      <w:r>
        <w:t>they wanted to speak to people themselves so the information would be up to date and would match exactly what people are facing in their lives right now.</w:t>
      </w:r>
    </w:p>
    <w:p w14:paraId="03B3258B" w14:textId="77777777" w:rsidR="007632CB" w:rsidRDefault="007632CB" w:rsidP="007632CB"/>
    <w:p w14:paraId="0AB3F24F" w14:textId="77777777" w:rsidR="007632CB" w:rsidRDefault="007632CB" w:rsidP="007632CB">
      <w:r>
        <w:t>How the data was collected:</w:t>
      </w:r>
    </w:p>
    <w:p w14:paraId="346365A4" w14:textId="48F291AC" w:rsidR="007632CB" w:rsidRDefault="11F6EF16" w:rsidP="007632CB">
      <w:r>
        <w:t>First,</w:t>
      </w:r>
      <w:r w:rsidR="1BDFB845">
        <w:t xml:space="preserve"> they used surveys sent to </w:t>
      </w:r>
      <w:r w:rsidR="5B87C49E">
        <w:t>many</w:t>
      </w:r>
      <w:r w:rsidR="1BDFB845">
        <w:t xml:space="preserve"> people from different groups and areas. The survey had simple questions where people could tick boxes or give short answers. For example:</w:t>
      </w:r>
    </w:p>
    <w:p w14:paraId="643F0D1B" w14:textId="77777777" w:rsidR="007632CB" w:rsidRDefault="007632CB" w:rsidP="007632CB"/>
    <w:p w14:paraId="6C23E124" w14:textId="498C8F01" w:rsidR="007632CB" w:rsidRDefault="1BDFB845" w:rsidP="007632CB">
      <w:r>
        <w:t>• Have you ever put off asking for help or support because you thought it would be too difficult or take too long?</w:t>
      </w:r>
    </w:p>
    <w:p w14:paraId="6CD6DAE3" w14:textId="0189C12F" w:rsidR="007632CB" w:rsidRDefault="1BDFB845" w:rsidP="007632CB">
      <w:r>
        <w:t>• Do you find it easy to understand letters, forms, or information sent by health or care services?</w:t>
      </w:r>
    </w:p>
    <w:p w14:paraId="2ED7F6E8" w14:textId="7CF54A53" w:rsidR="007632CB" w:rsidRDefault="1BDFB845" w:rsidP="007632CB">
      <w:r>
        <w:t>• Is it usually easy for you to get to appointments at health centres or support offices?</w:t>
      </w:r>
    </w:p>
    <w:p w14:paraId="4E67A9CA" w14:textId="5787CEAA" w:rsidR="007632CB" w:rsidRDefault="1BDFB845" w:rsidP="007632CB">
      <w:r>
        <w:t>• Do you feel that staff working in these services listen properly to what you have to say?</w:t>
      </w:r>
    </w:p>
    <w:p w14:paraId="79E97801" w14:textId="77777777" w:rsidR="007632CB" w:rsidRDefault="007632CB" w:rsidP="007632CB">
      <w:r>
        <w:t>• What is the one change that would make it easier for you to get the help or support you need?</w:t>
      </w:r>
    </w:p>
    <w:p w14:paraId="0CADC576" w14:textId="77777777" w:rsidR="007632CB" w:rsidRDefault="007632CB" w:rsidP="007632CB"/>
    <w:p w14:paraId="017D0687" w14:textId="46C6F8DC" w:rsidR="007632CB" w:rsidRDefault="3B0A7714" w:rsidP="007632CB">
      <w:r>
        <w:t xml:space="preserve">This gave the researchers plenty of numbers and facts to compare </w:t>
      </w:r>
      <w:r w:rsidR="22BB0241">
        <w:t xml:space="preserve">: </w:t>
      </w:r>
      <w:r>
        <w:t>for example, seeing how many people found official forms hard to fill in, or how many had regular problems with transport.</w:t>
      </w:r>
    </w:p>
    <w:p w14:paraId="34702789" w14:textId="77777777" w:rsidR="007632CB" w:rsidRDefault="007632CB" w:rsidP="007632CB"/>
    <w:p w14:paraId="4DA978FA" w14:textId="77777777" w:rsidR="007632CB" w:rsidRDefault="007632CB" w:rsidP="007632CB">
      <w:r>
        <w:t>Then they held one-to-one interviews and small discussion groups with a smaller number of people to explore these issues in more depth. Here they could ask more open questions that let people talk freely in their own words. For example:</w:t>
      </w:r>
    </w:p>
    <w:p w14:paraId="7992FBBA" w14:textId="77777777" w:rsidR="007632CB" w:rsidRDefault="007632CB" w:rsidP="007632CB"/>
    <w:p w14:paraId="440AB3C0" w14:textId="0A538FB6" w:rsidR="007632CB" w:rsidRDefault="1BDFB845" w:rsidP="007632CB">
      <w:r>
        <w:t>• “Can you tell me about a time you tried to get help or support, and what parts were easy or difficult for you?”</w:t>
      </w:r>
    </w:p>
    <w:p w14:paraId="0552ED13" w14:textId="7945F90A" w:rsidR="007632CB" w:rsidRDefault="1BDFB845" w:rsidP="007632CB">
      <w:r>
        <w:t>• “If you could change one thing about how health and care services work, what would it be and why?”</w:t>
      </w:r>
    </w:p>
    <w:p w14:paraId="595DB509" w14:textId="77777777" w:rsidR="007632CB" w:rsidRDefault="007632CB" w:rsidP="007632CB">
      <w:r>
        <w:t>• “Is there anything that stops you from asking for help even when you know you need it?”</w:t>
      </w:r>
    </w:p>
    <w:p w14:paraId="7AF710E1" w14:textId="77777777" w:rsidR="007632CB" w:rsidRDefault="007632CB" w:rsidP="007632CB"/>
    <w:p w14:paraId="734F762E" w14:textId="77777777" w:rsidR="007632CB" w:rsidRDefault="007632CB" w:rsidP="007632CB">
      <w:r>
        <w:t>They also spoke to staff working in these services such as social workers, nurses, and care managers to ask what problems they notice regularly, and what changes they think would help people access support better.</w:t>
      </w:r>
    </w:p>
    <w:p w14:paraId="4A75B8DF" w14:textId="77777777" w:rsidR="007632CB" w:rsidRDefault="007632CB" w:rsidP="007632CB"/>
    <w:p w14:paraId="21422E16" w14:textId="77777777" w:rsidR="007632CB" w:rsidRDefault="007632CB" w:rsidP="007632CB">
      <w:r>
        <w:t>How the data was analysed:</w:t>
      </w:r>
    </w:p>
    <w:p w14:paraId="02EECB20" w14:textId="3F77C7E0" w:rsidR="007632CB" w:rsidRDefault="3B0A7714" w:rsidP="007632CB">
      <w:r>
        <w:t xml:space="preserve">For the survey answers, the researchers added up totals and compared answers between different groups </w:t>
      </w:r>
      <w:r w:rsidR="23CB9072">
        <w:t xml:space="preserve">: </w:t>
      </w:r>
      <w:r>
        <w:t>for example, they might find that older people are much more likely to have problems with transport, or that people with learning difficulties find complicated forms the biggest barrier of all.</w:t>
      </w:r>
    </w:p>
    <w:p w14:paraId="1DF348E5" w14:textId="77777777" w:rsidR="007632CB" w:rsidRDefault="007632CB" w:rsidP="007632CB"/>
    <w:p w14:paraId="19402A80" w14:textId="77777777" w:rsidR="007632CB" w:rsidRDefault="007632CB" w:rsidP="007632CB">
      <w:r>
        <w:t>For what people said in interviews and discussions, they read through all the answers carefully and grouped similar ideas into main types of problems. They found that barriers usually fall into these clear groups:</w:t>
      </w:r>
    </w:p>
    <w:p w14:paraId="4DAB288C" w14:textId="77777777" w:rsidR="007632CB" w:rsidRDefault="007632CB" w:rsidP="007632CB"/>
    <w:p w14:paraId="2B10997F" w14:textId="77B1C10A" w:rsidR="007632CB" w:rsidRDefault="1BDFB845" w:rsidP="007632CB">
      <w:r>
        <w:t>• Information barriers: People do not know what help is available, or information is written in language that is too difficult, or information is sent in a way they cannot use easily.</w:t>
      </w:r>
    </w:p>
    <w:p w14:paraId="36DD5BDA" w14:textId="77777777" w:rsidR="007632CB" w:rsidRDefault="007632CB" w:rsidP="007632CB">
      <w:r>
        <w:t>• Practical barriers: No bus or train service to get there, cost of travel or parking, appointments only during work hours, or having no one to come with you for support.</w:t>
      </w:r>
    </w:p>
    <w:p w14:paraId="6519954E" w14:textId="77777777" w:rsidR="007632CB" w:rsidRDefault="007632CB" w:rsidP="007632CB"/>
    <w:p w14:paraId="0B987516" w14:textId="7626C683" w:rsidR="007632CB" w:rsidRDefault="1BDFB845" w:rsidP="007632CB">
      <w:r>
        <w:t>• Communication barriers: English is not their first language, staff speak too fast or use difficult medical words, or people find it hard to use phones or computers.</w:t>
      </w:r>
    </w:p>
    <w:p w14:paraId="43141652" w14:textId="78BA062E" w:rsidR="007632CB" w:rsidRDefault="1BDFB845" w:rsidP="007632CB">
      <w:r>
        <w:t>• Attitude barriers: People feel embarrassed to ask for help, worry they will be judged, or feel staff do not seem to care about their views.</w:t>
      </w:r>
    </w:p>
    <w:p w14:paraId="74A90EBE" w14:textId="77777777" w:rsidR="007632CB" w:rsidRDefault="1BDFB845" w:rsidP="007632CB">
      <w:r>
        <w:t>• Physical barriers: Buildings have steps with no ramp, doors are too narrow for a wheelchair, or there is no hearing loop system for people who are hard of hearing.</w:t>
      </w:r>
    </w:p>
    <w:p w14:paraId="6183E94D" w14:textId="48A68A22" w:rsidR="6862D254" w:rsidRDefault="6862D254"/>
    <w:p w14:paraId="4454B8A6" w14:textId="3ACDE9E6" w:rsidR="007632CB" w:rsidRDefault="1BDFB845" w:rsidP="6862D254">
      <w:pPr>
        <w:rPr>
          <w:b/>
          <w:bCs/>
          <w:sz w:val="32"/>
          <w:szCs w:val="32"/>
        </w:rPr>
      </w:pPr>
      <w:r w:rsidRPr="6862D254">
        <w:rPr>
          <w:b/>
          <w:bCs/>
          <w:sz w:val="32"/>
          <w:szCs w:val="32"/>
        </w:rPr>
        <w:t>Section 4: Conclusion</w:t>
      </w:r>
      <w:r w:rsidR="64780B9F" w:rsidRPr="6862D254">
        <w:rPr>
          <w:b/>
          <w:bCs/>
          <w:sz w:val="32"/>
          <w:szCs w:val="32"/>
        </w:rPr>
        <w:t xml:space="preserve"> </w:t>
      </w:r>
      <w:r w:rsidRPr="6862D254">
        <w:rPr>
          <w:b/>
          <w:bCs/>
          <w:sz w:val="32"/>
          <w:szCs w:val="32"/>
        </w:rPr>
        <w:t>(~240 words)</w:t>
      </w:r>
    </w:p>
    <w:p w14:paraId="013C8928" w14:textId="77777777" w:rsidR="007632CB" w:rsidRDefault="007632CB" w:rsidP="007632CB"/>
    <w:p w14:paraId="0A6676A3" w14:textId="57C01A3B" w:rsidR="007632CB" w:rsidRDefault="3B0A7714" w:rsidP="007632CB">
      <w:r>
        <w:t xml:space="preserve">The research found that barriers are often linked together </w:t>
      </w:r>
      <w:r w:rsidR="478A0199">
        <w:t>:</w:t>
      </w:r>
      <w:r>
        <w:t xml:space="preserve"> for example, if you do not understand the information you receive, you may never find out that free transport help is available, and so you end up missing appointments or giving up asking for help altogether. Many people said that even quite small changes would make a huge difference to them, like forms written in simple everyday language, being able to book appointments at the weekend or later in the day, or having someone available to help explain letters or fill in forms. Some people also said they would feel much more confident asking for help if they were treated with kindness and respect, and if staff took time to listen to what they actually needed rather than just following set rules or checklists (Mensah and Thompson, 2025).</w:t>
      </w:r>
    </w:p>
    <w:p w14:paraId="17E1FA0D" w14:textId="77777777" w:rsidR="007632CB" w:rsidRDefault="007632CB" w:rsidP="007632CB"/>
    <w:p w14:paraId="5342717E" w14:textId="18A70190" w:rsidR="007632CB" w:rsidRDefault="10CFD9A6" w:rsidP="007632CB">
      <w:r>
        <w:t xml:space="preserve">This work has taught me that just having services available does not automatically mean that everyone can </w:t>
      </w:r>
      <w:r w:rsidR="10C54BFA">
        <w:t>use</w:t>
      </w:r>
      <w:r>
        <w:t xml:space="preserve"> them </w:t>
      </w:r>
      <w:r w:rsidR="48D084DB">
        <w:t xml:space="preserve">: </w:t>
      </w:r>
      <w:r>
        <w:t xml:space="preserve">you </w:t>
      </w:r>
      <w:r w:rsidR="06BD3E5F">
        <w:t>must</w:t>
      </w:r>
      <w:r>
        <w:t xml:space="preserve"> make sure people can reach them, understand them, and feel comfortable using them. I also learned that different people face different problems, so one single standard way of doing things will not work well for everyone. It is always better to ask people what they find difficult, rather than guessing what you think they might need.</w:t>
      </w:r>
    </w:p>
    <w:p w14:paraId="3708C9C6" w14:textId="77777777" w:rsidR="007632CB" w:rsidRDefault="007632CB" w:rsidP="007632CB"/>
    <w:p w14:paraId="67318EBD" w14:textId="2BAD08D8" w:rsidR="007632CB" w:rsidRDefault="3B0A7714" w:rsidP="007632CB">
      <w:r>
        <w:t xml:space="preserve">This will help me in my own studies and future work in care. When I am helping someone, I will not just assume they can access help easily </w:t>
      </w:r>
      <w:r w:rsidR="7CD34111">
        <w:t>:</w:t>
      </w:r>
      <w:r>
        <w:t xml:space="preserve"> I will think about what might make it hard for them as an individual. I can check if they understand what I am saying, explain things simply and clearly, or help find someone who speaks their first language if needed. I can also think about practical things like whether they have a way to get there, or if the place is easy to get into. Even small changes or extra help can help remove barriers and make sure everyone gets the fair support they deserve.</w:t>
      </w:r>
    </w:p>
    <w:p w14:paraId="733DD262" w14:textId="77777777" w:rsidR="007632CB" w:rsidRDefault="1BDFB845" w:rsidP="6862D254">
      <w:pPr>
        <w:rPr>
          <w:b/>
          <w:bCs/>
          <w:sz w:val="32"/>
          <w:szCs w:val="32"/>
        </w:rPr>
      </w:pPr>
      <w:r w:rsidRPr="6862D254">
        <w:rPr>
          <w:b/>
          <w:bCs/>
          <w:sz w:val="32"/>
          <w:szCs w:val="32"/>
        </w:rPr>
        <w:t>References</w:t>
      </w:r>
    </w:p>
    <w:p w14:paraId="25BCDEC2" w14:textId="77777777" w:rsidR="007632CB" w:rsidRDefault="007632CB" w:rsidP="007632CB"/>
    <w:p w14:paraId="61087316" w14:textId="6F5E111B" w:rsidR="007632CB" w:rsidRDefault="619E6927" w:rsidP="40E56F44">
      <w:pPr>
        <w:pStyle w:val="ListParagraph"/>
        <w:numPr>
          <w:ilvl w:val="0"/>
          <w:numId w:val="1"/>
        </w:numPr>
      </w:pPr>
      <w:r>
        <w:t>.</w:t>
      </w:r>
      <w:r w:rsidR="10CFD9A6">
        <w:t>Mensah, R. and Thompson, J. (2025) ‘Barriers to accessing health and social care support among vulnerable groups in urban and rural communities’, Health and Social Care Access Journal, 9(1), pp. 45–61.</w:t>
      </w:r>
    </w:p>
    <w:p w14:paraId="100E6DAC" w14:textId="23DA346A" w:rsidR="007632CB" w:rsidRDefault="10CFD9A6" w:rsidP="40E56F44">
      <w:pPr>
        <w:pStyle w:val="ListParagraph"/>
        <w:numPr>
          <w:ilvl w:val="0"/>
          <w:numId w:val="1"/>
        </w:numPr>
      </w:pPr>
      <w:r>
        <w:t>Care Quality Commission. (2024) Fair access to care: how well services meet people’s individual needs. London: CQC. Available at: https://www.cqc.org.uk/guidance-providers/fair-access-care (Accessed: 6 July 2026).</w:t>
      </w:r>
    </w:p>
    <w:p w14:paraId="4601D59B" w14:textId="5F543B30" w:rsidR="007632CB" w:rsidRDefault="10CFD9A6" w:rsidP="40E56F44">
      <w:pPr>
        <w:pStyle w:val="ListParagraph"/>
        <w:numPr>
          <w:ilvl w:val="0"/>
          <w:numId w:val="1"/>
        </w:numPr>
      </w:pPr>
      <w:r>
        <w:t>NHS England. (2025) Early intervention and prevention: reducing health inequalities. London: NHS England. Available at: https://www.england.nhs.uk/ourwork/population-health/health-inequalities/ (Accessed: 6 July 2026).</w:t>
      </w:r>
    </w:p>
    <w:p w14:paraId="0C47A1F7" w14:textId="6837BD34" w:rsidR="007632CB" w:rsidRDefault="6C308C34" w:rsidP="40E56F44">
      <w:pPr>
        <w:pStyle w:val="ListParagraph"/>
        <w:numPr>
          <w:ilvl w:val="0"/>
          <w:numId w:val="1"/>
        </w:numPr>
      </w:pPr>
      <w:r>
        <w:t xml:space="preserve"> </w:t>
      </w:r>
      <w:r w:rsidR="10CFD9A6">
        <w:t>Department of Health and Social Care. (2025) Making care easier: improving access for all communities. London: DHSC. Available at: https://www.gov.uk/government/publications/making-care-easier (Accessed: 6 July 2026).</w:t>
      </w:r>
    </w:p>
    <w:p w14:paraId="052BC71E" w14:textId="604FD897" w:rsidR="007632CB" w:rsidRDefault="10CFD9A6" w:rsidP="40E56F44">
      <w:pPr>
        <w:pStyle w:val="ListParagraph"/>
        <w:numPr>
          <w:ilvl w:val="0"/>
          <w:numId w:val="1"/>
        </w:numPr>
      </w:pPr>
      <w:r>
        <w:t>Age UK. (2024) Accessing care: older people’s experiences of support and information. London: Age UK. Available at: https://www.ageuk.org.uk/reports/accessing-care/ (Accessed: 6 July 2026).</w:t>
      </w:r>
    </w:p>
    <w:p w14:paraId="7B826C96" w14:textId="77777777" w:rsidR="007632CB" w:rsidRDefault="10CFD9A6" w:rsidP="40E56F44">
      <w:pPr>
        <w:pStyle w:val="ListParagraph"/>
        <w:numPr>
          <w:ilvl w:val="0"/>
          <w:numId w:val="1"/>
        </w:numPr>
      </w:pPr>
      <w:r>
        <w:t>The King’s Fund. (2025) Health inequalities and access to primary care. London: The King’s Fund. Available at: https://www.kingsfund.org.uk/publications/health-inequalities-primary-care (Accessed: 6 July 2026).</w:t>
      </w:r>
    </w:p>
    <w:p w14:paraId="5415BEC8" w14:textId="670D5655" w:rsidR="00E16560" w:rsidRDefault="00E16560"/>
    <w:sectPr w:rsidR="00E165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E26817"/>
    <w:multiLevelType w:val="hybridMultilevel"/>
    <w:tmpl w:val="FFFFFFFF"/>
    <w:lvl w:ilvl="0" w:tplc="FA2066F0">
      <w:start w:val="1"/>
      <w:numFmt w:val="bullet"/>
      <w:lvlText w:val=""/>
      <w:lvlJc w:val="left"/>
      <w:pPr>
        <w:ind w:left="720" w:hanging="360"/>
      </w:pPr>
      <w:rPr>
        <w:rFonts w:ascii="Symbol" w:hAnsi="Symbol" w:hint="default"/>
      </w:rPr>
    </w:lvl>
    <w:lvl w:ilvl="1" w:tplc="5FC220F6">
      <w:start w:val="1"/>
      <w:numFmt w:val="bullet"/>
      <w:lvlText w:val="o"/>
      <w:lvlJc w:val="left"/>
      <w:pPr>
        <w:ind w:left="1440" w:hanging="360"/>
      </w:pPr>
      <w:rPr>
        <w:rFonts w:ascii="Courier New" w:hAnsi="Courier New" w:hint="default"/>
      </w:rPr>
    </w:lvl>
    <w:lvl w:ilvl="2" w:tplc="D9820AFE">
      <w:start w:val="1"/>
      <w:numFmt w:val="bullet"/>
      <w:lvlText w:val=""/>
      <w:lvlJc w:val="left"/>
      <w:pPr>
        <w:ind w:left="2160" w:hanging="360"/>
      </w:pPr>
      <w:rPr>
        <w:rFonts w:ascii="Wingdings" w:hAnsi="Wingdings" w:hint="default"/>
      </w:rPr>
    </w:lvl>
    <w:lvl w:ilvl="3" w:tplc="FC1C4DD4">
      <w:start w:val="1"/>
      <w:numFmt w:val="bullet"/>
      <w:lvlText w:val=""/>
      <w:lvlJc w:val="left"/>
      <w:pPr>
        <w:ind w:left="2880" w:hanging="360"/>
      </w:pPr>
      <w:rPr>
        <w:rFonts w:ascii="Symbol" w:hAnsi="Symbol" w:hint="default"/>
      </w:rPr>
    </w:lvl>
    <w:lvl w:ilvl="4" w:tplc="3F9CAFE0">
      <w:start w:val="1"/>
      <w:numFmt w:val="bullet"/>
      <w:lvlText w:val="o"/>
      <w:lvlJc w:val="left"/>
      <w:pPr>
        <w:ind w:left="3600" w:hanging="360"/>
      </w:pPr>
      <w:rPr>
        <w:rFonts w:ascii="Courier New" w:hAnsi="Courier New" w:hint="default"/>
      </w:rPr>
    </w:lvl>
    <w:lvl w:ilvl="5" w:tplc="AF18A07A">
      <w:start w:val="1"/>
      <w:numFmt w:val="bullet"/>
      <w:lvlText w:val=""/>
      <w:lvlJc w:val="left"/>
      <w:pPr>
        <w:ind w:left="4320" w:hanging="360"/>
      </w:pPr>
      <w:rPr>
        <w:rFonts w:ascii="Wingdings" w:hAnsi="Wingdings" w:hint="default"/>
      </w:rPr>
    </w:lvl>
    <w:lvl w:ilvl="6" w:tplc="D3F86AFC">
      <w:start w:val="1"/>
      <w:numFmt w:val="bullet"/>
      <w:lvlText w:val=""/>
      <w:lvlJc w:val="left"/>
      <w:pPr>
        <w:ind w:left="5040" w:hanging="360"/>
      </w:pPr>
      <w:rPr>
        <w:rFonts w:ascii="Symbol" w:hAnsi="Symbol" w:hint="default"/>
      </w:rPr>
    </w:lvl>
    <w:lvl w:ilvl="7" w:tplc="C064433A">
      <w:start w:val="1"/>
      <w:numFmt w:val="bullet"/>
      <w:lvlText w:val="o"/>
      <w:lvlJc w:val="left"/>
      <w:pPr>
        <w:ind w:left="5760" w:hanging="360"/>
      </w:pPr>
      <w:rPr>
        <w:rFonts w:ascii="Courier New" w:hAnsi="Courier New" w:hint="default"/>
      </w:rPr>
    </w:lvl>
    <w:lvl w:ilvl="8" w:tplc="8BD639B2">
      <w:start w:val="1"/>
      <w:numFmt w:val="bullet"/>
      <w:lvlText w:val=""/>
      <w:lvlJc w:val="left"/>
      <w:pPr>
        <w:ind w:left="6480" w:hanging="360"/>
      </w:pPr>
      <w:rPr>
        <w:rFonts w:ascii="Wingdings" w:hAnsi="Wingdings" w:hint="default"/>
      </w:rPr>
    </w:lvl>
  </w:abstractNum>
  <w:abstractNum w:abstractNumId="1" w15:restartNumberingAfterBreak="0">
    <w:nsid w:val="174DB71D"/>
    <w:multiLevelType w:val="hybridMultilevel"/>
    <w:tmpl w:val="FFFFFFFF"/>
    <w:lvl w:ilvl="0" w:tplc="1F0A2538">
      <w:start w:val="1"/>
      <w:numFmt w:val="bullet"/>
      <w:lvlText w:val=""/>
      <w:lvlJc w:val="left"/>
      <w:pPr>
        <w:ind w:left="720" w:hanging="360"/>
      </w:pPr>
      <w:rPr>
        <w:rFonts w:ascii="Symbol" w:hAnsi="Symbol" w:hint="default"/>
      </w:rPr>
    </w:lvl>
    <w:lvl w:ilvl="1" w:tplc="2A64B596">
      <w:start w:val="1"/>
      <w:numFmt w:val="bullet"/>
      <w:lvlText w:val="o"/>
      <w:lvlJc w:val="left"/>
      <w:pPr>
        <w:ind w:left="1440" w:hanging="360"/>
      </w:pPr>
      <w:rPr>
        <w:rFonts w:ascii="Courier New" w:hAnsi="Courier New" w:hint="default"/>
      </w:rPr>
    </w:lvl>
    <w:lvl w:ilvl="2" w:tplc="B3287BD8">
      <w:start w:val="1"/>
      <w:numFmt w:val="bullet"/>
      <w:lvlText w:val=""/>
      <w:lvlJc w:val="left"/>
      <w:pPr>
        <w:ind w:left="2160" w:hanging="360"/>
      </w:pPr>
      <w:rPr>
        <w:rFonts w:ascii="Wingdings" w:hAnsi="Wingdings" w:hint="default"/>
      </w:rPr>
    </w:lvl>
    <w:lvl w:ilvl="3" w:tplc="7C646EB0">
      <w:start w:val="1"/>
      <w:numFmt w:val="bullet"/>
      <w:lvlText w:val=""/>
      <w:lvlJc w:val="left"/>
      <w:pPr>
        <w:ind w:left="2880" w:hanging="360"/>
      </w:pPr>
      <w:rPr>
        <w:rFonts w:ascii="Symbol" w:hAnsi="Symbol" w:hint="default"/>
      </w:rPr>
    </w:lvl>
    <w:lvl w:ilvl="4" w:tplc="EB0814F2">
      <w:start w:val="1"/>
      <w:numFmt w:val="bullet"/>
      <w:lvlText w:val="o"/>
      <w:lvlJc w:val="left"/>
      <w:pPr>
        <w:ind w:left="3600" w:hanging="360"/>
      </w:pPr>
      <w:rPr>
        <w:rFonts w:ascii="Courier New" w:hAnsi="Courier New" w:hint="default"/>
      </w:rPr>
    </w:lvl>
    <w:lvl w:ilvl="5" w:tplc="C7FCBA8E">
      <w:start w:val="1"/>
      <w:numFmt w:val="bullet"/>
      <w:lvlText w:val=""/>
      <w:lvlJc w:val="left"/>
      <w:pPr>
        <w:ind w:left="4320" w:hanging="360"/>
      </w:pPr>
      <w:rPr>
        <w:rFonts w:ascii="Wingdings" w:hAnsi="Wingdings" w:hint="default"/>
      </w:rPr>
    </w:lvl>
    <w:lvl w:ilvl="6" w:tplc="502AA99A">
      <w:start w:val="1"/>
      <w:numFmt w:val="bullet"/>
      <w:lvlText w:val=""/>
      <w:lvlJc w:val="left"/>
      <w:pPr>
        <w:ind w:left="5040" w:hanging="360"/>
      </w:pPr>
      <w:rPr>
        <w:rFonts w:ascii="Symbol" w:hAnsi="Symbol" w:hint="default"/>
      </w:rPr>
    </w:lvl>
    <w:lvl w:ilvl="7" w:tplc="1C9AC384">
      <w:start w:val="1"/>
      <w:numFmt w:val="bullet"/>
      <w:lvlText w:val="o"/>
      <w:lvlJc w:val="left"/>
      <w:pPr>
        <w:ind w:left="5760" w:hanging="360"/>
      </w:pPr>
      <w:rPr>
        <w:rFonts w:ascii="Courier New" w:hAnsi="Courier New" w:hint="default"/>
      </w:rPr>
    </w:lvl>
    <w:lvl w:ilvl="8" w:tplc="20D6FFE4">
      <w:start w:val="1"/>
      <w:numFmt w:val="bullet"/>
      <w:lvlText w:val=""/>
      <w:lvlJc w:val="left"/>
      <w:pPr>
        <w:ind w:left="6480" w:hanging="360"/>
      </w:pPr>
      <w:rPr>
        <w:rFonts w:ascii="Wingdings" w:hAnsi="Wingdings" w:hint="default"/>
      </w:rPr>
    </w:lvl>
  </w:abstractNum>
  <w:abstractNum w:abstractNumId="2" w15:restartNumberingAfterBreak="0">
    <w:nsid w:val="1CF55B05"/>
    <w:multiLevelType w:val="hybridMultilevel"/>
    <w:tmpl w:val="FFFFFFFF"/>
    <w:lvl w:ilvl="0" w:tplc="959AC8CC">
      <w:start w:val="1"/>
      <w:numFmt w:val="decimal"/>
      <w:lvlText w:val="%1."/>
      <w:lvlJc w:val="left"/>
      <w:pPr>
        <w:ind w:left="1080" w:hanging="360"/>
      </w:pPr>
    </w:lvl>
    <w:lvl w:ilvl="1" w:tplc="D70A5584">
      <w:start w:val="1"/>
      <w:numFmt w:val="lowerLetter"/>
      <w:lvlText w:val="%2."/>
      <w:lvlJc w:val="left"/>
      <w:pPr>
        <w:ind w:left="1800" w:hanging="360"/>
      </w:pPr>
    </w:lvl>
    <w:lvl w:ilvl="2" w:tplc="0B3437DC">
      <w:start w:val="1"/>
      <w:numFmt w:val="lowerRoman"/>
      <w:lvlText w:val="%3."/>
      <w:lvlJc w:val="right"/>
      <w:pPr>
        <w:ind w:left="2520" w:hanging="180"/>
      </w:pPr>
    </w:lvl>
    <w:lvl w:ilvl="3" w:tplc="763C6AC4">
      <w:start w:val="1"/>
      <w:numFmt w:val="decimal"/>
      <w:lvlText w:val="%4."/>
      <w:lvlJc w:val="left"/>
      <w:pPr>
        <w:ind w:left="3240" w:hanging="360"/>
      </w:pPr>
    </w:lvl>
    <w:lvl w:ilvl="4" w:tplc="457C290A">
      <w:start w:val="1"/>
      <w:numFmt w:val="lowerLetter"/>
      <w:lvlText w:val="%5."/>
      <w:lvlJc w:val="left"/>
      <w:pPr>
        <w:ind w:left="3960" w:hanging="360"/>
      </w:pPr>
    </w:lvl>
    <w:lvl w:ilvl="5" w:tplc="AFD055EA">
      <w:start w:val="1"/>
      <w:numFmt w:val="lowerRoman"/>
      <w:lvlText w:val="%6."/>
      <w:lvlJc w:val="right"/>
      <w:pPr>
        <w:ind w:left="4680" w:hanging="180"/>
      </w:pPr>
    </w:lvl>
    <w:lvl w:ilvl="6" w:tplc="8360A2AA">
      <w:start w:val="1"/>
      <w:numFmt w:val="decimal"/>
      <w:lvlText w:val="%7."/>
      <w:lvlJc w:val="left"/>
      <w:pPr>
        <w:ind w:left="5400" w:hanging="360"/>
      </w:pPr>
    </w:lvl>
    <w:lvl w:ilvl="7" w:tplc="E6563124">
      <w:start w:val="1"/>
      <w:numFmt w:val="lowerLetter"/>
      <w:lvlText w:val="%8."/>
      <w:lvlJc w:val="left"/>
      <w:pPr>
        <w:ind w:left="6120" w:hanging="360"/>
      </w:pPr>
    </w:lvl>
    <w:lvl w:ilvl="8" w:tplc="ADB6CD86">
      <w:start w:val="1"/>
      <w:numFmt w:val="lowerRoman"/>
      <w:lvlText w:val="%9."/>
      <w:lvlJc w:val="right"/>
      <w:pPr>
        <w:ind w:left="6840" w:hanging="180"/>
      </w:pPr>
    </w:lvl>
  </w:abstractNum>
  <w:abstractNum w:abstractNumId="3" w15:restartNumberingAfterBreak="0">
    <w:nsid w:val="42FE957B"/>
    <w:multiLevelType w:val="hybridMultilevel"/>
    <w:tmpl w:val="FFFFFFFF"/>
    <w:lvl w:ilvl="0" w:tplc="3F46E3A4">
      <w:start w:val="1"/>
      <w:numFmt w:val="decimal"/>
      <w:lvlText w:val="%1."/>
      <w:lvlJc w:val="left"/>
      <w:pPr>
        <w:ind w:left="1440" w:hanging="360"/>
      </w:pPr>
    </w:lvl>
    <w:lvl w:ilvl="1" w:tplc="CE10E3B8">
      <w:start w:val="1"/>
      <w:numFmt w:val="lowerLetter"/>
      <w:lvlText w:val="%2."/>
      <w:lvlJc w:val="left"/>
      <w:pPr>
        <w:ind w:left="2160" w:hanging="360"/>
      </w:pPr>
    </w:lvl>
    <w:lvl w:ilvl="2" w:tplc="B0645CB2">
      <w:start w:val="1"/>
      <w:numFmt w:val="lowerRoman"/>
      <w:lvlText w:val="%3."/>
      <w:lvlJc w:val="right"/>
      <w:pPr>
        <w:ind w:left="2880" w:hanging="180"/>
      </w:pPr>
    </w:lvl>
    <w:lvl w:ilvl="3" w:tplc="95D6DF0E">
      <w:start w:val="1"/>
      <w:numFmt w:val="decimal"/>
      <w:lvlText w:val="%4."/>
      <w:lvlJc w:val="left"/>
      <w:pPr>
        <w:ind w:left="3600" w:hanging="360"/>
      </w:pPr>
    </w:lvl>
    <w:lvl w:ilvl="4" w:tplc="AE2EB156">
      <w:start w:val="1"/>
      <w:numFmt w:val="lowerLetter"/>
      <w:lvlText w:val="%5."/>
      <w:lvlJc w:val="left"/>
      <w:pPr>
        <w:ind w:left="4320" w:hanging="360"/>
      </w:pPr>
    </w:lvl>
    <w:lvl w:ilvl="5" w:tplc="C40EE96A">
      <w:start w:val="1"/>
      <w:numFmt w:val="lowerRoman"/>
      <w:lvlText w:val="%6."/>
      <w:lvlJc w:val="right"/>
      <w:pPr>
        <w:ind w:left="5040" w:hanging="180"/>
      </w:pPr>
    </w:lvl>
    <w:lvl w:ilvl="6" w:tplc="13DE76BE">
      <w:start w:val="1"/>
      <w:numFmt w:val="decimal"/>
      <w:lvlText w:val="%7."/>
      <w:lvlJc w:val="left"/>
      <w:pPr>
        <w:ind w:left="5760" w:hanging="360"/>
      </w:pPr>
    </w:lvl>
    <w:lvl w:ilvl="7" w:tplc="F0F22622">
      <w:start w:val="1"/>
      <w:numFmt w:val="lowerLetter"/>
      <w:lvlText w:val="%8."/>
      <w:lvlJc w:val="left"/>
      <w:pPr>
        <w:ind w:left="6480" w:hanging="360"/>
      </w:pPr>
    </w:lvl>
    <w:lvl w:ilvl="8" w:tplc="3B6AC35E">
      <w:start w:val="1"/>
      <w:numFmt w:val="lowerRoman"/>
      <w:lvlText w:val="%9."/>
      <w:lvlJc w:val="right"/>
      <w:pPr>
        <w:ind w:left="7200" w:hanging="180"/>
      </w:pPr>
    </w:lvl>
  </w:abstractNum>
  <w:abstractNum w:abstractNumId="4" w15:restartNumberingAfterBreak="0">
    <w:nsid w:val="44F438E0"/>
    <w:multiLevelType w:val="hybridMultilevel"/>
    <w:tmpl w:val="FFFFFFFF"/>
    <w:lvl w:ilvl="0" w:tplc="71206ED4">
      <w:start w:val="1"/>
      <w:numFmt w:val="decimal"/>
      <w:lvlText w:val="%1."/>
      <w:lvlJc w:val="left"/>
      <w:pPr>
        <w:ind w:left="1080" w:hanging="360"/>
      </w:pPr>
    </w:lvl>
    <w:lvl w:ilvl="1" w:tplc="43A23180">
      <w:start w:val="1"/>
      <w:numFmt w:val="lowerLetter"/>
      <w:lvlText w:val="%2."/>
      <w:lvlJc w:val="left"/>
      <w:pPr>
        <w:ind w:left="1800" w:hanging="360"/>
      </w:pPr>
    </w:lvl>
    <w:lvl w:ilvl="2" w:tplc="5B7AEB9C">
      <w:start w:val="1"/>
      <w:numFmt w:val="lowerRoman"/>
      <w:lvlText w:val="%3."/>
      <w:lvlJc w:val="right"/>
      <w:pPr>
        <w:ind w:left="2520" w:hanging="180"/>
      </w:pPr>
    </w:lvl>
    <w:lvl w:ilvl="3" w:tplc="883AA314">
      <w:start w:val="1"/>
      <w:numFmt w:val="decimal"/>
      <w:lvlText w:val="%4."/>
      <w:lvlJc w:val="left"/>
      <w:pPr>
        <w:ind w:left="3240" w:hanging="360"/>
      </w:pPr>
    </w:lvl>
    <w:lvl w:ilvl="4" w:tplc="A3661114">
      <w:start w:val="1"/>
      <w:numFmt w:val="lowerLetter"/>
      <w:lvlText w:val="%5."/>
      <w:lvlJc w:val="left"/>
      <w:pPr>
        <w:ind w:left="3960" w:hanging="360"/>
      </w:pPr>
    </w:lvl>
    <w:lvl w:ilvl="5" w:tplc="77F68782">
      <w:start w:val="1"/>
      <w:numFmt w:val="lowerRoman"/>
      <w:lvlText w:val="%6."/>
      <w:lvlJc w:val="right"/>
      <w:pPr>
        <w:ind w:left="4680" w:hanging="180"/>
      </w:pPr>
    </w:lvl>
    <w:lvl w:ilvl="6" w:tplc="0D282B38">
      <w:start w:val="1"/>
      <w:numFmt w:val="decimal"/>
      <w:lvlText w:val="%7."/>
      <w:lvlJc w:val="left"/>
      <w:pPr>
        <w:ind w:left="5400" w:hanging="360"/>
      </w:pPr>
    </w:lvl>
    <w:lvl w:ilvl="7" w:tplc="492A2BCE">
      <w:start w:val="1"/>
      <w:numFmt w:val="lowerLetter"/>
      <w:lvlText w:val="%8."/>
      <w:lvlJc w:val="left"/>
      <w:pPr>
        <w:ind w:left="6120" w:hanging="360"/>
      </w:pPr>
    </w:lvl>
    <w:lvl w:ilvl="8" w:tplc="FC4455C8">
      <w:start w:val="1"/>
      <w:numFmt w:val="lowerRoman"/>
      <w:lvlText w:val="%9."/>
      <w:lvlJc w:val="right"/>
      <w:pPr>
        <w:ind w:left="6840" w:hanging="180"/>
      </w:pPr>
    </w:lvl>
  </w:abstractNum>
  <w:abstractNum w:abstractNumId="5" w15:restartNumberingAfterBreak="0">
    <w:nsid w:val="4AEA799F"/>
    <w:multiLevelType w:val="hybridMultilevel"/>
    <w:tmpl w:val="FFFFFFFF"/>
    <w:lvl w:ilvl="0" w:tplc="112E83E6">
      <w:start w:val="1"/>
      <w:numFmt w:val="decimal"/>
      <w:lvlText w:val="%1."/>
      <w:lvlJc w:val="left"/>
      <w:pPr>
        <w:ind w:left="1080" w:hanging="360"/>
      </w:pPr>
    </w:lvl>
    <w:lvl w:ilvl="1" w:tplc="AE28DC84">
      <w:start w:val="1"/>
      <w:numFmt w:val="lowerLetter"/>
      <w:lvlText w:val="%2."/>
      <w:lvlJc w:val="left"/>
      <w:pPr>
        <w:ind w:left="1800" w:hanging="360"/>
      </w:pPr>
    </w:lvl>
    <w:lvl w:ilvl="2" w:tplc="46E633DC">
      <w:start w:val="1"/>
      <w:numFmt w:val="lowerRoman"/>
      <w:lvlText w:val="%3."/>
      <w:lvlJc w:val="right"/>
      <w:pPr>
        <w:ind w:left="2520" w:hanging="180"/>
      </w:pPr>
    </w:lvl>
    <w:lvl w:ilvl="3" w:tplc="08AAD8E4">
      <w:start w:val="1"/>
      <w:numFmt w:val="decimal"/>
      <w:lvlText w:val="%4."/>
      <w:lvlJc w:val="left"/>
      <w:pPr>
        <w:ind w:left="3240" w:hanging="360"/>
      </w:pPr>
    </w:lvl>
    <w:lvl w:ilvl="4" w:tplc="4D761BD4">
      <w:start w:val="1"/>
      <w:numFmt w:val="lowerLetter"/>
      <w:lvlText w:val="%5."/>
      <w:lvlJc w:val="left"/>
      <w:pPr>
        <w:ind w:left="3960" w:hanging="360"/>
      </w:pPr>
    </w:lvl>
    <w:lvl w:ilvl="5" w:tplc="0F2C5E1E">
      <w:start w:val="1"/>
      <w:numFmt w:val="lowerRoman"/>
      <w:lvlText w:val="%6."/>
      <w:lvlJc w:val="right"/>
      <w:pPr>
        <w:ind w:left="4680" w:hanging="180"/>
      </w:pPr>
    </w:lvl>
    <w:lvl w:ilvl="6" w:tplc="3BD2748E">
      <w:start w:val="1"/>
      <w:numFmt w:val="decimal"/>
      <w:lvlText w:val="%7."/>
      <w:lvlJc w:val="left"/>
      <w:pPr>
        <w:ind w:left="5400" w:hanging="360"/>
      </w:pPr>
    </w:lvl>
    <w:lvl w:ilvl="7" w:tplc="C95A07A4">
      <w:start w:val="1"/>
      <w:numFmt w:val="lowerLetter"/>
      <w:lvlText w:val="%8."/>
      <w:lvlJc w:val="left"/>
      <w:pPr>
        <w:ind w:left="6120" w:hanging="360"/>
      </w:pPr>
    </w:lvl>
    <w:lvl w:ilvl="8" w:tplc="93141246">
      <w:start w:val="1"/>
      <w:numFmt w:val="lowerRoman"/>
      <w:lvlText w:val="%9."/>
      <w:lvlJc w:val="right"/>
      <w:pPr>
        <w:ind w:left="6840" w:hanging="180"/>
      </w:pPr>
    </w:lvl>
  </w:abstractNum>
  <w:num w:numId="1" w16cid:durableId="238684193">
    <w:abstractNumId w:val="4"/>
  </w:num>
  <w:num w:numId="2" w16cid:durableId="823858577">
    <w:abstractNumId w:val="3"/>
  </w:num>
  <w:num w:numId="3" w16cid:durableId="1563061856">
    <w:abstractNumId w:val="2"/>
  </w:num>
  <w:num w:numId="4" w16cid:durableId="2121801347">
    <w:abstractNumId w:val="5"/>
  </w:num>
  <w:num w:numId="5" w16cid:durableId="1667399428">
    <w:abstractNumId w:val="0"/>
  </w:num>
  <w:num w:numId="6" w16cid:durableId="193771456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560"/>
    <w:rsid w:val="00125ECA"/>
    <w:rsid w:val="00301588"/>
    <w:rsid w:val="0057317D"/>
    <w:rsid w:val="005C51D3"/>
    <w:rsid w:val="00687783"/>
    <w:rsid w:val="007632CB"/>
    <w:rsid w:val="00C65585"/>
    <w:rsid w:val="00DD1E1D"/>
    <w:rsid w:val="00E16560"/>
    <w:rsid w:val="00FD67B7"/>
    <w:rsid w:val="0339D296"/>
    <w:rsid w:val="048A64CC"/>
    <w:rsid w:val="06040C2A"/>
    <w:rsid w:val="06BD3E5F"/>
    <w:rsid w:val="09B0A42E"/>
    <w:rsid w:val="0B56CDDA"/>
    <w:rsid w:val="0BFE09DB"/>
    <w:rsid w:val="0D10C34E"/>
    <w:rsid w:val="0E17BCC7"/>
    <w:rsid w:val="0E5005A9"/>
    <w:rsid w:val="0EA9BF50"/>
    <w:rsid w:val="0F842063"/>
    <w:rsid w:val="108F3442"/>
    <w:rsid w:val="10C54BFA"/>
    <w:rsid w:val="10CFD9A6"/>
    <w:rsid w:val="11F6EF16"/>
    <w:rsid w:val="14136041"/>
    <w:rsid w:val="1527139E"/>
    <w:rsid w:val="16A236B0"/>
    <w:rsid w:val="1774DA9B"/>
    <w:rsid w:val="17EF36CD"/>
    <w:rsid w:val="1957E696"/>
    <w:rsid w:val="1A30795B"/>
    <w:rsid w:val="1AB0D603"/>
    <w:rsid w:val="1BC90D7B"/>
    <w:rsid w:val="1BDFB845"/>
    <w:rsid w:val="1C74E652"/>
    <w:rsid w:val="1FFBBAFA"/>
    <w:rsid w:val="216D1E8E"/>
    <w:rsid w:val="21B04B0B"/>
    <w:rsid w:val="22BB0241"/>
    <w:rsid w:val="23696E62"/>
    <w:rsid w:val="23B1816E"/>
    <w:rsid w:val="23CB9072"/>
    <w:rsid w:val="2638E9DB"/>
    <w:rsid w:val="267C22A1"/>
    <w:rsid w:val="28569F7D"/>
    <w:rsid w:val="2936D832"/>
    <w:rsid w:val="29BC95E8"/>
    <w:rsid w:val="2B182DAE"/>
    <w:rsid w:val="2E6DC9EF"/>
    <w:rsid w:val="2E94027E"/>
    <w:rsid w:val="2ED2F329"/>
    <w:rsid w:val="3264B79B"/>
    <w:rsid w:val="330788A6"/>
    <w:rsid w:val="3883E2C6"/>
    <w:rsid w:val="3B0A7714"/>
    <w:rsid w:val="3B2DA138"/>
    <w:rsid w:val="3B3D6551"/>
    <w:rsid w:val="3D42A4B7"/>
    <w:rsid w:val="3DC3C7DA"/>
    <w:rsid w:val="3E08A21D"/>
    <w:rsid w:val="40E56F44"/>
    <w:rsid w:val="4126FD0C"/>
    <w:rsid w:val="455522F6"/>
    <w:rsid w:val="478A0199"/>
    <w:rsid w:val="487F6A07"/>
    <w:rsid w:val="48D084DB"/>
    <w:rsid w:val="4F4803E7"/>
    <w:rsid w:val="515D3235"/>
    <w:rsid w:val="577737C2"/>
    <w:rsid w:val="5B87C49E"/>
    <w:rsid w:val="5D748EFD"/>
    <w:rsid w:val="5F6DF68E"/>
    <w:rsid w:val="6029E40B"/>
    <w:rsid w:val="60E9EED9"/>
    <w:rsid w:val="619E6927"/>
    <w:rsid w:val="61F1893B"/>
    <w:rsid w:val="626FBA0F"/>
    <w:rsid w:val="637A8098"/>
    <w:rsid w:val="64780B9F"/>
    <w:rsid w:val="680CEC81"/>
    <w:rsid w:val="6862D254"/>
    <w:rsid w:val="69EE2FF9"/>
    <w:rsid w:val="69F5E949"/>
    <w:rsid w:val="6AECB78B"/>
    <w:rsid w:val="6BE0BC07"/>
    <w:rsid w:val="6C308C34"/>
    <w:rsid w:val="6D9B6F32"/>
    <w:rsid w:val="6EC2CC35"/>
    <w:rsid w:val="71B97609"/>
    <w:rsid w:val="7277BF85"/>
    <w:rsid w:val="74423D10"/>
    <w:rsid w:val="7442EEAD"/>
    <w:rsid w:val="75D9DB97"/>
    <w:rsid w:val="7A63A0FE"/>
    <w:rsid w:val="7B7977FD"/>
    <w:rsid w:val="7CD34111"/>
    <w:rsid w:val="7DB02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05AA15"/>
  <w15:chartTrackingRefBased/>
  <w15:docId w15:val="{0D4E1A0B-3C9C-7940-9C2C-E15246E8C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5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65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5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5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5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5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5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5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5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5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65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5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5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5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5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5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5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560"/>
    <w:rPr>
      <w:rFonts w:eastAsiaTheme="majorEastAsia" w:cstheme="majorBidi"/>
      <w:color w:val="272727" w:themeColor="text1" w:themeTint="D8"/>
    </w:rPr>
  </w:style>
  <w:style w:type="paragraph" w:styleId="Title">
    <w:name w:val="Title"/>
    <w:basedOn w:val="Normal"/>
    <w:next w:val="Normal"/>
    <w:link w:val="TitleChar"/>
    <w:uiPriority w:val="10"/>
    <w:qFormat/>
    <w:rsid w:val="00E165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5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5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5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560"/>
    <w:pPr>
      <w:spacing w:before="160"/>
      <w:jc w:val="center"/>
    </w:pPr>
    <w:rPr>
      <w:i/>
      <w:iCs/>
      <w:color w:val="404040" w:themeColor="text1" w:themeTint="BF"/>
    </w:rPr>
  </w:style>
  <w:style w:type="character" w:customStyle="1" w:styleId="QuoteChar">
    <w:name w:val="Quote Char"/>
    <w:basedOn w:val="DefaultParagraphFont"/>
    <w:link w:val="Quote"/>
    <w:uiPriority w:val="29"/>
    <w:rsid w:val="00E16560"/>
    <w:rPr>
      <w:i/>
      <w:iCs/>
      <w:color w:val="404040" w:themeColor="text1" w:themeTint="BF"/>
    </w:rPr>
  </w:style>
  <w:style w:type="paragraph" w:styleId="ListParagraph">
    <w:name w:val="List Paragraph"/>
    <w:basedOn w:val="Normal"/>
    <w:uiPriority w:val="34"/>
    <w:qFormat/>
    <w:rsid w:val="00E16560"/>
    <w:pPr>
      <w:ind w:left="720"/>
      <w:contextualSpacing/>
    </w:pPr>
  </w:style>
  <w:style w:type="character" w:styleId="IntenseEmphasis">
    <w:name w:val="Intense Emphasis"/>
    <w:basedOn w:val="DefaultParagraphFont"/>
    <w:uiPriority w:val="21"/>
    <w:qFormat/>
    <w:rsid w:val="00E16560"/>
    <w:rPr>
      <w:i/>
      <w:iCs/>
      <w:color w:val="0F4761" w:themeColor="accent1" w:themeShade="BF"/>
    </w:rPr>
  </w:style>
  <w:style w:type="paragraph" w:styleId="IntenseQuote">
    <w:name w:val="Intense Quote"/>
    <w:basedOn w:val="Normal"/>
    <w:next w:val="Normal"/>
    <w:link w:val="IntenseQuoteChar"/>
    <w:uiPriority w:val="30"/>
    <w:qFormat/>
    <w:rsid w:val="00E165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560"/>
    <w:rPr>
      <w:i/>
      <w:iCs/>
      <w:color w:val="0F4761" w:themeColor="accent1" w:themeShade="BF"/>
    </w:rPr>
  </w:style>
  <w:style w:type="character" w:styleId="IntenseReference">
    <w:name w:val="Intense Reference"/>
    <w:basedOn w:val="DefaultParagraphFont"/>
    <w:uiPriority w:val="32"/>
    <w:qFormat/>
    <w:rsid w:val="00E165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2009</Words>
  <Characters>11456</Characters>
  <Application>Microsoft Office Word</Application>
  <DocSecurity>0</DocSecurity>
  <Lines>95</Lines>
  <Paragraphs>26</Paragraphs>
  <ScaleCrop>false</ScaleCrop>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Andrada-Maria Aniculaesei (2540015)</dc:creator>
  <cp:keywords/>
  <dc:description/>
  <cp:lastModifiedBy>Vasile Baiculescu (2541646)</cp:lastModifiedBy>
  <cp:revision>2</cp:revision>
  <dcterms:created xsi:type="dcterms:W3CDTF">2026-07-17T09:27:00Z</dcterms:created>
  <dcterms:modified xsi:type="dcterms:W3CDTF">2026-07-17T09:27:00Z</dcterms:modified>
</cp:coreProperties>
</file>