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 /><Relationship Id="rId2" Type="http://schemas.openxmlformats.org/package/2006/relationships/metadata/thumbnail" Target="docProps/thumbnail.emf" /><Relationship Id="rId1" Type="http://schemas.openxmlformats.org/officeDocument/2006/relationships/officeDocument" Target="word/document.xml" /><Relationship Id="rId4" Type="http://schemas.openxmlformats.org/officeDocument/2006/relationships/extended-properties" Target="docProps/app.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79F5604" w14:textId="77777777" w:rsidR="000461A7" w:rsidRDefault="000461A7" w:rsidP="000461A7">
      <w:pPr>
        <w:rPr>
          <w:rFonts w:ascii="Times New Roman" w:hAnsi="Times New Roman" w:cs="Times New Roman"/>
          <w:b/>
          <w:sz w:val="24"/>
          <w:szCs w:val="24"/>
        </w:rPr>
      </w:pPr>
    </w:p>
    <w:p w14:paraId="76B3A5E6" w14:textId="77777777" w:rsidR="000461A7" w:rsidRDefault="000461A7" w:rsidP="000461A7">
      <w:pPr>
        <w:jc w:val="center"/>
        <w:rPr>
          <w:rFonts w:ascii="Times New Roman" w:hAnsi="Times New Roman" w:cs="Times New Roman"/>
          <w:sz w:val="24"/>
          <w:szCs w:val="24"/>
        </w:rPr>
      </w:pPr>
    </w:p>
    <w:p w14:paraId="64F06F93" w14:textId="77777777" w:rsidR="000461A7" w:rsidRDefault="000461A7" w:rsidP="000461A7">
      <w:pPr>
        <w:jc w:val="center"/>
        <w:rPr>
          <w:rFonts w:ascii="Times New Roman" w:hAnsi="Times New Roman" w:cs="Times New Roman"/>
          <w:sz w:val="24"/>
          <w:szCs w:val="24"/>
        </w:rPr>
      </w:pPr>
    </w:p>
    <w:p w14:paraId="76F54087" w14:textId="77777777" w:rsidR="000461A7" w:rsidRDefault="000461A7" w:rsidP="000461A7">
      <w:pPr>
        <w:jc w:val="center"/>
        <w:rPr>
          <w:rFonts w:ascii="Times New Roman" w:hAnsi="Times New Roman" w:cs="Times New Roman"/>
          <w:sz w:val="24"/>
          <w:szCs w:val="24"/>
        </w:rPr>
      </w:pPr>
    </w:p>
    <w:p w14:paraId="39B96AFD" w14:textId="77777777" w:rsidR="000461A7" w:rsidRDefault="000461A7" w:rsidP="000461A7">
      <w:pPr>
        <w:jc w:val="center"/>
        <w:rPr>
          <w:rFonts w:ascii="Times New Roman" w:hAnsi="Times New Roman" w:cs="Times New Roman"/>
          <w:sz w:val="24"/>
          <w:szCs w:val="24"/>
        </w:rPr>
      </w:pPr>
    </w:p>
    <w:p w14:paraId="194A2DC6" w14:textId="77777777" w:rsidR="000461A7" w:rsidRDefault="000461A7" w:rsidP="000461A7">
      <w:pPr>
        <w:jc w:val="center"/>
        <w:rPr>
          <w:rFonts w:ascii="Times New Roman" w:hAnsi="Times New Roman" w:cs="Times New Roman"/>
          <w:sz w:val="24"/>
          <w:szCs w:val="24"/>
        </w:rPr>
      </w:pPr>
    </w:p>
    <w:p w14:paraId="4DCAD1CE" w14:textId="77777777" w:rsidR="000461A7" w:rsidRDefault="000461A7" w:rsidP="000461A7">
      <w:pPr>
        <w:jc w:val="center"/>
        <w:rPr>
          <w:rFonts w:ascii="Times New Roman" w:hAnsi="Times New Roman" w:cs="Times New Roman"/>
          <w:sz w:val="24"/>
          <w:szCs w:val="24"/>
        </w:rPr>
      </w:pPr>
    </w:p>
    <w:p w14:paraId="78DFB39C" w14:textId="77777777" w:rsidR="000461A7" w:rsidRDefault="000461A7" w:rsidP="000461A7">
      <w:pPr>
        <w:jc w:val="center"/>
        <w:rPr>
          <w:rFonts w:ascii="Times New Roman" w:hAnsi="Times New Roman" w:cs="Times New Roman"/>
          <w:sz w:val="24"/>
          <w:szCs w:val="24"/>
        </w:rPr>
      </w:pPr>
    </w:p>
    <w:p w14:paraId="38FA5777" w14:textId="77777777" w:rsidR="000461A7" w:rsidRDefault="000461A7" w:rsidP="000461A7">
      <w:pPr>
        <w:jc w:val="center"/>
        <w:rPr>
          <w:rFonts w:ascii="Times New Roman" w:hAnsi="Times New Roman" w:cs="Times New Roman"/>
          <w:sz w:val="24"/>
          <w:szCs w:val="24"/>
        </w:rPr>
      </w:pPr>
    </w:p>
    <w:p w14:paraId="76FA4A5E" w14:textId="77777777" w:rsidR="000461A7" w:rsidRDefault="000461A7" w:rsidP="000461A7">
      <w:pPr>
        <w:jc w:val="center"/>
        <w:rPr>
          <w:rFonts w:ascii="Times New Roman" w:hAnsi="Times New Roman" w:cs="Times New Roman"/>
          <w:sz w:val="24"/>
          <w:szCs w:val="24"/>
        </w:rPr>
      </w:pPr>
    </w:p>
    <w:p w14:paraId="7B03E5B1" w14:textId="77777777" w:rsidR="000461A7" w:rsidRDefault="000461A7" w:rsidP="000461A7">
      <w:pPr>
        <w:jc w:val="center"/>
        <w:rPr>
          <w:rFonts w:ascii="Times New Roman" w:hAnsi="Times New Roman" w:cs="Times New Roman"/>
          <w:sz w:val="24"/>
          <w:szCs w:val="24"/>
        </w:rPr>
      </w:pPr>
    </w:p>
    <w:p w14:paraId="5F8FA6B8" w14:textId="77777777" w:rsidR="000461A7" w:rsidRPr="000461A7" w:rsidRDefault="000461A7" w:rsidP="000461A7">
      <w:pPr>
        <w:jc w:val="center"/>
        <w:rPr>
          <w:rFonts w:ascii="Times New Roman" w:hAnsi="Times New Roman" w:cs="Times New Roman"/>
          <w:sz w:val="24"/>
          <w:szCs w:val="24"/>
        </w:rPr>
      </w:pPr>
      <w:r w:rsidRPr="000461A7">
        <w:rPr>
          <w:rFonts w:ascii="Times New Roman" w:hAnsi="Times New Roman" w:cs="Times New Roman"/>
          <w:sz w:val="24"/>
          <w:szCs w:val="24"/>
        </w:rPr>
        <w:t>The law in relation to non-fatal offences against the person is no longer fit for purpose and is in need of reform. Discuss.</w:t>
      </w:r>
    </w:p>
    <w:p w14:paraId="24FBBE95" w14:textId="6BD15F0B" w:rsidR="000461A7" w:rsidRPr="000461A7" w:rsidRDefault="000461A7" w:rsidP="000461A7">
      <w:pPr>
        <w:jc w:val="center"/>
        <w:rPr>
          <w:rFonts w:ascii="Times New Roman" w:hAnsi="Times New Roman" w:cs="Times New Roman"/>
          <w:sz w:val="24"/>
          <w:szCs w:val="24"/>
        </w:rPr>
      </w:pPr>
      <w:proofErr w:type="gramStart"/>
      <w:r w:rsidRPr="000461A7">
        <w:rPr>
          <w:rFonts w:ascii="Times New Roman" w:hAnsi="Times New Roman" w:cs="Times New Roman"/>
          <w:sz w:val="24"/>
          <w:szCs w:val="24"/>
        </w:rPr>
        <w:t>Name</w:t>
      </w:r>
      <w:r w:rsidR="00607CBA">
        <w:rPr>
          <w:rFonts w:ascii="Times New Roman" w:hAnsi="Times New Roman" w:cs="Times New Roman"/>
          <w:sz w:val="24"/>
          <w:szCs w:val="24"/>
        </w:rPr>
        <w:t xml:space="preserve"> :</w:t>
      </w:r>
      <w:proofErr w:type="gramEnd"/>
      <w:r w:rsidR="00607CBA">
        <w:rPr>
          <w:rFonts w:ascii="Times New Roman" w:hAnsi="Times New Roman" w:cs="Times New Roman"/>
          <w:sz w:val="24"/>
          <w:szCs w:val="24"/>
        </w:rPr>
        <w:t xml:space="preserve"> Roxana-Maria </w:t>
      </w:r>
      <w:proofErr w:type="spellStart"/>
      <w:r w:rsidR="00607CBA">
        <w:rPr>
          <w:rFonts w:ascii="Times New Roman" w:hAnsi="Times New Roman" w:cs="Times New Roman"/>
          <w:sz w:val="24"/>
          <w:szCs w:val="24"/>
        </w:rPr>
        <w:t>Burlacu</w:t>
      </w:r>
      <w:proofErr w:type="spellEnd"/>
    </w:p>
    <w:p w14:paraId="3D15A458" w14:textId="77777777" w:rsidR="00CA0289" w:rsidRDefault="00607CBA" w:rsidP="000461A7">
      <w:pPr>
        <w:jc w:val="center"/>
        <w:rPr>
          <w:rFonts w:ascii="Times New Roman" w:hAnsi="Times New Roman" w:cs="Times New Roman"/>
          <w:sz w:val="24"/>
          <w:szCs w:val="24"/>
        </w:rPr>
      </w:pPr>
      <w:proofErr w:type="gramStart"/>
      <w:r>
        <w:rPr>
          <w:rFonts w:ascii="Times New Roman" w:hAnsi="Times New Roman" w:cs="Times New Roman"/>
          <w:sz w:val="24"/>
          <w:szCs w:val="24"/>
        </w:rPr>
        <w:t>Module :</w:t>
      </w:r>
      <w:proofErr w:type="gramEnd"/>
      <w:r>
        <w:rPr>
          <w:rFonts w:ascii="Times New Roman" w:hAnsi="Times New Roman" w:cs="Times New Roman"/>
          <w:sz w:val="24"/>
          <w:szCs w:val="24"/>
        </w:rPr>
        <w:t xml:space="preserve"> Criminal Law </w:t>
      </w:r>
      <w:r w:rsidR="0049754B">
        <w:rPr>
          <w:rFonts w:ascii="Times New Roman" w:hAnsi="Times New Roman" w:cs="Times New Roman"/>
          <w:sz w:val="24"/>
          <w:szCs w:val="24"/>
        </w:rPr>
        <w:t>(BMLW</w:t>
      </w:r>
      <w:r w:rsidR="00B17B9C">
        <w:rPr>
          <w:rFonts w:ascii="Times New Roman" w:hAnsi="Times New Roman" w:cs="Times New Roman"/>
          <w:sz w:val="24"/>
          <w:szCs w:val="24"/>
        </w:rPr>
        <w:t>4002)</w:t>
      </w:r>
    </w:p>
    <w:p w14:paraId="68CB1685" w14:textId="719438D5" w:rsidR="000461A7" w:rsidRDefault="00CA0289" w:rsidP="000461A7">
      <w:pPr>
        <w:jc w:val="center"/>
        <w:rPr>
          <w:rFonts w:ascii="Times New Roman" w:hAnsi="Times New Roman" w:cs="Times New Roman"/>
          <w:b/>
          <w:sz w:val="24"/>
          <w:szCs w:val="24"/>
        </w:rPr>
      </w:pPr>
      <w:proofErr w:type="gramStart"/>
      <w:r>
        <w:rPr>
          <w:rFonts w:ascii="Times New Roman" w:hAnsi="Times New Roman" w:cs="Times New Roman"/>
          <w:sz w:val="24"/>
          <w:szCs w:val="24"/>
        </w:rPr>
        <w:t>Lecturer :</w:t>
      </w:r>
      <w:proofErr w:type="gramEnd"/>
      <w:r>
        <w:rPr>
          <w:rFonts w:ascii="Times New Roman" w:hAnsi="Times New Roman" w:cs="Times New Roman"/>
          <w:sz w:val="24"/>
          <w:szCs w:val="24"/>
        </w:rPr>
        <w:t xml:space="preserve"> Laura Knight </w:t>
      </w:r>
      <w:r w:rsidR="000461A7">
        <w:rPr>
          <w:rFonts w:ascii="Times New Roman" w:hAnsi="Times New Roman" w:cs="Times New Roman"/>
          <w:b/>
          <w:sz w:val="24"/>
          <w:szCs w:val="24"/>
        </w:rPr>
        <w:br w:type="page"/>
      </w:r>
    </w:p>
    <w:p w14:paraId="522BD597" w14:textId="77777777" w:rsidR="000461A7" w:rsidRPr="000461A7" w:rsidRDefault="000461A7" w:rsidP="000461A7">
      <w:pPr>
        <w:rPr>
          <w:rFonts w:ascii="Times New Roman" w:hAnsi="Times New Roman" w:cs="Times New Roman"/>
          <w:b/>
          <w:sz w:val="24"/>
          <w:szCs w:val="24"/>
        </w:rPr>
      </w:pPr>
      <w:r w:rsidRPr="000461A7">
        <w:rPr>
          <w:rFonts w:ascii="Times New Roman" w:hAnsi="Times New Roman" w:cs="Times New Roman"/>
          <w:b/>
          <w:sz w:val="24"/>
          <w:szCs w:val="24"/>
        </w:rPr>
        <w:lastRenderedPageBreak/>
        <w:t>The law in relation to non-fatal offences against the person is no longer fit for purpose and is in need of reform. Discuss.</w:t>
      </w:r>
    </w:p>
    <w:p w14:paraId="76ADE38F" w14:textId="77777777" w:rsidR="00F04DA0" w:rsidRPr="000461A7" w:rsidRDefault="00C941A4" w:rsidP="000461A7">
      <w:pPr>
        <w:spacing w:line="480" w:lineRule="auto"/>
        <w:ind w:firstLine="720"/>
        <w:rPr>
          <w:rFonts w:ascii="Times New Roman" w:hAnsi="Times New Roman" w:cs="Times New Roman"/>
          <w:sz w:val="24"/>
          <w:szCs w:val="24"/>
        </w:rPr>
      </w:pPr>
      <w:r w:rsidRPr="000461A7">
        <w:rPr>
          <w:rFonts w:ascii="Times New Roman" w:hAnsi="Times New Roman" w:cs="Times New Roman"/>
          <w:sz w:val="24"/>
          <w:szCs w:val="24"/>
        </w:rPr>
        <w:t>Legislations are meant to solve problems in the society but to create more. The Offences against the Person Act of 1861 is now over 150 years old and it is still being used for prosecuting of many crimes against the person in the contemporary world</w:t>
      </w:r>
      <w:r w:rsidR="00F156E2" w:rsidRPr="000461A7">
        <w:rPr>
          <w:rFonts w:ascii="Times New Roman" w:hAnsi="Times New Roman" w:cs="Times New Roman"/>
          <w:sz w:val="24"/>
          <w:szCs w:val="24"/>
        </w:rPr>
        <w:t xml:space="preserve"> (</w:t>
      </w:r>
      <w:r w:rsidR="00F156E2" w:rsidRPr="000461A7">
        <w:rPr>
          <w:rFonts w:ascii="Times New Roman" w:hAnsi="Times New Roman" w:cs="Times New Roman"/>
          <w:color w:val="222222"/>
          <w:sz w:val="24"/>
          <w:szCs w:val="24"/>
          <w:shd w:val="clear" w:color="auto" w:fill="FFFFFF"/>
        </w:rPr>
        <w:t>Jefferson, 2012)</w:t>
      </w:r>
      <w:r w:rsidRPr="000461A7">
        <w:rPr>
          <w:rFonts w:ascii="Times New Roman" w:hAnsi="Times New Roman" w:cs="Times New Roman"/>
          <w:sz w:val="24"/>
          <w:szCs w:val="24"/>
        </w:rPr>
        <w:t>. Many scholars and policy makers have advocated for reform of the statute including creating of anew Criminal Code which is yet to be enacted. The establishment and enactment of the 1861 Act was a big milestone for the legal sector as it resulted to consolidation of existing laws or case precedents</w:t>
      </w:r>
      <w:r w:rsidR="00F156E2" w:rsidRPr="000461A7">
        <w:rPr>
          <w:rFonts w:ascii="Times New Roman" w:hAnsi="Times New Roman" w:cs="Times New Roman"/>
          <w:sz w:val="24"/>
          <w:szCs w:val="24"/>
        </w:rPr>
        <w:t xml:space="preserve"> (</w:t>
      </w:r>
      <w:r w:rsidR="00F156E2" w:rsidRPr="000461A7">
        <w:rPr>
          <w:rFonts w:ascii="Times New Roman" w:hAnsi="Times New Roman" w:cs="Times New Roman"/>
          <w:color w:val="222222"/>
          <w:sz w:val="24"/>
          <w:szCs w:val="24"/>
          <w:shd w:val="clear" w:color="auto" w:fill="FFFFFF"/>
        </w:rPr>
        <w:t>Jefferson, 2012)</w:t>
      </w:r>
      <w:r w:rsidRPr="000461A7">
        <w:rPr>
          <w:rFonts w:ascii="Times New Roman" w:hAnsi="Times New Roman" w:cs="Times New Roman"/>
          <w:sz w:val="24"/>
          <w:szCs w:val="24"/>
        </w:rPr>
        <w:t xml:space="preserve">. Therefore, it was instrumental in bringing together existing laws on injury to person into one piece of statute. </w:t>
      </w:r>
      <w:r w:rsidR="001E76A8" w:rsidRPr="000461A7">
        <w:rPr>
          <w:rFonts w:ascii="Times New Roman" w:hAnsi="Times New Roman" w:cs="Times New Roman"/>
          <w:sz w:val="24"/>
          <w:szCs w:val="24"/>
        </w:rPr>
        <w:t>Regardless of its legislative achievements,</w:t>
      </w:r>
      <w:r w:rsidR="00226168" w:rsidRPr="000461A7">
        <w:rPr>
          <w:rFonts w:ascii="Times New Roman" w:hAnsi="Times New Roman" w:cs="Times New Roman"/>
          <w:sz w:val="24"/>
          <w:szCs w:val="24"/>
        </w:rPr>
        <w:t xml:space="preserve"> the legislation has several </w:t>
      </w:r>
      <w:r w:rsidR="00994A97" w:rsidRPr="000461A7">
        <w:rPr>
          <w:rFonts w:ascii="Times New Roman" w:hAnsi="Times New Roman" w:cs="Times New Roman"/>
          <w:sz w:val="24"/>
          <w:szCs w:val="24"/>
        </w:rPr>
        <w:t>faults or irregularities that need reforms. In particular, the issues that need consideration include understanding of the provisions, coherence, clarity, consistency and need to address certain injuries. Therefore, the discussion will focus on particular provisions of the legislation and case law that will be important in supporting the argument on the need for reforming it.</w:t>
      </w:r>
    </w:p>
    <w:p w14:paraId="07FFDFC3" w14:textId="77777777" w:rsidR="00C211E1" w:rsidRPr="000461A7" w:rsidRDefault="002D67CC" w:rsidP="000461A7">
      <w:pPr>
        <w:spacing w:line="480" w:lineRule="auto"/>
        <w:ind w:firstLine="720"/>
        <w:rPr>
          <w:rFonts w:ascii="Times New Roman" w:hAnsi="Times New Roman" w:cs="Times New Roman"/>
          <w:sz w:val="24"/>
          <w:szCs w:val="24"/>
        </w:rPr>
      </w:pPr>
      <w:r w:rsidRPr="000461A7">
        <w:rPr>
          <w:rFonts w:ascii="Times New Roman" w:hAnsi="Times New Roman" w:cs="Times New Roman"/>
          <w:sz w:val="24"/>
          <w:szCs w:val="24"/>
        </w:rPr>
        <w:t xml:space="preserve">The goal of any statute is to provide clear guidelines on a particular issue and not to confuse or make it hard for the people to understand it. The 1861 Act was </w:t>
      </w:r>
      <w:r w:rsidR="001E0C49" w:rsidRPr="000461A7">
        <w:rPr>
          <w:rFonts w:ascii="Times New Roman" w:hAnsi="Times New Roman" w:cs="Times New Roman"/>
          <w:sz w:val="24"/>
          <w:szCs w:val="24"/>
        </w:rPr>
        <w:t>developed to</w:t>
      </w:r>
      <w:r w:rsidR="00DA0129" w:rsidRPr="000461A7">
        <w:rPr>
          <w:rFonts w:ascii="Times New Roman" w:hAnsi="Times New Roman" w:cs="Times New Roman"/>
          <w:sz w:val="24"/>
          <w:szCs w:val="24"/>
        </w:rPr>
        <w:t xml:space="preserve"> </w:t>
      </w:r>
      <w:r w:rsidR="001E0C49" w:rsidRPr="000461A7">
        <w:rPr>
          <w:rFonts w:ascii="Times New Roman" w:hAnsi="Times New Roman" w:cs="Times New Roman"/>
          <w:sz w:val="24"/>
          <w:szCs w:val="24"/>
        </w:rPr>
        <w:t>guide</w:t>
      </w:r>
      <w:r w:rsidR="00DA0129" w:rsidRPr="000461A7">
        <w:rPr>
          <w:rFonts w:ascii="Times New Roman" w:hAnsi="Times New Roman" w:cs="Times New Roman"/>
          <w:sz w:val="24"/>
          <w:szCs w:val="24"/>
        </w:rPr>
        <w:t xml:space="preserve"> the conduct of citizens through deterrence in committing certain acts. The language used is outdated which has resulted to not understanding it clearly. For example, section 20 of </w:t>
      </w:r>
      <w:r w:rsidR="007E7C26" w:rsidRPr="000461A7">
        <w:rPr>
          <w:rFonts w:ascii="Times New Roman" w:hAnsi="Times New Roman" w:cs="Times New Roman"/>
          <w:sz w:val="24"/>
          <w:szCs w:val="24"/>
        </w:rPr>
        <w:t>the Act provides that, “</w:t>
      </w:r>
      <w:r w:rsidR="000461A7" w:rsidRPr="000461A7">
        <w:rPr>
          <w:rFonts w:ascii="Times New Roman" w:hAnsi="Times New Roman" w:cs="Times New Roman"/>
          <w:sz w:val="24"/>
          <w:szCs w:val="24"/>
        </w:rPr>
        <w:t>Whosoever</w:t>
      </w:r>
      <w:r w:rsidR="007E7C26" w:rsidRPr="000461A7">
        <w:rPr>
          <w:rFonts w:ascii="Times New Roman" w:hAnsi="Times New Roman" w:cs="Times New Roman"/>
          <w:sz w:val="24"/>
          <w:szCs w:val="24"/>
        </w:rPr>
        <w:t xml:space="preserve"> shall unlawfully and maliciously wound or inflict any grievous bodily harm upon any other person, either with or without any weapon or instrument, shall be guilty of a misdemeanor [sic], and being convicted </w:t>
      </w:r>
      <w:proofErr w:type="gramStart"/>
      <w:r w:rsidR="007E7C26" w:rsidRPr="000461A7">
        <w:rPr>
          <w:rFonts w:ascii="Times New Roman" w:hAnsi="Times New Roman" w:cs="Times New Roman"/>
          <w:sz w:val="24"/>
          <w:szCs w:val="24"/>
        </w:rPr>
        <w:t>thereof  shall</w:t>
      </w:r>
      <w:proofErr w:type="gramEnd"/>
      <w:r w:rsidR="007E7C26" w:rsidRPr="000461A7">
        <w:rPr>
          <w:rFonts w:ascii="Times New Roman" w:hAnsi="Times New Roman" w:cs="Times New Roman"/>
          <w:sz w:val="24"/>
          <w:szCs w:val="24"/>
        </w:rPr>
        <w:t xml:space="preserve"> be liable… to be kept in penal servitude.” This section does not </w:t>
      </w:r>
      <w:r w:rsidR="007E7C26" w:rsidRPr="000461A7">
        <w:rPr>
          <w:rFonts w:ascii="Times New Roman" w:hAnsi="Times New Roman" w:cs="Times New Roman"/>
          <w:sz w:val="24"/>
          <w:szCs w:val="24"/>
        </w:rPr>
        <w:lastRenderedPageBreak/>
        <w:t xml:space="preserve">clear on several things including the penalty and the language used. Additionally, one gets confused on </w:t>
      </w:r>
      <w:r w:rsidR="00F80E91" w:rsidRPr="000461A7">
        <w:rPr>
          <w:rFonts w:ascii="Times New Roman" w:hAnsi="Times New Roman" w:cs="Times New Roman"/>
          <w:sz w:val="24"/>
          <w:szCs w:val="24"/>
        </w:rPr>
        <w:t xml:space="preserve">section 18 and 20 of the 1861 Act. In particular, both sections </w:t>
      </w:r>
      <w:proofErr w:type="gramStart"/>
      <w:r w:rsidR="00F80E91" w:rsidRPr="000461A7">
        <w:rPr>
          <w:rFonts w:ascii="Times New Roman" w:hAnsi="Times New Roman" w:cs="Times New Roman"/>
          <w:sz w:val="24"/>
          <w:szCs w:val="24"/>
        </w:rPr>
        <w:t>provides</w:t>
      </w:r>
      <w:proofErr w:type="gramEnd"/>
      <w:r w:rsidR="00F80E91" w:rsidRPr="000461A7">
        <w:rPr>
          <w:rFonts w:ascii="Times New Roman" w:hAnsi="Times New Roman" w:cs="Times New Roman"/>
          <w:sz w:val="24"/>
          <w:szCs w:val="24"/>
        </w:rPr>
        <w:t xml:space="preserve"> for causing wounding or grievous bodily harm by defendant</w:t>
      </w:r>
      <w:r w:rsidR="00F156E2" w:rsidRPr="000461A7">
        <w:rPr>
          <w:rFonts w:ascii="Times New Roman" w:hAnsi="Times New Roman" w:cs="Times New Roman"/>
          <w:sz w:val="24"/>
          <w:szCs w:val="24"/>
        </w:rPr>
        <w:t xml:space="preserve"> (</w:t>
      </w:r>
      <w:r w:rsidR="00F156E2" w:rsidRPr="000461A7">
        <w:rPr>
          <w:rFonts w:ascii="Times New Roman" w:hAnsi="Times New Roman" w:cs="Times New Roman"/>
          <w:color w:val="222222"/>
          <w:sz w:val="24"/>
          <w:szCs w:val="24"/>
          <w:shd w:val="clear" w:color="auto" w:fill="FFFFFF"/>
        </w:rPr>
        <w:t>Jefferson, 2012)</w:t>
      </w:r>
      <w:r w:rsidR="00F80E91" w:rsidRPr="000461A7">
        <w:rPr>
          <w:rFonts w:ascii="Times New Roman" w:hAnsi="Times New Roman" w:cs="Times New Roman"/>
          <w:sz w:val="24"/>
          <w:szCs w:val="24"/>
        </w:rPr>
        <w:t>. According to the case of DPP v. Smith [1960] the court held that grievous bodily harm implies that there is ‘really serious harm.’ The same is provided in the CPS on the standards for charging a defendant with grievous bodily harm wh</w:t>
      </w:r>
      <w:r w:rsidR="00F156E2" w:rsidRPr="000461A7">
        <w:rPr>
          <w:rFonts w:ascii="Times New Roman" w:hAnsi="Times New Roman" w:cs="Times New Roman"/>
          <w:sz w:val="24"/>
          <w:szCs w:val="24"/>
        </w:rPr>
        <w:t>e</w:t>
      </w:r>
      <w:r w:rsidR="00F80E91" w:rsidRPr="000461A7">
        <w:rPr>
          <w:rFonts w:ascii="Times New Roman" w:hAnsi="Times New Roman" w:cs="Times New Roman"/>
          <w:sz w:val="24"/>
          <w:szCs w:val="24"/>
        </w:rPr>
        <w:t xml:space="preserve">reby he or she causes permanent loss of sensory function, broken limbs and serious psychiatric injury and others. Nevertheless, the case of JCC v. </w:t>
      </w:r>
      <w:r w:rsidR="000461A7" w:rsidRPr="000461A7">
        <w:rPr>
          <w:rFonts w:ascii="Times New Roman" w:hAnsi="Times New Roman" w:cs="Times New Roman"/>
          <w:sz w:val="24"/>
          <w:szCs w:val="24"/>
        </w:rPr>
        <w:t>Eisenhower</w:t>
      </w:r>
      <w:r w:rsidR="00F80E91" w:rsidRPr="000461A7">
        <w:rPr>
          <w:rFonts w:ascii="Times New Roman" w:hAnsi="Times New Roman" w:cs="Times New Roman"/>
          <w:sz w:val="24"/>
          <w:szCs w:val="24"/>
        </w:rPr>
        <w:t xml:space="preserve"> [1983], the court indicated that wounding is more based on breaking the skin’s continuity. In this case, having caused a minor cut of the skin may be interpreted as causing grievous bodily harm or serious permanent disability. When assessing the two cases, there is confusion on what is meant by grievous bodily harm especially on the context of the contemporary world where there has been advancement of health and technology. For instance, causing a mere cut of the skin in the current health care state, may not lead to serious permanent disability due to the care that one will get when compared to when the Act was enacted. Therefore, it is important to reform and change the elements of these sections to meet the current state of </w:t>
      </w:r>
      <w:r w:rsidR="0054434B" w:rsidRPr="000461A7">
        <w:rPr>
          <w:rFonts w:ascii="Times New Roman" w:hAnsi="Times New Roman" w:cs="Times New Roman"/>
          <w:sz w:val="24"/>
          <w:szCs w:val="24"/>
        </w:rPr>
        <w:t>affairs</w:t>
      </w:r>
      <w:r w:rsidR="00F80E91" w:rsidRPr="000461A7">
        <w:rPr>
          <w:rFonts w:ascii="Times New Roman" w:hAnsi="Times New Roman" w:cs="Times New Roman"/>
          <w:sz w:val="24"/>
          <w:szCs w:val="24"/>
        </w:rPr>
        <w:t>.</w:t>
      </w:r>
    </w:p>
    <w:p w14:paraId="7E37E439" w14:textId="77777777" w:rsidR="00F80E91" w:rsidRPr="000461A7" w:rsidRDefault="00F80E91" w:rsidP="000461A7">
      <w:pPr>
        <w:spacing w:line="480" w:lineRule="auto"/>
        <w:ind w:firstLine="720"/>
        <w:rPr>
          <w:rFonts w:ascii="Times New Roman" w:hAnsi="Times New Roman" w:cs="Times New Roman"/>
          <w:sz w:val="24"/>
          <w:szCs w:val="24"/>
        </w:rPr>
      </w:pPr>
      <w:r w:rsidRPr="000461A7">
        <w:rPr>
          <w:rFonts w:ascii="Times New Roman" w:hAnsi="Times New Roman" w:cs="Times New Roman"/>
          <w:sz w:val="24"/>
          <w:szCs w:val="24"/>
        </w:rPr>
        <w:t xml:space="preserve">Additionally, section 18 and 20 of the Act lacks clarity when it comes the issue of </w:t>
      </w:r>
      <w:proofErr w:type="spellStart"/>
      <w:r w:rsidRPr="000461A7">
        <w:rPr>
          <w:rFonts w:ascii="Times New Roman" w:hAnsi="Times New Roman" w:cs="Times New Roman"/>
          <w:sz w:val="24"/>
          <w:szCs w:val="24"/>
        </w:rPr>
        <w:t>mens</w:t>
      </w:r>
      <w:proofErr w:type="spellEnd"/>
      <w:r w:rsidRPr="000461A7">
        <w:rPr>
          <w:rFonts w:ascii="Times New Roman" w:hAnsi="Times New Roman" w:cs="Times New Roman"/>
          <w:sz w:val="24"/>
          <w:szCs w:val="24"/>
        </w:rPr>
        <w:t xml:space="preserve"> rea more than the act. Section 18 provides that one requires </w:t>
      </w:r>
      <w:r w:rsidR="00574C9D" w:rsidRPr="000461A7">
        <w:rPr>
          <w:rFonts w:ascii="Times New Roman" w:hAnsi="Times New Roman" w:cs="Times New Roman"/>
          <w:sz w:val="24"/>
          <w:szCs w:val="24"/>
        </w:rPr>
        <w:t xml:space="preserve">one to </w:t>
      </w:r>
      <w:r w:rsidRPr="000461A7">
        <w:rPr>
          <w:rFonts w:ascii="Times New Roman" w:hAnsi="Times New Roman" w:cs="Times New Roman"/>
          <w:sz w:val="24"/>
          <w:szCs w:val="24"/>
        </w:rPr>
        <w:t xml:space="preserve">have the intention or motivation to cause grievous bodily harm. </w:t>
      </w:r>
      <w:r w:rsidR="00574C9D" w:rsidRPr="000461A7">
        <w:rPr>
          <w:rFonts w:ascii="Times New Roman" w:hAnsi="Times New Roman" w:cs="Times New Roman"/>
          <w:sz w:val="24"/>
          <w:szCs w:val="24"/>
        </w:rPr>
        <w:t xml:space="preserve">On the contrary, section 20 provides for recklessness while </w:t>
      </w:r>
      <w:r w:rsidR="005B24FF" w:rsidRPr="000461A7">
        <w:rPr>
          <w:rFonts w:ascii="Times New Roman" w:hAnsi="Times New Roman" w:cs="Times New Roman"/>
          <w:sz w:val="24"/>
          <w:szCs w:val="24"/>
        </w:rPr>
        <w:t>committing</w:t>
      </w:r>
      <w:r w:rsidR="00574C9D" w:rsidRPr="000461A7">
        <w:rPr>
          <w:rFonts w:ascii="Times New Roman" w:hAnsi="Times New Roman" w:cs="Times New Roman"/>
          <w:sz w:val="24"/>
          <w:szCs w:val="24"/>
        </w:rPr>
        <w:t xml:space="preserve"> the act. Therefore, section 18 carries a higher penalty that section 20 based on the </w:t>
      </w:r>
      <w:proofErr w:type="spellStart"/>
      <w:r w:rsidR="00574C9D" w:rsidRPr="000461A7">
        <w:rPr>
          <w:rFonts w:ascii="Times New Roman" w:hAnsi="Times New Roman" w:cs="Times New Roman"/>
          <w:sz w:val="24"/>
          <w:szCs w:val="24"/>
        </w:rPr>
        <w:t>mens</w:t>
      </w:r>
      <w:proofErr w:type="spellEnd"/>
      <w:r w:rsidR="00574C9D" w:rsidRPr="000461A7">
        <w:rPr>
          <w:rFonts w:ascii="Times New Roman" w:hAnsi="Times New Roman" w:cs="Times New Roman"/>
          <w:sz w:val="24"/>
          <w:szCs w:val="24"/>
        </w:rPr>
        <w:t xml:space="preserve"> </w:t>
      </w:r>
      <w:proofErr w:type="spellStart"/>
      <w:r w:rsidR="00574C9D" w:rsidRPr="000461A7">
        <w:rPr>
          <w:rFonts w:ascii="Times New Roman" w:hAnsi="Times New Roman" w:cs="Times New Roman"/>
          <w:sz w:val="24"/>
          <w:szCs w:val="24"/>
        </w:rPr>
        <w:t>reas</w:t>
      </w:r>
      <w:proofErr w:type="spellEnd"/>
      <w:r w:rsidR="00F156E2" w:rsidRPr="000461A7">
        <w:rPr>
          <w:rFonts w:ascii="Times New Roman" w:hAnsi="Times New Roman" w:cs="Times New Roman"/>
          <w:sz w:val="24"/>
          <w:szCs w:val="24"/>
        </w:rPr>
        <w:t xml:space="preserve"> (</w:t>
      </w:r>
      <w:proofErr w:type="spellStart"/>
      <w:r w:rsidR="00F156E2" w:rsidRPr="000461A7">
        <w:rPr>
          <w:rFonts w:ascii="Times New Roman" w:hAnsi="Times New Roman" w:cs="Times New Roman"/>
          <w:color w:val="222222"/>
          <w:sz w:val="24"/>
          <w:szCs w:val="24"/>
          <w:shd w:val="clear" w:color="auto" w:fill="FFFFFF"/>
        </w:rPr>
        <w:t>Eugenicos</w:t>
      </w:r>
      <w:proofErr w:type="spellEnd"/>
      <w:r w:rsidR="00F156E2" w:rsidRPr="000461A7">
        <w:rPr>
          <w:rFonts w:ascii="Times New Roman" w:hAnsi="Times New Roman" w:cs="Times New Roman"/>
          <w:color w:val="222222"/>
          <w:sz w:val="24"/>
          <w:szCs w:val="24"/>
          <w:shd w:val="clear" w:color="auto" w:fill="FFFFFF"/>
        </w:rPr>
        <w:t>, 2017)</w:t>
      </w:r>
      <w:r w:rsidR="00574C9D" w:rsidRPr="000461A7">
        <w:rPr>
          <w:rFonts w:ascii="Times New Roman" w:hAnsi="Times New Roman" w:cs="Times New Roman"/>
          <w:sz w:val="24"/>
          <w:szCs w:val="24"/>
        </w:rPr>
        <w:t xml:space="preserve">. However, </w:t>
      </w:r>
      <w:r w:rsidR="00574C9D" w:rsidRPr="000461A7">
        <w:rPr>
          <w:rFonts w:ascii="Times New Roman" w:hAnsi="Times New Roman" w:cs="Times New Roman"/>
          <w:sz w:val="24"/>
          <w:szCs w:val="24"/>
        </w:rPr>
        <w:lastRenderedPageBreak/>
        <w:t>these two offences can be brought together as they are based on the intention rather than circumnavigating around the offences to bring the difference.</w:t>
      </w:r>
    </w:p>
    <w:p w14:paraId="413B5B3D" w14:textId="77777777" w:rsidR="00574C9D" w:rsidRPr="000461A7" w:rsidRDefault="00574C9D" w:rsidP="000461A7">
      <w:pPr>
        <w:spacing w:line="480" w:lineRule="auto"/>
        <w:ind w:firstLine="720"/>
        <w:rPr>
          <w:rFonts w:ascii="Times New Roman" w:hAnsi="Times New Roman" w:cs="Times New Roman"/>
          <w:sz w:val="24"/>
          <w:szCs w:val="24"/>
        </w:rPr>
      </w:pPr>
      <w:r w:rsidRPr="000461A7">
        <w:rPr>
          <w:rFonts w:ascii="Times New Roman" w:hAnsi="Times New Roman" w:cs="Times New Roman"/>
          <w:sz w:val="24"/>
          <w:szCs w:val="24"/>
        </w:rPr>
        <w:t xml:space="preserve">Further, section 18, 20 and 47 bring confusion when it comes to sentencing due to the gaps between low-level offences. For instance, section 20 and 47 provides a sentence of five years whereby the former is based on a relatively more serious </w:t>
      </w:r>
      <w:proofErr w:type="spellStart"/>
      <w:r w:rsidRPr="000461A7">
        <w:rPr>
          <w:rFonts w:ascii="Times New Roman" w:hAnsi="Times New Roman" w:cs="Times New Roman"/>
          <w:sz w:val="24"/>
          <w:szCs w:val="24"/>
        </w:rPr>
        <w:t>actus</w:t>
      </w:r>
      <w:proofErr w:type="spellEnd"/>
      <w:r w:rsidRPr="000461A7">
        <w:rPr>
          <w:rFonts w:ascii="Times New Roman" w:hAnsi="Times New Roman" w:cs="Times New Roman"/>
          <w:sz w:val="24"/>
          <w:szCs w:val="24"/>
        </w:rPr>
        <w:t xml:space="preserve"> </w:t>
      </w:r>
      <w:proofErr w:type="spellStart"/>
      <w:r w:rsidRPr="000461A7">
        <w:rPr>
          <w:rFonts w:ascii="Times New Roman" w:hAnsi="Times New Roman" w:cs="Times New Roman"/>
          <w:sz w:val="24"/>
          <w:szCs w:val="24"/>
        </w:rPr>
        <w:t>reus</w:t>
      </w:r>
      <w:proofErr w:type="spellEnd"/>
      <w:r w:rsidRPr="000461A7">
        <w:rPr>
          <w:rFonts w:ascii="Times New Roman" w:hAnsi="Times New Roman" w:cs="Times New Roman"/>
          <w:sz w:val="24"/>
          <w:szCs w:val="24"/>
        </w:rPr>
        <w:t xml:space="preserve"> and </w:t>
      </w:r>
      <w:proofErr w:type="spellStart"/>
      <w:r w:rsidRPr="000461A7">
        <w:rPr>
          <w:rFonts w:ascii="Times New Roman" w:hAnsi="Times New Roman" w:cs="Times New Roman"/>
          <w:sz w:val="24"/>
          <w:szCs w:val="24"/>
        </w:rPr>
        <w:t>mens</w:t>
      </w:r>
      <w:proofErr w:type="spellEnd"/>
      <w:r w:rsidRPr="000461A7">
        <w:rPr>
          <w:rFonts w:ascii="Times New Roman" w:hAnsi="Times New Roman" w:cs="Times New Roman"/>
          <w:sz w:val="24"/>
          <w:szCs w:val="24"/>
        </w:rPr>
        <w:t xml:space="preserve"> rea when compared to section 47. Analyzing the rules of fairness and natural law, the two offences are morally and legally distinguishable and should be treated differently. As a result, there should be a higher penalty for sentencing the offences committed</w:t>
      </w:r>
      <w:r w:rsidR="0048563F" w:rsidRPr="000461A7">
        <w:rPr>
          <w:rFonts w:ascii="Times New Roman" w:hAnsi="Times New Roman" w:cs="Times New Roman"/>
          <w:sz w:val="24"/>
          <w:szCs w:val="24"/>
        </w:rPr>
        <w:t xml:space="preserve"> under section 20 than under sec</w:t>
      </w:r>
      <w:r w:rsidRPr="000461A7">
        <w:rPr>
          <w:rFonts w:ascii="Times New Roman" w:hAnsi="Times New Roman" w:cs="Times New Roman"/>
          <w:sz w:val="24"/>
          <w:szCs w:val="24"/>
        </w:rPr>
        <w:t>tion 47</w:t>
      </w:r>
      <w:r w:rsidR="00F156E2" w:rsidRPr="000461A7">
        <w:rPr>
          <w:rFonts w:ascii="Times New Roman" w:hAnsi="Times New Roman" w:cs="Times New Roman"/>
          <w:sz w:val="24"/>
          <w:szCs w:val="24"/>
        </w:rPr>
        <w:t xml:space="preserve"> (</w:t>
      </w:r>
      <w:proofErr w:type="spellStart"/>
      <w:r w:rsidR="00F156E2" w:rsidRPr="000461A7">
        <w:rPr>
          <w:rFonts w:ascii="Times New Roman" w:hAnsi="Times New Roman" w:cs="Times New Roman"/>
          <w:color w:val="222222"/>
          <w:sz w:val="24"/>
          <w:szCs w:val="24"/>
          <w:shd w:val="clear" w:color="auto" w:fill="FFFFFF"/>
        </w:rPr>
        <w:t>Eugenicos</w:t>
      </w:r>
      <w:proofErr w:type="spellEnd"/>
      <w:r w:rsidR="00F156E2" w:rsidRPr="000461A7">
        <w:rPr>
          <w:rFonts w:ascii="Times New Roman" w:hAnsi="Times New Roman" w:cs="Times New Roman"/>
          <w:color w:val="222222"/>
          <w:sz w:val="24"/>
          <w:szCs w:val="24"/>
          <w:shd w:val="clear" w:color="auto" w:fill="FFFFFF"/>
        </w:rPr>
        <w:t>, 2017)</w:t>
      </w:r>
      <w:r w:rsidRPr="000461A7">
        <w:rPr>
          <w:rFonts w:ascii="Times New Roman" w:hAnsi="Times New Roman" w:cs="Times New Roman"/>
          <w:sz w:val="24"/>
          <w:szCs w:val="24"/>
        </w:rPr>
        <w:t xml:space="preserve">. Additionally, the offences committed in section 20 and 18 have a small difference which is based on intent. Therefore, it is not fair or just to sentence an individual for life under section 18 while sentencing a defendant only for five years under section 20. </w:t>
      </w:r>
      <w:r w:rsidR="00F05A2E" w:rsidRPr="000461A7">
        <w:rPr>
          <w:rFonts w:ascii="Times New Roman" w:hAnsi="Times New Roman" w:cs="Times New Roman"/>
          <w:sz w:val="24"/>
          <w:szCs w:val="24"/>
        </w:rPr>
        <w:t>These problem does not only cause confusion to the general public and scholars but also to prosecutors who must analyze the offences before deciding the charge against the defendant based on the injury</w:t>
      </w:r>
      <w:r w:rsidR="00F156E2" w:rsidRPr="000461A7">
        <w:rPr>
          <w:rFonts w:ascii="Times New Roman" w:hAnsi="Times New Roman" w:cs="Times New Roman"/>
          <w:sz w:val="24"/>
          <w:szCs w:val="24"/>
        </w:rPr>
        <w:t xml:space="preserve"> (</w:t>
      </w:r>
      <w:proofErr w:type="spellStart"/>
      <w:r w:rsidR="00F156E2" w:rsidRPr="000461A7">
        <w:rPr>
          <w:rFonts w:ascii="Times New Roman" w:hAnsi="Times New Roman" w:cs="Times New Roman"/>
          <w:color w:val="222222"/>
          <w:sz w:val="24"/>
          <w:szCs w:val="24"/>
          <w:shd w:val="clear" w:color="auto" w:fill="FFFFFF"/>
        </w:rPr>
        <w:t>Demetriou</w:t>
      </w:r>
      <w:proofErr w:type="spellEnd"/>
      <w:r w:rsidR="00F156E2" w:rsidRPr="000461A7">
        <w:rPr>
          <w:rFonts w:ascii="Times New Roman" w:hAnsi="Times New Roman" w:cs="Times New Roman"/>
          <w:color w:val="222222"/>
          <w:sz w:val="24"/>
          <w:szCs w:val="24"/>
          <w:shd w:val="clear" w:color="auto" w:fill="FFFFFF"/>
        </w:rPr>
        <w:t>, 2016)</w:t>
      </w:r>
      <w:r w:rsidR="00F05A2E" w:rsidRPr="000461A7">
        <w:rPr>
          <w:rFonts w:ascii="Times New Roman" w:hAnsi="Times New Roman" w:cs="Times New Roman"/>
          <w:sz w:val="24"/>
          <w:szCs w:val="24"/>
        </w:rPr>
        <w:t>. In most cases, prosecutors have decided on lesser offences which are cheaper and quicker in the magistrates’ trial courts</w:t>
      </w:r>
      <w:r w:rsidR="00F156E2" w:rsidRPr="000461A7">
        <w:rPr>
          <w:rFonts w:ascii="Times New Roman" w:hAnsi="Times New Roman" w:cs="Times New Roman"/>
          <w:sz w:val="24"/>
          <w:szCs w:val="24"/>
        </w:rPr>
        <w:t xml:space="preserve"> (</w:t>
      </w:r>
      <w:proofErr w:type="spellStart"/>
      <w:r w:rsidR="00F156E2" w:rsidRPr="000461A7">
        <w:rPr>
          <w:rFonts w:ascii="Times New Roman" w:hAnsi="Times New Roman" w:cs="Times New Roman"/>
          <w:color w:val="222222"/>
          <w:sz w:val="24"/>
          <w:szCs w:val="24"/>
          <w:shd w:val="clear" w:color="auto" w:fill="FFFFFF"/>
        </w:rPr>
        <w:t>Eugenicos</w:t>
      </w:r>
      <w:proofErr w:type="spellEnd"/>
      <w:r w:rsidR="00F156E2" w:rsidRPr="000461A7">
        <w:rPr>
          <w:rFonts w:ascii="Times New Roman" w:hAnsi="Times New Roman" w:cs="Times New Roman"/>
          <w:color w:val="222222"/>
          <w:sz w:val="24"/>
          <w:szCs w:val="24"/>
          <w:shd w:val="clear" w:color="auto" w:fill="FFFFFF"/>
        </w:rPr>
        <w:t>, 2017)</w:t>
      </w:r>
      <w:r w:rsidR="00F05A2E" w:rsidRPr="000461A7">
        <w:rPr>
          <w:rFonts w:ascii="Times New Roman" w:hAnsi="Times New Roman" w:cs="Times New Roman"/>
          <w:sz w:val="24"/>
          <w:szCs w:val="24"/>
        </w:rPr>
        <w:t>. However, the prosecution may go on and charge for actual injury which will be tried in more expensive Crown Court trial. The use of the current reforms will therefore improve efficiency and effectiveness of the criminal justice system in preventing unnecessary expenditure and save on the limited resources.</w:t>
      </w:r>
      <w:r w:rsidR="00F56BF4" w:rsidRPr="000461A7">
        <w:rPr>
          <w:rFonts w:ascii="Times New Roman" w:hAnsi="Times New Roman" w:cs="Times New Roman"/>
          <w:sz w:val="24"/>
          <w:szCs w:val="24"/>
        </w:rPr>
        <w:t xml:space="preserve"> The elements of the offence under section 20 also have created confusion especially in charging someone with indirect application of force. For example, in the case of R v. Thomas, the court was not able to identify the elements of assault through touching or </w:t>
      </w:r>
      <w:r w:rsidR="00F56BF4" w:rsidRPr="000461A7">
        <w:rPr>
          <w:rFonts w:ascii="Times New Roman" w:hAnsi="Times New Roman" w:cs="Times New Roman"/>
          <w:sz w:val="24"/>
          <w:szCs w:val="24"/>
        </w:rPr>
        <w:lastRenderedPageBreak/>
        <w:t>taking hold of someone’s clothing. Specifically in this case, the defendant has taken hold of the hem of the skirt of a 12-year-old leading to the charge of assault. However, he was never convicted with the crime and the court went on to indicate that one might be found guilty of an assault from touching another person regardless of them not feeling it. Therefore, the question in this case was when does assault or battery take place?</w:t>
      </w:r>
    </w:p>
    <w:p w14:paraId="1D2808CE" w14:textId="77777777" w:rsidR="0048563F" w:rsidRPr="000461A7" w:rsidRDefault="005B24FF" w:rsidP="000461A7">
      <w:pPr>
        <w:spacing w:line="480" w:lineRule="auto"/>
        <w:ind w:firstLine="720"/>
        <w:rPr>
          <w:rFonts w:ascii="Times New Roman" w:hAnsi="Times New Roman" w:cs="Times New Roman"/>
          <w:sz w:val="24"/>
          <w:szCs w:val="24"/>
        </w:rPr>
      </w:pPr>
      <w:r w:rsidRPr="000461A7">
        <w:rPr>
          <w:rFonts w:ascii="Times New Roman" w:hAnsi="Times New Roman" w:cs="Times New Roman"/>
          <w:sz w:val="24"/>
          <w:szCs w:val="24"/>
        </w:rPr>
        <w:t>The definition of common law offences of assault and battery based on their definition and sentencing. Ass</w:t>
      </w:r>
      <w:r w:rsidR="00F56BF4" w:rsidRPr="000461A7">
        <w:rPr>
          <w:rFonts w:ascii="Times New Roman" w:hAnsi="Times New Roman" w:cs="Times New Roman"/>
          <w:sz w:val="24"/>
          <w:szCs w:val="24"/>
        </w:rPr>
        <w:t>a</w:t>
      </w:r>
      <w:r w:rsidRPr="000461A7">
        <w:rPr>
          <w:rFonts w:ascii="Times New Roman" w:hAnsi="Times New Roman" w:cs="Times New Roman"/>
          <w:sz w:val="24"/>
          <w:szCs w:val="24"/>
        </w:rPr>
        <w:t>ult in particular, is defined under the Act means causing threat of immediate use of unlawful force against the victim. On the other hand, the offence of battery is defined as using unlawful violence against another person</w:t>
      </w:r>
      <w:r w:rsidR="00F156E2" w:rsidRPr="000461A7">
        <w:rPr>
          <w:rFonts w:ascii="Times New Roman" w:hAnsi="Times New Roman" w:cs="Times New Roman"/>
          <w:sz w:val="24"/>
          <w:szCs w:val="24"/>
        </w:rPr>
        <w:t xml:space="preserve"> (</w:t>
      </w:r>
      <w:proofErr w:type="spellStart"/>
      <w:r w:rsidR="00F156E2" w:rsidRPr="000461A7">
        <w:rPr>
          <w:rFonts w:ascii="Times New Roman" w:hAnsi="Times New Roman" w:cs="Times New Roman"/>
          <w:color w:val="222222"/>
          <w:sz w:val="24"/>
          <w:szCs w:val="24"/>
          <w:shd w:val="clear" w:color="auto" w:fill="FFFFFF"/>
        </w:rPr>
        <w:t>Demetriou</w:t>
      </w:r>
      <w:proofErr w:type="spellEnd"/>
      <w:r w:rsidR="00F156E2" w:rsidRPr="000461A7">
        <w:rPr>
          <w:rFonts w:ascii="Times New Roman" w:hAnsi="Times New Roman" w:cs="Times New Roman"/>
          <w:color w:val="222222"/>
          <w:sz w:val="24"/>
          <w:szCs w:val="24"/>
          <w:shd w:val="clear" w:color="auto" w:fill="FFFFFF"/>
        </w:rPr>
        <w:t>, 2016)</w:t>
      </w:r>
      <w:r w:rsidRPr="000461A7">
        <w:rPr>
          <w:rFonts w:ascii="Times New Roman" w:hAnsi="Times New Roman" w:cs="Times New Roman"/>
          <w:sz w:val="24"/>
          <w:szCs w:val="24"/>
        </w:rPr>
        <w:t xml:space="preserve">. Both offences are tried in the magistrates’ trial courts and carry a maximum sentence of six months. The two offences are also based on the same </w:t>
      </w:r>
      <w:proofErr w:type="spellStart"/>
      <w:r w:rsidRPr="000461A7">
        <w:rPr>
          <w:rFonts w:ascii="Times New Roman" w:hAnsi="Times New Roman" w:cs="Times New Roman"/>
          <w:sz w:val="24"/>
          <w:szCs w:val="24"/>
        </w:rPr>
        <w:t>mens</w:t>
      </w:r>
      <w:proofErr w:type="spellEnd"/>
      <w:r w:rsidRPr="000461A7">
        <w:rPr>
          <w:rFonts w:ascii="Times New Roman" w:hAnsi="Times New Roman" w:cs="Times New Roman"/>
          <w:sz w:val="24"/>
          <w:szCs w:val="24"/>
        </w:rPr>
        <w:t xml:space="preserve"> rea and </w:t>
      </w:r>
      <w:proofErr w:type="spellStart"/>
      <w:r w:rsidRPr="000461A7">
        <w:rPr>
          <w:rFonts w:ascii="Times New Roman" w:hAnsi="Times New Roman" w:cs="Times New Roman"/>
          <w:sz w:val="24"/>
          <w:szCs w:val="24"/>
        </w:rPr>
        <w:t>actus</w:t>
      </w:r>
      <w:proofErr w:type="spellEnd"/>
      <w:r w:rsidRPr="000461A7">
        <w:rPr>
          <w:rFonts w:ascii="Times New Roman" w:hAnsi="Times New Roman" w:cs="Times New Roman"/>
          <w:sz w:val="24"/>
          <w:szCs w:val="24"/>
        </w:rPr>
        <w:t xml:space="preserve"> </w:t>
      </w:r>
      <w:proofErr w:type="spellStart"/>
      <w:r w:rsidR="001E0C49" w:rsidRPr="000461A7">
        <w:rPr>
          <w:rFonts w:ascii="Times New Roman" w:hAnsi="Times New Roman" w:cs="Times New Roman"/>
          <w:sz w:val="24"/>
          <w:szCs w:val="24"/>
        </w:rPr>
        <w:t>reus</w:t>
      </w:r>
      <w:proofErr w:type="spellEnd"/>
      <w:r w:rsidR="001E0C49" w:rsidRPr="000461A7">
        <w:rPr>
          <w:rFonts w:ascii="Times New Roman" w:hAnsi="Times New Roman" w:cs="Times New Roman"/>
          <w:sz w:val="24"/>
          <w:szCs w:val="24"/>
        </w:rPr>
        <w:t xml:space="preserve"> and</w:t>
      </w:r>
      <w:r w:rsidRPr="000461A7">
        <w:rPr>
          <w:rFonts w:ascii="Times New Roman" w:hAnsi="Times New Roman" w:cs="Times New Roman"/>
          <w:sz w:val="24"/>
          <w:szCs w:val="24"/>
        </w:rPr>
        <w:t xml:space="preserve"> have procedural overlap with the elements of section 39 of the Criminal Justice Act of 1988</w:t>
      </w:r>
      <w:r w:rsidR="00F156E2" w:rsidRPr="000461A7">
        <w:rPr>
          <w:rFonts w:ascii="Times New Roman" w:hAnsi="Times New Roman" w:cs="Times New Roman"/>
          <w:sz w:val="24"/>
          <w:szCs w:val="24"/>
        </w:rPr>
        <w:t xml:space="preserve"> (</w:t>
      </w:r>
      <w:proofErr w:type="spellStart"/>
      <w:r w:rsidR="00F156E2" w:rsidRPr="000461A7">
        <w:rPr>
          <w:rFonts w:ascii="Times New Roman" w:hAnsi="Times New Roman" w:cs="Times New Roman"/>
          <w:color w:val="222222"/>
          <w:sz w:val="24"/>
          <w:szCs w:val="24"/>
          <w:shd w:val="clear" w:color="auto" w:fill="FFFFFF"/>
        </w:rPr>
        <w:t>Demetriou</w:t>
      </w:r>
      <w:proofErr w:type="spellEnd"/>
      <w:r w:rsidR="00F156E2" w:rsidRPr="000461A7">
        <w:rPr>
          <w:rFonts w:ascii="Times New Roman" w:hAnsi="Times New Roman" w:cs="Times New Roman"/>
          <w:color w:val="222222"/>
          <w:sz w:val="24"/>
          <w:szCs w:val="24"/>
          <w:shd w:val="clear" w:color="auto" w:fill="FFFFFF"/>
        </w:rPr>
        <w:t>, 2016)</w:t>
      </w:r>
      <w:r w:rsidRPr="000461A7">
        <w:rPr>
          <w:rFonts w:ascii="Times New Roman" w:hAnsi="Times New Roman" w:cs="Times New Roman"/>
          <w:sz w:val="24"/>
          <w:szCs w:val="24"/>
        </w:rPr>
        <w:t>. Furthermore, both offences carry similar sentence which does not make sense as battery involve actual use of force while assault does not involve actual use of unlawful violence. Therefore, reforming these sections will lead to rectifying such absurdity. For example, in section 47 of the 1861 Act provides for actual bodily harm whereby one uses unlawful force or violence to cause harm on another. However, in the case of Ireland, the defendant was sentenced for causing assault that resulted to actual bodily harm through making malicious telephone calls to women</w:t>
      </w:r>
      <w:r w:rsidR="00F156E2" w:rsidRPr="000461A7">
        <w:rPr>
          <w:rFonts w:ascii="Times New Roman" w:hAnsi="Times New Roman" w:cs="Times New Roman"/>
          <w:sz w:val="24"/>
          <w:szCs w:val="24"/>
        </w:rPr>
        <w:t xml:space="preserve"> (</w:t>
      </w:r>
      <w:proofErr w:type="spellStart"/>
      <w:r w:rsidR="00F156E2" w:rsidRPr="000461A7">
        <w:rPr>
          <w:rFonts w:ascii="Times New Roman" w:hAnsi="Times New Roman" w:cs="Times New Roman"/>
          <w:color w:val="222222"/>
          <w:sz w:val="24"/>
          <w:szCs w:val="24"/>
          <w:shd w:val="clear" w:color="auto" w:fill="FFFFFF"/>
        </w:rPr>
        <w:t>Demetriou</w:t>
      </w:r>
      <w:proofErr w:type="spellEnd"/>
      <w:r w:rsidR="00F156E2" w:rsidRPr="000461A7">
        <w:rPr>
          <w:rFonts w:ascii="Times New Roman" w:hAnsi="Times New Roman" w:cs="Times New Roman"/>
          <w:color w:val="222222"/>
          <w:sz w:val="24"/>
          <w:szCs w:val="24"/>
          <w:shd w:val="clear" w:color="auto" w:fill="FFFFFF"/>
        </w:rPr>
        <w:t>, 2016)</w:t>
      </w:r>
      <w:r w:rsidRPr="000461A7">
        <w:rPr>
          <w:rFonts w:ascii="Times New Roman" w:hAnsi="Times New Roman" w:cs="Times New Roman"/>
          <w:sz w:val="24"/>
          <w:szCs w:val="24"/>
        </w:rPr>
        <w:t>. According to the trial court and court of appeal, the defendant caused actual bodily harm to the victims by causing them psychiatric illnesses such as anxiety, stress and depression</w:t>
      </w:r>
      <w:r w:rsidR="00F156E2" w:rsidRPr="000461A7">
        <w:rPr>
          <w:rFonts w:ascii="Times New Roman" w:hAnsi="Times New Roman" w:cs="Times New Roman"/>
          <w:sz w:val="24"/>
          <w:szCs w:val="24"/>
        </w:rPr>
        <w:t xml:space="preserve"> (</w:t>
      </w:r>
      <w:proofErr w:type="spellStart"/>
      <w:r w:rsidR="00F156E2" w:rsidRPr="000461A7">
        <w:rPr>
          <w:rFonts w:ascii="Times New Roman" w:hAnsi="Times New Roman" w:cs="Times New Roman"/>
          <w:color w:val="222222"/>
          <w:sz w:val="24"/>
          <w:szCs w:val="24"/>
          <w:shd w:val="clear" w:color="auto" w:fill="FFFFFF"/>
        </w:rPr>
        <w:t>Demetriou</w:t>
      </w:r>
      <w:proofErr w:type="spellEnd"/>
      <w:r w:rsidR="00F156E2" w:rsidRPr="000461A7">
        <w:rPr>
          <w:rFonts w:ascii="Times New Roman" w:hAnsi="Times New Roman" w:cs="Times New Roman"/>
          <w:color w:val="222222"/>
          <w:sz w:val="24"/>
          <w:szCs w:val="24"/>
          <w:shd w:val="clear" w:color="auto" w:fill="FFFFFF"/>
        </w:rPr>
        <w:t>, 2016)</w:t>
      </w:r>
      <w:r w:rsidR="0047163E" w:rsidRPr="000461A7">
        <w:rPr>
          <w:rFonts w:ascii="Times New Roman" w:hAnsi="Times New Roman" w:cs="Times New Roman"/>
          <w:sz w:val="24"/>
          <w:szCs w:val="24"/>
        </w:rPr>
        <w:t xml:space="preserve">. </w:t>
      </w:r>
      <w:r w:rsidR="0048563F" w:rsidRPr="000461A7">
        <w:rPr>
          <w:rFonts w:ascii="Times New Roman" w:hAnsi="Times New Roman" w:cs="Times New Roman"/>
          <w:sz w:val="24"/>
          <w:szCs w:val="24"/>
        </w:rPr>
        <w:t xml:space="preserve">Also, the issue of </w:t>
      </w:r>
      <w:r w:rsidR="0048563F" w:rsidRPr="000461A7">
        <w:rPr>
          <w:rFonts w:ascii="Times New Roman" w:hAnsi="Times New Roman" w:cs="Times New Roman"/>
          <w:sz w:val="24"/>
          <w:szCs w:val="24"/>
        </w:rPr>
        <w:lastRenderedPageBreak/>
        <w:t>psychiatric illness was brought up in the case of R. Chan whereby the conviction of the lower court was quashed. The appellant court indicated that the feelings of fear and panic were just but mere em</w:t>
      </w:r>
      <w:r w:rsidR="0047163E" w:rsidRPr="000461A7">
        <w:rPr>
          <w:rFonts w:ascii="Times New Roman" w:hAnsi="Times New Roman" w:cs="Times New Roman"/>
          <w:sz w:val="24"/>
          <w:szCs w:val="24"/>
        </w:rPr>
        <w:t>o</w:t>
      </w:r>
      <w:r w:rsidR="0048563F" w:rsidRPr="000461A7">
        <w:rPr>
          <w:rFonts w:ascii="Times New Roman" w:hAnsi="Times New Roman" w:cs="Times New Roman"/>
          <w:sz w:val="24"/>
          <w:szCs w:val="24"/>
        </w:rPr>
        <w:t>tions and could not amount to injury without any medical evidence to support the element of a recognized psychiatric condition for a sentencing for actual bodily harm. The prosecution in this case had framed the charge to read as</w:t>
      </w:r>
      <w:r w:rsidR="00C54E74" w:rsidRPr="000461A7">
        <w:rPr>
          <w:rFonts w:ascii="Times New Roman" w:hAnsi="Times New Roman" w:cs="Times New Roman"/>
          <w:sz w:val="24"/>
          <w:szCs w:val="24"/>
        </w:rPr>
        <w:t xml:space="preserve"> injuries sustained due to the mental state of the victim and the fear and panic from the treatment of the appellant. In this case, the prosecution avoided the issue of physical injuries which the victim sustained from jumping out of the windows fearing that the actions would lead to a </w:t>
      </w:r>
      <w:proofErr w:type="spellStart"/>
      <w:r w:rsidR="00C54E74" w:rsidRPr="000461A7">
        <w:rPr>
          <w:rFonts w:ascii="Times New Roman" w:hAnsi="Times New Roman" w:cs="Times New Roman"/>
          <w:sz w:val="24"/>
          <w:szCs w:val="24"/>
        </w:rPr>
        <w:t>defence</w:t>
      </w:r>
      <w:proofErr w:type="spellEnd"/>
      <w:r w:rsidR="00C54E74" w:rsidRPr="000461A7">
        <w:rPr>
          <w:rFonts w:ascii="Times New Roman" w:hAnsi="Times New Roman" w:cs="Times New Roman"/>
          <w:sz w:val="24"/>
          <w:szCs w:val="24"/>
        </w:rPr>
        <w:t xml:space="preserve"> on </w:t>
      </w:r>
      <w:proofErr w:type="spellStart"/>
      <w:r w:rsidR="00C54E74" w:rsidRPr="000461A7">
        <w:rPr>
          <w:rFonts w:ascii="Times New Roman" w:hAnsi="Times New Roman" w:cs="Times New Roman"/>
          <w:i/>
          <w:sz w:val="24"/>
          <w:szCs w:val="24"/>
        </w:rPr>
        <w:t>novus</w:t>
      </w:r>
      <w:proofErr w:type="spellEnd"/>
      <w:r w:rsidR="00C54E74" w:rsidRPr="000461A7">
        <w:rPr>
          <w:rFonts w:ascii="Times New Roman" w:hAnsi="Times New Roman" w:cs="Times New Roman"/>
          <w:i/>
          <w:sz w:val="24"/>
          <w:szCs w:val="24"/>
        </w:rPr>
        <w:t xml:space="preserve"> </w:t>
      </w:r>
      <w:proofErr w:type="spellStart"/>
      <w:r w:rsidR="00C54E74" w:rsidRPr="000461A7">
        <w:rPr>
          <w:rFonts w:ascii="Times New Roman" w:hAnsi="Times New Roman" w:cs="Times New Roman"/>
          <w:i/>
          <w:sz w:val="24"/>
          <w:szCs w:val="24"/>
        </w:rPr>
        <w:t>actus</w:t>
      </w:r>
      <w:proofErr w:type="spellEnd"/>
      <w:r w:rsidR="00C54E74" w:rsidRPr="000461A7">
        <w:rPr>
          <w:rFonts w:ascii="Times New Roman" w:hAnsi="Times New Roman" w:cs="Times New Roman"/>
          <w:i/>
          <w:sz w:val="24"/>
          <w:szCs w:val="24"/>
        </w:rPr>
        <w:t xml:space="preserve"> </w:t>
      </w:r>
      <w:proofErr w:type="spellStart"/>
      <w:r w:rsidR="00C54E74" w:rsidRPr="000461A7">
        <w:rPr>
          <w:rFonts w:ascii="Times New Roman" w:hAnsi="Times New Roman" w:cs="Times New Roman"/>
          <w:i/>
          <w:sz w:val="24"/>
          <w:szCs w:val="24"/>
        </w:rPr>
        <w:t>interveiens</w:t>
      </w:r>
      <w:proofErr w:type="spellEnd"/>
      <w:r w:rsidR="00F156E2" w:rsidRPr="000461A7">
        <w:rPr>
          <w:rFonts w:ascii="Times New Roman" w:hAnsi="Times New Roman" w:cs="Times New Roman"/>
          <w:i/>
          <w:sz w:val="24"/>
          <w:szCs w:val="24"/>
        </w:rPr>
        <w:t xml:space="preserve"> </w:t>
      </w:r>
      <w:r w:rsidR="00F156E2" w:rsidRPr="000461A7">
        <w:rPr>
          <w:rFonts w:ascii="Times New Roman" w:hAnsi="Times New Roman" w:cs="Times New Roman"/>
          <w:sz w:val="24"/>
          <w:szCs w:val="24"/>
        </w:rPr>
        <w:t>(</w:t>
      </w:r>
      <w:proofErr w:type="spellStart"/>
      <w:r w:rsidR="00F156E2" w:rsidRPr="000461A7">
        <w:rPr>
          <w:rFonts w:ascii="Times New Roman" w:hAnsi="Times New Roman" w:cs="Times New Roman"/>
          <w:color w:val="222222"/>
          <w:sz w:val="24"/>
          <w:szCs w:val="24"/>
          <w:shd w:val="clear" w:color="auto" w:fill="FFFFFF"/>
        </w:rPr>
        <w:t>Eugenicos</w:t>
      </w:r>
      <w:proofErr w:type="spellEnd"/>
      <w:r w:rsidR="00F156E2" w:rsidRPr="000461A7">
        <w:rPr>
          <w:rFonts w:ascii="Times New Roman" w:hAnsi="Times New Roman" w:cs="Times New Roman"/>
          <w:color w:val="222222"/>
          <w:sz w:val="24"/>
          <w:szCs w:val="24"/>
          <w:shd w:val="clear" w:color="auto" w:fill="FFFFFF"/>
        </w:rPr>
        <w:t>, 2017)</w:t>
      </w:r>
      <w:r w:rsidR="00C54E74" w:rsidRPr="000461A7">
        <w:rPr>
          <w:rFonts w:ascii="Times New Roman" w:hAnsi="Times New Roman" w:cs="Times New Roman"/>
          <w:sz w:val="24"/>
          <w:szCs w:val="24"/>
        </w:rPr>
        <w:t>. In the process, there was injustice as the victim had gone through suffering from the actions of the defendant leading to his acts. Therefore, the legislation should have involved such incidents to avoid injustices.</w:t>
      </w:r>
      <w:r w:rsidR="00F56BF4" w:rsidRPr="000461A7">
        <w:rPr>
          <w:rFonts w:ascii="Times New Roman" w:hAnsi="Times New Roman" w:cs="Times New Roman"/>
          <w:sz w:val="24"/>
          <w:szCs w:val="24"/>
        </w:rPr>
        <w:t xml:space="preserve"> This case also can be related to the case of LOGDON v. DPP </w:t>
      </w:r>
      <w:r w:rsidR="0047163E" w:rsidRPr="000461A7">
        <w:rPr>
          <w:rFonts w:ascii="Times New Roman" w:hAnsi="Times New Roman" w:cs="Times New Roman"/>
          <w:sz w:val="24"/>
          <w:szCs w:val="24"/>
        </w:rPr>
        <w:t xml:space="preserve">[1976] CRIM LR 121 regardless the outcome being different. In the latter case, the defendant was found guilty of the offence of assault by pointing an imitation gun at a woman who became terrified before she was informed it was a fake gun. Looking at the two cases, both have similar effects from the actions of the defendants. Specifically, the first case the victim might have been terrified of their lives and decided to escape before the worse happened. In the second case, the victim was also terrified. In this case, similar approach should have been taken in the first case to find the defendant guilty and uphold the conviction of the lower court. According to the original meaning or intention of the Act, psychiatric illness did not constitute any part of </w:t>
      </w:r>
      <w:proofErr w:type="spellStart"/>
      <w:r w:rsidR="0047163E" w:rsidRPr="000461A7">
        <w:rPr>
          <w:rFonts w:ascii="Times New Roman" w:hAnsi="Times New Roman" w:cs="Times New Roman"/>
          <w:sz w:val="24"/>
          <w:szCs w:val="24"/>
        </w:rPr>
        <w:t>it.in</w:t>
      </w:r>
      <w:proofErr w:type="spellEnd"/>
      <w:r w:rsidR="0047163E" w:rsidRPr="000461A7">
        <w:rPr>
          <w:rFonts w:ascii="Times New Roman" w:hAnsi="Times New Roman" w:cs="Times New Roman"/>
          <w:sz w:val="24"/>
          <w:szCs w:val="24"/>
        </w:rPr>
        <w:t xml:space="preserve"> the current environment, psychiatric illness should be part of offences against persons</w:t>
      </w:r>
      <w:r w:rsidR="00F156E2" w:rsidRPr="000461A7">
        <w:rPr>
          <w:rFonts w:ascii="Times New Roman" w:hAnsi="Times New Roman" w:cs="Times New Roman"/>
          <w:sz w:val="24"/>
          <w:szCs w:val="24"/>
        </w:rPr>
        <w:t xml:space="preserve"> (</w:t>
      </w:r>
      <w:proofErr w:type="spellStart"/>
      <w:r w:rsidR="00F156E2" w:rsidRPr="000461A7">
        <w:rPr>
          <w:rFonts w:ascii="Times New Roman" w:hAnsi="Times New Roman" w:cs="Times New Roman"/>
          <w:color w:val="222222"/>
          <w:sz w:val="24"/>
          <w:szCs w:val="24"/>
          <w:shd w:val="clear" w:color="auto" w:fill="FFFFFF"/>
        </w:rPr>
        <w:t>Eugenicos</w:t>
      </w:r>
      <w:proofErr w:type="spellEnd"/>
      <w:r w:rsidR="00F156E2" w:rsidRPr="000461A7">
        <w:rPr>
          <w:rFonts w:ascii="Times New Roman" w:hAnsi="Times New Roman" w:cs="Times New Roman"/>
          <w:color w:val="222222"/>
          <w:sz w:val="24"/>
          <w:szCs w:val="24"/>
          <w:shd w:val="clear" w:color="auto" w:fill="FFFFFF"/>
        </w:rPr>
        <w:t>, 2017)</w:t>
      </w:r>
      <w:r w:rsidR="0047163E" w:rsidRPr="000461A7">
        <w:rPr>
          <w:rFonts w:ascii="Times New Roman" w:hAnsi="Times New Roman" w:cs="Times New Roman"/>
          <w:sz w:val="24"/>
          <w:szCs w:val="24"/>
        </w:rPr>
        <w:t xml:space="preserve">. The use of such offence especially through judicial interpretation shows that, the </w:t>
      </w:r>
      <w:r w:rsidR="0047163E" w:rsidRPr="000461A7">
        <w:rPr>
          <w:rFonts w:ascii="Times New Roman" w:hAnsi="Times New Roman" w:cs="Times New Roman"/>
          <w:sz w:val="24"/>
          <w:szCs w:val="24"/>
        </w:rPr>
        <w:lastRenderedPageBreak/>
        <w:t>legislation needs reformation to include such offences. In particular, from the face value of the legislation, the offence of actual bodily harm based on recognized psychiatric diseases cannot be implied in any court. Therefore, there is a need to have such offences to be included in the legislation for clarity and avoidance of confusion.</w:t>
      </w:r>
    </w:p>
    <w:p w14:paraId="23E691EB" w14:textId="77777777" w:rsidR="005B24FF" w:rsidRPr="000461A7" w:rsidRDefault="00F073D2" w:rsidP="000461A7">
      <w:pPr>
        <w:spacing w:line="480" w:lineRule="auto"/>
        <w:ind w:firstLine="720"/>
        <w:rPr>
          <w:rFonts w:ascii="Times New Roman" w:hAnsi="Times New Roman" w:cs="Times New Roman"/>
          <w:sz w:val="24"/>
          <w:szCs w:val="24"/>
        </w:rPr>
      </w:pPr>
      <w:r w:rsidRPr="000461A7">
        <w:rPr>
          <w:rFonts w:ascii="Times New Roman" w:hAnsi="Times New Roman" w:cs="Times New Roman"/>
          <w:sz w:val="24"/>
          <w:szCs w:val="24"/>
        </w:rPr>
        <w:t>Furthermore</w:t>
      </w:r>
      <w:r w:rsidR="001E0C49" w:rsidRPr="000461A7">
        <w:rPr>
          <w:rFonts w:ascii="Times New Roman" w:hAnsi="Times New Roman" w:cs="Times New Roman"/>
          <w:sz w:val="24"/>
          <w:szCs w:val="24"/>
        </w:rPr>
        <w:t>, the reforms should include other offences such as murder which the current Act never took into consideration. The offence of murder in particular has always been charged under the common law. In particular, section 16 of the Act provides for the offence of threat to kill which does not provide any r</w:t>
      </w:r>
      <w:r w:rsidR="00267B38" w:rsidRPr="000461A7">
        <w:rPr>
          <w:rFonts w:ascii="Times New Roman" w:hAnsi="Times New Roman" w:cs="Times New Roman"/>
          <w:sz w:val="24"/>
          <w:szCs w:val="24"/>
        </w:rPr>
        <w:t>equirement of such threat including the threat is believed, intended or carried out</w:t>
      </w:r>
      <w:r w:rsidR="000461A7" w:rsidRPr="000461A7">
        <w:rPr>
          <w:rFonts w:ascii="Times New Roman" w:hAnsi="Times New Roman" w:cs="Times New Roman"/>
          <w:sz w:val="24"/>
          <w:szCs w:val="24"/>
        </w:rPr>
        <w:t xml:space="preserve"> (</w:t>
      </w:r>
      <w:proofErr w:type="spellStart"/>
      <w:r w:rsidR="000461A7" w:rsidRPr="000461A7">
        <w:rPr>
          <w:rFonts w:ascii="Times New Roman" w:hAnsi="Times New Roman" w:cs="Times New Roman"/>
          <w:color w:val="222222"/>
          <w:sz w:val="24"/>
          <w:szCs w:val="24"/>
          <w:shd w:val="clear" w:color="auto" w:fill="FFFFFF"/>
        </w:rPr>
        <w:t>McCombe</w:t>
      </w:r>
      <w:proofErr w:type="spellEnd"/>
      <w:r w:rsidR="000461A7" w:rsidRPr="000461A7">
        <w:rPr>
          <w:rFonts w:ascii="Times New Roman" w:hAnsi="Times New Roman" w:cs="Times New Roman"/>
          <w:color w:val="222222"/>
          <w:sz w:val="24"/>
          <w:szCs w:val="24"/>
          <w:shd w:val="clear" w:color="auto" w:fill="FFFFFF"/>
        </w:rPr>
        <w:t>, 2017)</w:t>
      </w:r>
      <w:r w:rsidR="00267B38" w:rsidRPr="000461A7">
        <w:rPr>
          <w:rFonts w:ascii="Times New Roman" w:hAnsi="Times New Roman" w:cs="Times New Roman"/>
          <w:sz w:val="24"/>
          <w:szCs w:val="24"/>
        </w:rPr>
        <w:t xml:space="preserve">. The only requirement is that the </w:t>
      </w:r>
      <w:proofErr w:type="spellStart"/>
      <w:r w:rsidR="00267B38" w:rsidRPr="000461A7">
        <w:rPr>
          <w:rFonts w:ascii="Times New Roman" w:hAnsi="Times New Roman" w:cs="Times New Roman"/>
          <w:sz w:val="24"/>
          <w:szCs w:val="24"/>
        </w:rPr>
        <w:t>mens</w:t>
      </w:r>
      <w:proofErr w:type="spellEnd"/>
      <w:r w:rsidR="00267B38" w:rsidRPr="000461A7">
        <w:rPr>
          <w:rFonts w:ascii="Times New Roman" w:hAnsi="Times New Roman" w:cs="Times New Roman"/>
          <w:sz w:val="24"/>
          <w:szCs w:val="24"/>
        </w:rPr>
        <w:t xml:space="preserve"> rea element of fearing for the threat being carried out</w:t>
      </w:r>
      <w:r w:rsidR="00F156E2" w:rsidRPr="000461A7">
        <w:rPr>
          <w:rFonts w:ascii="Times New Roman" w:hAnsi="Times New Roman" w:cs="Times New Roman"/>
          <w:sz w:val="24"/>
          <w:szCs w:val="24"/>
        </w:rPr>
        <w:t xml:space="preserve"> (</w:t>
      </w:r>
      <w:proofErr w:type="spellStart"/>
      <w:r w:rsidR="00F156E2" w:rsidRPr="000461A7">
        <w:rPr>
          <w:rFonts w:ascii="Times New Roman" w:hAnsi="Times New Roman" w:cs="Times New Roman"/>
          <w:color w:val="222222"/>
          <w:sz w:val="24"/>
          <w:szCs w:val="24"/>
          <w:shd w:val="clear" w:color="auto" w:fill="FFFFFF"/>
        </w:rPr>
        <w:t>Eugenicos</w:t>
      </w:r>
      <w:proofErr w:type="spellEnd"/>
      <w:r w:rsidR="00F156E2" w:rsidRPr="000461A7">
        <w:rPr>
          <w:rFonts w:ascii="Times New Roman" w:hAnsi="Times New Roman" w:cs="Times New Roman"/>
          <w:color w:val="222222"/>
          <w:sz w:val="24"/>
          <w:szCs w:val="24"/>
          <w:shd w:val="clear" w:color="auto" w:fill="FFFFFF"/>
        </w:rPr>
        <w:t>, 2017)</w:t>
      </w:r>
      <w:r w:rsidR="00267B38" w:rsidRPr="000461A7">
        <w:rPr>
          <w:rFonts w:ascii="Times New Roman" w:hAnsi="Times New Roman" w:cs="Times New Roman"/>
          <w:sz w:val="24"/>
          <w:szCs w:val="24"/>
        </w:rPr>
        <w:t xml:space="preserve">. For example, in the case of R v. Sanders [1985] had to go around to come up with a new doctrine on transferred </w:t>
      </w:r>
      <w:proofErr w:type="spellStart"/>
      <w:r w:rsidR="00267B38" w:rsidRPr="000461A7">
        <w:rPr>
          <w:rFonts w:ascii="Times New Roman" w:hAnsi="Times New Roman" w:cs="Times New Roman"/>
          <w:sz w:val="24"/>
          <w:szCs w:val="24"/>
        </w:rPr>
        <w:t>mens</w:t>
      </w:r>
      <w:proofErr w:type="spellEnd"/>
      <w:r w:rsidR="00267B38" w:rsidRPr="000461A7">
        <w:rPr>
          <w:rFonts w:ascii="Times New Roman" w:hAnsi="Times New Roman" w:cs="Times New Roman"/>
          <w:sz w:val="24"/>
          <w:szCs w:val="24"/>
        </w:rPr>
        <w:t xml:space="preserve"> rea and </w:t>
      </w:r>
      <w:proofErr w:type="spellStart"/>
      <w:r w:rsidR="00267B38" w:rsidRPr="000461A7">
        <w:rPr>
          <w:rFonts w:ascii="Times New Roman" w:hAnsi="Times New Roman" w:cs="Times New Roman"/>
          <w:sz w:val="24"/>
          <w:szCs w:val="24"/>
        </w:rPr>
        <w:t>actus</w:t>
      </w:r>
      <w:proofErr w:type="spellEnd"/>
      <w:r w:rsidR="00267B38" w:rsidRPr="000461A7">
        <w:rPr>
          <w:rFonts w:ascii="Times New Roman" w:hAnsi="Times New Roman" w:cs="Times New Roman"/>
          <w:sz w:val="24"/>
          <w:szCs w:val="24"/>
        </w:rPr>
        <w:t xml:space="preserve"> </w:t>
      </w:r>
      <w:proofErr w:type="spellStart"/>
      <w:r w:rsidR="00267B38" w:rsidRPr="000461A7">
        <w:rPr>
          <w:rFonts w:ascii="Times New Roman" w:hAnsi="Times New Roman" w:cs="Times New Roman"/>
          <w:sz w:val="24"/>
          <w:szCs w:val="24"/>
        </w:rPr>
        <w:t>reus</w:t>
      </w:r>
      <w:proofErr w:type="spellEnd"/>
      <w:r w:rsidR="00267B38" w:rsidRPr="000461A7">
        <w:rPr>
          <w:rFonts w:ascii="Times New Roman" w:hAnsi="Times New Roman" w:cs="Times New Roman"/>
          <w:sz w:val="24"/>
          <w:szCs w:val="24"/>
        </w:rPr>
        <w:t>. The defendant in this case had intended to kills his wife to marry another woman. However, the wife took a bite of the poisoned apple with arsenic and gave the rest to their daughter who ate and died. In such an event, the legislation did not provide for elements of threat to kill or harm another but it is transferred to another individual</w:t>
      </w:r>
      <w:r w:rsidR="00F156E2" w:rsidRPr="000461A7">
        <w:rPr>
          <w:rFonts w:ascii="Times New Roman" w:hAnsi="Times New Roman" w:cs="Times New Roman"/>
          <w:sz w:val="24"/>
          <w:szCs w:val="24"/>
        </w:rPr>
        <w:t xml:space="preserve"> (</w:t>
      </w:r>
      <w:proofErr w:type="spellStart"/>
      <w:r w:rsidR="00F156E2" w:rsidRPr="000461A7">
        <w:rPr>
          <w:rFonts w:ascii="Times New Roman" w:hAnsi="Times New Roman" w:cs="Times New Roman"/>
          <w:color w:val="222222"/>
          <w:sz w:val="24"/>
          <w:szCs w:val="24"/>
          <w:shd w:val="clear" w:color="auto" w:fill="FFFFFF"/>
        </w:rPr>
        <w:t>Eugenicos</w:t>
      </w:r>
      <w:proofErr w:type="spellEnd"/>
      <w:r w:rsidR="00F156E2" w:rsidRPr="000461A7">
        <w:rPr>
          <w:rFonts w:ascii="Times New Roman" w:hAnsi="Times New Roman" w:cs="Times New Roman"/>
          <w:color w:val="222222"/>
          <w:sz w:val="24"/>
          <w:szCs w:val="24"/>
          <w:shd w:val="clear" w:color="auto" w:fill="FFFFFF"/>
        </w:rPr>
        <w:t>, 2017)</w:t>
      </w:r>
      <w:r w:rsidR="00267B38" w:rsidRPr="000461A7">
        <w:rPr>
          <w:rFonts w:ascii="Times New Roman" w:hAnsi="Times New Roman" w:cs="Times New Roman"/>
          <w:sz w:val="24"/>
          <w:szCs w:val="24"/>
        </w:rPr>
        <w:t>. It is therefore, to include such legal development in the law. The reform should further include conditional threats and clearly define threat of rape.</w:t>
      </w:r>
      <w:r w:rsidR="00F156E2" w:rsidRPr="000461A7">
        <w:rPr>
          <w:rFonts w:ascii="Times New Roman" w:hAnsi="Times New Roman" w:cs="Times New Roman"/>
          <w:sz w:val="24"/>
          <w:szCs w:val="24"/>
        </w:rPr>
        <w:t xml:space="preserve"> The legislation also should adopt the changes in the 21</w:t>
      </w:r>
      <w:r w:rsidR="00F156E2" w:rsidRPr="000461A7">
        <w:rPr>
          <w:rFonts w:ascii="Times New Roman" w:hAnsi="Times New Roman" w:cs="Times New Roman"/>
          <w:sz w:val="24"/>
          <w:szCs w:val="24"/>
          <w:vertAlign w:val="superscript"/>
        </w:rPr>
        <w:t>st</w:t>
      </w:r>
      <w:r w:rsidR="00F156E2" w:rsidRPr="000461A7">
        <w:rPr>
          <w:rFonts w:ascii="Times New Roman" w:hAnsi="Times New Roman" w:cs="Times New Roman"/>
          <w:sz w:val="24"/>
          <w:szCs w:val="24"/>
        </w:rPr>
        <w:t xml:space="preserve"> century including offences involved with intentionally or recklessly transmitting sexual diseases such as HIV, hate crimes or racism (</w:t>
      </w:r>
      <w:proofErr w:type="spellStart"/>
      <w:r w:rsidR="00F156E2" w:rsidRPr="000461A7">
        <w:rPr>
          <w:rFonts w:ascii="Times New Roman" w:hAnsi="Times New Roman" w:cs="Times New Roman"/>
          <w:sz w:val="24"/>
          <w:szCs w:val="24"/>
        </w:rPr>
        <w:t>Dodds</w:t>
      </w:r>
      <w:proofErr w:type="spellEnd"/>
      <w:r w:rsidR="00F156E2" w:rsidRPr="000461A7">
        <w:rPr>
          <w:rFonts w:ascii="Times New Roman" w:hAnsi="Times New Roman" w:cs="Times New Roman"/>
          <w:sz w:val="24"/>
          <w:szCs w:val="24"/>
        </w:rPr>
        <w:t xml:space="preserve"> et al., 2005). This will help in addressing the current problems associated with offences against the person.</w:t>
      </w:r>
    </w:p>
    <w:p w14:paraId="5F7897FF" w14:textId="77777777" w:rsidR="0047163E" w:rsidRPr="000461A7" w:rsidRDefault="00267B38" w:rsidP="000461A7">
      <w:pPr>
        <w:spacing w:line="480" w:lineRule="auto"/>
        <w:ind w:firstLine="720"/>
        <w:rPr>
          <w:rFonts w:ascii="Times New Roman" w:hAnsi="Times New Roman" w:cs="Times New Roman"/>
          <w:sz w:val="24"/>
          <w:szCs w:val="24"/>
        </w:rPr>
      </w:pPr>
      <w:r w:rsidRPr="000461A7">
        <w:rPr>
          <w:rFonts w:ascii="Times New Roman" w:hAnsi="Times New Roman" w:cs="Times New Roman"/>
          <w:sz w:val="24"/>
          <w:szCs w:val="24"/>
        </w:rPr>
        <w:lastRenderedPageBreak/>
        <w:t>Additionally, it will be important to make amendment</w:t>
      </w:r>
      <w:r w:rsidR="000753A6" w:rsidRPr="000461A7">
        <w:rPr>
          <w:rFonts w:ascii="Times New Roman" w:hAnsi="Times New Roman" w:cs="Times New Roman"/>
          <w:sz w:val="24"/>
          <w:szCs w:val="24"/>
        </w:rPr>
        <w:t xml:space="preserve"> to other provisions including section 4, 22, 23, and 24. Specifically, the offence of soliciting murder under section 4 is unclear especially on the elements of </w:t>
      </w:r>
      <w:proofErr w:type="spellStart"/>
      <w:r w:rsidR="000753A6" w:rsidRPr="000461A7">
        <w:rPr>
          <w:rFonts w:ascii="Times New Roman" w:hAnsi="Times New Roman" w:cs="Times New Roman"/>
          <w:sz w:val="24"/>
          <w:szCs w:val="24"/>
        </w:rPr>
        <w:t>mens</w:t>
      </w:r>
      <w:proofErr w:type="spellEnd"/>
      <w:r w:rsidR="000753A6" w:rsidRPr="000461A7">
        <w:rPr>
          <w:rFonts w:ascii="Times New Roman" w:hAnsi="Times New Roman" w:cs="Times New Roman"/>
          <w:sz w:val="24"/>
          <w:szCs w:val="24"/>
        </w:rPr>
        <w:t xml:space="preserve"> rea. For example, one cannot clearly tell when the defendant is liable for the act</w:t>
      </w:r>
      <w:r w:rsidR="00F156E2" w:rsidRPr="000461A7">
        <w:rPr>
          <w:rFonts w:ascii="Times New Roman" w:hAnsi="Times New Roman" w:cs="Times New Roman"/>
          <w:sz w:val="24"/>
          <w:szCs w:val="24"/>
        </w:rPr>
        <w:t xml:space="preserve"> (</w:t>
      </w:r>
      <w:proofErr w:type="spellStart"/>
      <w:r w:rsidR="00F156E2" w:rsidRPr="000461A7">
        <w:rPr>
          <w:rFonts w:ascii="Times New Roman" w:hAnsi="Times New Roman" w:cs="Times New Roman"/>
          <w:color w:val="222222"/>
          <w:sz w:val="24"/>
          <w:szCs w:val="24"/>
          <w:shd w:val="clear" w:color="auto" w:fill="FFFFFF"/>
        </w:rPr>
        <w:t>Eugenicos</w:t>
      </w:r>
      <w:proofErr w:type="spellEnd"/>
      <w:r w:rsidR="00F156E2" w:rsidRPr="000461A7">
        <w:rPr>
          <w:rFonts w:ascii="Times New Roman" w:hAnsi="Times New Roman" w:cs="Times New Roman"/>
          <w:color w:val="222222"/>
          <w:sz w:val="24"/>
          <w:szCs w:val="24"/>
          <w:shd w:val="clear" w:color="auto" w:fill="FFFFFF"/>
        </w:rPr>
        <w:t>, 2017)</w:t>
      </w:r>
      <w:r w:rsidR="000753A6" w:rsidRPr="000461A7">
        <w:rPr>
          <w:rFonts w:ascii="Times New Roman" w:hAnsi="Times New Roman" w:cs="Times New Roman"/>
          <w:sz w:val="24"/>
          <w:szCs w:val="24"/>
        </w:rPr>
        <w:t xml:space="preserve">. </w:t>
      </w:r>
      <w:r w:rsidR="000461A7" w:rsidRPr="000461A7">
        <w:rPr>
          <w:rFonts w:ascii="Times New Roman" w:hAnsi="Times New Roman" w:cs="Times New Roman"/>
          <w:sz w:val="24"/>
          <w:szCs w:val="24"/>
        </w:rPr>
        <w:t>In</w:t>
      </w:r>
      <w:r w:rsidR="000753A6" w:rsidRPr="000461A7">
        <w:rPr>
          <w:rFonts w:ascii="Times New Roman" w:hAnsi="Times New Roman" w:cs="Times New Roman"/>
          <w:sz w:val="24"/>
          <w:szCs w:val="24"/>
        </w:rPr>
        <w:t xml:space="preserve"> essence, the person may not know when the defendant is required to have the </w:t>
      </w:r>
      <w:proofErr w:type="spellStart"/>
      <w:r w:rsidR="000753A6" w:rsidRPr="000461A7">
        <w:rPr>
          <w:rFonts w:ascii="Times New Roman" w:hAnsi="Times New Roman" w:cs="Times New Roman"/>
          <w:sz w:val="24"/>
          <w:szCs w:val="24"/>
        </w:rPr>
        <w:t>mens</w:t>
      </w:r>
      <w:proofErr w:type="spellEnd"/>
      <w:r w:rsidR="000753A6" w:rsidRPr="000461A7">
        <w:rPr>
          <w:rFonts w:ascii="Times New Roman" w:hAnsi="Times New Roman" w:cs="Times New Roman"/>
          <w:sz w:val="24"/>
          <w:szCs w:val="24"/>
        </w:rPr>
        <w:t xml:space="preserve"> rea such as is it when he is aware of the intention or a belief that the advice will be followed? Also, section 22 should be removed from the legislation as the same is covered in the Criminal Attempts Act of 1981. The offence involves attempting to administer substance</w:t>
      </w:r>
      <w:r w:rsidR="0048563F" w:rsidRPr="000461A7">
        <w:rPr>
          <w:rFonts w:ascii="Times New Roman" w:hAnsi="Times New Roman" w:cs="Times New Roman"/>
          <w:sz w:val="24"/>
          <w:szCs w:val="24"/>
        </w:rPr>
        <w:t>. The section further is unclear as some of its elements such as consent of using the substance is only valid when the courts accept the context of consent</w:t>
      </w:r>
      <w:r w:rsidR="000461A7" w:rsidRPr="000461A7">
        <w:rPr>
          <w:rFonts w:ascii="Times New Roman" w:hAnsi="Times New Roman" w:cs="Times New Roman"/>
          <w:sz w:val="24"/>
          <w:szCs w:val="24"/>
        </w:rPr>
        <w:t xml:space="preserve"> (Walter et al., 2017)</w:t>
      </w:r>
      <w:r w:rsidR="0048563F" w:rsidRPr="000461A7">
        <w:rPr>
          <w:rFonts w:ascii="Times New Roman" w:hAnsi="Times New Roman" w:cs="Times New Roman"/>
          <w:sz w:val="24"/>
          <w:szCs w:val="24"/>
        </w:rPr>
        <w:t xml:space="preserve">. In this instance, the section should be changed and the issue of consent dealt with including when consent is given. The </w:t>
      </w:r>
      <w:proofErr w:type="spellStart"/>
      <w:r w:rsidR="0048563F" w:rsidRPr="000461A7">
        <w:rPr>
          <w:rFonts w:ascii="Times New Roman" w:hAnsi="Times New Roman" w:cs="Times New Roman"/>
          <w:sz w:val="24"/>
          <w:szCs w:val="24"/>
        </w:rPr>
        <w:t>mens</w:t>
      </w:r>
      <w:proofErr w:type="spellEnd"/>
      <w:r w:rsidR="0048563F" w:rsidRPr="000461A7">
        <w:rPr>
          <w:rFonts w:ascii="Times New Roman" w:hAnsi="Times New Roman" w:cs="Times New Roman"/>
          <w:sz w:val="24"/>
          <w:szCs w:val="24"/>
        </w:rPr>
        <w:t xml:space="preserve"> rea of the offence also is based on malice as well as the recklessness as defined by the court in the case of Cunningham.</w:t>
      </w:r>
    </w:p>
    <w:p w14:paraId="306BF13F" w14:textId="77777777" w:rsidR="0047163E" w:rsidRPr="000461A7" w:rsidRDefault="0047163E" w:rsidP="000461A7">
      <w:pPr>
        <w:spacing w:line="480" w:lineRule="auto"/>
        <w:ind w:firstLine="720"/>
        <w:rPr>
          <w:rFonts w:ascii="Times New Roman" w:hAnsi="Times New Roman" w:cs="Times New Roman"/>
          <w:sz w:val="24"/>
          <w:szCs w:val="24"/>
        </w:rPr>
      </w:pPr>
      <w:r w:rsidRPr="000461A7">
        <w:rPr>
          <w:rFonts w:ascii="Times New Roman" w:hAnsi="Times New Roman" w:cs="Times New Roman"/>
          <w:sz w:val="24"/>
          <w:szCs w:val="24"/>
        </w:rPr>
        <w:t xml:space="preserve">Although this discussion covers some of the sections and </w:t>
      </w:r>
      <w:r w:rsidR="000461A7" w:rsidRPr="000461A7">
        <w:rPr>
          <w:rFonts w:ascii="Times New Roman" w:hAnsi="Times New Roman" w:cs="Times New Roman"/>
          <w:sz w:val="24"/>
          <w:szCs w:val="24"/>
        </w:rPr>
        <w:t>scenarios</w:t>
      </w:r>
      <w:r w:rsidRPr="000461A7">
        <w:rPr>
          <w:rFonts w:ascii="Times New Roman" w:hAnsi="Times New Roman" w:cs="Times New Roman"/>
          <w:sz w:val="24"/>
          <w:szCs w:val="24"/>
        </w:rPr>
        <w:t xml:space="preserve"> that need reform, the legislation should be reformed as a whole as</w:t>
      </w:r>
      <w:r w:rsidR="00F073D2" w:rsidRPr="000461A7">
        <w:rPr>
          <w:rFonts w:ascii="Times New Roman" w:hAnsi="Times New Roman" w:cs="Times New Roman"/>
          <w:sz w:val="24"/>
          <w:szCs w:val="24"/>
        </w:rPr>
        <w:t xml:space="preserve"> it is past its sell-by date. R</w:t>
      </w:r>
      <w:r w:rsidRPr="000461A7">
        <w:rPr>
          <w:rFonts w:ascii="Times New Roman" w:hAnsi="Times New Roman" w:cs="Times New Roman"/>
          <w:sz w:val="24"/>
          <w:szCs w:val="24"/>
        </w:rPr>
        <w:t>egardless of this, it is ineffective in addressi</w:t>
      </w:r>
      <w:r w:rsidR="00F073D2" w:rsidRPr="000461A7">
        <w:rPr>
          <w:rFonts w:ascii="Times New Roman" w:hAnsi="Times New Roman" w:cs="Times New Roman"/>
          <w:sz w:val="24"/>
          <w:szCs w:val="24"/>
        </w:rPr>
        <w:t>ng several offences. There are other provisions of the law that need to be reformed including sections 26, 28, 29, 30, 32, 33, 34 and 64. The reforms will help the court to efficiently make decisions that are fair and just for all parties. Also, it will be a change needed to help the society and the legal fraternity to understand the terms or elements of each offence.</w:t>
      </w:r>
    </w:p>
    <w:p w14:paraId="3812CF09" w14:textId="77777777" w:rsidR="00F073D2" w:rsidRPr="000461A7" w:rsidRDefault="00F073D2" w:rsidP="000461A7">
      <w:pPr>
        <w:spacing w:line="480" w:lineRule="auto"/>
        <w:rPr>
          <w:rFonts w:ascii="Times New Roman" w:hAnsi="Times New Roman" w:cs="Times New Roman"/>
          <w:sz w:val="24"/>
          <w:szCs w:val="24"/>
        </w:rPr>
      </w:pPr>
      <w:r w:rsidRPr="000461A7">
        <w:rPr>
          <w:rFonts w:ascii="Times New Roman" w:hAnsi="Times New Roman" w:cs="Times New Roman"/>
          <w:sz w:val="24"/>
          <w:szCs w:val="24"/>
        </w:rPr>
        <w:br w:type="page"/>
      </w:r>
    </w:p>
    <w:p w14:paraId="449D5B3E" w14:textId="77777777" w:rsidR="00421A49" w:rsidRPr="000461A7" w:rsidRDefault="00F073D2" w:rsidP="000461A7">
      <w:pPr>
        <w:spacing w:line="480" w:lineRule="auto"/>
        <w:jc w:val="center"/>
        <w:rPr>
          <w:rFonts w:ascii="Times New Roman" w:hAnsi="Times New Roman" w:cs="Times New Roman"/>
          <w:sz w:val="24"/>
          <w:szCs w:val="24"/>
        </w:rPr>
      </w:pPr>
      <w:r w:rsidRPr="000461A7">
        <w:rPr>
          <w:rFonts w:ascii="Times New Roman" w:hAnsi="Times New Roman" w:cs="Times New Roman"/>
          <w:sz w:val="24"/>
          <w:szCs w:val="24"/>
        </w:rPr>
        <w:lastRenderedPageBreak/>
        <w:t>References</w:t>
      </w:r>
    </w:p>
    <w:p w14:paraId="63C24498" w14:textId="77777777" w:rsidR="00F073D2" w:rsidRPr="000461A7" w:rsidRDefault="00F073D2" w:rsidP="000461A7">
      <w:pPr>
        <w:spacing w:line="480" w:lineRule="auto"/>
        <w:ind w:left="720" w:hanging="720"/>
        <w:rPr>
          <w:rFonts w:ascii="Times New Roman" w:hAnsi="Times New Roman" w:cs="Times New Roman"/>
          <w:color w:val="222222"/>
          <w:sz w:val="24"/>
          <w:szCs w:val="24"/>
          <w:shd w:val="clear" w:color="auto" w:fill="FFFFFF"/>
        </w:rPr>
      </w:pPr>
      <w:proofErr w:type="spellStart"/>
      <w:r w:rsidRPr="000461A7">
        <w:rPr>
          <w:rFonts w:ascii="Times New Roman" w:hAnsi="Times New Roman" w:cs="Times New Roman"/>
          <w:color w:val="222222"/>
          <w:sz w:val="24"/>
          <w:szCs w:val="24"/>
          <w:shd w:val="clear" w:color="auto" w:fill="FFFFFF"/>
        </w:rPr>
        <w:t>Demetriou</w:t>
      </w:r>
      <w:proofErr w:type="spellEnd"/>
      <w:r w:rsidRPr="000461A7">
        <w:rPr>
          <w:rFonts w:ascii="Times New Roman" w:hAnsi="Times New Roman" w:cs="Times New Roman"/>
          <w:color w:val="222222"/>
          <w:sz w:val="24"/>
          <w:szCs w:val="24"/>
          <w:shd w:val="clear" w:color="auto" w:fill="FFFFFF"/>
        </w:rPr>
        <w:t>, S. (2016). Not Giving Up the Fight: A Review of the Law Commission’s Scoping Report on Non-fatal Offences Against the Person. </w:t>
      </w:r>
      <w:r w:rsidRPr="000461A7">
        <w:rPr>
          <w:rFonts w:ascii="Times New Roman" w:hAnsi="Times New Roman" w:cs="Times New Roman"/>
          <w:i/>
          <w:iCs/>
          <w:color w:val="222222"/>
          <w:sz w:val="24"/>
          <w:szCs w:val="24"/>
          <w:shd w:val="clear" w:color="auto" w:fill="FFFFFF"/>
        </w:rPr>
        <w:t>The Journal of Criminal Law</w:t>
      </w:r>
      <w:r w:rsidRPr="000461A7">
        <w:rPr>
          <w:rFonts w:ascii="Times New Roman" w:hAnsi="Times New Roman" w:cs="Times New Roman"/>
          <w:color w:val="222222"/>
          <w:sz w:val="24"/>
          <w:szCs w:val="24"/>
          <w:shd w:val="clear" w:color="auto" w:fill="FFFFFF"/>
        </w:rPr>
        <w:t>, </w:t>
      </w:r>
      <w:r w:rsidRPr="000461A7">
        <w:rPr>
          <w:rFonts w:ascii="Times New Roman" w:hAnsi="Times New Roman" w:cs="Times New Roman"/>
          <w:i/>
          <w:iCs/>
          <w:color w:val="222222"/>
          <w:sz w:val="24"/>
          <w:szCs w:val="24"/>
          <w:shd w:val="clear" w:color="auto" w:fill="FFFFFF"/>
        </w:rPr>
        <w:t>80</w:t>
      </w:r>
      <w:r w:rsidRPr="000461A7">
        <w:rPr>
          <w:rFonts w:ascii="Times New Roman" w:hAnsi="Times New Roman" w:cs="Times New Roman"/>
          <w:color w:val="222222"/>
          <w:sz w:val="24"/>
          <w:szCs w:val="24"/>
          <w:shd w:val="clear" w:color="auto" w:fill="FFFFFF"/>
        </w:rPr>
        <w:t>(3), 188-200.</w:t>
      </w:r>
    </w:p>
    <w:p w14:paraId="2ECE6AB7" w14:textId="77777777" w:rsidR="00F073D2" w:rsidRPr="000461A7" w:rsidRDefault="00F073D2" w:rsidP="000461A7">
      <w:pPr>
        <w:spacing w:line="480" w:lineRule="auto"/>
        <w:ind w:left="720" w:hanging="720"/>
        <w:rPr>
          <w:rFonts w:ascii="Times New Roman" w:hAnsi="Times New Roman" w:cs="Times New Roman"/>
          <w:color w:val="222222"/>
          <w:sz w:val="24"/>
          <w:szCs w:val="24"/>
          <w:shd w:val="clear" w:color="auto" w:fill="FFFFFF"/>
        </w:rPr>
      </w:pPr>
      <w:proofErr w:type="spellStart"/>
      <w:r w:rsidRPr="000461A7">
        <w:rPr>
          <w:rFonts w:ascii="Times New Roman" w:hAnsi="Times New Roman" w:cs="Times New Roman"/>
          <w:color w:val="222222"/>
          <w:sz w:val="24"/>
          <w:szCs w:val="24"/>
          <w:shd w:val="clear" w:color="auto" w:fill="FFFFFF"/>
        </w:rPr>
        <w:t>Dodds</w:t>
      </w:r>
      <w:proofErr w:type="spellEnd"/>
      <w:r w:rsidRPr="000461A7">
        <w:rPr>
          <w:rFonts w:ascii="Times New Roman" w:hAnsi="Times New Roman" w:cs="Times New Roman"/>
          <w:color w:val="222222"/>
          <w:sz w:val="24"/>
          <w:szCs w:val="24"/>
          <w:shd w:val="clear" w:color="auto" w:fill="FFFFFF"/>
        </w:rPr>
        <w:t xml:space="preserve">, C., </w:t>
      </w:r>
      <w:proofErr w:type="spellStart"/>
      <w:r w:rsidRPr="000461A7">
        <w:rPr>
          <w:rFonts w:ascii="Times New Roman" w:hAnsi="Times New Roman" w:cs="Times New Roman"/>
          <w:color w:val="222222"/>
          <w:sz w:val="24"/>
          <w:szCs w:val="24"/>
          <w:shd w:val="clear" w:color="auto" w:fill="FFFFFF"/>
        </w:rPr>
        <w:t>Weatherburn</w:t>
      </w:r>
      <w:proofErr w:type="spellEnd"/>
      <w:r w:rsidRPr="000461A7">
        <w:rPr>
          <w:rFonts w:ascii="Times New Roman" w:hAnsi="Times New Roman" w:cs="Times New Roman"/>
          <w:color w:val="222222"/>
          <w:sz w:val="24"/>
          <w:szCs w:val="24"/>
          <w:shd w:val="clear" w:color="auto" w:fill="FFFFFF"/>
        </w:rPr>
        <w:t xml:space="preserve">, P., </w:t>
      </w:r>
      <w:proofErr w:type="spellStart"/>
      <w:r w:rsidRPr="000461A7">
        <w:rPr>
          <w:rFonts w:ascii="Times New Roman" w:hAnsi="Times New Roman" w:cs="Times New Roman"/>
          <w:color w:val="222222"/>
          <w:sz w:val="24"/>
          <w:szCs w:val="24"/>
          <w:shd w:val="clear" w:color="auto" w:fill="FFFFFF"/>
        </w:rPr>
        <w:t>Hickson</w:t>
      </w:r>
      <w:proofErr w:type="spellEnd"/>
      <w:r w:rsidRPr="000461A7">
        <w:rPr>
          <w:rFonts w:ascii="Times New Roman" w:hAnsi="Times New Roman" w:cs="Times New Roman"/>
          <w:color w:val="222222"/>
          <w:sz w:val="24"/>
          <w:szCs w:val="24"/>
          <w:shd w:val="clear" w:color="auto" w:fill="FFFFFF"/>
        </w:rPr>
        <w:t xml:space="preserve">, F., Keogh, P., &amp; </w:t>
      </w:r>
      <w:proofErr w:type="spellStart"/>
      <w:r w:rsidRPr="000461A7">
        <w:rPr>
          <w:rFonts w:ascii="Times New Roman" w:hAnsi="Times New Roman" w:cs="Times New Roman"/>
          <w:color w:val="222222"/>
          <w:sz w:val="24"/>
          <w:szCs w:val="24"/>
          <w:shd w:val="clear" w:color="auto" w:fill="FFFFFF"/>
        </w:rPr>
        <w:t>Nutland</w:t>
      </w:r>
      <w:proofErr w:type="spellEnd"/>
      <w:r w:rsidRPr="000461A7">
        <w:rPr>
          <w:rFonts w:ascii="Times New Roman" w:hAnsi="Times New Roman" w:cs="Times New Roman"/>
          <w:color w:val="222222"/>
          <w:sz w:val="24"/>
          <w:szCs w:val="24"/>
          <w:shd w:val="clear" w:color="auto" w:fill="FFFFFF"/>
        </w:rPr>
        <w:t>, W. (2005). Grievous harm: use of the Offences Against the Person Act 1861 for sexual transmission of HIV.</w:t>
      </w:r>
    </w:p>
    <w:p w14:paraId="3FE0ACBF" w14:textId="77777777" w:rsidR="00F073D2" w:rsidRPr="000461A7" w:rsidRDefault="00F073D2" w:rsidP="000461A7">
      <w:pPr>
        <w:spacing w:line="480" w:lineRule="auto"/>
        <w:ind w:left="720" w:hanging="720"/>
        <w:rPr>
          <w:rFonts w:ascii="Times New Roman" w:hAnsi="Times New Roman" w:cs="Times New Roman"/>
          <w:color w:val="222222"/>
          <w:sz w:val="24"/>
          <w:szCs w:val="24"/>
          <w:shd w:val="clear" w:color="auto" w:fill="FFFFFF"/>
        </w:rPr>
      </w:pPr>
      <w:proofErr w:type="spellStart"/>
      <w:r w:rsidRPr="000461A7">
        <w:rPr>
          <w:rFonts w:ascii="Times New Roman" w:hAnsi="Times New Roman" w:cs="Times New Roman"/>
          <w:color w:val="222222"/>
          <w:sz w:val="24"/>
          <w:szCs w:val="24"/>
          <w:shd w:val="clear" w:color="auto" w:fill="FFFFFF"/>
        </w:rPr>
        <w:t>Eugenicos</w:t>
      </w:r>
      <w:proofErr w:type="spellEnd"/>
      <w:r w:rsidRPr="000461A7">
        <w:rPr>
          <w:rFonts w:ascii="Times New Roman" w:hAnsi="Times New Roman" w:cs="Times New Roman"/>
          <w:color w:val="222222"/>
          <w:sz w:val="24"/>
          <w:szCs w:val="24"/>
          <w:shd w:val="clear" w:color="auto" w:fill="FFFFFF"/>
        </w:rPr>
        <w:t xml:space="preserve">, A. M. (2017). Should We Reform the Offences Against the Person Act </w:t>
      </w:r>
      <w:proofErr w:type="gramStart"/>
      <w:r w:rsidRPr="000461A7">
        <w:rPr>
          <w:rFonts w:ascii="Times New Roman" w:hAnsi="Times New Roman" w:cs="Times New Roman"/>
          <w:color w:val="222222"/>
          <w:sz w:val="24"/>
          <w:szCs w:val="24"/>
          <w:shd w:val="clear" w:color="auto" w:fill="FFFFFF"/>
        </w:rPr>
        <w:t>1861?.</w:t>
      </w:r>
      <w:proofErr w:type="gramEnd"/>
      <w:r w:rsidRPr="000461A7">
        <w:rPr>
          <w:rFonts w:ascii="Times New Roman" w:hAnsi="Times New Roman" w:cs="Times New Roman"/>
          <w:color w:val="222222"/>
          <w:sz w:val="24"/>
          <w:szCs w:val="24"/>
          <w:shd w:val="clear" w:color="auto" w:fill="FFFFFF"/>
        </w:rPr>
        <w:t> </w:t>
      </w:r>
      <w:r w:rsidRPr="000461A7">
        <w:rPr>
          <w:rFonts w:ascii="Times New Roman" w:hAnsi="Times New Roman" w:cs="Times New Roman"/>
          <w:i/>
          <w:iCs/>
          <w:color w:val="222222"/>
          <w:sz w:val="24"/>
          <w:szCs w:val="24"/>
          <w:shd w:val="clear" w:color="auto" w:fill="FFFFFF"/>
        </w:rPr>
        <w:t>The Journal of Criminal Law</w:t>
      </w:r>
      <w:r w:rsidRPr="000461A7">
        <w:rPr>
          <w:rFonts w:ascii="Times New Roman" w:hAnsi="Times New Roman" w:cs="Times New Roman"/>
          <w:color w:val="222222"/>
          <w:sz w:val="24"/>
          <w:szCs w:val="24"/>
          <w:shd w:val="clear" w:color="auto" w:fill="FFFFFF"/>
        </w:rPr>
        <w:t>, </w:t>
      </w:r>
      <w:r w:rsidRPr="000461A7">
        <w:rPr>
          <w:rFonts w:ascii="Times New Roman" w:hAnsi="Times New Roman" w:cs="Times New Roman"/>
          <w:i/>
          <w:iCs/>
          <w:color w:val="222222"/>
          <w:sz w:val="24"/>
          <w:szCs w:val="24"/>
          <w:shd w:val="clear" w:color="auto" w:fill="FFFFFF"/>
        </w:rPr>
        <w:t>81</w:t>
      </w:r>
      <w:r w:rsidRPr="000461A7">
        <w:rPr>
          <w:rFonts w:ascii="Times New Roman" w:hAnsi="Times New Roman" w:cs="Times New Roman"/>
          <w:color w:val="222222"/>
          <w:sz w:val="24"/>
          <w:szCs w:val="24"/>
          <w:shd w:val="clear" w:color="auto" w:fill="FFFFFF"/>
        </w:rPr>
        <w:t>(1), 26-32.</w:t>
      </w:r>
    </w:p>
    <w:p w14:paraId="294FF30E" w14:textId="77777777" w:rsidR="00F073D2" w:rsidRPr="000461A7" w:rsidRDefault="00F073D2" w:rsidP="000461A7">
      <w:pPr>
        <w:spacing w:line="480" w:lineRule="auto"/>
        <w:ind w:left="720" w:hanging="720"/>
        <w:rPr>
          <w:rFonts w:ascii="Times New Roman" w:hAnsi="Times New Roman" w:cs="Times New Roman"/>
          <w:color w:val="222222"/>
          <w:sz w:val="24"/>
          <w:szCs w:val="24"/>
          <w:shd w:val="clear" w:color="auto" w:fill="FFFFFF"/>
        </w:rPr>
      </w:pPr>
      <w:r w:rsidRPr="000461A7">
        <w:rPr>
          <w:rFonts w:ascii="Times New Roman" w:hAnsi="Times New Roman" w:cs="Times New Roman"/>
          <w:color w:val="222222"/>
          <w:sz w:val="24"/>
          <w:szCs w:val="24"/>
          <w:shd w:val="clear" w:color="auto" w:fill="FFFFFF"/>
        </w:rPr>
        <w:t xml:space="preserve">Jackson, A. (2008). R v. Ireland and R v. </w:t>
      </w:r>
      <w:proofErr w:type="spellStart"/>
      <w:r w:rsidRPr="000461A7">
        <w:rPr>
          <w:rFonts w:ascii="Times New Roman" w:hAnsi="Times New Roman" w:cs="Times New Roman"/>
          <w:color w:val="222222"/>
          <w:sz w:val="24"/>
          <w:szCs w:val="24"/>
          <w:shd w:val="clear" w:color="auto" w:fill="FFFFFF"/>
        </w:rPr>
        <w:t>Burstow</w:t>
      </w:r>
      <w:proofErr w:type="spellEnd"/>
      <w:r w:rsidRPr="000461A7">
        <w:rPr>
          <w:rFonts w:ascii="Times New Roman" w:hAnsi="Times New Roman" w:cs="Times New Roman"/>
          <w:color w:val="222222"/>
          <w:sz w:val="24"/>
          <w:szCs w:val="24"/>
          <w:shd w:val="clear" w:color="auto" w:fill="FFFFFF"/>
        </w:rPr>
        <w:t xml:space="preserve"> [1997] 4 All ER 225. </w:t>
      </w:r>
      <w:r w:rsidRPr="000461A7">
        <w:rPr>
          <w:rFonts w:ascii="Times New Roman" w:hAnsi="Times New Roman" w:cs="Times New Roman"/>
          <w:i/>
          <w:iCs/>
          <w:color w:val="222222"/>
          <w:sz w:val="24"/>
          <w:szCs w:val="24"/>
          <w:shd w:val="clear" w:color="auto" w:fill="FFFFFF"/>
        </w:rPr>
        <w:t>Conversion Course Companion for Law: Core Legal Principles and Cases for CPE/GDL</w:t>
      </w:r>
      <w:r w:rsidRPr="000461A7">
        <w:rPr>
          <w:rFonts w:ascii="Times New Roman" w:hAnsi="Times New Roman" w:cs="Times New Roman"/>
          <w:color w:val="222222"/>
          <w:sz w:val="24"/>
          <w:szCs w:val="24"/>
          <w:shd w:val="clear" w:color="auto" w:fill="FFFFFF"/>
        </w:rPr>
        <w:t>, 12.</w:t>
      </w:r>
    </w:p>
    <w:p w14:paraId="7B2C277D" w14:textId="77777777" w:rsidR="00F073D2" w:rsidRPr="000461A7" w:rsidRDefault="00F073D2" w:rsidP="000461A7">
      <w:pPr>
        <w:spacing w:line="480" w:lineRule="auto"/>
        <w:ind w:left="720" w:hanging="720"/>
        <w:rPr>
          <w:rFonts w:ascii="Times New Roman" w:hAnsi="Times New Roman" w:cs="Times New Roman"/>
          <w:color w:val="222222"/>
          <w:sz w:val="24"/>
          <w:szCs w:val="24"/>
          <w:shd w:val="clear" w:color="auto" w:fill="FFFFFF"/>
        </w:rPr>
      </w:pPr>
      <w:r w:rsidRPr="000461A7">
        <w:rPr>
          <w:rFonts w:ascii="Times New Roman" w:hAnsi="Times New Roman" w:cs="Times New Roman"/>
          <w:color w:val="222222"/>
          <w:sz w:val="24"/>
          <w:szCs w:val="24"/>
          <w:shd w:val="clear" w:color="auto" w:fill="FFFFFF"/>
        </w:rPr>
        <w:t>Jefferson, M. (2012). Offences against the Person: Into the 21st century. </w:t>
      </w:r>
      <w:r w:rsidRPr="000461A7">
        <w:rPr>
          <w:rFonts w:ascii="Times New Roman" w:hAnsi="Times New Roman" w:cs="Times New Roman"/>
          <w:i/>
          <w:iCs/>
          <w:color w:val="222222"/>
          <w:sz w:val="24"/>
          <w:szCs w:val="24"/>
          <w:shd w:val="clear" w:color="auto" w:fill="FFFFFF"/>
        </w:rPr>
        <w:t>The Journal of Criminal Law</w:t>
      </w:r>
      <w:r w:rsidRPr="000461A7">
        <w:rPr>
          <w:rFonts w:ascii="Times New Roman" w:hAnsi="Times New Roman" w:cs="Times New Roman"/>
          <w:color w:val="222222"/>
          <w:sz w:val="24"/>
          <w:szCs w:val="24"/>
          <w:shd w:val="clear" w:color="auto" w:fill="FFFFFF"/>
        </w:rPr>
        <w:t>, </w:t>
      </w:r>
      <w:r w:rsidRPr="000461A7">
        <w:rPr>
          <w:rFonts w:ascii="Times New Roman" w:hAnsi="Times New Roman" w:cs="Times New Roman"/>
          <w:i/>
          <w:iCs/>
          <w:color w:val="222222"/>
          <w:sz w:val="24"/>
          <w:szCs w:val="24"/>
          <w:shd w:val="clear" w:color="auto" w:fill="FFFFFF"/>
        </w:rPr>
        <w:t>76</w:t>
      </w:r>
      <w:r w:rsidRPr="000461A7">
        <w:rPr>
          <w:rFonts w:ascii="Times New Roman" w:hAnsi="Times New Roman" w:cs="Times New Roman"/>
          <w:color w:val="222222"/>
          <w:sz w:val="24"/>
          <w:szCs w:val="24"/>
          <w:shd w:val="clear" w:color="auto" w:fill="FFFFFF"/>
        </w:rPr>
        <w:t>(6), 472-492.</w:t>
      </w:r>
    </w:p>
    <w:p w14:paraId="67F3EA95" w14:textId="77777777" w:rsidR="00F073D2" w:rsidRPr="000461A7" w:rsidRDefault="00F073D2" w:rsidP="000461A7">
      <w:pPr>
        <w:spacing w:line="480" w:lineRule="auto"/>
        <w:ind w:left="720" w:hanging="720"/>
        <w:rPr>
          <w:rFonts w:ascii="Times New Roman" w:hAnsi="Times New Roman" w:cs="Times New Roman"/>
          <w:color w:val="222222"/>
          <w:sz w:val="24"/>
          <w:szCs w:val="24"/>
          <w:shd w:val="clear" w:color="auto" w:fill="FFFFFF"/>
        </w:rPr>
      </w:pPr>
      <w:proofErr w:type="spellStart"/>
      <w:r w:rsidRPr="000461A7">
        <w:rPr>
          <w:rFonts w:ascii="Times New Roman" w:hAnsi="Times New Roman" w:cs="Times New Roman"/>
          <w:color w:val="222222"/>
          <w:sz w:val="24"/>
          <w:szCs w:val="24"/>
          <w:shd w:val="clear" w:color="auto" w:fill="FFFFFF"/>
        </w:rPr>
        <w:t>McCombe</w:t>
      </w:r>
      <w:proofErr w:type="spellEnd"/>
      <w:r w:rsidRPr="000461A7">
        <w:rPr>
          <w:rFonts w:ascii="Times New Roman" w:hAnsi="Times New Roman" w:cs="Times New Roman"/>
          <w:color w:val="222222"/>
          <w:sz w:val="24"/>
          <w:szCs w:val="24"/>
          <w:shd w:val="clear" w:color="auto" w:fill="FFFFFF"/>
        </w:rPr>
        <w:t>, C. A. (2017). Non-Fatal Offences against the Person: Complexities, Difficulties and Reform. </w:t>
      </w:r>
      <w:r w:rsidRPr="000461A7">
        <w:rPr>
          <w:rFonts w:ascii="Times New Roman" w:hAnsi="Times New Roman" w:cs="Times New Roman"/>
          <w:i/>
          <w:iCs/>
          <w:color w:val="222222"/>
          <w:sz w:val="24"/>
          <w:szCs w:val="24"/>
          <w:shd w:val="clear" w:color="auto" w:fill="FFFFFF"/>
        </w:rPr>
        <w:t>QMLJ</w:t>
      </w:r>
      <w:r w:rsidRPr="000461A7">
        <w:rPr>
          <w:rFonts w:ascii="Times New Roman" w:hAnsi="Times New Roman" w:cs="Times New Roman"/>
          <w:color w:val="222222"/>
          <w:sz w:val="24"/>
          <w:szCs w:val="24"/>
          <w:shd w:val="clear" w:color="auto" w:fill="FFFFFF"/>
        </w:rPr>
        <w:t>, </w:t>
      </w:r>
      <w:r w:rsidRPr="000461A7">
        <w:rPr>
          <w:rFonts w:ascii="Times New Roman" w:hAnsi="Times New Roman" w:cs="Times New Roman"/>
          <w:i/>
          <w:iCs/>
          <w:color w:val="222222"/>
          <w:sz w:val="24"/>
          <w:szCs w:val="24"/>
          <w:shd w:val="clear" w:color="auto" w:fill="FFFFFF"/>
        </w:rPr>
        <w:t>8</w:t>
      </w:r>
      <w:r w:rsidRPr="000461A7">
        <w:rPr>
          <w:rFonts w:ascii="Times New Roman" w:hAnsi="Times New Roman" w:cs="Times New Roman"/>
          <w:color w:val="222222"/>
          <w:sz w:val="24"/>
          <w:szCs w:val="24"/>
          <w:shd w:val="clear" w:color="auto" w:fill="FFFFFF"/>
        </w:rPr>
        <w:t>, 71.</w:t>
      </w:r>
    </w:p>
    <w:p w14:paraId="137B3FDB" w14:textId="77777777" w:rsidR="00F156E2" w:rsidRPr="000461A7" w:rsidRDefault="00F156E2" w:rsidP="000461A7">
      <w:pPr>
        <w:spacing w:line="480" w:lineRule="auto"/>
        <w:ind w:left="720" w:hanging="720"/>
        <w:rPr>
          <w:rFonts w:ascii="Times New Roman" w:hAnsi="Times New Roman" w:cs="Times New Roman"/>
          <w:sz w:val="24"/>
          <w:szCs w:val="24"/>
        </w:rPr>
      </w:pPr>
      <w:r w:rsidRPr="000461A7">
        <w:rPr>
          <w:rFonts w:ascii="Times New Roman" w:hAnsi="Times New Roman" w:cs="Times New Roman"/>
          <w:color w:val="222222"/>
          <w:sz w:val="24"/>
          <w:szCs w:val="24"/>
          <w:shd w:val="clear" w:color="auto" w:fill="FFFFFF"/>
        </w:rPr>
        <w:t xml:space="preserve">Walters, M., </w:t>
      </w:r>
      <w:proofErr w:type="spellStart"/>
      <w:r w:rsidRPr="000461A7">
        <w:rPr>
          <w:rFonts w:ascii="Times New Roman" w:hAnsi="Times New Roman" w:cs="Times New Roman"/>
          <w:color w:val="222222"/>
          <w:sz w:val="24"/>
          <w:szCs w:val="24"/>
          <w:shd w:val="clear" w:color="auto" w:fill="FFFFFF"/>
        </w:rPr>
        <w:t>Wiedlitzka</w:t>
      </w:r>
      <w:proofErr w:type="spellEnd"/>
      <w:r w:rsidRPr="000461A7">
        <w:rPr>
          <w:rFonts w:ascii="Times New Roman" w:hAnsi="Times New Roman" w:cs="Times New Roman"/>
          <w:color w:val="222222"/>
          <w:sz w:val="24"/>
          <w:szCs w:val="24"/>
          <w:shd w:val="clear" w:color="auto" w:fill="FFFFFF"/>
        </w:rPr>
        <w:t xml:space="preserve">, S., </w:t>
      </w:r>
      <w:proofErr w:type="spellStart"/>
      <w:r w:rsidRPr="000461A7">
        <w:rPr>
          <w:rFonts w:ascii="Times New Roman" w:hAnsi="Times New Roman" w:cs="Times New Roman"/>
          <w:color w:val="222222"/>
          <w:sz w:val="24"/>
          <w:szCs w:val="24"/>
          <w:shd w:val="clear" w:color="auto" w:fill="FFFFFF"/>
        </w:rPr>
        <w:t>Owusu-Bempah</w:t>
      </w:r>
      <w:proofErr w:type="spellEnd"/>
      <w:r w:rsidRPr="000461A7">
        <w:rPr>
          <w:rFonts w:ascii="Times New Roman" w:hAnsi="Times New Roman" w:cs="Times New Roman"/>
          <w:color w:val="222222"/>
          <w:sz w:val="24"/>
          <w:szCs w:val="24"/>
          <w:shd w:val="clear" w:color="auto" w:fill="FFFFFF"/>
        </w:rPr>
        <w:t>, A., &amp; Goodall, K. E. (2017). Hate crime and the legal process: Options for law reform. </w:t>
      </w:r>
      <w:r w:rsidRPr="000461A7">
        <w:rPr>
          <w:rFonts w:ascii="Times New Roman" w:hAnsi="Times New Roman" w:cs="Times New Roman"/>
          <w:i/>
          <w:iCs/>
          <w:color w:val="222222"/>
          <w:sz w:val="24"/>
          <w:szCs w:val="24"/>
          <w:shd w:val="clear" w:color="auto" w:fill="FFFFFF"/>
        </w:rPr>
        <w:t>Available at SSRN 3427984</w:t>
      </w:r>
      <w:r w:rsidRPr="000461A7">
        <w:rPr>
          <w:rFonts w:ascii="Times New Roman" w:hAnsi="Times New Roman" w:cs="Times New Roman"/>
          <w:color w:val="222222"/>
          <w:sz w:val="24"/>
          <w:szCs w:val="24"/>
          <w:shd w:val="clear" w:color="auto" w:fill="FFFFFF"/>
        </w:rPr>
        <w:t>.</w:t>
      </w:r>
    </w:p>
    <w:sectPr w:rsidR="00F156E2" w:rsidRPr="000461A7" w:rsidSect="000461A7">
      <w:headerReference w:type="default" r:id="rId6"/>
      <w:headerReference w:type="first" r:id="rId7"/>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3274FA7" w14:textId="77777777" w:rsidR="00ED732E" w:rsidRDefault="00ED732E" w:rsidP="000461A7">
      <w:pPr>
        <w:spacing w:after="0" w:line="240" w:lineRule="auto"/>
      </w:pPr>
      <w:r>
        <w:separator/>
      </w:r>
    </w:p>
  </w:endnote>
  <w:endnote w:type="continuationSeparator" w:id="0">
    <w:p w14:paraId="5A74AFD1" w14:textId="77777777" w:rsidR="00ED732E" w:rsidRDefault="00ED732E" w:rsidP="000461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altName w:val="Arial"/>
    <w:panose1 w:val="02020603050405020304"/>
    <w:charset w:val="00"/>
    <w:family w:val="roman"/>
    <w:pitch w:val="variable"/>
    <w:sig w:usb0="00000000"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A4D7358" w14:textId="77777777" w:rsidR="00ED732E" w:rsidRDefault="00ED732E" w:rsidP="000461A7">
      <w:pPr>
        <w:spacing w:after="0" w:line="240" w:lineRule="auto"/>
      </w:pPr>
      <w:r>
        <w:separator/>
      </w:r>
    </w:p>
  </w:footnote>
  <w:footnote w:type="continuationSeparator" w:id="0">
    <w:p w14:paraId="59A95681" w14:textId="77777777" w:rsidR="00ED732E" w:rsidRDefault="00ED732E" w:rsidP="000461A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48215B6" w14:textId="77777777" w:rsidR="000461A7" w:rsidRDefault="000461A7">
    <w:pPr>
      <w:pStyle w:val="Header"/>
    </w:pPr>
    <w:r>
      <w:t>NON-FATAL OFFENCES AGAINST PERSONS</w:t>
    </w:r>
    <w:r>
      <w:tab/>
    </w:r>
    <w:r>
      <w:tab/>
    </w:r>
    <w:r>
      <w:fldChar w:fldCharType="begin"/>
    </w:r>
    <w:r>
      <w:instrText xml:space="preserve"> PAGE   \* MERGEFORMAT </w:instrText>
    </w:r>
    <w:r>
      <w:fldChar w:fldCharType="separate"/>
    </w:r>
    <w:r>
      <w:rPr>
        <w:noProof/>
      </w:rPr>
      <w:t>8</w:t>
    </w:r>
    <w:r>
      <w:rPr>
        <w:noProof/>
      </w:rPr>
      <w:fldChar w:fldCharType="end"/>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C21E740" w14:textId="77777777" w:rsidR="000461A7" w:rsidRDefault="000461A7">
    <w:pPr>
      <w:pStyle w:val="Header"/>
    </w:pPr>
    <w:r>
      <w:t>Running head: NON-FATAL OFFENCES AGAINST PERSON</w:t>
    </w:r>
    <w:r>
      <w:tab/>
    </w:r>
    <w:r>
      <w:fldChar w:fldCharType="begin"/>
    </w:r>
    <w:r>
      <w:instrText xml:space="preserve"> PAGE   \* MERGEFORMAT </w:instrText>
    </w:r>
    <w:r>
      <w:fldChar w:fldCharType="separate"/>
    </w:r>
    <w:r w:rsidR="00ED732E">
      <w:rPr>
        <w:noProof/>
      </w:rPr>
      <w:t>1</w:t>
    </w:r>
    <w:r>
      <w:rPr>
        <w:noProof/>
      </w:rPr>
      <w:fldChar w:fldCharType="end"/>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web"/>
  <w:zoom w:percent="50"/>
  <w:proofState w:spelling="clean" w:grammar="clean"/>
  <w:revisionView w:inkAnnotations="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941A4"/>
    <w:rsid w:val="00036629"/>
    <w:rsid w:val="000461A7"/>
    <w:rsid w:val="000753A6"/>
    <w:rsid w:val="001E0C49"/>
    <w:rsid w:val="001E76A8"/>
    <w:rsid w:val="00226168"/>
    <w:rsid w:val="00267B38"/>
    <w:rsid w:val="002D67CC"/>
    <w:rsid w:val="003720E4"/>
    <w:rsid w:val="00421A49"/>
    <w:rsid w:val="0047163E"/>
    <w:rsid w:val="0048563F"/>
    <w:rsid w:val="0049754B"/>
    <w:rsid w:val="0054434B"/>
    <w:rsid w:val="00574C9D"/>
    <w:rsid w:val="005B24FF"/>
    <w:rsid w:val="00607CBA"/>
    <w:rsid w:val="006E4463"/>
    <w:rsid w:val="007E7C26"/>
    <w:rsid w:val="00994A97"/>
    <w:rsid w:val="00B17B9C"/>
    <w:rsid w:val="00C211E1"/>
    <w:rsid w:val="00C54E74"/>
    <w:rsid w:val="00C941A4"/>
    <w:rsid w:val="00CA0289"/>
    <w:rsid w:val="00DA0129"/>
    <w:rsid w:val="00ED732E"/>
    <w:rsid w:val="00F04DA0"/>
    <w:rsid w:val="00F05A2E"/>
    <w:rsid w:val="00F073D2"/>
    <w:rsid w:val="00F156E2"/>
    <w:rsid w:val="00F56BF4"/>
    <w:rsid w:val="00F80E91"/>
    <w:rsid w:val="00FC0C2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AB43A9"/>
  <w15:docId w15:val="{C8BAB284-5557-49DB-8D6C-4FCD7E172A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21A49"/>
    <w:rPr>
      <w:color w:val="0000FF" w:themeColor="hyperlink"/>
      <w:u w:val="single"/>
    </w:rPr>
  </w:style>
  <w:style w:type="paragraph" w:styleId="Header">
    <w:name w:val="header"/>
    <w:basedOn w:val="Normal"/>
    <w:link w:val="HeaderChar"/>
    <w:uiPriority w:val="99"/>
    <w:unhideWhenUsed/>
    <w:rsid w:val="000461A7"/>
    <w:pPr>
      <w:tabs>
        <w:tab w:val="center" w:pos="4680"/>
        <w:tab w:val="right" w:pos="9360"/>
      </w:tabs>
      <w:spacing w:after="0" w:line="240" w:lineRule="auto"/>
    </w:pPr>
  </w:style>
  <w:style w:type="character" w:customStyle="1" w:styleId="HeaderChar">
    <w:name w:val="Header Char"/>
    <w:basedOn w:val="DefaultParagraphFont"/>
    <w:link w:val="Header"/>
    <w:uiPriority w:val="99"/>
    <w:rsid w:val="000461A7"/>
  </w:style>
  <w:style w:type="paragraph" w:styleId="Footer">
    <w:name w:val="footer"/>
    <w:basedOn w:val="Normal"/>
    <w:link w:val="FooterChar"/>
    <w:uiPriority w:val="99"/>
    <w:unhideWhenUsed/>
    <w:rsid w:val="000461A7"/>
    <w:pPr>
      <w:tabs>
        <w:tab w:val="center" w:pos="4680"/>
        <w:tab w:val="right" w:pos="9360"/>
      </w:tabs>
      <w:spacing w:after="0" w:line="240" w:lineRule="auto"/>
    </w:pPr>
  </w:style>
  <w:style w:type="character" w:customStyle="1" w:styleId="FooterChar">
    <w:name w:val="Footer Char"/>
    <w:basedOn w:val="DefaultParagraphFont"/>
    <w:link w:val="Footer"/>
    <w:uiPriority w:val="99"/>
    <w:rsid w:val="000461A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webSettings" Target="webSettings.xml" /><Relationship Id="rId7" Type="http://schemas.openxmlformats.org/officeDocument/2006/relationships/header" Target="header2.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header" Target="header1.xml" /><Relationship Id="rId5" Type="http://schemas.openxmlformats.org/officeDocument/2006/relationships/endnotes" Target="endnotes.xml" /><Relationship Id="rId4" Type="http://schemas.openxmlformats.org/officeDocument/2006/relationships/footnotes" Target="footnote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Pages>
  <Words>2140</Words>
  <Characters>12202</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hp</dc:creator>
  <cp:lastModifiedBy>roxana burlacu</cp:lastModifiedBy>
  <cp:revision>2</cp:revision>
  <dcterms:created xsi:type="dcterms:W3CDTF">2021-03-06T11:21:00Z</dcterms:created>
  <dcterms:modified xsi:type="dcterms:W3CDTF">2021-03-06T11:21:00Z</dcterms:modified>
</cp:coreProperties>
</file>