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FF0DA" w14:textId="77777777" w:rsidR="00D41E7F" w:rsidRPr="00D41E7F" w:rsidRDefault="00D41E7F" w:rsidP="00D41E7F">
      <w:pPr>
        <w:rPr>
          <w:rFonts w:ascii="Arial" w:hAnsi="Arial" w:cs="Arial"/>
        </w:rPr>
      </w:pPr>
      <w:r w:rsidRPr="00D41E7F">
        <w:rPr>
          <w:rFonts w:ascii="Arial" w:hAnsi="Arial" w:cs="Arial"/>
        </w:rPr>
        <w:t>TESLA INC. – MANAGEMENT ACCOUNTING FOR MANAGERS REPORT</w:t>
      </w:r>
    </w:p>
    <w:p w14:paraId="4922CDC2" w14:textId="77777777" w:rsidR="00784300" w:rsidRDefault="00D41E7F" w:rsidP="00D41E7F">
      <w:pPr>
        <w:rPr>
          <w:rFonts w:ascii="Arial" w:hAnsi="Arial" w:cs="Arial"/>
        </w:rPr>
      </w:pPr>
      <w:r w:rsidRPr="00D41E7F">
        <w:rPr>
          <w:rFonts w:ascii="Arial" w:hAnsi="Arial" w:cs="Arial"/>
        </w:rPr>
        <w:t>Student: Cristina Nicolae</w:t>
      </w:r>
    </w:p>
    <w:p w14:paraId="2A4F4F52" w14:textId="20F098CE" w:rsidR="00D41E7F" w:rsidRDefault="00D41E7F" w:rsidP="00D41E7F">
      <w:pPr>
        <w:rPr>
          <w:rFonts w:ascii="Arial" w:hAnsi="Arial" w:cs="Arial"/>
        </w:rPr>
      </w:pPr>
      <w:r w:rsidRPr="00D41E7F">
        <w:rPr>
          <w:rFonts w:ascii="Arial" w:hAnsi="Arial" w:cs="Arial"/>
        </w:rPr>
        <w:t xml:space="preserve"> </w:t>
      </w:r>
      <w:proofErr w:type="spellStart"/>
      <w:r w:rsidR="00784300">
        <w:rPr>
          <w:rFonts w:ascii="Arial" w:hAnsi="Arial" w:cs="Arial"/>
        </w:rPr>
        <w:t>Numder</w:t>
      </w:r>
      <w:proofErr w:type="spellEnd"/>
      <w:r w:rsidR="00784300">
        <w:rPr>
          <w:rFonts w:ascii="Arial" w:hAnsi="Arial" w:cs="Arial"/>
        </w:rPr>
        <w:t xml:space="preserve"> id:</w:t>
      </w:r>
      <w:r w:rsidRPr="00D41E7F">
        <w:rPr>
          <w:rFonts w:ascii="Arial" w:hAnsi="Arial" w:cs="Arial"/>
        </w:rPr>
        <w:t xml:space="preserve"> 2226305</w:t>
      </w:r>
    </w:p>
    <w:p w14:paraId="43D97CA8" w14:textId="351E3681" w:rsidR="00784300" w:rsidRPr="00D41E7F" w:rsidRDefault="00784300" w:rsidP="00D41E7F">
      <w:pPr>
        <w:rPr>
          <w:rFonts w:ascii="Arial" w:hAnsi="Arial" w:cs="Arial"/>
        </w:rPr>
      </w:pPr>
      <w:r>
        <w:rPr>
          <w:rFonts w:ascii="Arial" w:hAnsi="Arial" w:cs="Arial"/>
        </w:rPr>
        <w:t xml:space="preserve">Module </w:t>
      </w:r>
      <w:proofErr w:type="gramStart"/>
      <w:r>
        <w:rPr>
          <w:rFonts w:ascii="Arial" w:hAnsi="Arial" w:cs="Arial"/>
        </w:rPr>
        <w:t>name:</w:t>
      </w:r>
      <w:r w:rsidR="008B3C82">
        <w:rPr>
          <w:rFonts w:ascii="Arial" w:hAnsi="Arial" w:cs="Arial"/>
        </w:rPr>
        <w:t>LCBB</w:t>
      </w:r>
      <w:proofErr w:type="gramEnd"/>
      <w:r w:rsidR="008B3C82">
        <w:rPr>
          <w:rFonts w:ascii="Arial" w:hAnsi="Arial" w:cs="Arial"/>
        </w:rPr>
        <w:t>5010</w:t>
      </w:r>
    </w:p>
    <w:p w14:paraId="3FA2D4FB" w14:textId="5ABFCE55" w:rsidR="00D41E7F" w:rsidRPr="00D41E7F" w:rsidRDefault="00A0326B" w:rsidP="00D41E7F">
      <w:pPr>
        <w:rPr>
          <w:rFonts w:ascii="Arial" w:hAnsi="Arial" w:cs="Arial"/>
        </w:rPr>
      </w:pPr>
      <w:r>
        <w:rPr>
          <w:rFonts w:ascii="Arial" w:hAnsi="Arial" w:cs="Arial"/>
        </w:rPr>
        <w:t>Lecturer name: Patri</w:t>
      </w:r>
      <w:r w:rsidR="00FD4ECC">
        <w:rPr>
          <w:rFonts w:ascii="Arial" w:hAnsi="Arial" w:cs="Arial"/>
        </w:rPr>
        <w:t>ck Yeboah</w:t>
      </w:r>
    </w:p>
    <w:p w14:paraId="79503768" w14:textId="77777777" w:rsidR="00D41E7F" w:rsidRDefault="00D41E7F" w:rsidP="00D41E7F">
      <w:pPr>
        <w:rPr>
          <w:rFonts w:ascii="Arial" w:hAnsi="Arial" w:cs="Arial"/>
        </w:rPr>
      </w:pPr>
    </w:p>
    <w:p w14:paraId="3329723A" w14:textId="77777777" w:rsidR="00D41E7F" w:rsidRDefault="00D41E7F" w:rsidP="00D41E7F">
      <w:pPr>
        <w:rPr>
          <w:rFonts w:ascii="Arial" w:hAnsi="Arial" w:cs="Arial"/>
        </w:rPr>
      </w:pPr>
    </w:p>
    <w:p w14:paraId="76B20622" w14:textId="77777777" w:rsidR="00D41E7F" w:rsidRDefault="00D41E7F" w:rsidP="00D41E7F">
      <w:pPr>
        <w:rPr>
          <w:rFonts w:ascii="Arial" w:hAnsi="Arial" w:cs="Arial"/>
        </w:rPr>
      </w:pPr>
    </w:p>
    <w:p w14:paraId="3973F307" w14:textId="77777777" w:rsidR="00D41E7F" w:rsidRDefault="00D41E7F" w:rsidP="00D41E7F">
      <w:pPr>
        <w:rPr>
          <w:rFonts w:ascii="Arial" w:hAnsi="Arial" w:cs="Arial"/>
        </w:rPr>
      </w:pPr>
    </w:p>
    <w:p w14:paraId="016109ED" w14:textId="77777777" w:rsidR="00D41E7F" w:rsidRDefault="00D41E7F" w:rsidP="00D41E7F">
      <w:pPr>
        <w:rPr>
          <w:rFonts w:ascii="Arial" w:hAnsi="Arial" w:cs="Arial"/>
        </w:rPr>
      </w:pPr>
    </w:p>
    <w:p w14:paraId="1391C5FC" w14:textId="77777777" w:rsidR="00D41E7F" w:rsidRDefault="00D41E7F" w:rsidP="00D41E7F">
      <w:pPr>
        <w:rPr>
          <w:rFonts w:ascii="Arial" w:hAnsi="Arial" w:cs="Arial"/>
        </w:rPr>
      </w:pPr>
    </w:p>
    <w:p w14:paraId="712C7632" w14:textId="77777777" w:rsidR="00D41E7F" w:rsidRDefault="00D41E7F" w:rsidP="00D41E7F">
      <w:pPr>
        <w:rPr>
          <w:rFonts w:ascii="Arial" w:hAnsi="Arial" w:cs="Arial"/>
        </w:rPr>
      </w:pPr>
    </w:p>
    <w:p w14:paraId="328713A8" w14:textId="77777777" w:rsidR="00D41E7F" w:rsidRDefault="00D41E7F" w:rsidP="00D41E7F">
      <w:pPr>
        <w:rPr>
          <w:rFonts w:ascii="Arial" w:hAnsi="Arial" w:cs="Arial"/>
        </w:rPr>
      </w:pPr>
    </w:p>
    <w:p w14:paraId="2D118B8B" w14:textId="77777777" w:rsidR="00D41E7F" w:rsidRDefault="00D41E7F" w:rsidP="00D41E7F">
      <w:pPr>
        <w:rPr>
          <w:rFonts w:ascii="Arial" w:hAnsi="Arial" w:cs="Arial"/>
        </w:rPr>
      </w:pPr>
    </w:p>
    <w:p w14:paraId="7CA13DB0" w14:textId="77777777" w:rsidR="00D41E7F" w:rsidRDefault="00D41E7F" w:rsidP="00D41E7F">
      <w:pPr>
        <w:rPr>
          <w:rFonts w:ascii="Arial" w:hAnsi="Arial" w:cs="Arial"/>
        </w:rPr>
      </w:pPr>
    </w:p>
    <w:p w14:paraId="37BDC1C6" w14:textId="77777777" w:rsidR="00D41E7F" w:rsidRDefault="00D41E7F" w:rsidP="00D41E7F">
      <w:pPr>
        <w:rPr>
          <w:rFonts w:ascii="Arial" w:hAnsi="Arial" w:cs="Arial"/>
        </w:rPr>
      </w:pPr>
    </w:p>
    <w:p w14:paraId="247809DE" w14:textId="77777777" w:rsidR="00D41E7F" w:rsidRDefault="00D41E7F" w:rsidP="00D41E7F">
      <w:pPr>
        <w:rPr>
          <w:rFonts w:ascii="Arial" w:hAnsi="Arial" w:cs="Arial"/>
        </w:rPr>
      </w:pPr>
    </w:p>
    <w:p w14:paraId="4A722D01" w14:textId="77777777" w:rsidR="00D41E7F" w:rsidRDefault="00D41E7F" w:rsidP="00D41E7F">
      <w:pPr>
        <w:rPr>
          <w:rFonts w:ascii="Arial" w:hAnsi="Arial" w:cs="Arial"/>
        </w:rPr>
      </w:pPr>
    </w:p>
    <w:p w14:paraId="30F9370D" w14:textId="77777777" w:rsidR="00D41E7F" w:rsidRDefault="00D41E7F" w:rsidP="00D41E7F">
      <w:pPr>
        <w:rPr>
          <w:rFonts w:ascii="Arial" w:hAnsi="Arial" w:cs="Arial"/>
        </w:rPr>
      </w:pPr>
    </w:p>
    <w:p w14:paraId="1BE0D32F" w14:textId="77777777" w:rsidR="00D41E7F" w:rsidRDefault="00D41E7F" w:rsidP="00D41E7F">
      <w:pPr>
        <w:rPr>
          <w:rFonts w:ascii="Arial" w:hAnsi="Arial" w:cs="Arial"/>
        </w:rPr>
      </w:pPr>
    </w:p>
    <w:p w14:paraId="307D4DF8" w14:textId="77777777" w:rsidR="00D41E7F" w:rsidRDefault="00D41E7F" w:rsidP="00D41E7F">
      <w:pPr>
        <w:rPr>
          <w:rFonts w:ascii="Arial" w:hAnsi="Arial" w:cs="Arial"/>
        </w:rPr>
      </w:pPr>
    </w:p>
    <w:p w14:paraId="6B6503E8" w14:textId="77777777" w:rsidR="00D41E7F" w:rsidRDefault="00D41E7F" w:rsidP="00D41E7F">
      <w:pPr>
        <w:rPr>
          <w:rFonts w:ascii="Arial" w:hAnsi="Arial" w:cs="Arial"/>
        </w:rPr>
      </w:pPr>
    </w:p>
    <w:p w14:paraId="31608087" w14:textId="77777777" w:rsidR="00D41E7F" w:rsidRDefault="00D41E7F" w:rsidP="00D41E7F">
      <w:pPr>
        <w:rPr>
          <w:rFonts w:ascii="Arial" w:hAnsi="Arial" w:cs="Arial"/>
        </w:rPr>
      </w:pPr>
    </w:p>
    <w:p w14:paraId="5FD1B1E8" w14:textId="77777777" w:rsidR="00D41E7F" w:rsidRDefault="00D41E7F" w:rsidP="00D41E7F">
      <w:pPr>
        <w:rPr>
          <w:rFonts w:ascii="Arial" w:hAnsi="Arial" w:cs="Arial"/>
        </w:rPr>
      </w:pPr>
    </w:p>
    <w:p w14:paraId="273CB4C5" w14:textId="77777777" w:rsidR="00D41E7F" w:rsidRDefault="00D41E7F" w:rsidP="00D41E7F">
      <w:pPr>
        <w:rPr>
          <w:rFonts w:ascii="Arial" w:hAnsi="Arial" w:cs="Arial"/>
        </w:rPr>
      </w:pPr>
    </w:p>
    <w:p w14:paraId="2F47DD08" w14:textId="77777777" w:rsidR="00D41E7F" w:rsidRDefault="00D41E7F" w:rsidP="00D41E7F">
      <w:pPr>
        <w:rPr>
          <w:rFonts w:ascii="Arial" w:hAnsi="Arial" w:cs="Arial"/>
        </w:rPr>
      </w:pPr>
    </w:p>
    <w:p w14:paraId="1484BEDD" w14:textId="77777777" w:rsidR="00D41E7F" w:rsidRDefault="00D41E7F" w:rsidP="00D41E7F">
      <w:pPr>
        <w:rPr>
          <w:rFonts w:ascii="Arial" w:hAnsi="Arial" w:cs="Arial"/>
        </w:rPr>
      </w:pPr>
    </w:p>
    <w:p w14:paraId="29EBFC21" w14:textId="77777777" w:rsidR="00D41E7F" w:rsidRDefault="00D41E7F" w:rsidP="00D41E7F">
      <w:pPr>
        <w:rPr>
          <w:rFonts w:ascii="Arial" w:hAnsi="Arial" w:cs="Arial"/>
        </w:rPr>
      </w:pPr>
    </w:p>
    <w:p w14:paraId="39E10B4B" w14:textId="77777777" w:rsidR="00D41E7F" w:rsidRDefault="00D41E7F" w:rsidP="00D41E7F">
      <w:pPr>
        <w:rPr>
          <w:rFonts w:ascii="Arial" w:hAnsi="Arial" w:cs="Arial"/>
        </w:rPr>
      </w:pPr>
    </w:p>
    <w:p w14:paraId="53868A98" w14:textId="77777777" w:rsidR="00D41E7F" w:rsidRDefault="00D41E7F" w:rsidP="00D41E7F">
      <w:pPr>
        <w:rPr>
          <w:rFonts w:ascii="Arial" w:hAnsi="Arial" w:cs="Arial"/>
        </w:rPr>
      </w:pPr>
    </w:p>
    <w:p w14:paraId="6C77CF55" w14:textId="77777777" w:rsidR="001E3661" w:rsidRPr="001E3661" w:rsidRDefault="001E3661" w:rsidP="001E3661">
      <w:pPr>
        <w:rPr>
          <w:rFonts w:ascii="Arial" w:hAnsi="Arial" w:cs="Arial"/>
        </w:rPr>
      </w:pPr>
      <w:r w:rsidRPr="001E3661">
        <w:rPr>
          <w:rFonts w:ascii="Arial" w:hAnsi="Arial" w:cs="Arial"/>
          <w:b/>
          <w:bCs/>
        </w:rPr>
        <w:t>Table of Contents</w:t>
      </w:r>
    </w:p>
    <w:p w14:paraId="4B59D7CE" w14:textId="10F915C9" w:rsidR="001E3661" w:rsidRPr="001E3661" w:rsidRDefault="001E3661" w:rsidP="001E3661">
      <w:pPr>
        <w:numPr>
          <w:ilvl w:val="0"/>
          <w:numId w:val="1"/>
        </w:numPr>
        <w:rPr>
          <w:rFonts w:ascii="Arial" w:hAnsi="Arial" w:cs="Arial"/>
          <w:b/>
          <w:bCs/>
        </w:rPr>
      </w:pPr>
      <w:r w:rsidRPr="001E3661">
        <w:rPr>
          <w:rFonts w:ascii="Arial" w:hAnsi="Arial" w:cs="Arial"/>
          <w:b/>
          <w:bCs/>
        </w:rPr>
        <w:t>Introduction</w:t>
      </w:r>
      <w:r w:rsidRPr="001E3661">
        <w:rPr>
          <w:rFonts w:ascii="Arial" w:hAnsi="Arial" w:cs="Arial"/>
        </w:rPr>
        <w:t xml:space="preserve"> </w:t>
      </w:r>
      <w:r w:rsidRPr="001E3661">
        <w:rPr>
          <w:rFonts w:ascii="Arial" w:hAnsi="Arial" w:cs="Arial"/>
          <w:b/>
          <w:bCs/>
        </w:rPr>
        <w:t xml:space="preserve">............................................................ </w:t>
      </w:r>
      <w:r w:rsidR="00EF31ED" w:rsidRPr="009E60B3">
        <w:rPr>
          <w:rFonts w:ascii="Arial" w:hAnsi="Arial" w:cs="Arial"/>
          <w:b/>
          <w:bCs/>
        </w:rPr>
        <w:t>3</w:t>
      </w:r>
    </w:p>
    <w:p w14:paraId="50B8D147" w14:textId="3304A662" w:rsidR="001E3661" w:rsidRPr="001E3661" w:rsidRDefault="001E3661" w:rsidP="001E3661">
      <w:pPr>
        <w:numPr>
          <w:ilvl w:val="0"/>
          <w:numId w:val="1"/>
        </w:numPr>
        <w:rPr>
          <w:rFonts w:ascii="Arial" w:hAnsi="Arial" w:cs="Arial"/>
          <w:b/>
          <w:bCs/>
        </w:rPr>
      </w:pPr>
      <w:r w:rsidRPr="001E3661">
        <w:rPr>
          <w:rFonts w:ascii="Arial" w:hAnsi="Arial" w:cs="Arial"/>
          <w:b/>
          <w:bCs/>
        </w:rPr>
        <w:t xml:space="preserve">Cost Analysis and Business Model ............................ </w:t>
      </w:r>
      <w:r w:rsidR="00EF31ED" w:rsidRPr="009E60B3">
        <w:rPr>
          <w:rFonts w:ascii="Arial" w:hAnsi="Arial" w:cs="Arial"/>
          <w:b/>
          <w:bCs/>
        </w:rPr>
        <w:t>4/5</w:t>
      </w:r>
      <w:r w:rsidR="00655306" w:rsidRPr="009E60B3">
        <w:rPr>
          <w:rFonts w:ascii="Arial" w:hAnsi="Arial" w:cs="Arial"/>
          <w:b/>
          <w:bCs/>
        </w:rPr>
        <w:t>/6</w:t>
      </w:r>
    </w:p>
    <w:p w14:paraId="5D4169A8" w14:textId="322D247C" w:rsidR="001E3661" w:rsidRPr="001E3661" w:rsidRDefault="001E3661" w:rsidP="001E3661">
      <w:pPr>
        <w:numPr>
          <w:ilvl w:val="0"/>
          <w:numId w:val="1"/>
        </w:numPr>
        <w:rPr>
          <w:rFonts w:ascii="Arial" w:hAnsi="Arial" w:cs="Arial"/>
          <w:b/>
          <w:bCs/>
        </w:rPr>
      </w:pPr>
      <w:r w:rsidRPr="001E3661">
        <w:rPr>
          <w:rFonts w:ascii="Arial" w:hAnsi="Arial" w:cs="Arial"/>
          <w:b/>
          <w:bCs/>
        </w:rPr>
        <w:t xml:space="preserve">Budgeting and Financial Planning .............................. </w:t>
      </w:r>
      <w:r w:rsidR="00EF31ED" w:rsidRPr="009E60B3">
        <w:rPr>
          <w:rFonts w:ascii="Arial" w:hAnsi="Arial" w:cs="Arial"/>
          <w:b/>
          <w:bCs/>
        </w:rPr>
        <w:t>7</w:t>
      </w:r>
      <w:r w:rsidR="00655306" w:rsidRPr="009E60B3">
        <w:rPr>
          <w:rFonts w:ascii="Arial" w:hAnsi="Arial" w:cs="Arial"/>
          <w:b/>
          <w:bCs/>
        </w:rPr>
        <w:t>/8/9</w:t>
      </w:r>
    </w:p>
    <w:p w14:paraId="317F3C35" w14:textId="30FDC481" w:rsidR="001E3661" w:rsidRPr="001E3661" w:rsidRDefault="001E3661" w:rsidP="001E3661">
      <w:pPr>
        <w:numPr>
          <w:ilvl w:val="0"/>
          <w:numId w:val="1"/>
        </w:numPr>
        <w:rPr>
          <w:rFonts w:ascii="Arial" w:hAnsi="Arial" w:cs="Arial"/>
          <w:b/>
          <w:bCs/>
        </w:rPr>
      </w:pPr>
      <w:r w:rsidRPr="001E3661">
        <w:rPr>
          <w:rFonts w:ascii="Arial" w:hAnsi="Arial" w:cs="Arial"/>
          <w:b/>
          <w:bCs/>
        </w:rPr>
        <w:t xml:space="preserve">Performance Measurement and Decision-Making .... </w:t>
      </w:r>
      <w:r w:rsidR="00655306" w:rsidRPr="009E60B3">
        <w:rPr>
          <w:rFonts w:ascii="Arial" w:hAnsi="Arial" w:cs="Arial"/>
          <w:b/>
          <w:bCs/>
        </w:rPr>
        <w:t>10/11/12</w:t>
      </w:r>
    </w:p>
    <w:p w14:paraId="79357F7D" w14:textId="58FDA1EB" w:rsidR="001E3661" w:rsidRPr="001E3661" w:rsidRDefault="001E3661" w:rsidP="001E3661">
      <w:pPr>
        <w:numPr>
          <w:ilvl w:val="0"/>
          <w:numId w:val="1"/>
        </w:numPr>
        <w:rPr>
          <w:rFonts w:ascii="Arial" w:hAnsi="Arial" w:cs="Arial"/>
          <w:b/>
          <w:bCs/>
        </w:rPr>
      </w:pPr>
      <w:r w:rsidRPr="001E3661">
        <w:rPr>
          <w:rFonts w:ascii="Arial" w:hAnsi="Arial" w:cs="Arial"/>
          <w:b/>
          <w:bCs/>
        </w:rPr>
        <w:t xml:space="preserve">Sustainability and Ethical Considerations .................. </w:t>
      </w:r>
      <w:r w:rsidR="00655306" w:rsidRPr="009E60B3">
        <w:rPr>
          <w:rFonts w:ascii="Arial" w:hAnsi="Arial" w:cs="Arial"/>
          <w:b/>
          <w:bCs/>
        </w:rPr>
        <w:t>13/14</w:t>
      </w:r>
    </w:p>
    <w:p w14:paraId="1468CE22" w14:textId="1FC3ADE5" w:rsidR="001E3661" w:rsidRPr="001E3661" w:rsidRDefault="001E3661" w:rsidP="001E3661">
      <w:pPr>
        <w:numPr>
          <w:ilvl w:val="0"/>
          <w:numId w:val="1"/>
        </w:numPr>
        <w:rPr>
          <w:rFonts w:ascii="Arial" w:hAnsi="Arial" w:cs="Arial"/>
          <w:b/>
          <w:bCs/>
        </w:rPr>
      </w:pPr>
      <w:r w:rsidRPr="001E3661">
        <w:rPr>
          <w:rFonts w:ascii="Arial" w:hAnsi="Arial" w:cs="Arial"/>
          <w:b/>
          <w:bCs/>
        </w:rPr>
        <w:t xml:space="preserve">Conclusion and Recommendations ............................. </w:t>
      </w:r>
      <w:r w:rsidR="009E60B3" w:rsidRPr="009E60B3">
        <w:rPr>
          <w:rFonts w:ascii="Arial" w:hAnsi="Arial" w:cs="Arial"/>
          <w:b/>
          <w:bCs/>
        </w:rPr>
        <w:t>15</w:t>
      </w:r>
    </w:p>
    <w:p w14:paraId="13B89B3D" w14:textId="71A749D9" w:rsidR="001E3661" w:rsidRPr="001E3661" w:rsidRDefault="001E3661" w:rsidP="001E3661">
      <w:pPr>
        <w:numPr>
          <w:ilvl w:val="0"/>
          <w:numId w:val="1"/>
        </w:numPr>
        <w:rPr>
          <w:rFonts w:ascii="Arial" w:hAnsi="Arial" w:cs="Arial"/>
          <w:b/>
          <w:bCs/>
        </w:rPr>
      </w:pPr>
      <w:r w:rsidRPr="001E3661">
        <w:rPr>
          <w:rFonts w:ascii="Arial" w:hAnsi="Arial" w:cs="Arial"/>
          <w:b/>
          <w:bCs/>
        </w:rPr>
        <w:t xml:space="preserve">References ................................................................ </w:t>
      </w:r>
      <w:r w:rsidR="00655306" w:rsidRPr="009E60B3">
        <w:rPr>
          <w:rFonts w:ascii="Arial" w:hAnsi="Arial" w:cs="Arial"/>
          <w:b/>
          <w:bCs/>
        </w:rPr>
        <w:t>1</w:t>
      </w:r>
      <w:r w:rsidR="009E60B3" w:rsidRPr="009E60B3">
        <w:rPr>
          <w:rFonts w:ascii="Arial" w:hAnsi="Arial" w:cs="Arial"/>
          <w:b/>
          <w:bCs/>
        </w:rPr>
        <w:t>6</w:t>
      </w:r>
    </w:p>
    <w:p w14:paraId="1E5134CC" w14:textId="77777777" w:rsidR="00D41E7F" w:rsidRPr="001E3661" w:rsidRDefault="00D41E7F" w:rsidP="00D41E7F">
      <w:pPr>
        <w:rPr>
          <w:rFonts w:ascii="Arial" w:hAnsi="Arial" w:cs="Arial"/>
        </w:rPr>
      </w:pPr>
    </w:p>
    <w:p w14:paraId="76360F05" w14:textId="77777777" w:rsidR="00D41E7F" w:rsidRDefault="00D41E7F" w:rsidP="00D41E7F">
      <w:pPr>
        <w:rPr>
          <w:rFonts w:ascii="Arial" w:hAnsi="Arial" w:cs="Arial"/>
        </w:rPr>
      </w:pPr>
    </w:p>
    <w:p w14:paraId="61EEF122" w14:textId="77777777" w:rsidR="00D41E7F" w:rsidRDefault="00D41E7F" w:rsidP="00D41E7F">
      <w:pPr>
        <w:rPr>
          <w:rFonts w:ascii="Arial" w:hAnsi="Arial" w:cs="Arial"/>
        </w:rPr>
      </w:pPr>
    </w:p>
    <w:p w14:paraId="39630610" w14:textId="77777777" w:rsidR="00D41E7F" w:rsidRDefault="00D41E7F" w:rsidP="00D41E7F">
      <w:pPr>
        <w:rPr>
          <w:rFonts w:ascii="Arial" w:hAnsi="Arial" w:cs="Arial"/>
        </w:rPr>
      </w:pPr>
    </w:p>
    <w:p w14:paraId="57B30BC7" w14:textId="77777777" w:rsidR="00D41E7F" w:rsidRDefault="00D41E7F" w:rsidP="00D41E7F">
      <w:pPr>
        <w:rPr>
          <w:rFonts w:ascii="Arial" w:hAnsi="Arial" w:cs="Arial"/>
        </w:rPr>
      </w:pPr>
    </w:p>
    <w:p w14:paraId="10EC5096" w14:textId="77777777" w:rsidR="00D41E7F" w:rsidRDefault="00D41E7F" w:rsidP="00D41E7F">
      <w:pPr>
        <w:rPr>
          <w:rFonts w:ascii="Arial" w:hAnsi="Arial" w:cs="Arial"/>
        </w:rPr>
      </w:pPr>
    </w:p>
    <w:p w14:paraId="1E735997" w14:textId="77777777" w:rsidR="00D41E7F" w:rsidRDefault="00D41E7F" w:rsidP="00D41E7F">
      <w:pPr>
        <w:rPr>
          <w:rFonts w:ascii="Arial" w:hAnsi="Arial" w:cs="Arial"/>
        </w:rPr>
      </w:pPr>
    </w:p>
    <w:p w14:paraId="2F4DC0CD" w14:textId="77777777" w:rsidR="00D41E7F" w:rsidRDefault="00D41E7F" w:rsidP="00D41E7F">
      <w:pPr>
        <w:rPr>
          <w:rFonts w:ascii="Arial" w:hAnsi="Arial" w:cs="Arial"/>
        </w:rPr>
      </w:pPr>
    </w:p>
    <w:p w14:paraId="39035FAA" w14:textId="77777777" w:rsidR="00D41E7F" w:rsidRDefault="00D41E7F" w:rsidP="00D41E7F">
      <w:pPr>
        <w:rPr>
          <w:rFonts w:ascii="Arial" w:hAnsi="Arial" w:cs="Arial"/>
        </w:rPr>
      </w:pPr>
    </w:p>
    <w:p w14:paraId="46450A21" w14:textId="77777777" w:rsidR="00D41E7F" w:rsidRDefault="00D41E7F" w:rsidP="00D41E7F">
      <w:pPr>
        <w:rPr>
          <w:rFonts w:ascii="Arial" w:hAnsi="Arial" w:cs="Arial"/>
        </w:rPr>
      </w:pPr>
    </w:p>
    <w:p w14:paraId="30E03E3B" w14:textId="77777777" w:rsidR="00D41E7F" w:rsidRDefault="00D41E7F" w:rsidP="00D41E7F">
      <w:pPr>
        <w:rPr>
          <w:rFonts w:ascii="Arial" w:hAnsi="Arial" w:cs="Arial"/>
        </w:rPr>
      </w:pPr>
    </w:p>
    <w:p w14:paraId="57214C1D" w14:textId="77777777" w:rsidR="00D41E7F" w:rsidRDefault="00D41E7F" w:rsidP="00D41E7F">
      <w:pPr>
        <w:rPr>
          <w:rFonts w:ascii="Arial" w:hAnsi="Arial" w:cs="Arial"/>
        </w:rPr>
      </w:pPr>
    </w:p>
    <w:p w14:paraId="31689AA4" w14:textId="77777777" w:rsidR="00D41E7F" w:rsidRDefault="00D41E7F" w:rsidP="00D41E7F">
      <w:pPr>
        <w:rPr>
          <w:rFonts w:ascii="Arial" w:hAnsi="Arial" w:cs="Arial"/>
        </w:rPr>
      </w:pPr>
    </w:p>
    <w:p w14:paraId="6F6BCC6A" w14:textId="77777777" w:rsidR="00D41E7F" w:rsidRDefault="00D41E7F" w:rsidP="00D41E7F">
      <w:pPr>
        <w:rPr>
          <w:rFonts w:ascii="Arial" w:hAnsi="Arial" w:cs="Arial"/>
        </w:rPr>
      </w:pPr>
    </w:p>
    <w:p w14:paraId="7FA8A985" w14:textId="77777777" w:rsidR="00D41E7F" w:rsidRDefault="00D41E7F" w:rsidP="00D41E7F">
      <w:pPr>
        <w:rPr>
          <w:rFonts w:ascii="Arial" w:hAnsi="Arial" w:cs="Arial"/>
        </w:rPr>
      </w:pPr>
    </w:p>
    <w:p w14:paraId="2E0AA4C1" w14:textId="77777777" w:rsidR="00D41E7F" w:rsidRDefault="00D41E7F" w:rsidP="00D41E7F">
      <w:pPr>
        <w:rPr>
          <w:rFonts w:ascii="Arial" w:hAnsi="Arial" w:cs="Arial"/>
        </w:rPr>
      </w:pPr>
    </w:p>
    <w:p w14:paraId="09C2DA8D" w14:textId="77777777" w:rsidR="00D41E7F" w:rsidRDefault="00D41E7F" w:rsidP="00D41E7F">
      <w:pPr>
        <w:rPr>
          <w:rFonts w:ascii="Arial" w:hAnsi="Arial" w:cs="Arial"/>
        </w:rPr>
      </w:pPr>
    </w:p>
    <w:p w14:paraId="24F8C84C" w14:textId="77777777" w:rsidR="00D41E7F" w:rsidRDefault="00D41E7F" w:rsidP="00D41E7F">
      <w:pPr>
        <w:rPr>
          <w:rFonts w:ascii="Arial" w:hAnsi="Arial" w:cs="Arial"/>
        </w:rPr>
      </w:pPr>
    </w:p>
    <w:p w14:paraId="768CE33B" w14:textId="77777777" w:rsidR="00D41E7F" w:rsidRDefault="00D41E7F" w:rsidP="00D41E7F">
      <w:pPr>
        <w:rPr>
          <w:rFonts w:ascii="Arial" w:hAnsi="Arial" w:cs="Arial"/>
        </w:rPr>
      </w:pPr>
    </w:p>
    <w:p w14:paraId="24FFD74B" w14:textId="77777777" w:rsidR="00D41E7F" w:rsidRDefault="00D41E7F" w:rsidP="00D41E7F">
      <w:pPr>
        <w:rPr>
          <w:rFonts w:ascii="Arial" w:hAnsi="Arial" w:cs="Arial"/>
        </w:rPr>
      </w:pPr>
    </w:p>
    <w:p w14:paraId="06853104" w14:textId="77777777" w:rsidR="00EF31ED" w:rsidRDefault="00EF31ED" w:rsidP="00D41E7F">
      <w:pPr>
        <w:rPr>
          <w:rFonts w:ascii="Arial" w:hAnsi="Arial" w:cs="Arial"/>
        </w:rPr>
      </w:pPr>
    </w:p>
    <w:p w14:paraId="64D17301" w14:textId="31438655" w:rsidR="00D41E7F" w:rsidRPr="00101ECF" w:rsidRDefault="00D41E7F" w:rsidP="00D41E7F">
      <w:pPr>
        <w:rPr>
          <w:rFonts w:ascii="Arial" w:hAnsi="Arial" w:cs="Arial"/>
          <w:b/>
          <w:bCs/>
        </w:rPr>
      </w:pPr>
      <w:r w:rsidRPr="00101ECF">
        <w:rPr>
          <w:rFonts w:ascii="Arial" w:hAnsi="Arial" w:cs="Arial"/>
          <w:b/>
          <w:bCs/>
        </w:rPr>
        <w:t xml:space="preserve">1. Introduction </w:t>
      </w:r>
    </w:p>
    <w:p w14:paraId="5235D4B0" w14:textId="77777777" w:rsidR="00D41E7F" w:rsidRPr="00D41E7F" w:rsidRDefault="00D41E7F" w:rsidP="00D41E7F">
      <w:pPr>
        <w:rPr>
          <w:rFonts w:ascii="Arial" w:hAnsi="Arial" w:cs="Arial"/>
        </w:rPr>
      </w:pPr>
    </w:p>
    <w:p w14:paraId="762D5048" w14:textId="77777777" w:rsidR="00D41E7F" w:rsidRPr="00D41E7F" w:rsidRDefault="00D41E7F" w:rsidP="00D41E7F">
      <w:pPr>
        <w:rPr>
          <w:rFonts w:ascii="Arial" w:hAnsi="Arial" w:cs="Arial"/>
        </w:rPr>
      </w:pPr>
      <w:r w:rsidRPr="00D41E7F">
        <w:rPr>
          <w:rFonts w:ascii="Arial" w:hAnsi="Arial" w:cs="Arial"/>
        </w:rPr>
        <w:t>Tesla, Inc., founded in 2003 and led by CEO Elon Musk, is a global leader in electric vehicles, renewable energy, and battery technology. Headquartered in Austin, Texas, Tesla has rapidly expanded into a company recognised for innovation and sustainability. Its mission, “to accelerate the world’s transition to sustainable energy,” guides its strategic and financial decisions.</w:t>
      </w:r>
    </w:p>
    <w:p w14:paraId="436DCD05" w14:textId="77777777" w:rsidR="00D41E7F" w:rsidRPr="00D41E7F" w:rsidRDefault="00D41E7F" w:rsidP="00D41E7F">
      <w:pPr>
        <w:rPr>
          <w:rFonts w:ascii="Arial" w:hAnsi="Arial" w:cs="Arial"/>
        </w:rPr>
      </w:pPr>
    </w:p>
    <w:p w14:paraId="665F2430" w14:textId="77777777" w:rsidR="00D41E7F" w:rsidRPr="00D41E7F" w:rsidRDefault="00D41E7F" w:rsidP="00D41E7F">
      <w:pPr>
        <w:rPr>
          <w:rFonts w:ascii="Arial" w:hAnsi="Arial" w:cs="Arial"/>
        </w:rPr>
      </w:pPr>
      <w:r w:rsidRPr="00D41E7F">
        <w:rPr>
          <w:rFonts w:ascii="Arial" w:hAnsi="Arial" w:cs="Arial"/>
        </w:rPr>
        <w:t xml:space="preserve">In today’s competitive automotive and technology markets, management accounting plays a crucial role in supporting decision-making. It provides internal financial insights that guide Tesla in pricing, production planning, cost control, performance evaluation, and long-term investments. By applying management accounting tools such as cost analysis, budgeting, performance measurement, and sustainability evaluation, Tesla </w:t>
      </w:r>
      <w:proofErr w:type="gramStart"/>
      <w:r w:rsidRPr="00D41E7F">
        <w:rPr>
          <w:rFonts w:ascii="Arial" w:hAnsi="Arial" w:cs="Arial"/>
        </w:rPr>
        <w:t>is able to</w:t>
      </w:r>
      <w:proofErr w:type="gramEnd"/>
      <w:r w:rsidRPr="00D41E7F">
        <w:rPr>
          <w:rFonts w:ascii="Arial" w:hAnsi="Arial" w:cs="Arial"/>
        </w:rPr>
        <w:t xml:space="preserve"> maintain profitability while pursuing growth. This report explores how these tools influence Tesla’s financial decisions and operational strategies, demonstrating the relevance of management accounting in a modern, innovation-driven company.</w:t>
      </w:r>
    </w:p>
    <w:p w14:paraId="6AFC2A70" w14:textId="77777777" w:rsidR="00D41E7F" w:rsidRPr="00D41E7F" w:rsidRDefault="00D41E7F" w:rsidP="00D41E7F">
      <w:pPr>
        <w:rPr>
          <w:rFonts w:ascii="Arial" w:hAnsi="Arial" w:cs="Arial"/>
        </w:rPr>
      </w:pPr>
    </w:p>
    <w:p w14:paraId="7428ACC5" w14:textId="77777777" w:rsidR="00A61E72" w:rsidRDefault="00A61E72" w:rsidP="00D41E7F">
      <w:pPr>
        <w:rPr>
          <w:rFonts w:ascii="Arial" w:hAnsi="Arial" w:cs="Arial"/>
          <w:b/>
          <w:bCs/>
        </w:rPr>
      </w:pPr>
    </w:p>
    <w:p w14:paraId="5606CE2D" w14:textId="77777777" w:rsidR="00A61E72" w:rsidRDefault="00A61E72" w:rsidP="00D41E7F">
      <w:pPr>
        <w:rPr>
          <w:rFonts w:ascii="Arial" w:hAnsi="Arial" w:cs="Arial"/>
          <w:b/>
          <w:bCs/>
        </w:rPr>
      </w:pPr>
    </w:p>
    <w:p w14:paraId="20F2EDCA" w14:textId="77777777" w:rsidR="00A61E72" w:rsidRDefault="00A61E72" w:rsidP="00D41E7F">
      <w:pPr>
        <w:rPr>
          <w:rFonts w:ascii="Arial" w:hAnsi="Arial" w:cs="Arial"/>
          <w:b/>
          <w:bCs/>
        </w:rPr>
      </w:pPr>
    </w:p>
    <w:p w14:paraId="6551D676" w14:textId="77777777" w:rsidR="00A61E72" w:rsidRDefault="00A61E72" w:rsidP="00D41E7F">
      <w:pPr>
        <w:rPr>
          <w:rFonts w:ascii="Arial" w:hAnsi="Arial" w:cs="Arial"/>
          <w:b/>
          <w:bCs/>
        </w:rPr>
      </w:pPr>
    </w:p>
    <w:p w14:paraId="24BEC51A" w14:textId="77777777" w:rsidR="00A61E72" w:rsidRDefault="00A61E72" w:rsidP="00D41E7F">
      <w:pPr>
        <w:rPr>
          <w:rFonts w:ascii="Arial" w:hAnsi="Arial" w:cs="Arial"/>
          <w:b/>
          <w:bCs/>
        </w:rPr>
      </w:pPr>
    </w:p>
    <w:p w14:paraId="161D5096" w14:textId="77777777" w:rsidR="00A61E72" w:rsidRDefault="00A61E72" w:rsidP="00D41E7F">
      <w:pPr>
        <w:rPr>
          <w:rFonts w:ascii="Arial" w:hAnsi="Arial" w:cs="Arial"/>
          <w:b/>
          <w:bCs/>
        </w:rPr>
      </w:pPr>
    </w:p>
    <w:p w14:paraId="62113560" w14:textId="77777777" w:rsidR="00A61E72" w:rsidRDefault="00A61E72" w:rsidP="00D41E7F">
      <w:pPr>
        <w:rPr>
          <w:rFonts w:ascii="Arial" w:hAnsi="Arial" w:cs="Arial"/>
          <w:b/>
          <w:bCs/>
        </w:rPr>
      </w:pPr>
    </w:p>
    <w:p w14:paraId="3EC95972" w14:textId="77777777" w:rsidR="00A61E72" w:rsidRDefault="00A61E72" w:rsidP="00D41E7F">
      <w:pPr>
        <w:rPr>
          <w:rFonts w:ascii="Arial" w:hAnsi="Arial" w:cs="Arial"/>
          <w:b/>
          <w:bCs/>
        </w:rPr>
      </w:pPr>
    </w:p>
    <w:p w14:paraId="3DF1DDAB" w14:textId="77777777" w:rsidR="00A61E72" w:rsidRDefault="00A61E72" w:rsidP="00D41E7F">
      <w:pPr>
        <w:rPr>
          <w:rFonts w:ascii="Arial" w:hAnsi="Arial" w:cs="Arial"/>
          <w:b/>
          <w:bCs/>
        </w:rPr>
      </w:pPr>
    </w:p>
    <w:p w14:paraId="43A16F81" w14:textId="77777777" w:rsidR="00A61E72" w:rsidRDefault="00A61E72" w:rsidP="00D41E7F">
      <w:pPr>
        <w:rPr>
          <w:rFonts w:ascii="Arial" w:hAnsi="Arial" w:cs="Arial"/>
          <w:b/>
          <w:bCs/>
        </w:rPr>
      </w:pPr>
    </w:p>
    <w:p w14:paraId="5870A745" w14:textId="77777777" w:rsidR="00A61E72" w:rsidRDefault="00A61E72" w:rsidP="00D41E7F">
      <w:pPr>
        <w:rPr>
          <w:rFonts w:ascii="Arial" w:hAnsi="Arial" w:cs="Arial"/>
          <w:b/>
          <w:bCs/>
        </w:rPr>
      </w:pPr>
    </w:p>
    <w:p w14:paraId="186605DC" w14:textId="77777777" w:rsidR="00A61E72" w:rsidRDefault="00A61E72" w:rsidP="00D41E7F">
      <w:pPr>
        <w:rPr>
          <w:rFonts w:ascii="Arial" w:hAnsi="Arial" w:cs="Arial"/>
          <w:b/>
          <w:bCs/>
        </w:rPr>
      </w:pPr>
    </w:p>
    <w:p w14:paraId="7B247594" w14:textId="77777777" w:rsidR="00A61E72" w:rsidRDefault="00A61E72" w:rsidP="00D41E7F">
      <w:pPr>
        <w:rPr>
          <w:rFonts w:ascii="Arial" w:hAnsi="Arial" w:cs="Arial"/>
          <w:b/>
          <w:bCs/>
        </w:rPr>
      </w:pPr>
    </w:p>
    <w:p w14:paraId="159F66B9" w14:textId="77777777" w:rsidR="00A61E72" w:rsidRDefault="00A61E72" w:rsidP="00D41E7F">
      <w:pPr>
        <w:rPr>
          <w:rFonts w:ascii="Arial" w:hAnsi="Arial" w:cs="Arial"/>
          <w:b/>
          <w:bCs/>
        </w:rPr>
      </w:pPr>
    </w:p>
    <w:p w14:paraId="3AEEC1C6" w14:textId="77777777" w:rsidR="00A61E72" w:rsidRDefault="00A61E72" w:rsidP="00D41E7F">
      <w:pPr>
        <w:rPr>
          <w:rFonts w:ascii="Arial" w:hAnsi="Arial" w:cs="Arial"/>
          <w:b/>
          <w:bCs/>
        </w:rPr>
      </w:pPr>
    </w:p>
    <w:p w14:paraId="66F50531" w14:textId="1F347810" w:rsidR="00D41E7F" w:rsidRPr="00A61E72" w:rsidRDefault="00D41E7F" w:rsidP="00D41E7F">
      <w:pPr>
        <w:rPr>
          <w:rFonts w:ascii="Arial" w:hAnsi="Arial" w:cs="Arial"/>
          <w:b/>
          <w:bCs/>
        </w:rPr>
      </w:pPr>
      <w:r w:rsidRPr="00A61E72">
        <w:rPr>
          <w:rFonts w:ascii="Arial" w:hAnsi="Arial" w:cs="Arial"/>
          <w:b/>
          <w:bCs/>
        </w:rPr>
        <w:t xml:space="preserve">2. Cost Analysis and Business Model </w:t>
      </w:r>
    </w:p>
    <w:p w14:paraId="56CDBD02" w14:textId="77777777" w:rsidR="00D850AC" w:rsidRPr="00D850AC" w:rsidRDefault="00D850AC" w:rsidP="00D850AC">
      <w:pPr>
        <w:spacing w:after="100" w:afterAutospacing="1"/>
        <w:rPr>
          <w:rFonts w:ascii="Arial" w:hAnsi="Arial" w:cs="Arial"/>
        </w:rPr>
      </w:pPr>
      <w:r w:rsidRPr="00D850AC">
        <w:rPr>
          <w:rFonts w:ascii="Arial" w:hAnsi="Arial" w:cs="Arial"/>
        </w:rPr>
        <w:t>Tesla operates under a highly distinctive, vertically integrated business model, which sets it apart from traditional automotive manufacturers. Instead of outsourcing major components and relying on dealership networks, Tesla manages a significant portion of its supply chain internally. This includes battery production, vehicle assembly, software development, and direct sales through Tesla stores and online platforms. This integration provides greater control over cost structures, quality standards, innovation, and profit margins.</w:t>
      </w:r>
    </w:p>
    <w:p w14:paraId="2DD8DD5B" w14:textId="77777777" w:rsidR="00D850AC" w:rsidRPr="00D850AC" w:rsidRDefault="00D850AC" w:rsidP="00D850AC">
      <w:pPr>
        <w:spacing w:after="100" w:afterAutospacing="1"/>
        <w:rPr>
          <w:rFonts w:ascii="Arial" w:hAnsi="Arial" w:cs="Arial"/>
        </w:rPr>
      </w:pPr>
    </w:p>
    <w:p w14:paraId="73B0A78D" w14:textId="77777777" w:rsidR="00D850AC" w:rsidRPr="00D850AC" w:rsidRDefault="00D850AC" w:rsidP="00D850AC">
      <w:pPr>
        <w:spacing w:after="100" w:afterAutospacing="1"/>
        <w:rPr>
          <w:rFonts w:ascii="Arial" w:hAnsi="Arial" w:cs="Arial"/>
        </w:rPr>
      </w:pPr>
      <w:r w:rsidRPr="00D850AC">
        <w:rPr>
          <w:rFonts w:ascii="Arial" w:hAnsi="Arial" w:cs="Arial"/>
        </w:rPr>
        <w:t>Revenue Model and Business Segments</w:t>
      </w:r>
    </w:p>
    <w:p w14:paraId="5B18AE9A" w14:textId="77777777" w:rsidR="00D850AC" w:rsidRPr="00D850AC" w:rsidRDefault="00D850AC" w:rsidP="00D850AC">
      <w:pPr>
        <w:spacing w:after="100" w:afterAutospacing="1"/>
        <w:rPr>
          <w:rFonts w:ascii="Arial" w:hAnsi="Arial" w:cs="Arial"/>
        </w:rPr>
      </w:pPr>
      <w:r w:rsidRPr="00D850AC">
        <w:rPr>
          <w:rFonts w:ascii="Arial" w:hAnsi="Arial" w:cs="Arial"/>
        </w:rPr>
        <w:t>Tesla’s revenue is derived from four principal areas:</w:t>
      </w:r>
    </w:p>
    <w:p w14:paraId="5CEF36D1" w14:textId="77777777" w:rsidR="00D850AC" w:rsidRPr="00D850AC" w:rsidRDefault="00D850AC" w:rsidP="00D850AC">
      <w:pPr>
        <w:spacing w:after="100" w:afterAutospacing="1"/>
        <w:rPr>
          <w:rFonts w:ascii="Arial" w:hAnsi="Arial" w:cs="Arial"/>
        </w:rPr>
      </w:pPr>
    </w:p>
    <w:p w14:paraId="6016C6D7" w14:textId="77777777" w:rsidR="00D850AC" w:rsidRPr="00D850AC" w:rsidRDefault="00D850AC" w:rsidP="00D850AC">
      <w:pPr>
        <w:spacing w:after="100" w:afterAutospacing="1"/>
        <w:rPr>
          <w:rFonts w:ascii="Arial" w:hAnsi="Arial" w:cs="Arial"/>
        </w:rPr>
      </w:pPr>
      <w:r w:rsidRPr="00D850AC">
        <w:rPr>
          <w:rFonts w:ascii="Arial" w:hAnsi="Arial" w:cs="Arial"/>
        </w:rPr>
        <w:t>Automotive Sales: This is Tesla’s primary income source, consisting of electric vehicles such as Model S, 3, X, and Y.</w:t>
      </w:r>
    </w:p>
    <w:p w14:paraId="64D71AEB" w14:textId="77777777" w:rsidR="00D850AC" w:rsidRPr="00D850AC" w:rsidRDefault="00D850AC" w:rsidP="00D850AC">
      <w:pPr>
        <w:spacing w:after="100" w:afterAutospacing="1"/>
        <w:rPr>
          <w:rFonts w:ascii="Arial" w:hAnsi="Arial" w:cs="Arial"/>
        </w:rPr>
      </w:pPr>
    </w:p>
    <w:p w14:paraId="2B308A08" w14:textId="77777777" w:rsidR="00D850AC" w:rsidRPr="00D850AC" w:rsidRDefault="00D850AC" w:rsidP="00D850AC">
      <w:pPr>
        <w:spacing w:after="100" w:afterAutospacing="1"/>
        <w:rPr>
          <w:rFonts w:ascii="Arial" w:hAnsi="Arial" w:cs="Arial"/>
        </w:rPr>
      </w:pPr>
      <w:r w:rsidRPr="00D850AC">
        <w:rPr>
          <w:rFonts w:ascii="Arial" w:hAnsi="Arial" w:cs="Arial"/>
        </w:rPr>
        <w:t>Regulatory Credits: Tesla sells carbon emission credits to legacy automakers who fail to meet environmental standards.</w:t>
      </w:r>
    </w:p>
    <w:p w14:paraId="002C1486" w14:textId="77777777" w:rsidR="00D850AC" w:rsidRPr="00D850AC" w:rsidRDefault="00D850AC" w:rsidP="00D850AC">
      <w:pPr>
        <w:spacing w:after="100" w:afterAutospacing="1"/>
        <w:rPr>
          <w:rFonts w:ascii="Arial" w:hAnsi="Arial" w:cs="Arial"/>
        </w:rPr>
      </w:pPr>
    </w:p>
    <w:p w14:paraId="361C1453" w14:textId="77777777" w:rsidR="00D850AC" w:rsidRPr="00D850AC" w:rsidRDefault="00D850AC" w:rsidP="00D850AC">
      <w:pPr>
        <w:spacing w:after="100" w:afterAutospacing="1"/>
        <w:rPr>
          <w:rFonts w:ascii="Arial" w:hAnsi="Arial" w:cs="Arial"/>
        </w:rPr>
      </w:pPr>
      <w:r w:rsidRPr="00D850AC">
        <w:rPr>
          <w:rFonts w:ascii="Arial" w:hAnsi="Arial" w:cs="Arial"/>
        </w:rPr>
        <w:t>Energy Generation and Storage: Revenue from solar panels, Powerwall, and Megapack battery systems.</w:t>
      </w:r>
    </w:p>
    <w:p w14:paraId="6E447E1B" w14:textId="77777777" w:rsidR="00D850AC" w:rsidRPr="00D850AC" w:rsidRDefault="00D850AC" w:rsidP="00D850AC">
      <w:pPr>
        <w:spacing w:after="100" w:afterAutospacing="1"/>
        <w:rPr>
          <w:rFonts w:ascii="Arial" w:hAnsi="Arial" w:cs="Arial"/>
        </w:rPr>
      </w:pPr>
    </w:p>
    <w:p w14:paraId="54A6C4BF" w14:textId="77777777" w:rsidR="00D850AC" w:rsidRPr="00D850AC" w:rsidRDefault="00D850AC" w:rsidP="00D850AC">
      <w:pPr>
        <w:spacing w:after="100" w:afterAutospacing="1"/>
        <w:rPr>
          <w:rFonts w:ascii="Arial" w:hAnsi="Arial" w:cs="Arial"/>
        </w:rPr>
      </w:pPr>
      <w:r w:rsidRPr="00D850AC">
        <w:rPr>
          <w:rFonts w:ascii="Arial" w:hAnsi="Arial" w:cs="Arial"/>
        </w:rPr>
        <w:t>Services and Other Income: Includes vehicle servicing, insurance products, and paid software features such as Full Self-Driving (FSD).</w:t>
      </w:r>
    </w:p>
    <w:p w14:paraId="1CD6C5CE" w14:textId="77777777" w:rsidR="00D850AC" w:rsidRPr="00D850AC" w:rsidRDefault="00D850AC" w:rsidP="00D850AC">
      <w:pPr>
        <w:spacing w:after="100" w:afterAutospacing="1"/>
        <w:rPr>
          <w:rFonts w:ascii="Arial" w:hAnsi="Arial" w:cs="Arial"/>
        </w:rPr>
      </w:pPr>
    </w:p>
    <w:p w14:paraId="766F3152" w14:textId="77777777" w:rsidR="00D850AC" w:rsidRPr="00D850AC" w:rsidRDefault="00D850AC" w:rsidP="00D850AC">
      <w:pPr>
        <w:spacing w:after="100" w:afterAutospacing="1"/>
        <w:rPr>
          <w:rFonts w:ascii="Arial" w:hAnsi="Arial" w:cs="Arial"/>
        </w:rPr>
      </w:pPr>
      <w:r w:rsidRPr="00D850AC">
        <w:rPr>
          <w:rFonts w:ascii="Arial" w:hAnsi="Arial" w:cs="Arial"/>
        </w:rPr>
        <w:t>In 2023, Tesla reported total revenue of $96.77 billion, reflecting rapid expansion in global markets (Tesla Annual Report, 2023).</w:t>
      </w:r>
    </w:p>
    <w:p w14:paraId="22C40D8D" w14:textId="77777777" w:rsidR="00D850AC" w:rsidRPr="00D850AC" w:rsidRDefault="00D850AC" w:rsidP="00D850AC">
      <w:pPr>
        <w:spacing w:after="100" w:afterAutospacing="1"/>
        <w:rPr>
          <w:rFonts w:ascii="Arial" w:hAnsi="Arial" w:cs="Arial"/>
        </w:rPr>
      </w:pPr>
    </w:p>
    <w:p w14:paraId="5648B050" w14:textId="77777777" w:rsidR="00D850AC" w:rsidRPr="00D850AC" w:rsidRDefault="00D850AC" w:rsidP="00D850AC">
      <w:pPr>
        <w:spacing w:after="100" w:afterAutospacing="1"/>
        <w:rPr>
          <w:rFonts w:ascii="Arial" w:hAnsi="Arial" w:cs="Arial"/>
        </w:rPr>
      </w:pPr>
      <w:r w:rsidRPr="00D850AC">
        <w:rPr>
          <w:rFonts w:ascii="Arial" w:hAnsi="Arial" w:cs="Arial"/>
        </w:rPr>
        <w:t>Cost Structure: Fixed vs Variable Costs</w:t>
      </w:r>
    </w:p>
    <w:p w14:paraId="3DA0E1F3" w14:textId="77777777" w:rsidR="00D850AC" w:rsidRPr="00D850AC" w:rsidRDefault="00D850AC" w:rsidP="00D850AC">
      <w:pPr>
        <w:spacing w:after="100" w:afterAutospacing="1"/>
        <w:rPr>
          <w:rFonts w:ascii="Arial" w:hAnsi="Arial" w:cs="Arial"/>
        </w:rPr>
      </w:pPr>
      <w:r w:rsidRPr="00D850AC">
        <w:rPr>
          <w:rFonts w:ascii="Arial" w:hAnsi="Arial" w:cs="Arial"/>
        </w:rPr>
        <w:lastRenderedPageBreak/>
        <w:t>Understanding cost behaviour is essential in management accounting, particularly for break-even and profitability analysis. Tesla faces substantial fixed costs, mainly due to its Gigafactories, R&amp;D infrastructure, and highly automated production lines. These costs do not change with output volume and include factory depreciation, executive salaries, and long-term leases.</w:t>
      </w:r>
    </w:p>
    <w:p w14:paraId="60090EE7" w14:textId="77777777" w:rsidR="00D850AC" w:rsidRPr="00D850AC" w:rsidRDefault="00D850AC" w:rsidP="00D850AC">
      <w:pPr>
        <w:spacing w:after="100" w:afterAutospacing="1"/>
        <w:rPr>
          <w:rFonts w:ascii="Arial" w:hAnsi="Arial" w:cs="Arial"/>
        </w:rPr>
      </w:pPr>
    </w:p>
    <w:p w14:paraId="568D95C6" w14:textId="77777777" w:rsidR="00D850AC" w:rsidRPr="00D850AC" w:rsidRDefault="00D850AC" w:rsidP="00D850AC">
      <w:pPr>
        <w:spacing w:after="100" w:afterAutospacing="1"/>
        <w:rPr>
          <w:rFonts w:ascii="Arial" w:hAnsi="Arial" w:cs="Arial"/>
        </w:rPr>
      </w:pPr>
      <w:r w:rsidRPr="00D850AC">
        <w:rPr>
          <w:rFonts w:ascii="Arial" w:hAnsi="Arial" w:cs="Arial"/>
        </w:rPr>
        <w:t>By contrast, variable costs fluctuate with production levels and include raw materials (lithium, nickel, cobalt), direct labour, energy consumption, and logistics. As Tesla increases production, fixed costs per unit decrease, allowing the company to benefit from economies of scale.</w:t>
      </w:r>
    </w:p>
    <w:p w14:paraId="10B7AF50" w14:textId="77777777" w:rsidR="00D850AC" w:rsidRPr="00D850AC" w:rsidRDefault="00D850AC" w:rsidP="00D850AC">
      <w:pPr>
        <w:spacing w:after="100" w:afterAutospacing="1"/>
        <w:rPr>
          <w:rFonts w:ascii="Arial" w:hAnsi="Arial" w:cs="Arial"/>
        </w:rPr>
      </w:pPr>
    </w:p>
    <w:p w14:paraId="71CD567E" w14:textId="77777777" w:rsidR="00D850AC" w:rsidRPr="00D850AC" w:rsidRDefault="00D850AC" w:rsidP="00D850AC">
      <w:pPr>
        <w:spacing w:after="100" w:afterAutospacing="1"/>
        <w:rPr>
          <w:rFonts w:ascii="Arial" w:hAnsi="Arial" w:cs="Arial"/>
        </w:rPr>
      </w:pPr>
      <w:r w:rsidRPr="00D850AC">
        <w:rPr>
          <w:rFonts w:ascii="Arial" w:hAnsi="Arial" w:cs="Arial"/>
        </w:rPr>
        <w:t>Cost Type</w:t>
      </w:r>
      <w:r w:rsidRPr="00D850AC">
        <w:rPr>
          <w:rFonts w:ascii="Arial" w:hAnsi="Arial" w:cs="Arial"/>
        </w:rPr>
        <w:tab/>
        <w:t>Description</w:t>
      </w:r>
      <w:r w:rsidRPr="00D850AC">
        <w:rPr>
          <w:rFonts w:ascii="Arial" w:hAnsi="Arial" w:cs="Arial"/>
        </w:rPr>
        <w:tab/>
        <w:t>Examples</w:t>
      </w:r>
    </w:p>
    <w:p w14:paraId="6D7C1615" w14:textId="77777777" w:rsidR="00D850AC" w:rsidRPr="00D850AC" w:rsidRDefault="00D850AC" w:rsidP="00D850AC">
      <w:pPr>
        <w:spacing w:after="100" w:afterAutospacing="1"/>
        <w:rPr>
          <w:rFonts w:ascii="Arial" w:hAnsi="Arial" w:cs="Arial"/>
        </w:rPr>
      </w:pPr>
      <w:r w:rsidRPr="00D850AC">
        <w:rPr>
          <w:rFonts w:ascii="Arial" w:hAnsi="Arial" w:cs="Arial"/>
        </w:rPr>
        <w:t>Fixed Costs</w:t>
      </w:r>
      <w:r w:rsidRPr="00D850AC">
        <w:rPr>
          <w:rFonts w:ascii="Arial" w:hAnsi="Arial" w:cs="Arial"/>
        </w:rPr>
        <w:tab/>
        <w:t>Independent of output</w:t>
      </w:r>
      <w:r w:rsidRPr="00D850AC">
        <w:rPr>
          <w:rFonts w:ascii="Arial" w:hAnsi="Arial" w:cs="Arial"/>
        </w:rPr>
        <w:tab/>
        <w:t>Factory rent, R&amp;D facilities, salaries</w:t>
      </w:r>
    </w:p>
    <w:p w14:paraId="16CD3288" w14:textId="4C681CA3" w:rsidR="00D41E7F" w:rsidRPr="00D41E7F" w:rsidRDefault="00D850AC" w:rsidP="00D850AC">
      <w:pPr>
        <w:spacing w:after="100" w:afterAutospacing="1"/>
        <w:rPr>
          <w:rFonts w:ascii="Arial" w:hAnsi="Arial" w:cs="Arial"/>
        </w:rPr>
      </w:pPr>
      <w:r w:rsidRPr="00D850AC">
        <w:rPr>
          <w:rFonts w:ascii="Arial" w:hAnsi="Arial" w:cs="Arial"/>
        </w:rPr>
        <w:t>Variable Costs</w:t>
      </w:r>
      <w:r w:rsidRPr="00D850AC">
        <w:rPr>
          <w:rFonts w:ascii="Arial" w:hAnsi="Arial" w:cs="Arial"/>
        </w:rPr>
        <w:tab/>
        <w:t>Linked to production volume</w:t>
      </w:r>
      <w:r w:rsidRPr="00D850AC">
        <w:rPr>
          <w:rFonts w:ascii="Arial" w:hAnsi="Arial" w:cs="Arial"/>
        </w:rPr>
        <w:tab/>
        <w:t>Raw materials, labour, logistics</w:t>
      </w:r>
    </w:p>
    <w:p w14:paraId="4C24B345" w14:textId="08C29614" w:rsidR="00DE45FA" w:rsidRPr="00D41E7F" w:rsidRDefault="00D41E7F" w:rsidP="005334B4">
      <w:pPr>
        <w:spacing w:after="100" w:afterAutospacing="1"/>
        <w:rPr>
          <w:rFonts w:ascii="Arial" w:hAnsi="Arial" w:cs="Arial"/>
        </w:rPr>
      </w:pPr>
      <w:r w:rsidRPr="00D41E7F">
        <w:rPr>
          <w:rFonts w:ascii="Arial" w:hAnsi="Arial" w:cs="Arial"/>
        </w:rPr>
        <w:t xml:space="preserve"> Tesla Revenue Growth 2018–2023</w:t>
      </w:r>
      <w:r w:rsidR="000837AC">
        <w:rPr>
          <w:rFonts w:ascii="Arial" w:hAnsi="Arial" w:cs="Arial"/>
        </w:rPr>
        <w:t>:</w:t>
      </w:r>
    </w:p>
    <w:p w14:paraId="155331B2" w14:textId="07700049" w:rsidR="00D41E7F" w:rsidRPr="00D41E7F" w:rsidRDefault="005D1EC1" w:rsidP="005334B4">
      <w:pPr>
        <w:spacing w:after="100" w:afterAutospacing="1"/>
        <w:rPr>
          <w:rFonts w:ascii="Arial" w:hAnsi="Arial" w:cs="Arial"/>
        </w:rPr>
      </w:pPr>
      <w:r>
        <w:rPr>
          <w:rFonts w:ascii="Arial" w:hAnsi="Arial" w:cs="Arial"/>
          <w:noProof/>
        </w:rPr>
        <w:drawing>
          <wp:inline distT="0" distB="0" distL="0" distR="0" wp14:anchorId="6EC7B108" wp14:editId="4C52F834">
            <wp:extent cx="5731510" cy="3439160"/>
            <wp:effectExtent l="0" t="0" r="2540" b="8890"/>
            <wp:docPr id="1579664181" name="Picture 2" descr="A graph showing the growth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64181" name="Picture 2" descr="A graph showing the growth of a company&#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p>
    <w:p w14:paraId="40931A7B" w14:textId="77777777" w:rsidR="00D850AC" w:rsidRDefault="00D850AC" w:rsidP="005334B4">
      <w:pPr>
        <w:spacing w:after="100" w:afterAutospacing="1"/>
        <w:rPr>
          <w:rFonts w:ascii="Arial" w:hAnsi="Arial" w:cs="Arial"/>
        </w:rPr>
      </w:pPr>
    </w:p>
    <w:p w14:paraId="05EAEB37" w14:textId="511F808A" w:rsidR="00124B73" w:rsidRDefault="00D41E7F" w:rsidP="005334B4">
      <w:pPr>
        <w:spacing w:after="100" w:afterAutospacing="1"/>
        <w:rPr>
          <w:rFonts w:ascii="Arial" w:hAnsi="Arial" w:cs="Arial"/>
        </w:rPr>
      </w:pPr>
      <w:r w:rsidRPr="00D41E7F">
        <w:rPr>
          <w:rFonts w:ascii="Arial" w:hAnsi="Arial" w:cs="Arial"/>
        </w:rPr>
        <w:lastRenderedPageBreak/>
        <w:t>Management accounting tools such as Cost-Volume-Profit (CVP) analysis, break-even calculations, and marginal costing support Tesla’s pricing strategies and production planning. For example, when launching the Model Y, Tesla evaluated variable material costs and fixed factory investments to determine profitable price points.</w:t>
      </w:r>
    </w:p>
    <w:p w14:paraId="5361BAFD" w14:textId="5CD5820C" w:rsidR="00D41E7F" w:rsidRDefault="00D41E7F" w:rsidP="005334B4">
      <w:pPr>
        <w:spacing w:after="100" w:afterAutospacing="1"/>
        <w:rPr>
          <w:rFonts w:ascii="Arial" w:hAnsi="Arial" w:cs="Arial"/>
        </w:rPr>
      </w:pPr>
      <w:r w:rsidRPr="00D41E7F">
        <w:rPr>
          <w:rFonts w:ascii="Arial" w:hAnsi="Arial" w:cs="Arial"/>
        </w:rPr>
        <w:t>By closely analysing cost behaviour, Tesla ensures competitive pricing while protecting its margins. This cost control is essential in an industry where materials such as lithium and cobalt can significantly affect production expenses.</w:t>
      </w:r>
    </w:p>
    <w:p w14:paraId="62A4586A" w14:textId="77777777" w:rsidR="00D41E7F" w:rsidRDefault="00D41E7F" w:rsidP="005334B4">
      <w:pPr>
        <w:spacing w:after="100" w:afterAutospacing="1"/>
        <w:rPr>
          <w:rFonts w:ascii="Arial" w:hAnsi="Arial" w:cs="Arial"/>
        </w:rPr>
      </w:pPr>
    </w:p>
    <w:p w14:paraId="22E35DF6" w14:textId="77777777" w:rsidR="00124B73" w:rsidRDefault="00124B73" w:rsidP="00D41E7F">
      <w:pPr>
        <w:rPr>
          <w:rFonts w:ascii="Arial" w:hAnsi="Arial" w:cs="Arial"/>
          <w:b/>
          <w:bCs/>
        </w:rPr>
      </w:pPr>
    </w:p>
    <w:p w14:paraId="7BB879C2" w14:textId="77777777" w:rsidR="00124B73" w:rsidRDefault="00124B73" w:rsidP="00D41E7F">
      <w:pPr>
        <w:rPr>
          <w:rFonts w:ascii="Arial" w:hAnsi="Arial" w:cs="Arial"/>
          <w:b/>
          <w:bCs/>
        </w:rPr>
      </w:pPr>
    </w:p>
    <w:p w14:paraId="519B4EBD" w14:textId="77777777" w:rsidR="00124B73" w:rsidRDefault="00124B73" w:rsidP="00D41E7F">
      <w:pPr>
        <w:rPr>
          <w:rFonts w:ascii="Arial" w:hAnsi="Arial" w:cs="Arial"/>
          <w:b/>
          <w:bCs/>
        </w:rPr>
      </w:pPr>
    </w:p>
    <w:p w14:paraId="01A20B81" w14:textId="77777777" w:rsidR="00124B73" w:rsidRDefault="00124B73" w:rsidP="00D41E7F">
      <w:pPr>
        <w:rPr>
          <w:rFonts w:ascii="Arial" w:hAnsi="Arial" w:cs="Arial"/>
          <w:b/>
          <w:bCs/>
        </w:rPr>
      </w:pPr>
    </w:p>
    <w:p w14:paraId="5879CCEE" w14:textId="77777777" w:rsidR="00124B73" w:rsidRDefault="00124B73" w:rsidP="00D41E7F">
      <w:pPr>
        <w:rPr>
          <w:rFonts w:ascii="Arial" w:hAnsi="Arial" w:cs="Arial"/>
          <w:b/>
          <w:bCs/>
        </w:rPr>
      </w:pPr>
    </w:p>
    <w:p w14:paraId="47E38C41" w14:textId="77777777" w:rsidR="00124B73" w:rsidRDefault="00124B73" w:rsidP="00D41E7F">
      <w:pPr>
        <w:rPr>
          <w:rFonts w:ascii="Arial" w:hAnsi="Arial" w:cs="Arial"/>
          <w:b/>
          <w:bCs/>
        </w:rPr>
      </w:pPr>
    </w:p>
    <w:p w14:paraId="582031E0" w14:textId="77777777" w:rsidR="000837AC" w:rsidRDefault="000837AC" w:rsidP="00D41E7F">
      <w:pPr>
        <w:rPr>
          <w:rFonts w:ascii="Arial" w:hAnsi="Arial" w:cs="Arial"/>
          <w:b/>
          <w:bCs/>
        </w:rPr>
      </w:pPr>
    </w:p>
    <w:p w14:paraId="76E5CB7B" w14:textId="77777777" w:rsidR="0014076F" w:rsidRDefault="0014076F" w:rsidP="00D41E7F">
      <w:pPr>
        <w:rPr>
          <w:rFonts w:ascii="Arial" w:hAnsi="Arial" w:cs="Arial"/>
          <w:b/>
          <w:bCs/>
        </w:rPr>
      </w:pPr>
    </w:p>
    <w:p w14:paraId="13595052" w14:textId="77777777" w:rsidR="0014076F" w:rsidRDefault="0014076F" w:rsidP="00D41E7F">
      <w:pPr>
        <w:rPr>
          <w:rFonts w:ascii="Arial" w:hAnsi="Arial" w:cs="Arial"/>
          <w:b/>
          <w:bCs/>
        </w:rPr>
      </w:pPr>
    </w:p>
    <w:p w14:paraId="7DC2AF03" w14:textId="77777777" w:rsidR="0014076F" w:rsidRDefault="0014076F" w:rsidP="00D41E7F">
      <w:pPr>
        <w:rPr>
          <w:rFonts w:ascii="Arial" w:hAnsi="Arial" w:cs="Arial"/>
          <w:b/>
          <w:bCs/>
        </w:rPr>
      </w:pPr>
    </w:p>
    <w:p w14:paraId="78ED1379" w14:textId="77777777" w:rsidR="0014076F" w:rsidRDefault="0014076F" w:rsidP="00D41E7F">
      <w:pPr>
        <w:rPr>
          <w:rFonts w:ascii="Arial" w:hAnsi="Arial" w:cs="Arial"/>
          <w:b/>
          <w:bCs/>
        </w:rPr>
      </w:pPr>
    </w:p>
    <w:p w14:paraId="3B70D204" w14:textId="77777777" w:rsidR="0014076F" w:rsidRDefault="0014076F" w:rsidP="00D41E7F">
      <w:pPr>
        <w:rPr>
          <w:rFonts w:ascii="Arial" w:hAnsi="Arial" w:cs="Arial"/>
          <w:b/>
          <w:bCs/>
        </w:rPr>
      </w:pPr>
    </w:p>
    <w:p w14:paraId="145DC465" w14:textId="77777777" w:rsidR="0014076F" w:rsidRDefault="0014076F" w:rsidP="00D41E7F">
      <w:pPr>
        <w:rPr>
          <w:rFonts w:ascii="Arial" w:hAnsi="Arial" w:cs="Arial"/>
          <w:b/>
          <w:bCs/>
        </w:rPr>
      </w:pPr>
    </w:p>
    <w:p w14:paraId="07F3B48F" w14:textId="77777777" w:rsidR="0014076F" w:rsidRDefault="0014076F" w:rsidP="00D41E7F">
      <w:pPr>
        <w:rPr>
          <w:rFonts w:ascii="Arial" w:hAnsi="Arial" w:cs="Arial"/>
          <w:b/>
          <w:bCs/>
        </w:rPr>
      </w:pPr>
    </w:p>
    <w:p w14:paraId="7BB70E83" w14:textId="77777777" w:rsidR="0014076F" w:rsidRDefault="0014076F" w:rsidP="00D41E7F">
      <w:pPr>
        <w:rPr>
          <w:rFonts w:ascii="Arial" w:hAnsi="Arial" w:cs="Arial"/>
          <w:b/>
          <w:bCs/>
        </w:rPr>
      </w:pPr>
    </w:p>
    <w:p w14:paraId="04E81BEF" w14:textId="77777777" w:rsidR="0014076F" w:rsidRDefault="0014076F" w:rsidP="00D41E7F">
      <w:pPr>
        <w:rPr>
          <w:rFonts w:ascii="Arial" w:hAnsi="Arial" w:cs="Arial"/>
          <w:b/>
          <w:bCs/>
        </w:rPr>
      </w:pPr>
    </w:p>
    <w:p w14:paraId="0834FCE7" w14:textId="77777777" w:rsidR="0014076F" w:rsidRDefault="0014076F" w:rsidP="00D41E7F">
      <w:pPr>
        <w:rPr>
          <w:rFonts w:ascii="Arial" w:hAnsi="Arial" w:cs="Arial"/>
          <w:b/>
          <w:bCs/>
        </w:rPr>
      </w:pPr>
    </w:p>
    <w:p w14:paraId="13CA6AF2" w14:textId="77777777" w:rsidR="0014076F" w:rsidRDefault="0014076F" w:rsidP="00D41E7F">
      <w:pPr>
        <w:rPr>
          <w:rFonts w:ascii="Arial" w:hAnsi="Arial" w:cs="Arial"/>
          <w:b/>
          <w:bCs/>
        </w:rPr>
      </w:pPr>
    </w:p>
    <w:p w14:paraId="524B7127" w14:textId="77777777" w:rsidR="0014076F" w:rsidRDefault="0014076F" w:rsidP="00D41E7F">
      <w:pPr>
        <w:rPr>
          <w:rFonts w:ascii="Arial" w:hAnsi="Arial" w:cs="Arial"/>
          <w:b/>
          <w:bCs/>
        </w:rPr>
      </w:pPr>
    </w:p>
    <w:p w14:paraId="56DDF689" w14:textId="77777777" w:rsidR="0014076F" w:rsidRDefault="0014076F" w:rsidP="00D41E7F">
      <w:pPr>
        <w:rPr>
          <w:rFonts w:ascii="Arial" w:hAnsi="Arial" w:cs="Arial"/>
          <w:b/>
          <w:bCs/>
        </w:rPr>
      </w:pPr>
    </w:p>
    <w:p w14:paraId="075AD7AD" w14:textId="77777777" w:rsidR="0014076F" w:rsidRDefault="0014076F" w:rsidP="00D41E7F">
      <w:pPr>
        <w:rPr>
          <w:rFonts w:ascii="Arial" w:hAnsi="Arial" w:cs="Arial"/>
          <w:b/>
          <w:bCs/>
        </w:rPr>
      </w:pPr>
    </w:p>
    <w:p w14:paraId="705A9B80" w14:textId="1C47BE43" w:rsidR="00D41E7F" w:rsidRPr="00124B73" w:rsidRDefault="00D41E7F" w:rsidP="00D41E7F">
      <w:pPr>
        <w:rPr>
          <w:rFonts w:ascii="Arial" w:hAnsi="Arial" w:cs="Arial"/>
          <w:b/>
          <w:bCs/>
        </w:rPr>
      </w:pPr>
      <w:r w:rsidRPr="00124B73">
        <w:rPr>
          <w:rFonts w:ascii="Arial" w:hAnsi="Arial" w:cs="Arial"/>
          <w:b/>
          <w:bCs/>
        </w:rPr>
        <w:lastRenderedPageBreak/>
        <w:t xml:space="preserve">3. Budgeting and Financial Planning </w:t>
      </w:r>
    </w:p>
    <w:p w14:paraId="5F0C6AAB" w14:textId="77777777" w:rsidR="00D41E7F" w:rsidRPr="00D41E7F" w:rsidRDefault="00D41E7F" w:rsidP="00D41E7F">
      <w:pPr>
        <w:rPr>
          <w:rFonts w:ascii="Arial" w:hAnsi="Arial" w:cs="Arial"/>
        </w:rPr>
      </w:pPr>
    </w:p>
    <w:p w14:paraId="7A6514FC" w14:textId="77777777" w:rsidR="00D41E7F" w:rsidRPr="00D41E7F" w:rsidRDefault="00D41E7F" w:rsidP="00D41E7F">
      <w:pPr>
        <w:rPr>
          <w:rFonts w:ascii="Arial" w:hAnsi="Arial" w:cs="Arial"/>
        </w:rPr>
      </w:pPr>
      <w:r w:rsidRPr="00D41E7F">
        <w:rPr>
          <w:rFonts w:ascii="Arial" w:hAnsi="Arial" w:cs="Arial"/>
        </w:rPr>
        <w:t>Tesla relies on strategic budgeting and financial planning to support its rapid growth and innovation. Unlike traditional automotive companies that rely on static annual budgets, Tesla adopts a rolling forecast approach. This method enables continuous updates based on market conditions, production changes, and investment needs.</w:t>
      </w:r>
    </w:p>
    <w:p w14:paraId="12E2F2D9" w14:textId="77777777" w:rsidR="00D41E7F" w:rsidRPr="00D41E7F" w:rsidRDefault="00D41E7F" w:rsidP="00D41E7F">
      <w:pPr>
        <w:rPr>
          <w:rFonts w:ascii="Arial" w:hAnsi="Arial" w:cs="Arial"/>
        </w:rPr>
      </w:pPr>
    </w:p>
    <w:p w14:paraId="278B2681" w14:textId="77777777" w:rsidR="00D41E7F" w:rsidRPr="00D41E7F" w:rsidRDefault="00D41E7F" w:rsidP="00D41E7F">
      <w:pPr>
        <w:rPr>
          <w:rFonts w:ascii="Arial" w:hAnsi="Arial" w:cs="Arial"/>
        </w:rPr>
      </w:pPr>
      <w:r w:rsidRPr="00D41E7F">
        <w:rPr>
          <w:rFonts w:ascii="Arial" w:hAnsi="Arial" w:cs="Arial"/>
        </w:rPr>
        <w:t>Role of Budgeting in Operations</w:t>
      </w:r>
    </w:p>
    <w:p w14:paraId="2050FB22" w14:textId="77777777" w:rsidR="00D41E7F" w:rsidRPr="00D41E7F" w:rsidRDefault="00D41E7F" w:rsidP="00D41E7F">
      <w:pPr>
        <w:rPr>
          <w:rFonts w:ascii="Arial" w:hAnsi="Arial" w:cs="Arial"/>
        </w:rPr>
      </w:pPr>
      <w:r w:rsidRPr="00D41E7F">
        <w:rPr>
          <w:rFonts w:ascii="Arial" w:hAnsi="Arial" w:cs="Arial"/>
        </w:rPr>
        <w:t>Budgeting helps Tesla ensure that sufficient resources are allocated to key areas such as:</w:t>
      </w:r>
    </w:p>
    <w:p w14:paraId="5DBEF9C7" w14:textId="77777777" w:rsidR="00D41E7F" w:rsidRPr="00D41E7F" w:rsidRDefault="00D41E7F" w:rsidP="00D41E7F">
      <w:pPr>
        <w:rPr>
          <w:rFonts w:ascii="Arial" w:hAnsi="Arial" w:cs="Arial"/>
        </w:rPr>
      </w:pPr>
    </w:p>
    <w:p w14:paraId="02812A81" w14:textId="77777777" w:rsidR="00D41E7F" w:rsidRPr="00D41E7F" w:rsidRDefault="00D41E7F" w:rsidP="00D41E7F">
      <w:pPr>
        <w:rPr>
          <w:rFonts w:ascii="Arial" w:hAnsi="Arial" w:cs="Arial"/>
        </w:rPr>
      </w:pPr>
      <w:r w:rsidRPr="00D41E7F">
        <w:rPr>
          <w:rFonts w:ascii="Arial" w:hAnsi="Arial" w:cs="Arial"/>
        </w:rPr>
        <w:t>Research &amp; Development (R&amp;D) – investment in battery technology and autonomous driving.</w:t>
      </w:r>
    </w:p>
    <w:p w14:paraId="304836DC" w14:textId="77777777" w:rsidR="00D41E7F" w:rsidRPr="00D41E7F" w:rsidRDefault="00D41E7F" w:rsidP="00D41E7F">
      <w:pPr>
        <w:rPr>
          <w:rFonts w:ascii="Arial" w:hAnsi="Arial" w:cs="Arial"/>
        </w:rPr>
      </w:pPr>
    </w:p>
    <w:p w14:paraId="5D6D5EE7" w14:textId="77777777" w:rsidR="00D41E7F" w:rsidRPr="00D41E7F" w:rsidRDefault="00D41E7F" w:rsidP="00D41E7F">
      <w:pPr>
        <w:rPr>
          <w:rFonts w:ascii="Arial" w:hAnsi="Arial" w:cs="Arial"/>
        </w:rPr>
      </w:pPr>
      <w:r w:rsidRPr="00D41E7F">
        <w:rPr>
          <w:rFonts w:ascii="Arial" w:hAnsi="Arial" w:cs="Arial"/>
        </w:rPr>
        <w:t>Manufacturing Expansion – funding for new Gigafactories in Germany, China, and Mexico.</w:t>
      </w:r>
    </w:p>
    <w:p w14:paraId="47DEB19D" w14:textId="77777777" w:rsidR="00D41E7F" w:rsidRPr="00D41E7F" w:rsidRDefault="00D41E7F" w:rsidP="00D41E7F">
      <w:pPr>
        <w:rPr>
          <w:rFonts w:ascii="Arial" w:hAnsi="Arial" w:cs="Arial"/>
        </w:rPr>
      </w:pPr>
    </w:p>
    <w:p w14:paraId="4550AAE1" w14:textId="77777777" w:rsidR="00D41E7F" w:rsidRPr="00D41E7F" w:rsidRDefault="00D41E7F" w:rsidP="00D41E7F">
      <w:pPr>
        <w:rPr>
          <w:rFonts w:ascii="Arial" w:hAnsi="Arial" w:cs="Arial"/>
        </w:rPr>
      </w:pPr>
      <w:r w:rsidRPr="00D41E7F">
        <w:rPr>
          <w:rFonts w:ascii="Arial" w:hAnsi="Arial" w:cs="Arial"/>
        </w:rPr>
        <w:t>Cost Efficiency Programs – measures to reduce production waste and logistics expenses.</w:t>
      </w:r>
    </w:p>
    <w:p w14:paraId="42B84138" w14:textId="77777777" w:rsidR="00D41E7F" w:rsidRPr="00D41E7F" w:rsidRDefault="00D41E7F" w:rsidP="00D41E7F">
      <w:pPr>
        <w:rPr>
          <w:rFonts w:ascii="Arial" w:hAnsi="Arial" w:cs="Arial"/>
        </w:rPr>
      </w:pPr>
    </w:p>
    <w:p w14:paraId="31AAE620" w14:textId="77777777" w:rsidR="00D41E7F" w:rsidRPr="00D41E7F" w:rsidRDefault="00D41E7F" w:rsidP="00D41E7F">
      <w:pPr>
        <w:rPr>
          <w:rFonts w:ascii="Arial" w:hAnsi="Arial" w:cs="Arial"/>
        </w:rPr>
      </w:pPr>
      <w:r w:rsidRPr="00D41E7F">
        <w:rPr>
          <w:rFonts w:ascii="Arial" w:hAnsi="Arial" w:cs="Arial"/>
        </w:rPr>
        <w:t>Year-on-Year Change in Operating Expenses</w:t>
      </w:r>
    </w:p>
    <w:p w14:paraId="044B18DE" w14:textId="77777777" w:rsidR="00D41E7F" w:rsidRPr="00D41E7F" w:rsidRDefault="00D41E7F" w:rsidP="00D41E7F">
      <w:pPr>
        <w:rPr>
          <w:rFonts w:ascii="Arial" w:hAnsi="Arial" w:cs="Arial"/>
        </w:rPr>
      </w:pPr>
      <w:r w:rsidRPr="00D41E7F">
        <w:rPr>
          <w:rFonts w:ascii="Arial" w:hAnsi="Arial" w:cs="Arial"/>
        </w:rPr>
        <w:t>According to Google Finance (2024), Tesla’s operating expenses increased from $7.16 billion in 2022 to $8.37 billion in 2023, an increase of almost 16.9%.</w:t>
      </w:r>
    </w:p>
    <w:p w14:paraId="5005BBD0" w14:textId="77777777" w:rsidR="00D41E7F" w:rsidRPr="00D41E7F" w:rsidRDefault="00D41E7F" w:rsidP="00D41E7F">
      <w:pPr>
        <w:rPr>
          <w:rFonts w:ascii="Arial" w:hAnsi="Arial" w:cs="Arial"/>
        </w:rPr>
      </w:pPr>
    </w:p>
    <w:p w14:paraId="0702F920" w14:textId="77777777" w:rsidR="00D41E7F" w:rsidRPr="00D41E7F" w:rsidRDefault="00D41E7F" w:rsidP="00D41E7F">
      <w:pPr>
        <w:rPr>
          <w:rFonts w:ascii="Arial" w:hAnsi="Arial" w:cs="Arial"/>
        </w:rPr>
      </w:pPr>
      <w:r w:rsidRPr="00D41E7F">
        <w:rPr>
          <w:rFonts w:ascii="Arial" w:hAnsi="Arial" w:cs="Arial"/>
        </w:rPr>
        <w:t>These changes were influenced by both internal and external factors:</w:t>
      </w:r>
    </w:p>
    <w:p w14:paraId="181BFCF2" w14:textId="77777777" w:rsidR="00D41E7F" w:rsidRPr="00D41E7F" w:rsidRDefault="00D41E7F" w:rsidP="00D41E7F">
      <w:pPr>
        <w:rPr>
          <w:rFonts w:ascii="Arial" w:hAnsi="Arial" w:cs="Arial"/>
        </w:rPr>
      </w:pPr>
    </w:p>
    <w:p w14:paraId="04C38BDC" w14:textId="77777777" w:rsidR="00D41E7F" w:rsidRPr="00D41E7F" w:rsidRDefault="00D41E7F" w:rsidP="00D41E7F">
      <w:pPr>
        <w:rPr>
          <w:rFonts w:ascii="Arial" w:hAnsi="Arial" w:cs="Arial"/>
        </w:rPr>
      </w:pPr>
      <w:r w:rsidRPr="00D41E7F">
        <w:rPr>
          <w:rFonts w:ascii="Arial" w:hAnsi="Arial" w:cs="Arial"/>
        </w:rPr>
        <w:t>Internal (Management Decisions): Expansion of AI and software development teams, launch of new vehicle models, and investments in supply chain localisation.</w:t>
      </w:r>
    </w:p>
    <w:p w14:paraId="5CD93662" w14:textId="77777777" w:rsidR="00D41E7F" w:rsidRPr="00D41E7F" w:rsidRDefault="00D41E7F" w:rsidP="00D41E7F">
      <w:pPr>
        <w:rPr>
          <w:rFonts w:ascii="Arial" w:hAnsi="Arial" w:cs="Arial"/>
        </w:rPr>
      </w:pPr>
    </w:p>
    <w:p w14:paraId="1408480A" w14:textId="77777777" w:rsidR="00D41E7F" w:rsidRPr="00D41E7F" w:rsidRDefault="00D41E7F" w:rsidP="00D41E7F">
      <w:pPr>
        <w:rPr>
          <w:rFonts w:ascii="Arial" w:hAnsi="Arial" w:cs="Arial"/>
        </w:rPr>
      </w:pPr>
      <w:r w:rsidRPr="00D41E7F">
        <w:rPr>
          <w:rFonts w:ascii="Arial" w:hAnsi="Arial" w:cs="Arial"/>
        </w:rPr>
        <w:t>External (Macroeconomic Factors): Inflation, global energy price increases, and currency fluctuations impacting material costs.</w:t>
      </w:r>
    </w:p>
    <w:p w14:paraId="1CC05378" w14:textId="77777777" w:rsidR="00D41E7F" w:rsidRPr="00D41E7F" w:rsidRDefault="00D41E7F" w:rsidP="00D41E7F">
      <w:pPr>
        <w:rPr>
          <w:rFonts w:ascii="Arial" w:hAnsi="Arial" w:cs="Arial"/>
        </w:rPr>
      </w:pPr>
    </w:p>
    <w:p w14:paraId="194EE00A" w14:textId="03F0FE2F" w:rsidR="00D41E7F" w:rsidRDefault="00D41E7F" w:rsidP="00D41E7F">
      <w:pPr>
        <w:rPr>
          <w:rFonts w:ascii="Arial" w:hAnsi="Arial" w:cs="Arial"/>
        </w:rPr>
      </w:pPr>
      <w:r w:rsidRPr="00D41E7F">
        <w:rPr>
          <w:rFonts w:ascii="Arial" w:hAnsi="Arial" w:cs="Arial"/>
        </w:rPr>
        <w:lastRenderedPageBreak/>
        <w:t xml:space="preserve"> Operating Expenses vs R&amp;D Investment 2021–2023</w:t>
      </w:r>
    </w:p>
    <w:p w14:paraId="739231DA" w14:textId="489503CA" w:rsidR="00FC732A" w:rsidRPr="00D41E7F" w:rsidRDefault="00E93BB5" w:rsidP="00D41E7F">
      <w:pPr>
        <w:rPr>
          <w:rFonts w:ascii="Arial" w:hAnsi="Arial" w:cs="Arial"/>
        </w:rPr>
      </w:pPr>
      <w:r>
        <w:rPr>
          <w:rFonts w:ascii="Arial" w:hAnsi="Arial" w:cs="Arial"/>
          <w:noProof/>
        </w:rPr>
        <w:drawing>
          <wp:inline distT="0" distB="0" distL="0" distR="0" wp14:anchorId="17BF3866" wp14:editId="4F53F557">
            <wp:extent cx="5731510" cy="3439160"/>
            <wp:effectExtent l="0" t="0" r="2540" b="8890"/>
            <wp:docPr id="2040151049" name="Picture 3"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151049" name="Picture 3" descr="A graph of a bar char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p>
    <w:p w14:paraId="01F59104" w14:textId="77777777" w:rsidR="00D41E7F" w:rsidRPr="00D41E7F" w:rsidRDefault="00D41E7F" w:rsidP="00D41E7F">
      <w:pPr>
        <w:rPr>
          <w:rFonts w:ascii="Arial" w:hAnsi="Arial" w:cs="Arial"/>
        </w:rPr>
      </w:pPr>
    </w:p>
    <w:p w14:paraId="44C8EE77" w14:textId="77777777" w:rsidR="00D41E7F" w:rsidRPr="00D41E7F" w:rsidRDefault="00D41E7F" w:rsidP="00D41E7F">
      <w:pPr>
        <w:rPr>
          <w:rFonts w:ascii="Arial" w:hAnsi="Arial" w:cs="Arial"/>
        </w:rPr>
      </w:pPr>
      <w:r w:rsidRPr="00D41E7F">
        <w:rPr>
          <w:rFonts w:ascii="Arial" w:hAnsi="Arial" w:cs="Arial"/>
        </w:rPr>
        <w:t>Budgeting Techniques Used by Tesla</w:t>
      </w:r>
    </w:p>
    <w:p w14:paraId="6B7124EB" w14:textId="77777777" w:rsidR="00D41E7F" w:rsidRPr="00D41E7F" w:rsidRDefault="00D41E7F" w:rsidP="00D41E7F">
      <w:pPr>
        <w:rPr>
          <w:rFonts w:ascii="Arial" w:hAnsi="Arial" w:cs="Arial"/>
        </w:rPr>
      </w:pPr>
    </w:p>
    <w:p w14:paraId="6EA24C78" w14:textId="77777777" w:rsidR="00D41E7F" w:rsidRPr="00D41E7F" w:rsidRDefault="00D41E7F" w:rsidP="00D41E7F">
      <w:pPr>
        <w:rPr>
          <w:rFonts w:ascii="Arial" w:hAnsi="Arial" w:cs="Arial"/>
        </w:rPr>
      </w:pPr>
      <w:r w:rsidRPr="00D41E7F">
        <w:rPr>
          <w:rFonts w:ascii="Arial" w:hAnsi="Arial" w:cs="Arial"/>
        </w:rPr>
        <w:t>Budgeting Tool</w:t>
      </w:r>
      <w:r w:rsidRPr="00D41E7F">
        <w:rPr>
          <w:rFonts w:ascii="Arial" w:hAnsi="Arial" w:cs="Arial"/>
        </w:rPr>
        <w:tab/>
        <w:t>Purpose</w:t>
      </w:r>
    </w:p>
    <w:p w14:paraId="635C9698" w14:textId="77777777" w:rsidR="00D41E7F" w:rsidRPr="00D41E7F" w:rsidRDefault="00D41E7F" w:rsidP="00D41E7F">
      <w:pPr>
        <w:rPr>
          <w:rFonts w:ascii="Arial" w:hAnsi="Arial" w:cs="Arial"/>
        </w:rPr>
      </w:pPr>
      <w:r w:rsidRPr="00D41E7F">
        <w:rPr>
          <w:rFonts w:ascii="Arial" w:hAnsi="Arial" w:cs="Arial"/>
        </w:rPr>
        <w:t>Rolling Forecasts</w:t>
      </w:r>
      <w:r w:rsidRPr="00D41E7F">
        <w:rPr>
          <w:rFonts w:ascii="Arial" w:hAnsi="Arial" w:cs="Arial"/>
        </w:rPr>
        <w:tab/>
        <w:t>Constant updates instead of fixed annual plans</w:t>
      </w:r>
    </w:p>
    <w:p w14:paraId="720A40EC" w14:textId="77777777" w:rsidR="00D41E7F" w:rsidRPr="00D41E7F" w:rsidRDefault="00D41E7F" w:rsidP="00D41E7F">
      <w:pPr>
        <w:rPr>
          <w:rFonts w:ascii="Arial" w:hAnsi="Arial" w:cs="Arial"/>
        </w:rPr>
      </w:pPr>
      <w:r w:rsidRPr="00D41E7F">
        <w:rPr>
          <w:rFonts w:ascii="Arial" w:hAnsi="Arial" w:cs="Arial"/>
        </w:rPr>
        <w:t>Variance Analysis</w:t>
      </w:r>
      <w:r w:rsidRPr="00D41E7F">
        <w:rPr>
          <w:rFonts w:ascii="Arial" w:hAnsi="Arial" w:cs="Arial"/>
        </w:rPr>
        <w:tab/>
        <w:t>Compares actual vs planned costs</w:t>
      </w:r>
    </w:p>
    <w:p w14:paraId="0E6999AB" w14:textId="77777777" w:rsidR="00D41E7F" w:rsidRPr="00D41E7F" w:rsidRDefault="00D41E7F" w:rsidP="00D41E7F">
      <w:pPr>
        <w:rPr>
          <w:rFonts w:ascii="Arial" w:hAnsi="Arial" w:cs="Arial"/>
        </w:rPr>
      </w:pPr>
      <w:r w:rsidRPr="00D41E7F">
        <w:rPr>
          <w:rFonts w:ascii="Arial" w:hAnsi="Arial" w:cs="Arial"/>
        </w:rPr>
        <w:t>Activity-Based Budgeting (ABB)</w:t>
      </w:r>
      <w:r w:rsidRPr="00D41E7F">
        <w:rPr>
          <w:rFonts w:ascii="Arial" w:hAnsi="Arial" w:cs="Arial"/>
        </w:rPr>
        <w:tab/>
        <w:t>Allocates resources to high-value activities</w:t>
      </w:r>
    </w:p>
    <w:p w14:paraId="0438F962" w14:textId="77777777" w:rsidR="00D41E7F" w:rsidRPr="00D41E7F" w:rsidRDefault="00D41E7F" w:rsidP="00D41E7F">
      <w:pPr>
        <w:rPr>
          <w:rFonts w:ascii="Arial" w:hAnsi="Arial" w:cs="Arial"/>
        </w:rPr>
      </w:pPr>
      <w:r w:rsidRPr="00D41E7F">
        <w:rPr>
          <w:rFonts w:ascii="Arial" w:hAnsi="Arial" w:cs="Arial"/>
        </w:rPr>
        <w:t>Capital Budgeting</w:t>
      </w:r>
      <w:r w:rsidRPr="00D41E7F">
        <w:rPr>
          <w:rFonts w:ascii="Arial" w:hAnsi="Arial" w:cs="Arial"/>
        </w:rPr>
        <w:tab/>
        <w:t>Evaluates long-term investments such as factories</w:t>
      </w:r>
    </w:p>
    <w:p w14:paraId="18C3EA4A" w14:textId="77777777" w:rsidR="00D41E7F" w:rsidRPr="00D41E7F" w:rsidRDefault="00D41E7F" w:rsidP="00D41E7F">
      <w:pPr>
        <w:rPr>
          <w:rFonts w:ascii="Arial" w:hAnsi="Arial" w:cs="Arial"/>
        </w:rPr>
      </w:pPr>
    </w:p>
    <w:p w14:paraId="2EFFC983" w14:textId="77777777" w:rsidR="00D41E7F" w:rsidRPr="00D41E7F" w:rsidRDefault="00D41E7F" w:rsidP="00D41E7F">
      <w:pPr>
        <w:rPr>
          <w:rFonts w:ascii="Arial" w:hAnsi="Arial" w:cs="Arial"/>
        </w:rPr>
      </w:pPr>
      <w:r w:rsidRPr="00D41E7F">
        <w:rPr>
          <w:rFonts w:ascii="Arial" w:hAnsi="Arial" w:cs="Arial"/>
        </w:rPr>
        <w:t>Financial Planning for Long-Term Projects</w:t>
      </w:r>
    </w:p>
    <w:p w14:paraId="25E27C03" w14:textId="77777777" w:rsidR="00D41E7F" w:rsidRPr="00D41E7F" w:rsidRDefault="00D41E7F" w:rsidP="00D41E7F">
      <w:pPr>
        <w:rPr>
          <w:rFonts w:ascii="Arial" w:hAnsi="Arial" w:cs="Arial"/>
        </w:rPr>
      </w:pPr>
      <w:r w:rsidRPr="00D41E7F">
        <w:rPr>
          <w:rFonts w:ascii="Arial" w:hAnsi="Arial" w:cs="Arial"/>
        </w:rPr>
        <w:t>Tesla also uses capital budgeting tools such as Net Present Value (NPV) and Internal Rate of Return (IRR) when investing in Gigafactory construction and new technologies. These tools ensure that decisions are financially viable before committing billions of dollars.</w:t>
      </w:r>
    </w:p>
    <w:p w14:paraId="7CBC3542" w14:textId="77777777" w:rsidR="00D41E7F" w:rsidRPr="00D41E7F" w:rsidRDefault="00D41E7F" w:rsidP="00D41E7F">
      <w:pPr>
        <w:rPr>
          <w:rFonts w:ascii="Arial" w:hAnsi="Arial" w:cs="Arial"/>
        </w:rPr>
      </w:pPr>
    </w:p>
    <w:p w14:paraId="5B5431B1" w14:textId="77777777" w:rsidR="00D41E7F" w:rsidRPr="00D41E7F" w:rsidRDefault="00D41E7F" w:rsidP="00D41E7F">
      <w:pPr>
        <w:rPr>
          <w:rFonts w:ascii="Arial" w:hAnsi="Arial" w:cs="Arial"/>
        </w:rPr>
      </w:pPr>
      <w:r w:rsidRPr="00D41E7F">
        <w:rPr>
          <w:rFonts w:ascii="Arial" w:hAnsi="Arial" w:cs="Arial"/>
        </w:rPr>
        <w:t>Cash Flow Management</w:t>
      </w:r>
    </w:p>
    <w:p w14:paraId="480331EF" w14:textId="77777777" w:rsidR="00D41E7F" w:rsidRPr="00D41E7F" w:rsidRDefault="00D41E7F" w:rsidP="00D41E7F">
      <w:pPr>
        <w:rPr>
          <w:rFonts w:ascii="Arial" w:hAnsi="Arial" w:cs="Arial"/>
        </w:rPr>
      </w:pPr>
      <w:r w:rsidRPr="00D41E7F">
        <w:rPr>
          <w:rFonts w:ascii="Arial" w:hAnsi="Arial" w:cs="Arial"/>
        </w:rPr>
        <w:t xml:space="preserve">Managing cash flow is crucial for Tesla, as the company continuously reinvests profits to maintain innovation. Management accounting enables Tesla to plan </w:t>
      </w:r>
      <w:r w:rsidRPr="00D41E7F">
        <w:rPr>
          <w:rFonts w:ascii="Arial" w:hAnsi="Arial" w:cs="Arial"/>
        </w:rPr>
        <w:lastRenderedPageBreak/>
        <w:t>financing strategies, including bond issuance and strategic partnerships, to ensure liquidity.</w:t>
      </w:r>
    </w:p>
    <w:p w14:paraId="3D9F8779" w14:textId="77777777" w:rsidR="00D41E7F" w:rsidRPr="00D41E7F" w:rsidRDefault="00D41E7F" w:rsidP="00D41E7F">
      <w:pPr>
        <w:rPr>
          <w:rFonts w:ascii="Arial" w:hAnsi="Arial" w:cs="Arial"/>
        </w:rPr>
      </w:pPr>
    </w:p>
    <w:p w14:paraId="2C1D0B25" w14:textId="77777777" w:rsidR="00D41E7F" w:rsidRPr="00D41E7F" w:rsidRDefault="00D41E7F" w:rsidP="00D41E7F">
      <w:pPr>
        <w:rPr>
          <w:rFonts w:ascii="Arial" w:hAnsi="Arial" w:cs="Arial"/>
        </w:rPr>
      </w:pPr>
      <w:r w:rsidRPr="00D41E7F">
        <w:rPr>
          <w:rFonts w:ascii="Arial" w:hAnsi="Arial" w:cs="Arial"/>
        </w:rPr>
        <w:t>Summary</w:t>
      </w:r>
    </w:p>
    <w:p w14:paraId="29B57D85" w14:textId="71414A47" w:rsidR="00D41E7F" w:rsidRDefault="00D41E7F" w:rsidP="00D41E7F">
      <w:pPr>
        <w:rPr>
          <w:rFonts w:ascii="Arial" w:hAnsi="Arial" w:cs="Arial"/>
        </w:rPr>
      </w:pPr>
      <w:r w:rsidRPr="00D41E7F">
        <w:rPr>
          <w:rFonts w:ascii="Arial" w:hAnsi="Arial" w:cs="Arial"/>
        </w:rPr>
        <w:t>Through comprehensive budgeting and forecasting, Tesla maintains financial stability, supports innovation, and responds quickly to market changes. This level of planning allows Tesla to pursue ambitious goals while keeping risks under control.</w:t>
      </w:r>
    </w:p>
    <w:p w14:paraId="497BE96B" w14:textId="77777777" w:rsidR="00D41E7F" w:rsidRDefault="00D41E7F" w:rsidP="00D41E7F">
      <w:pPr>
        <w:rPr>
          <w:rFonts w:ascii="Arial" w:hAnsi="Arial" w:cs="Arial"/>
        </w:rPr>
      </w:pPr>
    </w:p>
    <w:p w14:paraId="36BCBEEE" w14:textId="77777777" w:rsidR="00124B73" w:rsidRDefault="00124B73" w:rsidP="00D41E7F">
      <w:pPr>
        <w:rPr>
          <w:rFonts w:ascii="Arial" w:hAnsi="Arial" w:cs="Arial"/>
          <w:b/>
          <w:bCs/>
        </w:rPr>
      </w:pPr>
    </w:p>
    <w:p w14:paraId="422F5002" w14:textId="77777777" w:rsidR="00124B73" w:rsidRDefault="00124B73" w:rsidP="00D41E7F">
      <w:pPr>
        <w:rPr>
          <w:rFonts w:ascii="Arial" w:hAnsi="Arial" w:cs="Arial"/>
          <w:b/>
          <w:bCs/>
        </w:rPr>
      </w:pPr>
    </w:p>
    <w:p w14:paraId="7927B150" w14:textId="77777777" w:rsidR="00124B73" w:rsidRDefault="00124B73" w:rsidP="00D41E7F">
      <w:pPr>
        <w:rPr>
          <w:rFonts w:ascii="Arial" w:hAnsi="Arial" w:cs="Arial"/>
          <w:b/>
          <w:bCs/>
        </w:rPr>
      </w:pPr>
    </w:p>
    <w:p w14:paraId="224B6A03" w14:textId="77777777" w:rsidR="00124B73" w:rsidRDefault="00124B73" w:rsidP="00D41E7F">
      <w:pPr>
        <w:rPr>
          <w:rFonts w:ascii="Arial" w:hAnsi="Arial" w:cs="Arial"/>
          <w:b/>
          <w:bCs/>
        </w:rPr>
      </w:pPr>
    </w:p>
    <w:p w14:paraId="1472BAEE" w14:textId="77777777" w:rsidR="00124B73" w:rsidRDefault="00124B73" w:rsidP="00D41E7F">
      <w:pPr>
        <w:rPr>
          <w:rFonts w:ascii="Arial" w:hAnsi="Arial" w:cs="Arial"/>
          <w:b/>
          <w:bCs/>
        </w:rPr>
      </w:pPr>
    </w:p>
    <w:p w14:paraId="08A7925B" w14:textId="77777777" w:rsidR="004D0E3B" w:rsidRDefault="004D0E3B" w:rsidP="00D41E7F">
      <w:pPr>
        <w:rPr>
          <w:rFonts w:ascii="Arial" w:hAnsi="Arial" w:cs="Arial"/>
          <w:b/>
          <w:bCs/>
        </w:rPr>
      </w:pPr>
    </w:p>
    <w:p w14:paraId="4EDD61E7" w14:textId="77777777" w:rsidR="004D0E3B" w:rsidRDefault="004D0E3B" w:rsidP="00D41E7F">
      <w:pPr>
        <w:rPr>
          <w:rFonts w:ascii="Arial" w:hAnsi="Arial" w:cs="Arial"/>
          <w:b/>
          <w:bCs/>
        </w:rPr>
      </w:pPr>
    </w:p>
    <w:p w14:paraId="45042B2E" w14:textId="77777777" w:rsidR="004D0E3B" w:rsidRDefault="004D0E3B" w:rsidP="00D41E7F">
      <w:pPr>
        <w:rPr>
          <w:rFonts w:ascii="Arial" w:hAnsi="Arial" w:cs="Arial"/>
          <w:b/>
          <w:bCs/>
        </w:rPr>
      </w:pPr>
    </w:p>
    <w:p w14:paraId="381980CF" w14:textId="77777777" w:rsidR="004D0E3B" w:rsidRDefault="004D0E3B" w:rsidP="00D41E7F">
      <w:pPr>
        <w:rPr>
          <w:rFonts w:ascii="Arial" w:hAnsi="Arial" w:cs="Arial"/>
          <w:b/>
          <w:bCs/>
        </w:rPr>
      </w:pPr>
    </w:p>
    <w:p w14:paraId="5D054FA6" w14:textId="77777777" w:rsidR="004D0E3B" w:rsidRDefault="004D0E3B" w:rsidP="00D41E7F">
      <w:pPr>
        <w:rPr>
          <w:rFonts w:ascii="Arial" w:hAnsi="Arial" w:cs="Arial"/>
          <w:b/>
          <w:bCs/>
        </w:rPr>
      </w:pPr>
    </w:p>
    <w:p w14:paraId="77932E18" w14:textId="77777777" w:rsidR="004D0E3B" w:rsidRDefault="004D0E3B" w:rsidP="00D41E7F">
      <w:pPr>
        <w:rPr>
          <w:rFonts w:ascii="Arial" w:hAnsi="Arial" w:cs="Arial"/>
          <w:b/>
          <w:bCs/>
        </w:rPr>
      </w:pPr>
    </w:p>
    <w:p w14:paraId="406FB1F8" w14:textId="77777777" w:rsidR="004D0E3B" w:rsidRDefault="004D0E3B" w:rsidP="00D41E7F">
      <w:pPr>
        <w:rPr>
          <w:rFonts w:ascii="Arial" w:hAnsi="Arial" w:cs="Arial"/>
          <w:b/>
          <w:bCs/>
        </w:rPr>
      </w:pPr>
    </w:p>
    <w:p w14:paraId="05E1CA5A" w14:textId="77777777" w:rsidR="004D0E3B" w:rsidRDefault="004D0E3B" w:rsidP="00D41E7F">
      <w:pPr>
        <w:rPr>
          <w:rFonts w:ascii="Arial" w:hAnsi="Arial" w:cs="Arial"/>
          <w:b/>
          <w:bCs/>
        </w:rPr>
      </w:pPr>
    </w:p>
    <w:p w14:paraId="5E65450A" w14:textId="77777777" w:rsidR="004D0E3B" w:rsidRDefault="004D0E3B" w:rsidP="00D41E7F">
      <w:pPr>
        <w:rPr>
          <w:rFonts w:ascii="Arial" w:hAnsi="Arial" w:cs="Arial"/>
          <w:b/>
          <w:bCs/>
        </w:rPr>
      </w:pPr>
    </w:p>
    <w:p w14:paraId="71E1DD5F" w14:textId="77777777" w:rsidR="004D0E3B" w:rsidRDefault="004D0E3B" w:rsidP="00D41E7F">
      <w:pPr>
        <w:rPr>
          <w:rFonts w:ascii="Arial" w:hAnsi="Arial" w:cs="Arial"/>
          <w:b/>
          <w:bCs/>
        </w:rPr>
      </w:pPr>
    </w:p>
    <w:p w14:paraId="0836001E" w14:textId="77777777" w:rsidR="004D0E3B" w:rsidRDefault="004D0E3B" w:rsidP="00D41E7F">
      <w:pPr>
        <w:rPr>
          <w:rFonts w:ascii="Arial" w:hAnsi="Arial" w:cs="Arial"/>
          <w:b/>
          <w:bCs/>
        </w:rPr>
      </w:pPr>
    </w:p>
    <w:p w14:paraId="4CE1D8EC" w14:textId="77777777" w:rsidR="004D0E3B" w:rsidRDefault="004D0E3B" w:rsidP="00D41E7F">
      <w:pPr>
        <w:rPr>
          <w:rFonts w:ascii="Arial" w:hAnsi="Arial" w:cs="Arial"/>
          <w:b/>
          <w:bCs/>
        </w:rPr>
      </w:pPr>
    </w:p>
    <w:p w14:paraId="6404AE56" w14:textId="77777777" w:rsidR="004D0E3B" w:rsidRDefault="004D0E3B" w:rsidP="00D41E7F">
      <w:pPr>
        <w:rPr>
          <w:rFonts w:ascii="Arial" w:hAnsi="Arial" w:cs="Arial"/>
          <w:b/>
          <w:bCs/>
        </w:rPr>
      </w:pPr>
    </w:p>
    <w:p w14:paraId="1429F7D6" w14:textId="77777777" w:rsidR="004D0E3B" w:rsidRDefault="004D0E3B" w:rsidP="00D41E7F">
      <w:pPr>
        <w:rPr>
          <w:rFonts w:ascii="Arial" w:hAnsi="Arial" w:cs="Arial"/>
          <w:b/>
          <w:bCs/>
        </w:rPr>
      </w:pPr>
    </w:p>
    <w:p w14:paraId="3C710D26" w14:textId="77777777" w:rsidR="004D0E3B" w:rsidRDefault="004D0E3B" w:rsidP="00D41E7F">
      <w:pPr>
        <w:rPr>
          <w:rFonts w:ascii="Arial" w:hAnsi="Arial" w:cs="Arial"/>
          <w:b/>
          <w:bCs/>
        </w:rPr>
      </w:pPr>
    </w:p>
    <w:p w14:paraId="501F7CC4" w14:textId="77777777" w:rsidR="004D0E3B" w:rsidRDefault="004D0E3B" w:rsidP="00D41E7F">
      <w:pPr>
        <w:rPr>
          <w:rFonts w:ascii="Arial" w:hAnsi="Arial" w:cs="Arial"/>
          <w:b/>
          <w:bCs/>
        </w:rPr>
      </w:pPr>
    </w:p>
    <w:p w14:paraId="5FC5EB55" w14:textId="77777777" w:rsidR="004D0E3B" w:rsidRDefault="004D0E3B" w:rsidP="00D41E7F">
      <w:pPr>
        <w:rPr>
          <w:rFonts w:ascii="Arial" w:hAnsi="Arial" w:cs="Arial"/>
          <w:b/>
          <w:bCs/>
        </w:rPr>
      </w:pPr>
    </w:p>
    <w:p w14:paraId="7F0A00C0" w14:textId="2F11FA8E" w:rsidR="00D41E7F" w:rsidRPr="00124B73" w:rsidRDefault="00D41E7F" w:rsidP="00D41E7F">
      <w:pPr>
        <w:rPr>
          <w:rFonts w:ascii="Arial" w:hAnsi="Arial" w:cs="Arial"/>
          <w:b/>
          <w:bCs/>
        </w:rPr>
      </w:pPr>
      <w:r w:rsidRPr="00124B73">
        <w:rPr>
          <w:rFonts w:ascii="Arial" w:hAnsi="Arial" w:cs="Arial"/>
          <w:b/>
          <w:bCs/>
        </w:rPr>
        <w:lastRenderedPageBreak/>
        <w:t xml:space="preserve">4. Performance Measurement and Decision-Making </w:t>
      </w:r>
    </w:p>
    <w:p w14:paraId="3DCBCF65" w14:textId="77777777" w:rsidR="00D41E7F" w:rsidRPr="00D41E7F" w:rsidRDefault="00D41E7F" w:rsidP="00D41E7F">
      <w:pPr>
        <w:rPr>
          <w:rFonts w:ascii="Arial" w:hAnsi="Arial" w:cs="Arial"/>
        </w:rPr>
      </w:pPr>
    </w:p>
    <w:p w14:paraId="4EE02317" w14:textId="77777777" w:rsidR="00D41E7F" w:rsidRPr="00D41E7F" w:rsidRDefault="00D41E7F" w:rsidP="00D41E7F">
      <w:pPr>
        <w:rPr>
          <w:rFonts w:ascii="Arial" w:hAnsi="Arial" w:cs="Arial"/>
        </w:rPr>
      </w:pPr>
      <w:r w:rsidRPr="00D41E7F">
        <w:rPr>
          <w:rFonts w:ascii="Arial" w:hAnsi="Arial" w:cs="Arial"/>
        </w:rPr>
        <w:t>Tesla utilises a structured performance measurement system that combines both financial and non-financial Key Performance Indicators (KPIs) to monitor operational success and support strategic decision-making. Management accounting provides periodic internal reports which track trends, compare results against targets, and highlight areas for improvement. This information is essential for guiding pricing, cost management, investment, and innovation priorities.</w:t>
      </w:r>
    </w:p>
    <w:p w14:paraId="07AF1B8D" w14:textId="77777777" w:rsidR="00D41E7F" w:rsidRPr="00D41E7F" w:rsidRDefault="00D41E7F" w:rsidP="00D41E7F">
      <w:pPr>
        <w:rPr>
          <w:rFonts w:ascii="Arial" w:hAnsi="Arial" w:cs="Arial"/>
        </w:rPr>
      </w:pPr>
    </w:p>
    <w:p w14:paraId="63C09CCE" w14:textId="77777777" w:rsidR="00D41E7F" w:rsidRPr="00D41E7F" w:rsidRDefault="00D41E7F" w:rsidP="00D41E7F">
      <w:pPr>
        <w:rPr>
          <w:rFonts w:ascii="Arial" w:hAnsi="Arial" w:cs="Arial"/>
        </w:rPr>
      </w:pPr>
      <w:r w:rsidRPr="00D41E7F">
        <w:rPr>
          <w:rFonts w:ascii="Arial" w:hAnsi="Arial" w:cs="Arial"/>
        </w:rPr>
        <w:t>Key Financial KPIs</w:t>
      </w:r>
    </w:p>
    <w:p w14:paraId="6F4C6798" w14:textId="77777777" w:rsidR="00D41E7F" w:rsidRPr="00D41E7F" w:rsidRDefault="00D41E7F" w:rsidP="00D41E7F">
      <w:pPr>
        <w:rPr>
          <w:rFonts w:ascii="Arial" w:hAnsi="Arial" w:cs="Arial"/>
        </w:rPr>
      </w:pPr>
      <w:r w:rsidRPr="00D41E7F">
        <w:rPr>
          <w:rFonts w:ascii="Arial" w:hAnsi="Arial" w:cs="Arial"/>
        </w:rPr>
        <w:t>Financial metrics are critical to understanding Tesla’s profitability and operational efficiency:</w:t>
      </w:r>
    </w:p>
    <w:p w14:paraId="612F2D79" w14:textId="77777777" w:rsidR="00D41E7F" w:rsidRPr="00D41E7F" w:rsidRDefault="00D41E7F" w:rsidP="00D41E7F">
      <w:pPr>
        <w:rPr>
          <w:rFonts w:ascii="Arial" w:hAnsi="Arial" w:cs="Arial"/>
        </w:rPr>
      </w:pPr>
    </w:p>
    <w:p w14:paraId="69F07384" w14:textId="77777777" w:rsidR="00D41E7F" w:rsidRPr="00D41E7F" w:rsidRDefault="00D41E7F" w:rsidP="00D41E7F">
      <w:pPr>
        <w:rPr>
          <w:rFonts w:ascii="Arial" w:hAnsi="Arial" w:cs="Arial"/>
        </w:rPr>
      </w:pPr>
      <w:r w:rsidRPr="00D41E7F">
        <w:rPr>
          <w:rFonts w:ascii="Arial" w:hAnsi="Arial" w:cs="Arial"/>
        </w:rPr>
        <w:t>Gross Profit Margin: In 2023, Tesla reported a gross margin of 25.6%, reflecting efficiency in manufacturing and pricing strategies.</w:t>
      </w:r>
    </w:p>
    <w:p w14:paraId="488C72C2" w14:textId="77777777" w:rsidR="00D41E7F" w:rsidRPr="00D41E7F" w:rsidRDefault="00D41E7F" w:rsidP="00D41E7F">
      <w:pPr>
        <w:rPr>
          <w:rFonts w:ascii="Arial" w:hAnsi="Arial" w:cs="Arial"/>
        </w:rPr>
      </w:pPr>
    </w:p>
    <w:p w14:paraId="4F1B5438" w14:textId="77777777" w:rsidR="00D41E7F" w:rsidRPr="00D41E7F" w:rsidRDefault="00D41E7F" w:rsidP="00D41E7F">
      <w:pPr>
        <w:rPr>
          <w:rFonts w:ascii="Arial" w:hAnsi="Arial" w:cs="Arial"/>
        </w:rPr>
      </w:pPr>
      <w:r w:rsidRPr="00D41E7F">
        <w:rPr>
          <w:rFonts w:ascii="Arial" w:hAnsi="Arial" w:cs="Arial"/>
        </w:rPr>
        <w:t>Operating Margin: Although operating margin declined from 16.8% in 2022 to 9.6% in 2023, this reduction was intentional, resulting from strategic price cuts to increase market penetration.</w:t>
      </w:r>
    </w:p>
    <w:p w14:paraId="667AB6B7" w14:textId="77777777" w:rsidR="00D41E7F" w:rsidRPr="00D41E7F" w:rsidRDefault="00D41E7F" w:rsidP="00D41E7F">
      <w:pPr>
        <w:rPr>
          <w:rFonts w:ascii="Arial" w:hAnsi="Arial" w:cs="Arial"/>
        </w:rPr>
      </w:pPr>
    </w:p>
    <w:p w14:paraId="0CC08A89" w14:textId="77777777" w:rsidR="00D41E7F" w:rsidRPr="00D41E7F" w:rsidRDefault="00D41E7F" w:rsidP="00D41E7F">
      <w:pPr>
        <w:rPr>
          <w:rFonts w:ascii="Arial" w:hAnsi="Arial" w:cs="Arial"/>
        </w:rPr>
      </w:pPr>
      <w:r w:rsidRPr="00D41E7F">
        <w:rPr>
          <w:rFonts w:ascii="Arial" w:hAnsi="Arial" w:cs="Arial"/>
        </w:rPr>
        <w:t>Return on Assets (ROA): At 9.3%, ROA indicates effective utilisation of large-scale assets such as Gigafactories.</w:t>
      </w:r>
    </w:p>
    <w:p w14:paraId="518F6D81" w14:textId="77777777" w:rsidR="00D41E7F" w:rsidRPr="00D41E7F" w:rsidRDefault="00D41E7F" w:rsidP="00D41E7F">
      <w:pPr>
        <w:rPr>
          <w:rFonts w:ascii="Arial" w:hAnsi="Arial" w:cs="Arial"/>
        </w:rPr>
      </w:pPr>
    </w:p>
    <w:p w14:paraId="0668CF80" w14:textId="77777777" w:rsidR="00D41E7F" w:rsidRPr="00D41E7F" w:rsidRDefault="00D41E7F" w:rsidP="00D41E7F">
      <w:pPr>
        <w:rPr>
          <w:rFonts w:ascii="Arial" w:hAnsi="Arial" w:cs="Arial"/>
        </w:rPr>
      </w:pPr>
      <w:r w:rsidRPr="00D41E7F">
        <w:rPr>
          <w:rFonts w:ascii="Arial" w:hAnsi="Arial" w:cs="Arial"/>
        </w:rPr>
        <w:t>Non-Financial KPIs</w:t>
      </w:r>
    </w:p>
    <w:p w14:paraId="7DED089C" w14:textId="77777777" w:rsidR="00D41E7F" w:rsidRPr="00D41E7F" w:rsidRDefault="00D41E7F" w:rsidP="00D41E7F">
      <w:pPr>
        <w:rPr>
          <w:rFonts w:ascii="Arial" w:hAnsi="Arial" w:cs="Arial"/>
        </w:rPr>
      </w:pPr>
      <w:r w:rsidRPr="00D41E7F">
        <w:rPr>
          <w:rFonts w:ascii="Arial" w:hAnsi="Arial" w:cs="Arial"/>
        </w:rPr>
        <w:t>Non-financial metrics are equally important, especially in a technology-driven company:</w:t>
      </w:r>
    </w:p>
    <w:p w14:paraId="097041D6" w14:textId="77777777" w:rsidR="00D41E7F" w:rsidRPr="00D41E7F" w:rsidRDefault="00D41E7F" w:rsidP="00D41E7F">
      <w:pPr>
        <w:rPr>
          <w:rFonts w:ascii="Arial" w:hAnsi="Arial" w:cs="Arial"/>
        </w:rPr>
      </w:pPr>
    </w:p>
    <w:p w14:paraId="329A5748" w14:textId="77777777" w:rsidR="00D41E7F" w:rsidRPr="00D41E7F" w:rsidRDefault="00D41E7F" w:rsidP="00D41E7F">
      <w:pPr>
        <w:rPr>
          <w:rFonts w:ascii="Arial" w:hAnsi="Arial" w:cs="Arial"/>
        </w:rPr>
      </w:pPr>
      <w:r w:rsidRPr="00D41E7F">
        <w:rPr>
          <w:rFonts w:ascii="Arial" w:hAnsi="Arial" w:cs="Arial"/>
        </w:rPr>
        <w:t>Production Output: Tesla produced 1.85 million vehicles in 2023, a 35% increase over 2022, demonstrating scale efficiency.</w:t>
      </w:r>
    </w:p>
    <w:p w14:paraId="661322E5" w14:textId="77777777" w:rsidR="00D41E7F" w:rsidRPr="00D41E7F" w:rsidRDefault="00D41E7F" w:rsidP="00D41E7F">
      <w:pPr>
        <w:rPr>
          <w:rFonts w:ascii="Arial" w:hAnsi="Arial" w:cs="Arial"/>
        </w:rPr>
      </w:pPr>
    </w:p>
    <w:p w14:paraId="072E9ECF" w14:textId="77777777" w:rsidR="00D41E7F" w:rsidRPr="00D41E7F" w:rsidRDefault="00D41E7F" w:rsidP="00D41E7F">
      <w:pPr>
        <w:rPr>
          <w:rFonts w:ascii="Arial" w:hAnsi="Arial" w:cs="Arial"/>
        </w:rPr>
      </w:pPr>
      <w:r w:rsidRPr="00D41E7F">
        <w:rPr>
          <w:rFonts w:ascii="Arial" w:hAnsi="Arial" w:cs="Arial"/>
        </w:rPr>
        <w:t>Customer Satisfaction (NPS): With a Net Promoter Score of 97/100, Tesla maintains strong brand loyalty and advocacy.</w:t>
      </w:r>
    </w:p>
    <w:p w14:paraId="228F2918" w14:textId="77777777" w:rsidR="00D41E7F" w:rsidRPr="00D41E7F" w:rsidRDefault="00D41E7F" w:rsidP="00D41E7F">
      <w:pPr>
        <w:rPr>
          <w:rFonts w:ascii="Arial" w:hAnsi="Arial" w:cs="Arial"/>
        </w:rPr>
      </w:pPr>
    </w:p>
    <w:p w14:paraId="6928328A" w14:textId="65A72487" w:rsidR="00D41E7F" w:rsidRPr="00D41E7F" w:rsidRDefault="00D41E7F" w:rsidP="00D41E7F">
      <w:pPr>
        <w:rPr>
          <w:rFonts w:ascii="Arial" w:hAnsi="Arial" w:cs="Arial"/>
        </w:rPr>
      </w:pPr>
      <w:r w:rsidRPr="00D41E7F">
        <w:rPr>
          <w:rFonts w:ascii="Arial" w:hAnsi="Arial" w:cs="Arial"/>
        </w:rPr>
        <w:lastRenderedPageBreak/>
        <w:t xml:space="preserve"> KPI Radar – Financial vs Non-Financial Indicators</w:t>
      </w:r>
    </w:p>
    <w:p w14:paraId="4627DA82" w14:textId="56EBD941" w:rsidR="00D41E7F" w:rsidRPr="00D41E7F" w:rsidRDefault="004502EC" w:rsidP="00D41E7F">
      <w:pPr>
        <w:rPr>
          <w:rFonts w:ascii="Arial" w:hAnsi="Arial" w:cs="Arial"/>
        </w:rPr>
      </w:pPr>
      <w:r>
        <w:rPr>
          <w:rFonts w:ascii="Arial" w:hAnsi="Arial" w:cs="Arial"/>
          <w:noProof/>
        </w:rPr>
        <w:drawing>
          <wp:inline distT="0" distB="0" distL="0" distR="0" wp14:anchorId="30FA7107" wp14:editId="4DD3E024">
            <wp:extent cx="5731510" cy="5731510"/>
            <wp:effectExtent l="0" t="0" r="2540" b="2540"/>
            <wp:docPr id="1241884813" name="Picture 4" descr="A diagram of a performance ra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884813" name="Picture 4" descr="A diagram of a performance rada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01F6892B" w14:textId="77777777" w:rsidR="00D41E7F" w:rsidRPr="00D41E7F" w:rsidRDefault="00D41E7F" w:rsidP="00D41E7F">
      <w:pPr>
        <w:rPr>
          <w:rFonts w:ascii="Arial" w:hAnsi="Arial" w:cs="Arial"/>
        </w:rPr>
      </w:pPr>
      <w:r w:rsidRPr="00D41E7F">
        <w:rPr>
          <w:rFonts w:ascii="Arial" w:hAnsi="Arial" w:cs="Arial"/>
        </w:rPr>
        <w:t>Use of KPIs in Decision-Making</w:t>
      </w:r>
    </w:p>
    <w:p w14:paraId="69F8E539" w14:textId="77777777" w:rsidR="00D41E7F" w:rsidRPr="00D41E7F" w:rsidRDefault="00D41E7F" w:rsidP="00D41E7F">
      <w:pPr>
        <w:rPr>
          <w:rFonts w:ascii="Arial" w:hAnsi="Arial" w:cs="Arial"/>
        </w:rPr>
      </w:pPr>
      <w:r w:rsidRPr="00D41E7F">
        <w:rPr>
          <w:rFonts w:ascii="Arial" w:hAnsi="Arial" w:cs="Arial"/>
        </w:rPr>
        <w:t>KPIs strongly influence Tesla’s strategic choices. For example, declining operating margins led to a reassessment of cost structures and the introduction of manufacturing automation in Gigafactories to improve efficiency. Similarly, strong customer satisfaction scores encouraged management to invest further in software, over-the-air updates, and service improvements.</w:t>
      </w:r>
    </w:p>
    <w:p w14:paraId="0C7EBB2A" w14:textId="77777777" w:rsidR="00D41E7F" w:rsidRPr="00D41E7F" w:rsidRDefault="00D41E7F" w:rsidP="00D41E7F">
      <w:pPr>
        <w:rPr>
          <w:rFonts w:ascii="Arial" w:hAnsi="Arial" w:cs="Arial"/>
        </w:rPr>
      </w:pPr>
    </w:p>
    <w:p w14:paraId="2D656372" w14:textId="77777777" w:rsidR="004413D0" w:rsidRDefault="004413D0" w:rsidP="00D41E7F">
      <w:pPr>
        <w:rPr>
          <w:rFonts w:ascii="Arial" w:hAnsi="Arial" w:cs="Arial"/>
        </w:rPr>
      </w:pPr>
    </w:p>
    <w:p w14:paraId="40AC6E19" w14:textId="77777777" w:rsidR="004413D0" w:rsidRDefault="004413D0" w:rsidP="00D41E7F">
      <w:pPr>
        <w:rPr>
          <w:rFonts w:ascii="Arial" w:hAnsi="Arial" w:cs="Arial"/>
        </w:rPr>
      </w:pPr>
    </w:p>
    <w:p w14:paraId="0D1AC883" w14:textId="77777777" w:rsidR="004413D0" w:rsidRDefault="004413D0" w:rsidP="00D41E7F">
      <w:pPr>
        <w:rPr>
          <w:rFonts w:ascii="Arial" w:hAnsi="Arial" w:cs="Arial"/>
        </w:rPr>
      </w:pPr>
    </w:p>
    <w:p w14:paraId="74DF039C" w14:textId="32088D20" w:rsidR="00D41E7F" w:rsidRPr="00D41E7F" w:rsidRDefault="00D41E7F" w:rsidP="00D41E7F">
      <w:pPr>
        <w:rPr>
          <w:rFonts w:ascii="Arial" w:hAnsi="Arial" w:cs="Arial"/>
        </w:rPr>
      </w:pPr>
      <w:r w:rsidRPr="00D41E7F">
        <w:rPr>
          <w:rFonts w:ascii="Arial" w:hAnsi="Arial" w:cs="Arial"/>
        </w:rPr>
        <w:lastRenderedPageBreak/>
        <w:t>In 2023, Tesla used KPI data to justify:</w:t>
      </w:r>
    </w:p>
    <w:p w14:paraId="01F5C9B6" w14:textId="77777777" w:rsidR="00D41E7F" w:rsidRPr="00D41E7F" w:rsidRDefault="00D41E7F" w:rsidP="00D41E7F">
      <w:pPr>
        <w:rPr>
          <w:rFonts w:ascii="Arial" w:hAnsi="Arial" w:cs="Arial"/>
        </w:rPr>
      </w:pPr>
      <w:r w:rsidRPr="00D41E7F">
        <w:rPr>
          <w:rFonts w:ascii="Arial" w:hAnsi="Arial" w:cs="Arial"/>
        </w:rPr>
        <w:t>Global price reductions to stimulate demand during economic uncertainty.</w:t>
      </w:r>
    </w:p>
    <w:p w14:paraId="5D7D84B6" w14:textId="77777777" w:rsidR="00D41E7F" w:rsidRPr="00D41E7F" w:rsidRDefault="00D41E7F" w:rsidP="00D41E7F">
      <w:pPr>
        <w:rPr>
          <w:rFonts w:ascii="Arial" w:hAnsi="Arial" w:cs="Arial"/>
        </w:rPr>
      </w:pPr>
      <w:r w:rsidRPr="00D41E7F">
        <w:rPr>
          <w:rFonts w:ascii="Arial" w:hAnsi="Arial" w:cs="Arial"/>
        </w:rPr>
        <w:t>Geographical expansion into Europe and Asia to diversify revenue streams.</w:t>
      </w:r>
    </w:p>
    <w:p w14:paraId="7DCC53BD" w14:textId="77777777" w:rsidR="00D41E7F" w:rsidRPr="00D41E7F" w:rsidRDefault="00D41E7F" w:rsidP="00D41E7F">
      <w:pPr>
        <w:rPr>
          <w:rFonts w:ascii="Arial" w:hAnsi="Arial" w:cs="Arial"/>
        </w:rPr>
      </w:pPr>
      <w:r w:rsidRPr="00D41E7F">
        <w:rPr>
          <w:rFonts w:ascii="Arial" w:hAnsi="Arial" w:cs="Arial"/>
        </w:rPr>
        <w:t>Investment in AI and robotics, driven by long-term innovation KPIs.</w:t>
      </w:r>
    </w:p>
    <w:p w14:paraId="25D4B342" w14:textId="77777777" w:rsidR="00D41E7F" w:rsidRPr="00D41E7F" w:rsidRDefault="00D41E7F" w:rsidP="00D41E7F">
      <w:pPr>
        <w:rPr>
          <w:rFonts w:ascii="Arial" w:hAnsi="Arial" w:cs="Arial"/>
        </w:rPr>
      </w:pPr>
      <w:r w:rsidRPr="00D41E7F">
        <w:rPr>
          <w:rFonts w:ascii="Arial" w:hAnsi="Arial" w:cs="Arial"/>
        </w:rPr>
        <w:t>Role of Management Accounting Tools</w:t>
      </w:r>
    </w:p>
    <w:p w14:paraId="6BEDC44A" w14:textId="77777777" w:rsidR="00D41E7F" w:rsidRPr="00D41E7F" w:rsidRDefault="00D41E7F" w:rsidP="00D41E7F">
      <w:pPr>
        <w:rPr>
          <w:rFonts w:ascii="Arial" w:hAnsi="Arial" w:cs="Arial"/>
        </w:rPr>
      </w:pPr>
      <w:r w:rsidRPr="00D41E7F">
        <w:rPr>
          <w:rFonts w:ascii="Arial" w:hAnsi="Arial" w:cs="Arial"/>
        </w:rPr>
        <w:t>Management accountants use techniques such as variance analysis, benchmarking, and trend reporting to turn KPI data into actionable insights. By comparing actual performance against budgeted figures, they identify problems and recommend corrective actions. Tesla also uses dashboards inspired by the Balanced Scorecard approach, ensuring a balance between profitability, innovation, customer satisfaction, and sustainability.</w:t>
      </w:r>
    </w:p>
    <w:p w14:paraId="1B903881" w14:textId="77777777" w:rsidR="00D41E7F" w:rsidRPr="00D41E7F" w:rsidRDefault="00D41E7F" w:rsidP="00D41E7F">
      <w:pPr>
        <w:rPr>
          <w:rFonts w:ascii="Arial" w:hAnsi="Arial" w:cs="Arial"/>
        </w:rPr>
      </w:pPr>
    </w:p>
    <w:p w14:paraId="06D47CD1" w14:textId="77777777" w:rsidR="00D41E7F" w:rsidRPr="00D41E7F" w:rsidRDefault="00D41E7F" w:rsidP="00D41E7F">
      <w:pPr>
        <w:rPr>
          <w:rFonts w:ascii="Arial" w:hAnsi="Arial" w:cs="Arial"/>
        </w:rPr>
      </w:pPr>
      <w:r w:rsidRPr="00D41E7F">
        <w:rPr>
          <w:rFonts w:ascii="Arial" w:hAnsi="Arial" w:cs="Arial"/>
        </w:rPr>
        <w:t>Conclusion of Performance Analysis</w:t>
      </w:r>
    </w:p>
    <w:p w14:paraId="45558233" w14:textId="20C50A23" w:rsidR="00D41E7F" w:rsidRPr="00E82869" w:rsidRDefault="00D41E7F" w:rsidP="00D41E7F">
      <w:pPr>
        <w:rPr>
          <w:rFonts w:ascii="Arial" w:hAnsi="Arial" w:cs="Arial"/>
          <w:b/>
          <w:bCs/>
        </w:rPr>
      </w:pPr>
      <w:r w:rsidRPr="00D41E7F">
        <w:rPr>
          <w:rFonts w:ascii="Arial" w:hAnsi="Arial" w:cs="Arial"/>
        </w:rPr>
        <w:t>Through KPI measurement and internal reporting, Tesla can manage risk, drive innovation, and maintain competitive advantage. Management accounting transforms raw data into strategic guidance, enabling leadership to make informed, future-focused decisions.</w:t>
      </w:r>
    </w:p>
    <w:p w14:paraId="2B2157AD" w14:textId="77777777" w:rsidR="00E82869" w:rsidRDefault="00E82869" w:rsidP="00081B45">
      <w:pPr>
        <w:rPr>
          <w:rFonts w:ascii="Arial" w:hAnsi="Arial" w:cs="Arial"/>
          <w:b/>
          <w:bCs/>
        </w:rPr>
      </w:pPr>
    </w:p>
    <w:p w14:paraId="199F95ED" w14:textId="77777777" w:rsidR="00E82869" w:rsidRDefault="00E82869" w:rsidP="00081B45">
      <w:pPr>
        <w:rPr>
          <w:rFonts w:ascii="Arial" w:hAnsi="Arial" w:cs="Arial"/>
          <w:b/>
          <w:bCs/>
        </w:rPr>
      </w:pPr>
    </w:p>
    <w:p w14:paraId="41D26666" w14:textId="77777777" w:rsidR="00E82869" w:rsidRDefault="00E82869" w:rsidP="00081B45">
      <w:pPr>
        <w:rPr>
          <w:rFonts w:ascii="Arial" w:hAnsi="Arial" w:cs="Arial"/>
          <w:b/>
          <w:bCs/>
        </w:rPr>
      </w:pPr>
    </w:p>
    <w:p w14:paraId="3C4D3162" w14:textId="77777777" w:rsidR="00E82869" w:rsidRDefault="00E82869" w:rsidP="00081B45">
      <w:pPr>
        <w:rPr>
          <w:rFonts w:ascii="Arial" w:hAnsi="Arial" w:cs="Arial"/>
          <w:b/>
          <w:bCs/>
        </w:rPr>
      </w:pPr>
    </w:p>
    <w:p w14:paraId="71312838" w14:textId="77777777" w:rsidR="00E82869" w:rsidRDefault="00E82869" w:rsidP="00081B45">
      <w:pPr>
        <w:rPr>
          <w:rFonts w:ascii="Arial" w:hAnsi="Arial" w:cs="Arial"/>
          <w:b/>
          <w:bCs/>
        </w:rPr>
      </w:pPr>
    </w:p>
    <w:p w14:paraId="1CD4B72A" w14:textId="77777777" w:rsidR="00E82869" w:rsidRDefault="00E82869" w:rsidP="00081B45">
      <w:pPr>
        <w:rPr>
          <w:rFonts w:ascii="Arial" w:hAnsi="Arial" w:cs="Arial"/>
          <w:b/>
          <w:bCs/>
        </w:rPr>
      </w:pPr>
    </w:p>
    <w:p w14:paraId="4CB9A660" w14:textId="77777777" w:rsidR="00E82869" w:rsidRDefault="00E82869" w:rsidP="00081B45">
      <w:pPr>
        <w:rPr>
          <w:rFonts w:ascii="Arial" w:hAnsi="Arial" w:cs="Arial"/>
          <w:b/>
          <w:bCs/>
        </w:rPr>
      </w:pPr>
    </w:p>
    <w:p w14:paraId="0D5CE159" w14:textId="77777777" w:rsidR="004413D0" w:rsidRDefault="004413D0" w:rsidP="00081B45">
      <w:pPr>
        <w:rPr>
          <w:rFonts w:ascii="Arial" w:hAnsi="Arial" w:cs="Arial"/>
          <w:b/>
          <w:bCs/>
        </w:rPr>
      </w:pPr>
    </w:p>
    <w:p w14:paraId="3F0F4FBC" w14:textId="77777777" w:rsidR="004413D0" w:rsidRDefault="004413D0" w:rsidP="00081B45">
      <w:pPr>
        <w:rPr>
          <w:rFonts w:ascii="Arial" w:hAnsi="Arial" w:cs="Arial"/>
          <w:b/>
          <w:bCs/>
        </w:rPr>
      </w:pPr>
    </w:p>
    <w:p w14:paraId="5146849C" w14:textId="77777777" w:rsidR="004413D0" w:rsidRDefault="004413D0" w:rsidP="00081B45">
      <w:pPr>
        <w:rPr>
          <w:rFonts w:ascii="Arial" w:hAnsi="Arial" w:cs="Arial"/>
          <w:b/>
          <w:bCs/>
        </w:rPr>
      </w:pPr>
    </w:p>
    <w:p w14:paraId="35B11280" w14:textId="77777777" w:rsidR="004413D0" w:rsidRDefault="004413D0" w:rsidP="00081B45">
      <w:pPr>
        <w:rPr>
          <w:rFonts w:ascii="Arial" w:hAnsi="Arial" w:cs="Arial"/>
          <w:b/>
          <w:bCs/>
        </w:rPr>
      </w:pPr>
    </w:p>
    <w:p w14:paraId="07B69FD9" w14:textId="77777777" w:rsidR="004413D0" w:rsidRDefault="004413D0" w:rsidP="00081B45">
      <w:pPr>
        <w:rPr>
          <w:rFonts w:ascii="Arial" w:hAnsi="Arial" w:cs="Arial"/>
          <w:b/>
          <w:bCs/>
        </w:rPr>
      </w:pPr>
    </w:p>
    <w:p w14:paraId="365937D1" w14:textId="77777777" w:rsidR="004413D0" w:rsidRDefault="004413D0" w:rsidP="00081B45">
      <w:pPr>
        <w:rPr>
          <w:rFonts w:ascii="Arial" w:hAnsi="Arial" w:cs="Arial"/>
          <w:b/>
          <w:bCs/>
        </w:rPr>
      </w:pPr>
    </w:p>
    <w:p w14:paraId="19F74D9F" w14:textId="77777777" w:rsidR="004413D0" w:rsidRDefault="004413D0" w:rsidP="00081B45">
      <w:pPr>
        <w:rPr>
          <w:rFonts w:ascii="Arial" w:hAnsi="Arial" w:cs="Arial"/>
          <w:b/>
          <w:bCs/>
        </w:rPr>
      </w:pPr>
    </w:p>
    <w:p w14:paraId="4EC26650" w14:textId="77777777" w:rsidR="004413D0" w:rsidRDefault="004413D0" w:rsidP="00081B45">
      <w:pPr>
        <w:rPr>
          <w:rFonts w:ascii="Arial" w:hAnsi="Arial" w:cs="Arial"/>
          <w:b/>
          <w:bCs/>
        </w:rPr>
      </w:pPr>
    </w:p>
    <w:p w14:paraId="46A18073" w14:textId="3F69893B" w:rsidR="00E82869" w:rsidRPr="00E82869" w:rsidRDefault="00081B45" w:rsidP="00081B45">
      <w:pPr>
        <w:rPr>
          <w:rFonts w:ascii="Arial" w:hAnsi="Arial" w:cs="Arial"/>
          <w:b/>
          <w:bCs/>
        </w:rPr>
      </w:pPr>
      <w:r w:rsidRPr="00E82869">
        <w:rPr>
          <w:rFonts w:ascii="Arial" w:hAnsi="Arial" w:cs="Arial"/>
          <w:b/>
          <w:bCs/>
        </w:rPr>
        <w:lastRenderedPageBreak/>
        <w:t xml:space="preserve">5. Sustainability and Ethical Considerations </w:t>
      </w:r>
    </w:p>
    <w:p w14:paraId="5451A4D3" w14:textId="77777777" w:rsidR="00081B45" w:rsidRPr="00081B45" w:rsidRDefault="00081B45" w:rsidP="00081B45">
      <w:pPr>
        <w:rPr>
          <w:rFonts w:ascii="Arial" w:hAnsi="Arial" w:cs="Arial"/>
        </w:rPr>
      </w:pPr>
      <w:r w:rsidRPr="00081B45">
        <w:rPr>
          <w:rFonts w:ascii="Arial" w:hAnsi="Arial" w:cs="Arial"/>
        </w:rPr>
        <w:t>Sustainability is at the core of Tesla’s corporate identity and is deeply embedded in its financial and operational decision-making processes. Unlike traditional automakers, Tesla integrates environmental and ethical considerations through advanced management accounting tools such as environmental cost analysis, lifecycle costing, and sustainability reporting. These practices ensure that long-term ecological impact is treated as a financial responsibility rather than a separate corporate initiative.</w:t>
      </w:r>
    </w:p>
    <w:p w14:paraId="5B2D278A" w14:textId="77777777" w:rsidR="00081B45" w:rsidRPr="00081B45" w:rsidRDefault="00081B45" w:rsidP="00081B45">
      <w:pPr>
        <w:rPr>
          <w:rFonts w:ascii="Arial" w:hAnsi="Arial" w:cs="Arial"/>
        </w:rPr>
      </w:pPr>
    </w:p>
    <w:p w14:paraId="6E52C0C2" w14:textId="77777777" w:rsidR="00081B45" w:rsidRPr="00081B45" w:rsidRDefault="00081B45" w:rsidP="00081B45">
      <w:pPr>
        <w:rPr>
          <w:rFonts w:ascii="Arial" w:hAnsi="Arial" w:cs="Arial"/>
        </w:rPr>
      </w:pPr>
      <w:r w:rsidRPr="00081B45">
        <w:rPr>
          <w:rFonts w:ascii="Arial" w:hAnsi="Arial" w:cs="Arial"/>
        </w:rPr>
        <w:t>Environmental Sustainability and Green Accounting</w:t>
      </w:r>
    </w:p>
    <w:p w14:paraId="77B9B454" w14:textId="77777777" w:rsidR="00081B45" w:rsidRPr="00081B45" w:rsidRDefault="00081B45" w:rsidP="00081B45">
      <w:pPr>
        <w:rPr>
          <w:rFonts w:ascii="Arial" w:hAnsi="Arial" w:cs="Arial"/>
        </w:rPr>
      </w:pPr>
      <w:r w:rsidRPr="00081B45">
        <w:rPr>
          <w:rFonts w:ascii="Arial" w:hAnsi="Arial" w:cs="Arial"/>
        </w:rPr>
        <w:t>Tesla’s strategy relies heavily on green accounting, which tracks environmental costs and savings associated with clean energy operations. For example, the Gigafactory in Nevada actively recycles battery cells to extract valuable materials such as lithium, cobalt, and nickel. Rather than disposing of used materials, Tesla reintegrates them into new production cycles, reducing raw material costs and limiting environmental damage. Internally, these recycling benefits are recorded as cost savings over time, supporting more sustainable budgeting decisions.</w:t>
      </w:r>
    </w:p>
    <w:p w14:paraId="2A480369" w14:textId="77777777" w:rsidR="00081B45" w:rsidRPr="00081B45" w:rsidRDefault="00081B45" w:rsidP="00081B45">
      <w:pPr>
        <w:rPr>
          <w:rFonts w:ascii="Arial" w:hAnsi="Arial" w:cs="Arial"/>
        </w:rPr>
      </w:pPr>
    </w:p>
    <w:p w14:paraId="27B7A797" w14:textId="77777777" w:rsidR="00081B45" w:rsidRPr="00081B45" w:rsidRDefault="00081B45" w:rsidP="00081B45">
      <w:pPr>
        <w:rPr>
          <w:rFonts w:ascii="Arial" w:hAnsi="Arial" w:cs="Arial"/>
        </w:rPr>
      </w:pPr>
      <w:r w:rsidRPr="00081B45">
        <w:rPr>
          <w:rFonts w:ascii="Arial" w:hAnsi="Arial" w:cs="Arial"/>
        </w:rPr>
        <w:t>Furthermore, Tesla measures its carbon footprint per vehicle produced and sets performance targets for energy consumption and emissions across its factories. These metrics are reported in annual sustainability reports and used by management accountants to guide investment in renewable energy infrastructure. By investing in solar and wind power, Tesla reduces dependency on fossil fuels and benefits from lower long-term operating expenses.</w:t>
      </w:r>
    </w:p>
    <w:p w14:paraId="4BA51A88" w14:textId="77777777" w:rsidR="00081B45" w:rsidRPr="00081B45" w:rsidRDefault="00081B45" w:rsidP="00081B45">
      <w:pPr>
        <w:rPr>
          <w:rFonts w:ascii="Arial" w:hAnsi="Arial" w:cs="Arial"/>
        </w:rPr>
      </w:pPr>
    </w:p>
    <w:p w14:paraId="17F7A29C" w14:textId="77777777" w:rsidR="00081B45" w:rsidRPr="00081B45" w:rsidRDefault="00081B45" w:rsidP="00081B45">
      <w:pPr>
        <w:rPr>
          <w:rFonts w:ascii="Arial" w:hAnsi="Arial" w:cs="Arial"/>
        </w:rPr>
      </w:pPr>
      <w:r w:rsidRPr="00081B45">
        <w:rPr>
          <w:rFonts w:ascii="Arial" w:hAnsi="Arial" w:cs="Arial"/>
        </w:rPr>
        <w:t>Ethical Decision-Making and Supply Chain Responsibility</w:t>
      </w:r>
    </w:p>
    <w:p w14:paraId="1225EDED" w14:textId="77777777" w:rsidR="00081B45" w:rsidRPr="00081B45" w:rsidRDefault="00081B45" w:rsidP="00081B45">
      <w:pPr>
        <w:rPr>
          <w:rFonts w:ascii="Arial" w:hAnsi="Arial" w:cs="Arial"/>
        </w:rPr>
      </w:pPr>
      <w:r w:rsidRPr="00081B45">
        <w:rPr>
          <w:rFonts w:ascii="Arial" w:hAnsi="Arial" w:cs="Arial"/>
        </w:rPr>
        <w:t>Ethical considerations also influence Tesla’s financial planning, particularly in relation to its global supply chain. The company has faced criticism regarding labour conditions and the sourcing of cobalt from conflict zones in the Democratic Republic of Congo. In response, Tesla has implemented supplier audits and adopted a transparent reporting system to ensure ethical sourcing. Management accounting teams now assess supplier risks not only based on cost, but also human rights impact.</w:t>
      </w:r>
    </w:p>
    <w:p w14:paraId="542559DD" w14:textId="77777777" w:rsidR="00081B45" w:rsidRPr="00081B45" w:rsidRDefault="00081B45" w:rsidP="00081B45">
      <w:pPr>
        <w:rPr>
          <w:rFonts w:ascii="Arial" w:hAnsi="Arial" w:cs="Arial"/>
        </w:rPr>
      </w:pPr>
    </w:p>
    <w:p w14:paraId="23EEAE06" w14:textId="77777777" w:rsidR="00E82869" w:rsidRDefault="00E82869" w:rsidP="00081B45">
      <w:pPr>
        <w:rPr>
          <w:rFonts w:ascii="Arial" w:hAnsi="Arial" w:cs="Arial"/>
        </w:rPr>
      </w:pPr>
    </w:p>
    <w:p w14:paraId="36946492" w14:textId="77777777" w:rsidR="00E82869" w:rsidRDefault="00E82869" w:rsidP="00081B45">
      <w:pPr>
        <w:rPr>
          <w:rFonts w:ascii="Arial" w:hAnsi="Arial" w:cs="Arial"/>
        </w:rPr>
      </w:pPr>
    </w:p>
    <w:p w14:paraId="1FDBE0A6" w14:textId="77777777" w:rsidR="00E82869" w:rsidRDefault="00E82869" w:rsidP="00081B45">
      <w:pPr>
        <w:rPr>
          <w:rFonts w:ascii="Arial" w:hAnsi="Arial" w:cs="Arial"/>
        </w:rPr>
      </w:pPr>
    </w:p>
    <w:p w14:paraId="37F5590A" w14:textId="75E2FB9E" w:rsidR="00081B45" w:rsidRPr="00081B45" w:rsidRDefault="00081B45" w:rsidP="00081B45">
      <w:pPr>
        <w:rPr>
          <w:rFonts w:ascii="Arial" w:hAnsi="Arial" w:cs="Arial"/>
        </w:rPr>
      </w:pPr>
      <w:r w:rsidRPr="00081B45">
        <w:rPr>
          <w:rFonts w:ascii="Arial" w:hAnsi="Arial" w:cs="Arial"/>
        </w:rPr>
        <w:lastRenderedPageBreak/>
        <w:t>Pricing Ethics and Stakeholder Trust</w:t>
      </w:r>
    </w:p>
    <w:p w14:paraId="5A65A1BC" w14:textId="77777777" w:rsidR="00081B45" w:rsidRPr="00081B45" w:rsidRDefault="00081B45" w:rsidP="00081B45">
      <w:pPr>
        <w:rPr>
          <w:rFonts w:ascii="Arial" w:hAnsi="Arial" w:cs="Arial"/>
        </w:rPr>
      </w:pPr>
      <w:r w:rsidRPr="00081B45">
        <w:rPr>
          <w:rFonts w:ascii="Arial" w:hAnsi="Arial" w:cs="Arial"/>
        </w:rPr>
        <w:t>Tesla’s pricing strategy presents further ethical challenges. In 2023, Tesla reduced vehicle prices worldwide to increase affordability, which caused dissatisfaction among early buyers who paid higher prices. While price reductions increased demand and strengthened revenue, they raised questions about fairness and long-term customer trust. Management accounting, through stakeholder impact analysis, helps evaluate such risks by considering not only financial gain but also reputational cost.</w:t>
      </w:r>
    </w:p>
    <w:p w14:paraId="07FA7F9E" w14:textId="77777777" w:rsidR="00081B45" w:rsidRPr="00081B45" w:rsidRDefault="00081B45" w:rsidP="00081B45">
      <w:pPr>
        <w:rPr>
          <w:rFonts w:ascii="Arial" w:hAnsi="Arial" w:cs="Arial"/>
        </w:rPr>
      </w:pPr>
    </w:p>
    <w:p w14:paraId="2FFE8D77" w14:textId="77777777" w:rsidR="00081B45" w:rsidRPr="00081B45" w:rsidRDefault="00081B45" w:rsidP="00081B45">
      <w:pPr>
        <w:rPr>
          <w:rFonts w:ascii="Arial" w:hAnsi="Arial" w:cs="Arial"/>
        </w:rPr>
      </w:pPr>
      <w:r w:rsidRPr="00081B45">
        <w:rPr>
          <w:rFonts w:ascii="Arial" w:hAnsi="Arial" w:cs="Arial"/>
        </w:rPr>
        <w:t>Conclusion of Ethical Integration</w:t>
      </w:r>
    </w:p>
    <w:p w14:paraId="66F5E360" w14:textId="5385E97E" w:rsidR="00081B45" w:rsidRDefault="00081B45" w:rsidP="00081B45">
      <w:pPr>
        <w:rPr>
          <w:rFonts w:ascii="Arial" w:hAnsi="Arial" w:cs="Arial"/>
        </w:rPr>
      </w:pPr>
      <w:r w:rsidRPr="00081B45">
        <w:rPr>
          <w:rFonts w:ascii="Arial" w:hAnsi="Arial" w:cs="Arial"/>
        </w:rPr>
        <w:t>By embedding sustainability and ethical responsibility into management accounting practices, Tesla ensures that strategic decisions support both financial performance and global environmental goals. This integrated approach strengthens long-term resilience, investor confidence, and Tesla’s position as a leader in responsible innovation.</w:t>
      </w:r>
    </w:p>
    <w:p w14:paraId="2EDEA7AC" w14:textId="77777777" w:rsidR="00764996" w:rsidRDefault="00764996" w:rsidP="000648D6">
      <w:pPr>
        <w:rPr>
          <w:rFonts w:ascii="Arial" w:hAnsi="Arial" w:cs="Arial"/>
          <w:b/>
          <w:bCs/>
        </w:rPr>
      </w:pPr>
    </w:p>
    <w:p w14:paraId="766E7554" w14:textId="77777777" w:rsidR="00764996" w:rsidRDefault="00764996" w:rsidP="000648D6">
      <w:pPr>
        <w:rPr>
          <w:rFonts w:ascii="Arial" w:hAnsi="Arial" w:cs="Arial"/>
          <w:b/>
          <w:bCs/>
        </w:rPr>
      </w:pPr>
    </w:p>
    <w:p w14:paraId="118859FA" w14:textId="77777777" w:rsidR="00764996" w:rsidRDefault="00764996" w:rsidP="000648D6">
      <w:pPr>
        <w:rPr>
          <w:rFonts w:ascii="Arial" w:hAnsi="Arial" w:cs="Arial"/>
          <w:b/>
          <w:bCs/>
        </w:rPr>
      </w:pPr>
    </w:p>
    <w:p w14:paraId="43CBF2B8" w14:textId="77777777" w:rsidR="00764996" w:rsidRDefault="00764996" w:rsidP="000648D6">
      <w:pPr>
        <w:rPr>
          <w:rFonts w:ascii="Arial" w:hAnsi="Arial" w:cs="Arial"/>
          <w:b/>
          <w:bCs/>
        </w:rPr>
      </w:pPr>
    </w:p>
    <w:p w14:paraId="55C890CD" w14:textId="77777777" w:rsidR="00764996" w:rsidRDefault="00764996" w:rsidP="000648D6">
      <w:pPr>
        <w:rPr>
          <w:rFonts w:ascii="Arial" w:hAnsi="Arial" w:cs="Arial"/>
          <w:b/>
          <w:bCs/>
        </w:rPr>
      </w:pPr>
    </w:p>
    <w:p w14:paraId="5252F258" w14:textId="77777777" w:rsidR="00764996" w:rsidRDefault="00764996" w:rsidP="000648D6">
      <w:pPr>
        <w:rPr>
          <w:rFonts w:ascii="Arial" w:hAnsi="Arial" w:cs="Arial"/>
          <w:b/>
          <w:bCs/>
        </w:rPr>
      </w:pPr>
    </w:p>
    <w:p w14:paraId="3F061AC5" w14:textId="77777777" w:rsidR="00764996" w:rsidRDefault="00764996" w:rsidP="000648D6">
      <w:pPr>
        <w:rPr>
          <w:rFonts w:ascii="Arial" w:hAnsi="Arial" w:cs="Arial"/>
          <w:b/>
          <w:bCs/>
        </w:rPr>
      </w:pPr>
    </w:p>
    <w:p w14:paraId="23333B83" w14:textId="77777777" w:rsidR="00764996" w:rsidRDefault="00764996" w:rsidP="000648D6">
      <w:pPr>
        <w:rPr>
          <w:rFonts w:ascii="Arial" w:hAnsi="Arial" w:cs="Arial"/>
          <w:b/>
          <w:bCs/>
        </w:rPr>
      </w:pPr>
    </w:p>
    <w:p w14:paraId="3FACF565" w14:textId="77777777" w:rsidR="00764996" w:rsidRDefault="00764996" w:rsidP="000648D6">
      <w:pPr>
        <w:rPr>
          <w:rFonts w:ascii="Arial" w:hAnsi="Arial" w:cs="Arial"/>
          <w:b/>
          <w:bCs/>
        </w:rPr>
      </w:pPr>
    </w:p>
    <w:p w14:paraId="18720449" w14:textId="77777777" w:rsidR="00764996" w:rsidRDefault="00764996" w:rsidP="000648D6">
      <w:pPr>
        <w:rPr>
          <w:rFonts w:ascii="Arial" w:hAnsi="Arial" w:cs="Arial"/>
          <w:b/>
          <w:bCs/>
        </w:rPr>
      </w:pPr>
    </w:p>
    <w:p w14:paraId="50BC1491" w14:textId="77777777" w:rsidR="00764996" w:rsidRDefault="00764996" w:rsidP="000648D6">
      <w:pPr>
        <w:rPr>
          <w:rFonts w:ascii="Arial" w:hAnsi="Arial" w:cs="Arial"/>
          <w:b/>
          <w:bCs/>
        </w:rPr>
      </w:pPr>
    </w:p>
    <w:p w14:paraId="419CA2B2" w14:textId="77777777" w:rsidR="00764996" w:rsidRDefault="00764996" w:rsidP="000648D6">
      <w:pPr>
        <w:rPr>
          <w:rFonts w:ascii="Arial" w:hAnsi="Arial" w:cs="Arial"/>
          <w:b/>
          <w:bCs/>
        </w:rPr>
      </w:pPr>
    </w:p>
    <w:p w14:paraId="5CEC3B69" w14:textId="77777777" w:rsidR="00764996" w:rsidRDefault="00764996" w:rsidP="000648D6">
      <w:pPr>
        <w:rPr>
          <w:rFonts w:ascii="Arial" w:hAnsi="Arial" w:cs="Arial"/>
          <w:b/>
          <w:bCs/>
        </w:rPr>
      </w:pPr>
    </w:p>
    <w:p w14:paraId="190BD78F" w14:textId="77777777" w:rsidR="00764996" w:rsidRDefault="00764996" w:rsidP="000648D6">
      <w:pPr>
        <w:rPr>
          <w:rFonts w:ascii="Arial" w:hAnsi="Arial" w:cs="Arial"/>
          <w:b/>
          <w:bCs/>
        </w:rPr>
      </w:pPr>
    </w:p>
    <w:p w14:paraId="5CB44220" w14:textId="77777777" w:rsidR="00764996" w:rsidRDefault="00764996" w:rsidP="000648D6">
      <w:pPr>
        <w:rPr>
          <w:rFonts w:ascii="Arial" w:hAnsi="Arial" w:cs="Arial"/>
          <w:b/>
          <w:bCs/>
        </w:rPr>
      </w:pPr>
    </w:p>
    <w:p w14:paraId="2C445E86" w14:textId="77777777" w:rsidR="00764996" w:rsidRDefault="00764996" w:rsidP="000648D6">
      <w:pPr>
        <w:rPr>
          <w:rFonts w:ascii="Arial" w:hAnsi="Arial" w:cs="Arial"/>
          <w:b/>
          <w:bCs/>
        </w:rPr>
      </w:pPr>
    </w:p>
    <w:p w14:paraId="33D2E2C5" w14:textId="77777777" w:rsidR="00764996" w:rsidRDefault="00764996" w:rsidP="000648D6">
      <w:pPr>
        <w:rPr>
          <w:rFonts w:ascii="Arial" w:hAnsi="Arial" w:cs="Arial"/>
          <w:b/>
          <w:bCs/>
        </w:rPr>
      </w:pPr>
    </w:p>
    <w:p w14:paraId="1D9D0211" w14:textId="55EB02AF" w:rsidR="000648D6" w:rsidRPr="00764996" w:rsidRDefault="000648D6" w:rsidP="000648D6">
      <w:pPr>
        <w:rPr>
          <w:rFonts w:ascii="Arial" w:hAnsi="Arial" w:cs="Arial"/>
          <w:b/>
          <w:bCs/>
        </w:rPr>
      </w:pPr>
      <w:r w:rsidRPr="00764996">
        <w:rPr>
          <w:rFonts w:ascii="Arial" w:hAnsi="Arial" w:cs="Arial"/>
          <w:b/>
          <w:bCs/>
        </w:rPr>
        <w:lastRenderedPageBreak/>
        <w:t xml:space="preserve">6. Conclusion and Recommendations </w:t>
      </w:r>
    </w:p>
    <w:p w14:paraId="5E932D44" w14:textId="77777777" w:rsidR="000648D6" w:rsidRPr="000648D6" w:rsidRDefault="000648D6" w:rsidP="000648D6">
      <w:pPr>
        <w:rPr>
          <w:rFonts w:ascii="Arial" w:hAnsi="Arial" w:cs="Arial"/>
        </w:rPr>
      </w:pPr>
      <w:r w:rsidRPr="000648D6">
        <w:rPr>
          <w:rFonts w:ascii="Arial" w:hAnsi="Arial" w:cs="Arial"/>
        </w:rPr>
        <w:t>Tesla’s success as a global leader in electric vehicles and clean energy is closely linked to its effective use of management accounting practices. Through cost analysis, the company maintains control over high fixed investments while maximising economies of scale. Budgeting and financial planning enable Tesla to allocate resources strategically to innovation, manufacturing expansion, and sustainability initiatives. Performance measurement, supported by key financial and non-financial KPIs, helps management make informed decisions regarding pricing, global expansion, and operational efficiency. Additionally, the integration of sustainability and ethical considerations into financial decisions strengthens Tesla’s long-term credibility and stakeholder trust.</w:t>
      </w:r>
    </w:p>
    <w:p w14:paraId="4F3C70E1" w14:textId="77777777" w:rsidR="000648D6" w:rsidRPr="000648D6" w:rsidRDefault="000648D6" w:rsidP="000648D6">
      <w:pPr>
        <w:rPr>
          <w:rFonts w:ascii="Arial" w:hAnsi="Arial" w:cs="Arial"/>
        </w:rPr>
      </w:pPr>
    </w:p>
    <w:p w14:paraId="5CC34626" w14:textId="77777777" w:rsidR="000648D6" w:rsidRPr="0014076F" w:rsidRDefault="000648D6" w:rsidP="000648D6">
      <w:pPr>
        <w:rPr>
          <w:rFonts w:ascii="Arial" w:hAnsi="Arial" w:cs="Arial"/>
          <w:b/>
          <w:bCs/>
        </w:rPr>
      </w:pPr>
      <w:r w:rsidRPr="0014076F">
        <w:rPr>
          <w:rFonts w:ascii="Arial" w:hAnsi="Arial" w:cs="Arial"/>
          <w:b/>
          <w:bCs/>
        </w:rPr>
        <w:t>Recommendations:</w:t>
      </w:r>
    </w:p>
    <w:p w14:paraId="4A66F48C" w14:textId="77777777" w:rsidR="000648D6" w:rsidRPr="000648D6" w:rsidRDefault="000648D6" w:rsidP="000648D6">
      <w:pPr>
        <w:rPr>
          <w:rFonts w:ascii="Arial" w:hAnsi="Arial" w:cs="Arial"/>
        </w:rPr>
      </w:pPr>
    </w:p>
    <w:p w14:paraId="6AC08968" w14:textId="77777777" w:rsidR="000648D6" w:rsidRPr="000648D6" w:rsidRDefault="000648D6" w:rsidP="000648D6">
      <w:pPr>
        <w:rPr>
          <w:rFonts w:ascii="Arial" w:hAnsi="Arial" w:cs="Arial"/>
        </w:rPr>
      </w:pPr>
      <w:r w:rsidRPr="000648D6">
        <w:rPr>
          <w:rFonts w:ascii="Arial" w:hAnsi="Arial" w:cs="Arial"/>
        </w:rPr>
        <w:t>1️</w:t>
      </w:r>
      <w:r w:rsidRPr="000648D6">
        <w:rPr>
          <w:rFonts w:ascii="Segoe UI Symbol" w:hAnsi="Segoe UI Symbol" w:cs="Segoe UI Symbol"/>
        </w:rPr>
        <w:t>⃣</w:t>
      </w:r>
      <w:r w:rsidRPr="000648D6">
        <w:rPr>
          <w:rFonts w:ascii="Arial" w:hAnsi="Arial" w:cs="Arial"/>
        </w:rPr>
        <w:t xml:space="preserve"> Implement a Balanced Scorecard Framework:</w:t>
      </w:r>
    </w:p>
    <w:p w14:paraId="77643FDB" w14:textId="77777777" w:rsidR="000648D6" w:rsidRPr="000648D6" w:rsidRDefault="000648D6" w:rsidP="000648D6">
      <w:pPr>
        <w:rPr>
          <w:rFonts w:ascii="Arial" w:hAnsi="Arial" w:cs="Arial"/>
        </w:rPr>
      </w:pPr>
      <w:r w:rsidRPr="000648D6">
        <w:rPr>
          <w:rFonts w:ascii="Arial" w:hAnsi="Arial" w:cs="Arial"/>
        </w:rPr>
        <w:t>To integrate customer, innovation, financial, and sustainability metrics into one unified performance system.</w:t>
      </w:r>
    </w:p>
    <w:p w14:paraId="5BF2B609" w14:textId="77777777" w:rsidR="000648D6" w:rsidRPr="000648D6" w:rsidRDefault="000648D6" w:rsidP="000648D6">
      <w:pPr>
        <w:rPr>
          <w:rFonts w:ascii="Arial" w:hAnsi="Arial" w:cs="Arial"/>
        </w:rPr>
      </w:pPr>
    </w:p>
    <w:p w14:paraId="093E4C51" w14:textId="77777777" w:rsidR="000648D6" w:rsidRPr="000648D6" w:rsidRDefault="000648D6" w:rsidP="000648D6">
      <w:pPr>
        <w:rPr>
          <w:rFonts w:ascii="Arial" w:hAnsi="Arial" w:cs="Arial"/>
        </w:rPr>
      </w:pPr>
      <w:r w:rsidRPr="000648D6">
        <w:rPr>
          <w:rFonts w:ascii="Arial" w:hAnsi="Arial" w:cs="Arial"/>
        </w:rPr>
        <w:t>2️</w:t>
      </w:r>
      <w:r w:rsidRPr="000648D6">
        <w:rPr>
          <w:rFonts w:ascii="Segoe UI Symbol" w:hAnsi="Segoe UI Symbol" w:cs="Segoe UI Symbol"/>
        </w:rPr>
        <w:t>⃣</w:t>
      </w:r>
      <w:r w:rsidRPr="000648D6">
        <w:rPr>
          <w:rFonts w:ascii="Arial" w:hAnsi="Arial" w:cs="Arial"/>
        </w:rPr>
        <w:t xml:space="preserve"> Enhance Activity-Based Costing (ABC):</w:t>
      </w:r>
    </w:p>
    <w:p w14:paraId="3602791F" w14:textId="77777777" w:rsidR="000648D6" w:rsidRPr="000648D6" w:rsidRDefault="000648D6" w:rsidP="000648D6">
      <w:pPr>
        <w:rPr>
          <w:rFonts w:ascii="Arial" w:hAnsi="Arial" w:cs="Arial"/>
        </w:rPr>
      </w:pPr>
      <w:r w:rsidRPr="000648D6">
        <w:rPr>
          <w:rFonts w:ascii="Arial" w:hAnsi="Arial" w:cs="Arial"/>
        </w:rPr>
        <w:t>To improve cost accuracy, especially in R&amp;D and supply chain operations.</w:t>
      </w:r>
    </w:p>
    <w:p w14:paraId="17ED6EDC" w14:textId="77777777" w:rsidR="000648D6" w:rsidRPr="000648D6" w:rsidRDefault="000648D6" w:rsidP="000648D6">
      <w:pPr>
        <w:rPr>
          <w:rFonts w:ascii="Arial" w:hAnsi="Arial" w:cs="Arial"/>
        </w:rPr>
      </w:pPr>
    </w:p>
    <w:p w14:paraId="0AC2A42C" w14:textId="77777777" w:rsidR="000648D6" w:rsidRPr="000648D6" w:rsidRDefault="000648D6" w:rsidP="000648D6">
      <w:pPr>
        <w:rPr>
          <w:rFonts w:ascii="Arial" w:hAnsi="Arial" w:cs="Arial"/>
        </w:rPr>
      </w:pPr>
      <w:r w:rsidRPr="000648D6">
        <w:rPr>
          <w:rFonts w:ascii="Arial" w:hAnsi="Arial" w:cs="Arial"/>
        </w:rPr>
        <w:t>3️</w:t>
      </w:r>
      <w:r w:rsidRPr="000648D6">
        <w:rPr>
          <w:rFonts w:ascii="Segoe UI Symbol" w:hAnsi="Segoe UI Symbol" w:cs="Segoe UI Symbol"/>
        </w:rPr>
        <w:t>⃣</w:t>
      </w:r>
      <w:r w:rsidRPr="000648D6">
        <w:rPr>
          <w:rFonts w:ascii="Arial" w:hAnsi="Arial" w:cs="Arial"/>
        </w:rPr>
        <w:t xml:space="preserve"> Expand Sustainability Accounting:</w:t>
      </w:r>
    </w:p>
    <w:p w14:paraId="6820F2F0" w14:textId="77777777" w:rsidR="000648D6" w:rsidRPr="000648D6" w:rsidRDefault="000648D6" w:rsidP="000648D6">
      <w:pPr>
        <w:rPr>
          <w:rFonts w:ascii="Arial" w:hAnsi="Arial" w:cs="Arial"/>
        </w:rPr>
      </w:pPr>
      <w:r w:rsidRPr="000648D6">
        <w:rPr>
          <w:rFonts w:ascii="Arial" w:hAnsi="Arial" w:cs="Arial"/>
        </w:rPr>
        <w:t>To measure the financial impact of recycling, renewable energy, and ethical sourcing more transparently.</w:t>
      </w:r>
    </w:p>
    <w:p w14:paraId="5314E1EA" w14:textId="77777777" w:rsidR="000648D6" w:rsidRPr="000648D6" w:rsidRDefault="000648D6" w:rsidP="000648D6">
      <w:pPr>
        <w:rPr>
          <w:rFonts w:ascii="Arial" w:hAnsi="Arial" w:cs="Arial"/>
        </w:rPr>
      </w:pPr>
    </w:p>
    <w:p w14:paraId="5D872C33" w14:textId="632BAA18" w:rsidR="000648D6" w:rsidRDefault="000648D6" w:rsidP="000648D6">
      <w:pPr>
        <w:rPr>
          <w:rFonts w:ascii="Arial" w:hAnsi="Arial" w:cs="Arial"/>
        </w:rPr>
      </w:pPr>
      <w:r w:rsidRPr="000648D6">
        <w:rPr>
          <w:rFonts w:ascii="Arial" w:hAnsi="Arial" w:cs="Arial"/>
        </w:rPr>
        <w:t>Through these improvements, Tesla can continue to strengthen its decision-making and maintain its competitive advantage in a rapidly evolving global market.</w:t>
      </w:r>
    </w:p>
    <w:p w14:paraId="5C6EA479" w14:textId="77777777" w:rsidR="0043299E" w:rsidRDefault="0043299E" w:rsidP="000648D6">
      <w:pPr>
        <w:rPr>
          <w:rFonts w:ascii="Arial" w:hAnsi="Arial" w:cs="Arial"/>
        </w:rPr>
      </w:pPr>
    </w:p>
    <w:p w14:paraId="3072AAD0" w14:textId="77777777" w:rsidR="0043299E" w:rsidRDefault="0043299E" w:rsidP="000648D6">
      <w:pPr>
        <w:rPr>
          <w:rFonts w:ascii="Arial" w:hAnsi="Arial" w:cs="Arial"/>
        </w:rPr>
      </w:pPr>
    </w:p>
    <w:p w14:paraId="304FF686" w14:textId="77777777" w:rsidR="00FF4418" w:rsidRDefault="00FF4418" w:rsidP="0043299E">
      <w:pPr>
        <w:spacing w:before="100" w:beforeAutospacing="1" w:after="100" w:afterAutospacing="1" w:line="240" w:lineRule="auto"/>
        <w:outlineLvl w:val="2"/>
        <w:rPr>
          <w:rFonts w:ascii="Arial" w:hAnsi="Arial" w:cs="Arial"/>
        </w:rPr>
      </w:pPr>
    </w:p>
    <w:p w14:paraId="2118299B" w14:textId="77777777" w:rsidR="00FF4418" w:rsidRDefault="00FF4418" w:rsidP="0043299E">
      <w:pPr>
        <w:spacing w:before="100" w:beforeAutospacing="1" w:after="100" w:afterAutospacing="1" w:line="240" w:lineRule="auto"/>
        <w:outlineLvl w:val="2"/>
        <w:rPr>
          <w:rFonts w:ascii="Arial" w:hAnsi="Arial" w:cs="Arial"/>
        </w:rPr>
      </w:pPr>
    </w:p>
    <w:p w14:paraId="5AC2FCA2" w14:textId="77777777" w:rsidR="00FF4418" w:rsidRDefault="00FF4418" w:rsidP="0043299E">
      <w:pPr>
        <w:spacing w:before="100" w:beforeAutospacing="1" w:after="100" w:afterAutospacing="1" w:line="240" w:lineRule="auto"/>
        <w:outlineLvl w:val="2"/>
        <w:rPr>
          <w:rFonts w:ascii="Arial" w:hAnsi="Arial" w:cs="Arial"/>
        </w:rPr>
      </w:pPr>
    </w:p>
    <w:p w14:paraId="21435365" w14:textId="1876E398" w:rsidR="0043299E" w:rsidRPr="0043299E" w:rsidRDefault="0043299E" w:rsidP="00FF441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3299E">
        <w:rPr>
          <w:rFonts w:ascii="Times New Roman" w:eastAsia="Times New Roman" w:hAnsi="Times New Roman" w:cs="Times New Roman"/>
          <w:b/>
          <w:bCs/>
          <w:kern w:val="0"/>
          <w:sz w:val="27"/>
          <w:szCs w:val="27"/>
          <w:lang w:eastAsia="en-GB"/>
          <w14:ligatures w14:val="none"/>
        </w:rPr>
        <w:lastRenderedPageBreak/>
        <w:t>7. References</w:t>
      </w:r>
    </w:p>
    <w:p w14:paraId="2EE302B7" w14:textId="2405F585" w:rsidR="0043299E" w:rsidRPr="0043299E" w:rsidRDefault="0043299E" w:rsidP="0043299E">
      <w:pPr>
        <w:spacing w:after="0" w:line="240" w:lineRule="auto"/>
        <w:rPr>
          <w:rFonts w:ascii="Times New Roman" w:eastAsia="Times New Roman" w:hAnsi="Times New Roman" w:cs="Times New Roman"/>
          <w:kern w:val="0"/>
          <w:lang w:eastAsia="en-GB"/>
          <w14:ligatures w14:val="none"/>
        </w:rPr>
      </w:pPr>
    </w:p>
    <w:p w14:paraId="55EBE2B9" w14:textId="77777777"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Brigham, E. and Houston, J. (2022) </w:t>
      </w:r>
      <w:r w:rsidRPr="0043299E">
        <w:rPr>
          <w:rFonts w:ascii="Times New Roman" w:eastAsia="Times New Roman" w:hAnsi="Times New Roman" w:cs="Times New Roman"/>
          <w:i/>
          <w:iCs/>
          <w:kern w:val="0"/>
          <w:lang w:eastAsia="en-GB"/>
          <w14:ligatures w14:val="none"/>
        </w:rPr>
        <w:t>Fundamentals of Financial Management</w:t>
      </w:r>
      <w:r w:rsidRPr="0043299E">
        <w:rPr>
          <w:rFonts w:ascii="Times New Roman" w:eastAsia="Times New Roman" w:hAnsi="Times New Roman" w:cs="Times New Roman"/>
          <w:kern w:val="0"/>
          <w:lang w:eastAsia="en-GB"/>
          <w14:ligatures w14:val="none"/>
        </w:rPr>
        <w:t>. 16th ed. Boston: Cengage Learning.</w:t>
      </w:r>
    </w:p>
    <w:p w14:paraId="5565AE8B" w14:textId="2082515F"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Deloitte (2023) </w:t>
      </w:r>
      <w:r w:rsidRPr="0043299E">
        <w:rPr>
          <w:rFonts w:ascii="Times New Roman" w:eastAsia="Times New Roman" w:hAnsi="Times New Roman" w:cs="Times New Roman"/>
          <w:i/>
          <w:iCs/>
          <w:kern w:val="0"/>
          <w:lang w:eastAsia="en-GB"/>
          <w14:ligatures w14:val="none"/>
        </w:rPr>
        <w:t>Global Electric Vehicle Outlook 2023</w:t>
      </w:r>
      <w:r w:rsidRPr="0043299E">
        <w:rPr>
          <w:rFonts w:ascii="Times New Roman" w:eastAsia="Times New Roman" w:hAnsi="Times New Roman" w:cs="Times New Roman"/>
          <w:kern w:val="0"/>
          <w:lang w:eastAsia="en-GB"/>
          <w14:ligatures w14:val="none"/>
        </w:rPr>
        <w:t xml:space="preserve">. Available at: </w:t>
      </w:r>
      <w:hyperlink r:id="rId8" w:history="1">
        <w:r w:rsidRPr="0043299E">
          <w:rPr>
            <w:rStyle w:val="Hyperlink"/>
            <w:rFonts w:ascii="Times New Roman" w:eastAsia="Times New Roman" w:hAnsi="Times New Roman" w:cs="Times New Roman"/>
            <w:kern w:val="0"/>
            <w:lang w:eastAsia="en-GB"/>
            <w14:ligatures w14:val="none"/>
          </w:rPr>
          <w:t>https://www2.deloitte.com (Accessed: 10 October 2024).</w:t>
        </w:r>
      </w:hyperlink>
    </w:p>
    <w:p w14:paraId="38E5F472" w14:textId="77777777"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Drury, C. (2021) </w:t>
      </w:r>
      <w:r w:rsidRPr="0043299E">
        <w:rPr>
          <w:rFonts w:ascii="Times New Roman" w:eastAsia="Times New Roman" w:hAnsi="Times New Roman" w:cs="Times New Roman"/>
          <w:i/>
          <w:iCs/>
          <w:kern w:val="0"/>
          <w:lang w:eastAsia="en-GB"/>
          <w14:ligatures w14:val="none"/>
        </w:rPr>
        <w:t>Management and Cost Accounting</w:t>
      </w:r>
      <w:r w:rsidRPr="0043299E">
        <w:rPr>
          <w:rFonts w:ascii="Times New Roman" w:eastAsia="Times New Roman" w:hAnsi="Times New Roman" w:cs="Times New Roman"/>
          <w:kern w:val="0"/>
          <w:lang w:eastAsia="en-GB"/>
          <w14:ligatures w14:val="none"/>
        </w:rPr>
        <w:t>. 11th ed. Andover: Cengage Learning.</w:t>
      </w:r>
    </w:p>
    <w:p w14:paraId="68DF8D1B" w14:textId="2CFCD8E9"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Google Finance (2024) </w:t>
      </w:r>
      <w:r w:rsidRPr="0043299E">
        <w:rPr>
          <w:rFonts w:ascii="Times New Roman" w:eastAsia="Times New Roman" w:hAnsi="Times New Roman" w:cs="Times New Roman"/>
          <w:i/>
          <w:iCs/>
          <w:kern w:val="0"/>
          <w:lang w:eastAsia="en-GB"/>
          <w14:ligatures w14:val="none"/>
        </w:rPr>
        <w:t>Tesla, Inc. (TSLA) Financial Data</w:t>
      </w:r>
      <w:r w:rsidRPr="0043299E">
        <w:rPr>
          <w:rFonts w:ascii="Times New Roman" w:eastAsia="Times New Roman" w:hAnsi="Times New Roman" w:cs="Times New Roman"/>
          <w:kern w:val="0"/>
          <w:lang w:eastAsia="en-GB"/>
          <w14:ligatures w14:val="none"/>
        </w:rPr>
        <w:t xml:space="preserve">. Available at: </w:t>
      </w:r>
      <w:hyperlink r:id="rId9" w:history="1">
        <w:r w:rsidRPr="0043299E">
          <w:rPr>
            <w:rStyle w:val="Hyperlink"/>
            <w:rFonts w:ascii="Times New Roman" w:eastAsia="Times New Roman" w:hAnsi="Times New Roman" w:cs="Times New Roman"/>
            <w:kern w:val="0"/>
            <w:lang w:eastAsia="en-GB"/>
            <w14:ligatures w14:val="none"/>
          </w:rPr>
          <w:t>https://www.google.com/finance (Accessed: 15 October 2024).</w:t>
        </w:r>
      </w:hyperlink>
    </w:p>
    <w:p w14:paraId="633540E3" w14:textId="77777777"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Horngren, C., Datar, S. and Rajan, M. (2021) </w:t>
      </w:r>
      <w:r w:rsidRPr="0043299E">
        <w:rPr>
          <w:rFonts w:ascii="Times New Roman" w:eastAsia="Times New Roman" w:hAnsi="Times New Roman" w:cs="Times New Roman"/>
          <w:i/>
          <w:iCs/>
          <w:kern w:val="0"/>
          <w:lang w:eastAsia="en-GB"/>
          <w14:ligatures w14:val="none"/>
        </w:rPr>
        <w:t>Introduction to Management Accounting</w:t>
      </w:r>
      <w:r w:rsidRPr="0043299E">
        <w:rPr>
          <w:rFonts w:ascii="Times New Roman" w:eastAsia="Times New Roman" w:hAnsi="Times New Roman" w:cs="Times New Roman"/>
          <w:kern w:val="0"/>
          <w:lang w:eastAsia="en-GB"/>
          <w14:ligatures w14:val="none"/>
        </w:rPr>
        <w:t>. 16th ed. Harlow: Pearson Education.</w:t>
      </w:r>
    </w:p>
    <w:p w14:paraId="0D073CE1" w14:textId="77777777"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IMA (2021) </w:t>
      </w:r>
      <w:r w:rsidRPr="0043299E">
        <w:rPr>
          <w:rFonts w:ascii="Times New Roman" w:eastAsia="Times New Roman" w:hAnsi="Times New Roman" w:cs="Times New Roman"/>
          <w:i/>
          <w:iCs/>
          <w:kern w:val="0"/>
          <w:lang w:eastAsia="en-GB"/>
          <w14:ligatures w14:val="none"/>
        </w:rPr>
        <w:t>Statement of Ethical Professional Practice</w:t>
      </w:r>
      <w:r w:rsidRPr="0043299E">
        <w:rPr>
          <w:rFonts w:ascii="Times New Roman" w:eastAsia="Times New Roman" w:hAnsi="Times New Roman" w:cs="Times New Roman"/>
          <w:kern w:val="0"/>
          <w:lang w:eastAsia="en-GB"/>
          <w14:ligatures w14:val="none"/>
        </w:rPr>
        <w:t>. Institute of Management Accountants. Available at: https://www.imanet.org (Accessed: 5 October 2024).</w:t>
      </w:r>
    </w:p>
    <w:p w14:paraId="69B7333E" w14:textId="77777777"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Kaplan, R.S. and Norton, D.P. (2020) </w:t>
      </w:r>
      <w:r w:rsidRPr="0043299E">
        <w:rPr>
          <w:rFonts w:ascii="Times New Roman" w:eastAsia="Times New Roman" w:hAnsi="Times New Roman" w:cs="Times New Roman"/>
          <w:i/>
          <w:iCs/>
          <w:kern w:val="0"/>
          <w:lang w:eastAsia="en-GB"/>
          <w14:ligatures w14:val="none"/>
        </w:rPr>
        <w:t>The Balanced Scorecard: Translating Strategy into Action</w:t>
      </w:r>
      <w:r w:rsidRPr="0043299E">
        <w:rPr>
          <w:rFonts w:ascii="Times New Roman" w:eastAsia="Times New Roman" w:hAnsi="Times New Roman" w:cs="Times New Roman"/>
          <w:kern w:val="0"/>
          <w:lang w:eastAsia="en-GB"/>
          <w14:ligatures w14:val="none"/>
        </w:rPr>
        <w:t>. Boston: Harvard Business School Press.</w:t>
      </w:r>
    </w:p>
    <w:p w14:paraId="3435B182" w14:textId="77777777"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Statista (2024) </w:t>
      </w:r>
      <w:r w:rsidRPr="0043299E">
        <w:rPr>
          <w:rFonts w:ascii="Times New Roman" w:eastAsia="Times New Roman" w:hAnsi="Times New Roman" w:cs="Times New Roman"/>
          <w:i/>
          <w:iCs/>
          <w:kern w:val="0"/>
          <w:lang w:eastAsia="en-GB"/>
          <w14:ligatures w14:val="none"/>
        </w:rPr>
        <w:t>Tesla Global Production and Delivery Figures 2018–2023</w:t>
      </w:r>
      <w:r w:rsidRPr="0043299E">
        <w:rPr>
          <w:rFonts w:ascii="Times New Roman" w:eastAsia="Times New Roman" w:hAnsi="Times New Roman" w:cs="Times New Roman"/>
          <w:kern w:val="0"/>
          <w:lang w:eastAsia="en-GB"/>
          <w14:ligatures w14:val="none"/>
        </w:rPr>
        <w:t>. Available at: https://www.statista.com (Accessed: 12 October 2024).</w:t>
      </w:r>
    </w:p>
    <w:p w14:paraId="0AE795DB" w14:textId="6B6790F1"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Tesla, Inc. (2023) </w:t>
      </w:r>
      <w:r w:rsidRPr="0043299E">
        <w:rPr>
          <w:rFonts w:ascii="Times New Roman" w:eastAsia="Times New Roman" w:hAnsi="Times New Roman" w:cs="Times New Roman"/>
          <w:i/>
          <w:iCs/>
          <w:kern w:val="0"/>
          <w:lang w:eastAsia="en-GB"/>
          <w14:ligatures w14:val="none"/>
        </w:rPr>
        <w:t>Tesla Annual Report 2023</w:t>
      </w:r>
      <w:r w:rsidRPr="0043299E">
        <w:rPr>
          <w:rFonts w:ascii="Times New Roman" w:eastAsia="Times New Roman" w:hAnsi="Times New Roman" w:cs="Times New Roman"/>
          <w:kern w:val="0"/>
          <w:lang w:eastAsia="en-GB"/>
          <w14:ligatures w14:val="none"/>
        </w:rPr>
        <w:t xml:space="preserve">. Available at: </w:t>
      </w:r>
      <w:hyperlink r:id="rId10" w:history="1">
        <w:r w:rsidRPr="0043299E">
          <w:rPr>
            <w:rStyle w:val="Hyperlink"/>
            <w:rFonts w:ascii="Times New Roman" w:eastAsia="Times New Roman" w:hAnsi="Times New Roman" w:cs="Times New Roman"/>
            <w:kern w:val="0"/>
            <w:lang w:eastAsia="en-GB"/>
            <w14:ligatures w14:val="none"/>
          </w:rPr>
          <w:t>https://ir.tesla.com (Accessed: 8 October 2024).</w:t>
        </w:r>
      </w:hyperlink>
    </w:p>
    <w:p w14:paraId="716CACED" w14:textId="767843AA" w:rsidR="0043299E" w:rsidRPr="0043299E" w:rsidRDefault="0043299E" w:rsidP="0043299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299E">
        <w:rPr>
          <w:rFonts w:ascii="Times New Roman" w:eastAsia="Times New Roman" w:hAnsi="Times New Roman" w:cs="Times New Roman"/>
          <w:kern w:val="0"/>
          <w:lang w:eastAsia="en-GB"/>
          <w14:ligatures w14:val="none"/>
        </w:rPr>
        <w:t xml:space="preserve">Yahoo Finance (2024) </w:t>
      </w:r>
      <w:r w:rsidRPr="0043299E">
        <w:rPr>
          <w:rFonts w:ascii="Times New Roman" w:eastAsia="Times New Roman" w:hAnsi="Times New Roman" w:cs="Times New Roman"/>
          <w:i/>
          <w:iCs/>
          <w:kern w:val="0"/>
          <w:lang w:eastAsia="en-GB"/>
          <w14:ligatures w14:val="none"/>
        </w:rPr>
        <w:t>Tesla Inc. Key Statistics and Historical Data</w:t>
      </w:r>
      <w:r w:rsidRPr="0043299E">
        <w:rPr>
          <w:rFonts w:ascii="Times New Roman" w:eastAsia="Times New Roman" w:hAnsi="Times New Roman" w:cs="Times New Roman"/>
          <w:kern w:val="0"/>
          <w:lang w:eastAsia="en-GB"/>
          <w14:ligatures w14:val="none"/>
        </w:rPr>
        <w:t xml:space="preserve">. Available at: </w:t>
      </w:r>
      <w:hyperlink r:id="rId11" w:history="1">
        <w:r w:rsidRPr="0043299E">
          <w:rPr>
            <w:rStyle w:val="Hyperlink"/>
            <w:rFonts w:ascii="Times New Roman" w:eastAsia="Times New Roman" w:hAnsi="Times New Roman" w:cs="Times New Roman"/>
            <w:kern w:val="0"/>
            <w:lang w:eastAsia="en-GB"/>
            <w14:ligatures w14:val="none"/>
          </w:rPr>
          <w:t>https://finance.yahoo.com (Accessed: 14 October 2024).</w:t>
        </w:r>
      </w:hyperlink>
      <w:r w:rsidR="005351CE" w:rsidRPr="005351CE">
        <w:rPr>
          <w:rFonts w:ascii="Times New Roman" w:eastAsia="Times New Roman" w:hAnsi="Times New Roman" w:cs="Times New Roman"/>
          <w:kern w:val="0"/>
          <w:lang w:eastAsia="en-GB"/>
          <w14:ligatures w14:val="none"/>
        </w:rPr>
        <w:t xml:space="preserve"> </w:t>
      </w:r>
    </w:p>
    <w:p w14:paraId="00F535AC" w14:textId="77777777" w:rsidR="00696AEF" w:rsidRDefault="00696AEF" w:rsidP="00696AEF">
      <w:pPr>
        <w:pStyle w:val="NormalWeb"/>
      </w:pPr>
      <w:r>
        <w:t xml:space="preserve">Atrill, P. and McLaney, E. (2020) </w:t>
      </w:r>
      <w:r>
        <w:rPr>
          <w:rStyle w:val="Emphasis"/>
          <w:rFonts w:eastAsiaTheme="majorEastAsia"/>
        </w:rPr>
        <w:t>Management Accounting for Decision Makers</w:t>
      </w:r>
      <w:r>
        <w:t>. 9th ed. Harlow: Pearson Education.</w:t>
      </w:r>
    </w:p>
    <w:p w14:paraId="5A18C7D9" w14:textId="77777777" w:rsidR="00696AEF" w:rsidRDefault="00696AEF" w:rsidP="00696AEF">
      <w:pPr>
        <w:pStyle w:val="NormalWeb"/>
      </w:pPr>
      <w:r>
        <w:t xml:space="preserve">Seal, W., Garrison, R. and Noreen, E. (2019) </w:t>
      </w:r>
      <w:r>
        <w:rPr>
          <w:rStyle w:val="Emphasis"/>
          <w:rFonts w:eastAsiaTheme="majorEastAsia"/>
        </w:rPr>
        <w:t>Management Accounting</w:t>
      </w:r>
      <w:r>
        <w:t>. 7th ed. Maidenhead: McGraw-Hill Education.</w:t>
      </w:r>
    </w:p>
    <w:p w14:paraId="03B7AACD" w14:textId="77777777" w:rsidR="00696AEF" w:rsidRDefault="00696AEF" w:rsidP="00696AEF">
      <w:pPr>
        <w:pStyle w:val="NormalWeb"/>
      </w:pPr>
      <w:r>
        <w:t xml:space="preserve">Anthony, R.N. and Govindarajan, V. (2017) </w:t>
      </w:r>
      <w:r>
        <w:rPr>
          <w:rStyle w:val="Emphasis"/>
          <w:rFonts w:eastAsiaTheme="majorEastAsia"/>
        </w:rPr>
        <w:t>Management Control Systems</w:t>
      </w:r>
      <w:r>
        <w:t>. 13th ed. New York: McGraw-Hill Education.</w:t>
      </w:r>
    </w:p>
    <w:p w14:paraId="382026AE" w14:textId="77777777" w:rsidR="00696AEF" w:rsidRDefault="00696AEF" w:rsidP="00696AEF">
      <w:pPr>
        <w:pStyle w:val="NormalWeb"/>
      </w:pPr>
      <w:r>
        <w:t xml:space="preserve">Merchant, K.A. and Van der Stede, W.A. (2019) </w:t>
      </w:r>
      <w:r>
        <w:rPr>
          <w:rStyle w:val="Emphasis"/>
          <w:rFonts w:eastAsiaTheme="majorEastAsia"/>
        </w:rPr>
        <w:t>Management Control Systems: Performance Measurement, Evaluation and Incentives</w:t>
      </w:r>
      <w:r>
        <w:t>. 4th ed. Harlow: Pearson.</w:t>
      </w:r>
    </w:p>
    <w:p w14:paraId="08E85288" w14:textId="331A5EDE" w:rsidR="0043299E" w:rsidRPr="00D41E7F" w:rsidRDefault="0043299E" w:rsidP="000648D6">
      <w:pPr>
        <w:rPr>
          <w:rFonts w:ascii="Arial" w:hAnsi="Arial" w:cs="Arial"/>
        </w:rPr>
      </w:pPr>
    </w:p>
    <w:sectPr w:rsidR="0043299E" w:rsidRPr="00D41E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60363E"/>
    <w:multiLevelType w:val="multilevel"/>
    <w:tmpl w:val="65CE0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9230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E7F"/>
    <w:rsid w:val="000412A4"/>
    <w:rsid w:val="00044AE5"/>
    <w:rsid w:val="00056F1A"/>
    <w:rsid w:val="000648D6"/>
    <w:rsid w:val="00081B45"/>
    <w:rsid w:val="000837AC"/>
    <w:rsid w:val="000C4E9F"/>
    <w:rsid w:val="00101ECF"/>
    <w:rsid w:val="00124B73"/>
    <w:rsid w:val="00130A8C"/>
    <w:rsid w:val="0014076F"/>
    <w:rsid w:val="001E3661"/>
    <w:rsid w:val="0043299E"/>
    <w:rsid w:val="004413D0"/>
    <w:rsid w:val="004502EC"/>
    <w:rsid w:val="004D0E3B"/>
    <w:rsid w:val="005334B4"/>
    <w:rsid w:val="005351CE"/>
    <w:rsid w:val="00552C67"/>
    <w:rsid w:val="00585D2C"/>
    <w:rsid w:val="00592DA2"/>
    <w:rsid w:val="005C7ACD"/>
    <w:rsid w:val="005D1EC1"/>
    <w:rsid w:val="00655306"/>
    <w:rsid w:val="00696AEF"/>
    <w:rsid w:val="00764996"/>
    <w:rsid w:val="007832EF"/>
    <w:rsid w:val="00784300"/>
    <w:rsid w:val="00871E33"/>
    <w:rsid w:val="008B3C82"/>
    <w:rsid w:val="009E60B3"/>
    <w:rsid w:val="00A0326B"/>
    <w:rsid w:val="00A61E72"/>
    <w:rsid w:val="00D41E7F"/>
    <w:rsid w:val="00D850AC"/>
    <w:rsid w:val="00DE45FA"/>
    <w:rsid w:val="00E82869"/>
    <w:rsid w:val="00E93BB5"/>
    <w:rsid w:val="00EA17D8"/>
    <w:rsid w:val="00EF31ED"/>
    <w:rsid w:val="00F22CA2"/>
    <w:rsid w:val="00FC732A"/>
    <w:rsid w:val="00FD4ECC"/>
    <w:rsid w:val="00FF4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4C940D"/>
  <w15:chartTrackingRefBased/>
  <w15:docId w15:val="{F1D8C748-2E95-4B5A-9725-4FC67E6D1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1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1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1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1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E7F"/>
    <w:rPr>
      <w:rFonts w:eastAsiaTheme="majorEastAsia" w:cstheme="majorBidi"/>
      <w:color w:val="272727" w:themeColor="text1" w:themeTint="D8"/>
    </w:rPr>
  </w:style>
  <w:style w:type="paragraph" w:styleId="Title">
    <w:name w:val="Title"/>
    <w:basedOn w:val="Normal"/>
    <w:next w:val="Normal"/>
    <w:link w:val="TitleChar"/>
    <w:uiPriority w:val="10"/>
    <w:qFormat/>
    <w:rsid w:val="00D41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E7F"/>
    <w:pPr>
      <w:spacing w:before="160"/>
      <w:jc w:val="center"/>
    </w:pPr>
    <w:rPr>
      <w:i/>
      <w:iCs/>
      <w:color w:val="404040" w:themeColor="text1" w:themeTint="BF"/>
    </w:rPr>
  </w:style>
  <w:style w:type="character" w:customStyle="1" w:styleId="QuoteChar">
    <w:name w:val="Quote Char"/>
    <w:basedOn w:val="DefaultParagraphFont"/>
    <w:link w:val="Quote"/>
    <w:uiPriority w:val="29"/>
    <w:rsid w:val="00D41E7F"/>
    <w:rPr>
      <w:i/>
      <w:iCs/>
      <w:color w:val="404040" w:themeColor="text1" w:themeTint="BF"/>
    </w:rPr>
  </w:style>
  <w:style w:type="paragraph" w:styleId="ListParagraph">
    <w:name w:val="List Paragraph"/>
    <w:basedOn w:val="Normal"/>
    <w:uiPriority w:val="34"/>
    <w:qFormat/>
    <w:rsid w:val="00D41E7F"/>
    <w:pPr>
      <w:ind w:left="720"/>
      <w:contextualSpacing/>
    </w:pPr>
  </w:style>
  <w:style w:type="character" w:styleId="IntenseEmphasis">
    <w:name w:val="Intense Emphasis"/>
    <w:basedOn w:val="DefaultParagraphFont"/>
    <w:uiPriority w:val="21"/>
    <w:qFormat/>
    <w:rsid w:val="00D41E7F"/>
    <w:rPr>
      <w:i/>
      <w:iCs/>
      <w:color w:val="0F4761" w:themeColor="accent1" w:themeShade="BF"/>
    </w:rPr>
  </w:style>
  <w:style w:type="paragraph" w:styleId="IntenseQuote">
    <w:name w:val="Intense Quote"/>
    <w:basedOn w:val="Normal"/>
    <w:next w:val="Normal"/>
    <w:link w:val="IntenseQuoteChar"/>
    <w:uiPriority w:val="30"/>
    <w:qFormat/>
    <w:rsid w:val="00D41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E7F"/>
    <w:rPr>
      <w:i/>
      <w:iCs/>
      <w:color w:val="0F4761" w:themeColor="accent1" w:themeShade="BF"/>
    </w:rPr>
  </w:style>
  <w:style w:type="character" w:styleId="IntenseReference">
    <w:name w:val="Intense Reference"/>
    <w:basedOn w:val="DefaultParagraphFont"/>
    <w:uiPriority w:val="32"/>
    <w:qFormat/>
    <w:rsid w:val="00D41E7F"/>
    <w:rPr>
      <w:b/>
      <w:bCs/>
      <w:smallCaps/>
      <w:color w:val="0F4761" w:themeColor="accent1" w:themeShade="BF"/>
      <w:spacing w:val="5"/>
    </w:rPr>
  </w:style>
  <w:style w:type="character" w:styleId="Hyperlink">
    <w:name w:val="Hyperlink"/>
    <w:basedOn w:val="DefaultParagraphFont"/>
    <w:uiPriority w:val="99"/>
    <w:unhideWhenUsed/>
    <w:rsid w:val="000C4E9F"/>
    <w:rPr>
      <w:color w:val="467886" w:themeColor="hyperlink"/>
      <w:u w:val="single"/>
    </w:rPr>
  </w:style>
  <w:style w:type="character" w:styleId="UnresolvedMention">
    <w:name w:val="Unresolved Mention"/>
    <w:basedOn w:val="DefaultParagraphFont"/>
    <w:uiPriority w:val="99"/>
    <w:semiHidden/>
    <w:unhideWhenUsed/>
    <w:rsid w:val="000C4E9F"/>
    <w:rPr>
      <w:color w:val="605E5C"/>
      <w:shd w:val="clear" w:color="auto" w:fill="E1DFDD"/>
    </w:rPr>
  </w:style>
  <w:style w:type="character" w:styleId="FollowedHyperlink">
    <w:name w:val="FollowedHyperlink"/>
    <w:basedOn w:val="DefaultParagraphFont"/>
    <w:uiPriority w:val="99"/>
    <w:semiHidden/>
    <w:unhideWhenUsed/>
    <w:rsid w:val="000412A4"/>
    <w:rPr>
      <w:color w:val="96607D" w:themeColor="followedHyperlink"/>
      <w:u w:val="single"/>
    </w:rPr>
  </w:style>
  <w:style w:type="paragraph" w:styleId="NormalWeb">
    <w:name w:val="Normal (Web)"/>
    <w:basedOn w:val="Normal"/>
    <w:uiPriority w:val="99"/>
    <w:semiHidden/>
    <w:unhideWhenUsed/>
    <w:rsid w:val="00696A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96A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226305_student_uwtsd_ac_uk/Documents/accounting.odt?web=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uowtsd-my.sharepoint.com/personal/2226305_student_uwtsd_ac_uk/Documents/accounting.odt?web=1" TargetMode="External"/><Relationship Id="rId5" Type="http://schemas.openxmlformats.org/officeDocument/2006/relationships/image" Target="media/image1.jpg"/><Relationship Id="rId10" Type="http://schemas.openxmlformats.org/officeDocument/2006/relationships/hyperlink" Target="https://uowtsd-my.sharepoint.com/personal/2226305_student_uwtsd_ac_uk/Documents/accounting.odt?web=1" TargetMode="External"/><Relationship Id="rId4" Type="http://schemas.openxmlformats.org/officeDocument/2006/relationships/webSettings" Target="webSettings.xml"/><Relationship Id="rId9" Type="http://schemas.openxmlformats.org/officeDocument/2006/relationships/hyperlink" Target="https://uowtsd-my.sharepoint.com/personal/2226305_student_uwtsd_ac_uk/Documents/accounting.odt?we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2492</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Nicolae</dc:creator>
  <cp:keywords/>
  <dc:description/>
  <cp:lastModifiedBy>Cristina Nicolae (2226305)</cp:lastModifiedBy>
  <cp:revision>2</cp:revision>
  <dcterms:created xsi:type="dcterms:W3CDTF">2025-10-15T09:47:00Z</dcterms:created>
  <dcterms:modified xsi:type="dcterms:W3CDTF">2025-10-15T09:47:00Z</dcterms:modified>
</cp:coreProperties>
</file>