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7900E" w14:textId="77777777" w:rsidR="008D4F76" w:rsidRPr="00B80025" w:rsidRDefault="008D4F76" w:rsidP="00A36102">
      <w:pPr>
        <w:pBdr>
          <w:top w:val="nil"/>
          <w:left w:val="nil"/>
          <w:bottom w:val="nil"/>
          <w:right w:val="nil"/>
          <w:between w:val="nil"/>
        </w:pBdr>
        <w:jc w:val="center"/>
        <w:rPr>
          <w:rFonts w:ascii="Arial" w:hAnsi="Arial" w:cs="Arial"/>
          <w:b/>
          <w:bCs/>
          <w:color w:val="000000" w:themeColor="text1"/>
          <w:sz w:val="32"/>
          <w:szCs w:val="32"/>
        </w:rPr>
      </w:pPr>
    </w:p>
    <w:p w14:paraId="1DC25C60" w14:textId="77777777" w:rsidR="008D4F76" w:rsidRPr="00B80025" w:rsidRDefault="008D4F76" w:rsidP="00A36102">
      <w:pPr>
        <w:pBdr>
          <w:top w:val="nil"/>
          <w:left w:val="nil"/>
          <w:bottom w:val="nil"/>
          <w:right w:val="nil"/>
          <w:between w:val="nil"/>
        </w:pBdr>
        <w:jc w:val="center"/>
        <w:rPr>
          <w:rFonts w:ascii="Arial" w:hAnsi="Arial" w:cs="Arial"/>
          <w:b/>
          <w:bCs/>
          <w:color w:val="000000" w:themeColor="text1"/>
          <w:sz w:val="32"/>
          <w:szCs w:val="32"/>
        </w:rPr>
      </w:pPr>
    </w:p>
    <w:p w14:paraId="7B1FCCD1" w14:textId="77777777" w:rsidR="008D4F76" w:rsidRPr="00B80025" w:rsidRDefault="008D4F76" w:rsidP="00A36102">
      <w:pPr>
        <w:pBdr>
          <w:top w:val="nil"/>
          <w:left w:val="nil"/>
          <w:bottom w:val="nil"/>
          <w:right w:val="nil"/>
          <w:between w:val="nil"/>
        </w:pBdr>
        <w:jc w:val="center"/>
        <w:rPr>
          <w:rFonts w:ascii="Arial" w:hAnsi="Arial" w:cs="Arial"/>
          <w:b/>
          <w:bCs/>
          <w:color w:val="000000" w:themeColor="text1"/>
          <w:sz w:val="32"/>
          <w:szCs w:val="32"/>
        </w:rPr>
      </w:pPr>
    </w:p>
    <w:p w14:paraId="6888D2B2" w14:textId="77777777" w:rsidR="008D4F76" w:rsidRPr="00B80025" w:rsidRDefault="008D4F76" w:rsidP="00A36102">
      <w:pPr>
        <w:pBdr>
          <w:top w:val="nil"/>
          <w:left w:val="nil"/>
          <w:bottom w:val="nil"/>
          <w:right w:val="nil"/>
          <w:between w:val="nil"/>
        </w:pBdr>
        <w:jc w:val="center"/>
        <w:rPr>
          <w:rFonts w:ascii="Arial" w:hAnsi="Arial" w:cs="Arial"/>
          <w:b/>
          <w:bCs/>
          <w:color w:val="000000" w:themeColor="text1"/>
          <w:sz w:val="32"/>
          <w:szCs w:val="32"/>
        </w:rPr>
      </w:pPr>
    </w:p>
    <w:p w14:paraId="1D63392E" w14:textId="77777777" w:rsidR="008D4F76" w:rsidRPr="00B80025" w:rsidRDefault="008D4F76" w:rsidP="00A36102">
      <w:pPr>
        <w:pBdr>
          <w:top w:val="nil"/>
          <w:left w:val="nil"/>
          <w:bottom w:val="nil"/>
          <w:right w:val="nil"/>
          <w:between w:val="nil"/>
        </w:pBdr>
        <w:jc w:val="center"/>
        <w:rPr>
          <w:rFonts w:ascii="Arial" w:hAnsi="Arial" w:cs="Arial"/>
          <w:b/>
          <w:bCs/>
          <w:color w:val="000000" w:themeColor="text1"/>
          <w:sz w:val="32"/>
          <w:szCs w:val="32"/>
        </w:rPr>
      </w:pPr>
    </w:p>
    <w:p w14:paraId="38373426" w14:textId="77777777" w:rsidR="008D4F76" w:rsidRPr="00B80025" w:rsidRDefault="008D4F76" w:rsidP="00EC528B">
      <w:pPr>
        <w:pBdr>
          <w:top w:val="nil"/>
          <w:left w:val="nil"/>
          <w:bottom w:val="nil"/>
          <w:right w:val="nil"/>
          <w:between w:val="nil"/>
        </w:pBdr>
        <w:jc w:val="center"/>
        <w:rPr>
          <w:rFonts w:ascii="Arial" w:hAnsi="Arial" w:cs="Arial"/>
          <w:b/>
          <w:bCs/>
          <w:i/>
          <w:iCs/>
          <w:color w:val="000000" w:themeColor="text1"/>
          <w:sz w:val="32"/>
          <w:szCs w:val="32"/>
        </w:rPr>
      </w:pPr>
    </w:p>
    <w:p w14:paraId="5C3E3542" w14:textId="781BEA62" w:rsidR="00D06132" w:rsidRPr="00B80025" w:rsidRDefault="00B4551F" w:rsidP="00EC528B">
      <w:pPr>
        <w:pBdr>
          <w:top w:val="nil"/>
          <w:left w:val="nil"/>
          <w:bottom w:val="nil"/>
          <w:right w:val="nil"/>
          <w:between w:val="nil"/>
        </w:pBdr>
        <w:jc w:val="center"/>
        <w:rPr>
          <w:rFonts w:ascii="Arial" w:hAnsi="Arial" w:cs="Arial"/>
          <w:i/>
          <w:iCs/>
          <w:color w:val="000000" w:themeColor="text1"/>
          <w:sz w:val="32"/>
          <w:szCs w:val="32"/>
        </w:rPr>
      </w:pPr>
      <w:r w:rsidRPr="00B80025">
        <w:rPr>
          <w:rFonts w:ascii="Arial" w:hAnsi="Arial" w:cs="Arial"/>
          <w:i/>
          <w:iCs/>
          <w:color w:val="000000" w:themeColor="text1"/>
          <w:sz w:val="32"/>
          <w:szCs w:val="32"/>
        </w:rPr>
        <w:t>M</w:t>
      </w:r>
      <w:r w:rsidR="000E09EA" w:rsidRPr="00B80025">
        <w:rPr>
          <w:rFonts w:ascii="Arial" w:hAnsi="Arial" w:cs="Arial"/>
          <w:i/>
          <w:iCs/>
          <w:color w:val="000000" w:themeColor="text1"/>
          <w:sz w:val="32"/>
          <w:szCs w:val="32"/>
        </w:rPr>
        <w:t>odule Title</w:t>
      </w:r>
      <w:r w:rsidRPr="00B80025">
        <w:rPr>
          <w:rFonts w:ascii="Arial" w:hAnsi="Arial" w:cs="Arial"/>
          <w:i/>
          <w:iCs/>
          <w:color w:val="000000" w:themeColor="text1"/>
          <w:sz w:val="32"/>
          <w:szCs w:val="32"/>
        </w:rPr>
        <w:t xml:space="preserve">: </w:t>
      </w:r>
      <w:r w:rsidR="000E09EA" w:rsidRPr="00B80025">
        <w:rPr>
          <w:rFonts w:ascii="Arial" w:hAnsi="Arial" w:cs="Arial"/>
          <w:i/>
          <w:iCs/>
          <w:color w:val="000000" w:themeColor="text1"/>
          <w:sz w:val="32"/>
          <w:szCs w:val="32"/>
        </w:rPr>
        <w:t>Health Care System Organi</w:t>
      </w:r>
      <w:r w:rsidR="0032643D">
        <w:rPr>
          <w:rFonts w:ascii="Arial" w:hAnsi="Arial" w:cs="Arial"/>
          <w:i/>
          <w:iCs/>
          <w:color w:val="000000" w:themeColor="text1"/>
          <w:sz w:val="32"/>
          <w:szCs w:val="32"/>
        </w:rPr>
        <w:t>z</w:t>
      </w:r>
      <w:r w:rsidR="000E09EA" w:rsidRPr="00B80025">
        <w:rPr>
          <w:rFonts w:ascii="Arial" w:hAnsi="Arial" w:cs="Arial"/>
          <w:i/>
          <w:iCs/>
          <w:color w:val="000000" w:themeColor="text1"/>
          <w:sz w:val="32"/>
          <w:szCs w:val="32"/>
        </w:rPr>
        <w:t xml:space="preserve">ation and Leadership </w:t>
      </w:r>
      <w:r w:rsidR="000E09EA" w:rsidRPr="00B80025">
        <w:rPr>
          <w:rFonts w:ascii="Arial" w:hAnsi="Arial" w:cs="Arial"/>
          <w:i/>
          <w:iCs/>
          <w:color w:val="000000" w:themeColor="text1"/>
          <w:sz w:val="32"/>
          <w:szCs w:val="32"/>
        </w:rPr>
        <w:br/>
        <w:t>Module Code: LCHS7002</w:t>
      </w:r>
    </w:p>
    <w:p w14:paraId="164DC57D" w14:textId="77777777" w:rsidR="00EC528B" w:rsidRPr="00B80025" w:rsidRDefault="00EC528B" w:rsidP="00EC528B">
      <w:pPr>
        <w:pBdr>
          <w:top w:val="nil"/>
          <w:left w:val="nil"/>
          <w:bottom w:val="nil"/>
          <w:right w:val="nil"/>
          <w:between w:val="nil"/>
        </w:pBdr>
        <w:jc w:val="center"/>
        <w:rPr>
          <w:rFonts w:ascii="Arial" w:hAnsi="Arial" w:cs="Arial"/>
          <w:i/>
          <w:iCs/>
          <w:color w:val="000000" w:themeColor="text1"/>
          <w:sz w:val="32"/>
          <w:szCs w:val="32"/>
        </w:rPr>
      </w:pPr>
    </w:p>
    <w:p w14:paraId="348B2E56" w14:textId="409E147E" w:rsidR="00EC528B" w:rsidRPr="00B80025" w:rsidRDefault="000E09EA" w:rsidP="00EC528B">
      <w:pPr>
        <w:pBdr>
          <w:top w:val="nil"/>
          <w:left w:val="nil"/>
          <w:bottom w:val="nil"/>
          <w:right w:val="nil"/>
          <w:between w:val="nil"/>
        </w:pBdr>
        <w:jc w:val="center"/>
        <w:rPr>
          <w:rFonts w:ascii="Arial" w:hAnsi="Arial" w:cs="Arial"/>
          <w:i/>
          <w:iCs/>
          <w:color w:val="000000" w:themeColor="text1"/>
          <w:sz w:val="32"/>
          <w:szCs w:val="32"/>
        </w:rPr>
      </w:pPr>
      <w:r w:rsidRPr="00B80025">
        <w:rPr>
          <w:rFonts w:ascii="Arial" w:hAnsi="Arial" w:cs="Arial"/>
          <w:i/>
          <w:iCs/>
          <w:color w:val="000000" w:themeColor="text1"/>
          <w:sz w:val="32"/>
          <w:szCs w:val="32"/>
        </w:rPr>
        <w:t>Assignment Title: A Critical Evaluation of Patient Safety, Clinical Governance and Medical Negligence: A Case Study of The Lewis Blackman Story</w:t>
      </w:r>
    </w:p>
    <w:p w14:paraId="0B84F593" w14:textId="77777777" w:rsidR="00EC528B" w:rsidRPr="00B80025" w:rsidRDefault="00EC528B" w:rsidP="00EC528B">
      <w:pPr>
        <w:pBdr>
          <w:top w:val="nil"/>
          <w:left w:val="nil"/>
          <w:bottom w:val="nil"/>
          <w:right w:val="nil"/>
          <w:between w:val="nil"/>
        </w:pBdr>
        <w:jc w:val="center"/>
        <w:rPr>
          <w:rFonts w:ascii="Arial" w:hAnsi="Arial" w:cs="Arial"/>
          <w:i/>
          <w:iCs/>
          <w:color w:val="000000" w:themeColor="text1"/>
          <w:sz w:val="32"/>
          <w:szCs w:val="32"/>
        </w:rPr>
      </w:pPr>
    </w:p>
    <w:p w14:paraId="7B3A7E95" w14:textId="4A4DCCA1" w:rsidR="00D06132" w:rsidRPr="00B80025" w:rsidRDefault="000E09EA" w:rsidP="00EC528B">
      <w:pPr>
        <w:pBdr>
          <w:top w:val="nil"/>
          <w:left w:val="nil"/>
          <w:bottom w:val="nil"/>
          <w:right w:val="nil"/>
          <w:between w:val="nil"/>
        </w:pBdr>
        <w:jc w:val="center"/>
        <w:rPr>
          <w:rFonts w:ascii="Arial" w:hAnsi="Arial" w:cs="Arial"/>
          <w:i/>
          <w:iCs/>
          <w:color w:val="000000" w:themeColor="text1"/>
          <w:sz w:val="32"/>
          <w:szCs w:val="32"/>
        </w:rPr>
      </w:pPr>
      <w:r w:rsidRPr="00B80025">
        <w:rPr>
          <w:rFonts w:ascii="Arial" w:hAnsi="Arial" w:cs="Arial"/>
          <w:i/>
          <w:iCs/>
          <w:color w:val="000000" w:themeColor="text1"/>
          <w:sz w:val="32"/>
          <w:szCs w:val="32"/>
        </w:rPr>
        <w:t xml:space="preserve">Student </w:t>
      </w:r>
      <w:r w:rsidR="00B4551F" w:rsidRPr="00B80025">
        <w:rPr>
          <w:rFonts w:ascii="Arial" w:hAnsi="Arial" w:cs="Arial"/>
          <w:i/>
          <w:iCs/>
          <w:color w:val="000000" w:themeColor="text1"/>
          <w:sz w:val="32"/>
          <w:szCs w:val="32"/>
        </w:rPr>
        <w:t>Name:</w:t>
      </w:r>
      <w:r w:rsidRPr="00B80025">
        <w:rPr>
          <w:rFonts w:ascii="Arial" w:hAnsi="Arial" w:cs="Arial"/>
          <w:i/>
          <w:iCs/>
          <w:color w:val="000000" w:themeColor="text1"/>
          <w:sz w:val="32"/>
          <w:szCs w:val="32"/>
        </w:rPr>
        <w:t xml:space="preserve"> </w:t>
      </w:r>
      <w:proofErr w:type="spellStart"/>
      <w:r w:rsidRPr="00B80025">
        <w:rPr>
          <w:rFonts w:ascii="Arial" w:hAnsi="Arial" w:cs="Arial"/>
          <w:i/>
          <w:iCs/>
          <w:color w:val="000000" w:themeColor="text1"/>
          <w:sz w:val="32"/>
          <w:szCs w:val="32"/>
        </w:rPr>
        <w:t>AdnanKhan</w:t>
      </w:r>
      <w:proofErr w:type="spellEnd"/>
      <w:r w:rsidRPr="00B80025">
        <w:rPr>
          <w:rFonts w:ascii="Arial" w:hAnsi="Arial" w:cs="Arial"/>
          <w:i/>
          <w:iCs/>
          <w:color w:val="000000" w:themeColor="text1"/>
          <w:sz w:val="32"/>
          <w:szCs w:val="32"/>
        </w:rPr>
        <w:t xml:space="preserve"> </w:t>
      </w:r>
      <w:proofErr w:type="spellStart"/>
      <w:r w:rsidRPr="00B80025">
        <w:rPr>
          <w:rFonts w:ascii="Arial" w:hAnsi="Arial" w:cs="Arial"/>
          <w:i/>
          <w:iCs/>
          <w:color w:val="000000" w:themeColor="text1"/>
          <w:sz w:val="32"/>
          <w:szCs w:val="32"/>
        </w:rPr>
        <w:t>FirojKhan</w:t>
      </w:r>
      <w:proofErr w:type="spellEnd"/>
      <w:r w:rsidRPr="00B80025">
        <w:rPr>
          <w:rFonts w:ascii="Arial" w:hAnsi="Arial" w:cs="Arial"/>
          <w:i/>
          <w:iCs/>
          <w:color w:val="000000" w:themeColor="text1"/>
          <w:sz w:val="32"/>
          <w:szCs w:val="32"/>
        </w:rPr>
        <w:t xml:space="preserve"> Sindhi</w:t>
      </w:r>
    </w:p>
    <w:p w14:paraId="3B0C9D61" w14:textId="77777777" w:rsidR="00C440DA" w:rsidRDefault="000E09EA" w:rsidP="00EC528B">
      <w:pPr>
        <w:pBdr>
          <w:top w:val="nil"/>
          <w:left w:val="nil"/>
          <w:bottom w:val="nil"/>
          <w:right w:val="nil"/>
          <w:between w:val="nil"/>
        </w:pBdr>
        <w:jc w:val="center"/>
        <w:rPr>
          <w:rFonts w:ascii="Arial" w:hAnsi="Arial" w:cs="Arial"/>
          <w:b/>
          <w:bCs/>
          <w:i/>
          <w:iCs/>
          <w:color w:val="000000" w:themeColor="text1"/>
          <w:sz w:val="32"/>
          <w:szCs w:val="32"/>
        </w:rPr>
      </w:pPr>
      <w:r w:rsidRPr="00B80025">
        <w:rPr>
          <w:rFonts w:ascii="Arial" w:hAnsi="Arial" w:cs="Arial"/>
          <w:i/>
          <w:iCs/>
          <w:color w:val="000000" w:themeColor="text1"/>
          <w:sz w:val="32"/>
          <w:szCs w:val="32"/>
        </w:rPr>
        <w:t xml:space="preserve">Student </w:t>
      </w:r>
      <w:r w:rsidR="00B4551F" w:rsidRPr="00B80025">
        <w:rPr>
          <w:rFonts w:ascii="Arial" w:hAnsi="Arial" w:cs="Arial"/>
          <w:i/>
          <w:iCs/>
          <w:color w:val="000000" w:themeColor="text1"/>
          <w:sz w:val="32"/>
          <w:szCs w:val="32"/>
        </w:rPr>
        <w:t>ID</w:t>
      </w:r>
      <w:r w:rsidR="00B4551F" w:rsidRPr="00B80025">
        <w:rPr>
          <w:rFonts w:ascii="Arial" w:hAnsi="Arial" w:cs="Arial"/>
          <w:b/>
          <w:bCs/>
          <w:i/>
          <w:iCs/>
          <w:color w:val="000000" w:themeColor="text1"/>
          <w:sz w:val="32"/>
          <w:szCs w:val="32"/>
        </w:rPr>
        <w:t>:</w:t>
      </w:r>
      <w:r w:rsidR="00BA37B9" w:rsidRPr="00B80025">
        <w:rPr>
          <w:rFonts w:ascii="Arial" w:hAnsi="Arial" w:cs="Arial"/>
          <w:b/>
          <w:bCs/>
          <w:i/>
          <w:iCs/>
          <w:color w:val="000000" w:themeColor="text1"/>
          <w:sz w:val="32"/>
          <w:szCs w:val="32"/>
        </w:rPr>
        <w:t xml:space="preserve"> 2528923</w:t>
      </w:r>
    </w:p>
    <w:p w14:paraId="520CA963" w14:textId="77777777" w:rsidR="00C440DA" w:rsidRDefault="00C440DA" w:rsidP="00EC528B">
      <w:pPr>
        <w:pBdr>
          <w:top w:val="nil"/>
          <w:left w:val="nil"/>
          <w:bottom w:val="nil"/>
          <w:right w:val="nil"/>
          <w:between w:val="nil"/>
        </w:pBdr>
        <w:jc w:val="center"/>
        <w:rPr>
          <w:rFonts w:ascii="Arial" w:hAnsi="Arial" w:cs="Arial"/>
          <w:b/>
          <w:bCs/>
          <w:i/>
          <w:iCs/>
          <w:color w:val="000000" w:themeColor="text1"/>
          <w:sz w:val="32"/>
          <w:szCs w:val="32"/>
        </w:rPr>
      </w:pPr>
    </w:p>
    <w:p w14:paraId="4ACB2CC8" w14:textId="77777777" w:rsidR="00C440DA" w:rsidRPr="00EC528B" w:rsidRDefault="00C440DA" w:rsidP="00C440DA">
      <w:pPr>
        <w:pBdr>
          <w:top w:val="nil"/>
          <w:left w:val="nil"/>
          <w:bottom w:val="nil"/>
          <w:right w:val="nil"/>
          <w:between w:val="nil"/>
        </w:pBdr>
        <w:jc w:val="center"/>
        <w:rPr>
          <w:rFonts w:ascii="Arial" w:hAnsi="Arial" w:cs="Arial"/>
          <w:b/>
          <w:bCs/>
          <w:i/>
          <w:iCs/>
          <w:color w:val="000000" w:themeColor="text1"/>
          <w:sz w:val="32"/>
          <w:szCs w:val="32"/>
        </w:rPr>
      </w:pPr>
      <w:r>
        <w:rPr>
          <w:rFonts w:ascii="Arial" w:hAnsi="Arial" w:cs="Arial"/>
          <w:i/>
          <w:iCs/>
          <w:color w:val="000000" w:themeColor="text1"/>
          <w:sz w:val="32"/>
          <w:szCs w:val="32"/>
        </w:rPr>
        <w:t xml:space="preserve">Lecturer Name: Shaila Hussain </w:t>
      </w:r>
      <w:r w:rsidRPr="00EC528B">
        <w:rPr>
          <w:rFonts w:ascii="Arial" w:hAnsi="Arial" w:cs="Arial"/>
          <w:i/>
          <w:iCs/>
          <w:color w:val="000000" w:themeColor="text1"/>
          <w:sz w:val="32"/>
          <w:szCs w:val="32"/>
        </w:rPr>
        <w:br w:type="page"/>
      </w:r>
    </w:p>
    <w:sdt>
      <w:sdtPr>
        <w:rPr>
          <w:rFonts w:ascii="Arial" w:eastAsia="Times New Roman" w:hAnsi="Arial" w:cs="Arial"/>
          <w:color w:val="000000" w:themeColor="text1"/>
          <w:sz w:val="24"/>
          <w:szCs w:val="24"/>
          <w:lang w:val="en" w:eastAsia="en-GB"/>
        </w:rPr>
        <w:id w:val="1134136900"/>
        <w:docPartObj>
          <w:docPartGallery w:val="Table of Contents"/>
          <w:docPartUnique/>
        </w:docPartObj>
      </w:sdtPr>
      <w:sdtEndPr>
        <w:rPr>
          <w:b/>
          <w:bCs/>
          <w:noProof/>
        </w:rPr>
      </w:sdtEndPr>
      <w:sdtContent>
        <w:p w14:paraId="4A2E4AAA" w14:textId="761C75BF" w:rsidR="001443B9" w:rsidRPr="00B80025" w:rsidRDefault="001443B9" w:rsidP="00C440DA">
          <w:pPr>
            <w:pStyle w:val="TOCHeading"/>
            <w:spacing w:line="276" w:lineRule="auto"/>
            <w:jc w:val="center"/>
            <w:rPr>
              <w:rFonts w:ascii="Arial" w:hAnsi="Arial" w:cs="Arial"/>
              <w:color w:val="000000" w:themeColor="text1"/>
              <w:sz w:val="24"/>
              <w:szCs w:val="24"/>
            </w:rPr>
          </w:pPr>
          <w:r w:rsidRPr="00B80025">
            <w:rPr>
              <w:rFonts w:ascii="Arial" w:hAnsi="Arial" w:cs="Arial"/>
              <w:color w:val="000000" w:themeColor="text1"/>
              <w:sz w:val="24"/>
              <w:szCs w:val="24"/>
            </w:rPr>
            <w:t>Table of Contents</w:t>
          </w:r>
        </w:p>
        <w:p w14:paraId="28AD3B37" w14:textId="3D7BD73C" w:rsidR="00B80025" w:rsidRPr="00B80025" w:rsidRDefault="001443B9">
          <w:pPr>
            <w:pStyle w:val="TOC1"/>
            <w:tabs>
              <w:tab w:val="right" w:leader="dot" w:pos="9350"/>
            </w:tabs>
            <w:rPr>
              <w:rFonts w:ascii="Arial" w:eastAsiaTheme="minorEastAsia" w:hAnsi="Arial" w:cs="Arial"/>
              <w:noProof/>
              <w:sz w:val="22"/>
              <w:szCs w:val="22"/>
              <w:lang w:val="en-GB"/>
            </w:rPr>
          </w:pPr>
          <w:r w:rsidRPr="00B80025">
            <w:rPr>
              <w:rFonts w:ascii="Arial" w:hAnsi="Arial" w:cs="Arial"/>
              <w:color w:val="000000" w:themeColor="text1"/>
            </w:rPr>
            <w:fldChar w:fldCharType="begin"/>
          </w:r>
          <w:r w:rsidRPr="00B80025">
            <w:rPr>
              <w:rFonts w:ascii="Arial" w:hAnsi="Arial" w:cs="Arial"/>
              <w:color w:val="000000" w:themeColor="text1"/>
            </w:rPr>
            <w:instrText xml:space="preserve"> TOC \o "1-3" \h \z \u </w:instrText>
          </w:r>
          <w:r w:rsidRPr="00B80025">
            <w:rPr>
              <w:rFonts w:ascii="Arial" w:hAnsi="Arial" w:cs="Arial"/>
              <w:color w:val="000000" w:themeColor="text1"/>
            </w:rPr>
            <w:fldChar w:fldCharType="separate"/>
          </w:r>
          <w:hyperlink w:anchor="_Toc227678124" w:history="1">
            <w:r w:rsidR="00B80025" w:rsidRPr="00B80025">
              <w:rPr>
                <w:rStyle w:val="Hyperlink"/>
                <w:rFonts w:ascii="Arial" w:hAnsi="Arial" w:cs="Arial"/>
                <w:noProof/>
              </w:rPr>
              <w:t>1. Introduction</w:t>
            </w:r>
            <w:r w:rsidR="00B80025" w:rsidRPr="00B80025">
              <w:rPr>
                <w:rFonts w:ascii="Arial" w:hAnsi="Arial" w:cs="Arial"/>
                <w:noProof/>
                <w:webHidden/>
              </w:rPr>
              <w:tab/>
            </w:r>
            <w:r w:rsidR="00B80025" w:rsidRPr="00B80025">
              <w:rPr>
                <w:rFonts w:ascii="Arial" w:hAnsi="Arial" w:cs="Arial"/>
                <w:noProof/>
                <w:webHidden/>
              </w:rPr>
              <w:fldChar w:fldCharType="begin"/>
            </w:r>
            <w:r w:rsidR="00B80025" w:rsidRPr="00B80025">
              <w:rPr>
                <w:rFonts w:ascii="Arial" w:hAnsi="Arial" w:cs="Arial"/>
                <w:noProof/>
                <w:webHidden/>
              </w:rPr>
              <w:instrText xml:space="preserve"> PAGEREF _Toc227678124 \h </w:instrText>
            </w:r>
            <w:r w:rsidR="00B80025" w:rsidRPr="00B80025">
              <w:rPr>
                <w:rFonts w:ascii="Arial" w:hAnsi="Arial" w:cs="Arial"/>
                <w:noProof/>
                <w:webHidden/>
              </w:rPr>
            </w:r>
            <w:r w:rsidR="00B80025" w:rsidRPr="00B80025">
              <w:rPr>
                <w:rFonts w:ascii="Arial" w:hAnsi="Arial" w:cs="Arial"/>
                <w:noProof/>
                <w:webHidden/>
              </w:rPr>
              <w:fldChar w:fldCharType="separate"/>
            </w:r>
            <w:r w:rsidR="00B80025" w:rsidRPr="00B80025">
              <w:rPr>
                <w:rFonts w:ascii="Arial" w:hAnsi="Arial" w:cs="Arial"/>
                <w:noProof/>
                <w:webHidden/>
              </w:rPr>
              <w:t>4</w:t>
            </w:r>
            <w:r w:rsidR="00B80025" w:rsidRPr="00B80025">
              <w:rPr>
                <w:rFonts w:ascii="Arial" w:hAnsi="Arial" w:cs="Arial"/>
                <w:noProof/>
                <w:webHidden/>
              </w:rPr>
              <w:fldChar w:fldCharType="end"/>
            </w:r>
          </w:hyperlink>
        </w:p>
        <w:p w14:paraId="18C57404" w14:textId="575C063F"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25" w:history="1">
            <w:r w:rsidRPr="00B80025">
              <w:rPr>
                <w:rStyle w:val="Hyperlink"/>
                <w:rFonts w:ascii="Arial" w:hAnsi="Arial" w:cs="Arial"/>
                <w:noProof/>
              </w:rPr>
              <w:t>1.1. Background and Purpose of the Case Study</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_Toc227678125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4</w:t>
            </w:r>
            <w:r w:rsidRPr="00B80025">
              <w:rPr>
                <w:rFonts w:ascii="Arial" w:hAnsi="Arial" w:cs="Arial"/>
                <w:noProof/>
                <w:webHidden/>
              </w:rPr>
              <w:fldChar w:fldCharType="end"/>
            </w:r>
          </w:hyperlink>
        </w:p>
        <w:p w14:paraId="6A00786B" w14:textId="75FB526F"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26" w:history="1">
            <w:r w:rsidRPr="00B80025">
              <w:rPr>
                <w:rStyle w:val="Hyperlink"/>
                <w:rFonts w:ascii="Arial" w:hAnsi="Arial" w:cs="Arial"/>
                <w:noProof/>
              </w:rPr>
              <w:t>1.2. Concept of Leadership in Health and Social Care</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_Toc227678126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4</w:t>
            </w:r>
            <w:r w:rsidRPr="00B80025">
              <w:rPr>
                <w:rFonts w:ascii="Arial" w:hAnsi="Arial" w:cs="Arial"/>
                <w:noProof/>
                <w:webHidden/>
              </w:rPr>
              <w:fldChar w:fldCharType="end"/>
            </w:r>
          </w:hyperlink>
        </w:p>
        <w:p w14:paraId="2F189F34" w14:textId="598DB471"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27" w:history="1">
            <w:r w:rsidRPr="00B80025">
              <w:rPr>
                <w:rStyle w:val="Hyperlink"/>
                <w:rFonts w:ascii="Arial" w:hAnsi="Arial" w:cs="Arial"/>
                <w:noProof/>
              </w:rPr>
              <w:t>1.3. Centralisation, Decentralisation, and Leadership Theories</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_Toc227678127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4</w:t>
            </w:r>
            <w:r w:rsidRPr="00B80025">
              <w:rPr>
                <w:rFonts w:ascii="Arial" w:hAnsi="Arial" w:cs="Arial"/>
                <w:noProof/>
                <w:webHidden/>
              </w:rPr>
              <w:fldChar w:fldCharType="end"/>
            </w:r>
          </w:hyperlink>
        </w:p>
        <w:p w14:paraId="5EA04ACE" w14:textId="22DF4BE1"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28" w:history="1">
            <w:r w:rsidRPr="00B80025">
              <w:rPr>
                <w:rStyle w:val="Hyperlink"/>
                <w:rFonts w:ascii="Arial" w:hAnsi="Arial" w:cs="Arial"/>
                <w:noProof/>
              </w:rPr>
              <w:t>1.4. Importance of Leadership in Change and Crisis Situations</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_Toc227678128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4</w:t>
            </w:r>
            <w:r w:rsidRPr="00B80025">
              <w:rPr>
                <w:rFonts w:ascii="Arial" w:hAnsi="Arial" w:cs="Arial"/>
                <w:noProof/>
                <w:webHidden/>
              </w:rPr>
              <w:fldChar w:fldCharType="end"/>
            </w:r>
          </w:hyperlink>
        </w:p>
        <w:p w14:paraId="4662B486" w14:textId="205DD5F6"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29" w:history="1">
            <w:r w:rsidRPr="00B80025">
              <w:rPr>
                <w:rStyle w:val="Hyperlink"/>
                <w:rFonts w:ascii="Arial" w:hAnsi="Arial" w:cs="Arial"/>
                <w:noProof/>
              </w:rPr>
              <w:t>1.5. Structure of the Report</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_Toc227678129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5</w:t>
            </w:r>
            <w:r w:rsidRPr="00B80025">
              <w:rPr>
                <w:rFonts w:ascii="Arial" w:hAnsi="Arial" w:cs="Arial"/>
                <w:noProof/>
                <w:webHidden/>
              </w:rPr>
              <w:fldChar w:fldCharType="end"/>
            </w:r>
          </w:hyperlink>
        </w:p>
        <w:p w14:paraId="53B463E7" w14:textId="25208521" w:rsidR="00B80025" w:rsidRPr="00B80025" w:rsidRDefault="00B80025">
          <w:pPr>
            <w:pStyle w:val="TOC1"/>
            <w:tabs>
              <w:tab w:val="right" w:leader="dot" w:pos="9350"/>
            </w:tabs>
            <w:rPr>
              <w:rFonts w:ascii="Arial" w:eastAsiaTheme="minorEastAsia" w:hAnsi="Arial" w:cs="Arial"/>
              <w:noProof/>
              <w:sz w:val="22"/>
              <w:szCs w:val="22"/>
              <w:lang w:val="en-GB"/>
            </w:rPr>
          </w:pPr>
          <w:hyperlink w:anchor="_Toc227678130" w:history="1">
            <w:r w:rsidRPr="00B80025">
              <w:rPr>
                <w:rStyle w:val="Hyperlink"/>
                <w:rFonts w:ascii="Arial" w:hAnsi="Arial" w:cs="Arial"/>
                <w:noProof/>
              </w:rPr>
              <w:t>2. Identifying the Problem and Setting the System Context- Applying Systems Thinking and the Rich Picture</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_Toc227678130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5</w:t>
            </w:r>
            <w:r w:rsidRPr="00B80025">
              <w:rPr>
                <w:rFonts w:ascii="Arial" w:hAnsi="Arial" w:cs="Arial"/>
                <w:noProof/>
                <w:webHidden/>
              </w:rPr>
              <w:fldChar w:fldCharType="end"/>
            </w:r>
          </w:hyperlink>
        </w:p>
        <w:p w14:paraId="4A696BFC" w14:textId="66776830"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31" w:history="1">
            <w:r w:rsidRPr="00B80025">
              <w:rPr>
                <w:rStyle w:val="Hyperlink"/>
                <w:rFonts w:ascii="Arial" w:hAnsi="Arial" w:cs="Arial"/>
                <w:noProof/>
              </w:rPr>
              <w:t>2.1. Central Problem in the Case Study.</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_Toc227678131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6</w:t>
            </w:r>
            <w:r w:rsidRPr="00B80025">
              <w:rPr>
                <w:rFonts w:ascii="Arial" w:hAnsi="Arial" w:cs="Arial"/>
                <w:noProof/>
                <w:webHidden/>
              </w:rPr>
              <w:fldChar w:fldCharType="end"/>
            </w:r>
          </w:hyperlink>
        </w:p>
        <w:p w14:paraId="49607EEF" w14:textId="1072DB4A"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32" w:history="1">
            <w:r w:rsidRPr="00B80025">
              <w:rPr>
                <w:rStyle w:val="Hyperlink"/>
                <w:rFonts w:ascii="Arial" w:hAnsi="Arial" w:cs="Arial"/>
                <w:noProof/>
              </w:rPr>
              <w:t>2.2. Global and National Statistical Evidence</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_Toc227678132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6</w:t>
            </w:r>
            <w:r w:rsidRPr="00B80025">
              <w:rPr>
                <w:rFonts w:ascii="Arial" w:hAnsi="Arial" w:cs="Arial"/>
                <w:noProof/>
                <w:webHidden/>
              </w:rPr>
              <w:fldChar w:fldCharType="end"/>
            </w:r>
          </w:hyperlink>
        </w:p>
        <w:p w14:paraId="15F26F3E" w14:textId="1E3CB87A"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33" w:history="1">
            <w:r w:rsidRPr="00B80025">
              <w:rPr>
                <w:rStyle w:val="Hyperlink"/>
                <w:rFonts w:ascii="Arial" w:hAnsi="Arial" w:cs="Arial"/>
                <w:noProof/>
              </w:rPr>
              <w:t>2.3. Organisational Data, Governance, and Underlying Challenges</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_Toc227678133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8</w:t>
            </w:r>
            <w:r w:rsidRPr="00B80025">
              <w:rPr>
                <w:rFonts w:ascii="Arial" w:hAnsi="Arial" w:cs="Arial"/>
                <w:noProof/>
                <w:webHidden/>
              </w:rPr>
              <w:fldChar w:fldCharType="end"/>
            </w:r>
          </w:hyperlink>
        </w:p>
        <w:p w14:paraId="10A25DE4" w14:textId="5CC93949"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34" w:history="1">
            <w:r w:rsidRPr="00B80025">
              <w:rPr>
                <w:rStyle w:val="Hyperlink"/>
                <w:rFonts w:ascii="Arial" w:hAnsi="Arial" w:cs="Arial"/>
                <w:noProof/>
              </w:rPr>
              <w:t>2.4. Systemic Weaknesses and Global Relevance of the Problem</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_Toc227678134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8</w:t>
            </w:r>
            <w:r w:rsidRPr="00B80025">
              <w:rPr>
                <w:rFonts w:ascii="Arial" w:hAnsi="Arial" w:cs="Arial"/>
                <w:noProof/>
                <w:webHidden/>
              </w:rPr>
              <w:fldChar w:fldCharType="end"/>
            </w:r>
          </w:hyperlink>
        </w:p>
        <w:p w14:paraId="3FF8A86E" w14:textId="3FEA0E47" w:rsidR="00B80025" w:rsidRPr="00B80025" w:rsidRDefault="00B80025">
          <w:pPr>
            <w:pStyle w:val="TOC1"/>
            <w:tabs>
              <w:tab w:val="right" w:leader="dot" w:pos="9350"/>
            </w:tabs>
            <w:rPr>
              <w:rFonts w:ascii="Arial" w:eastAsiaTheme="minorEastAsia" w:hAnsi="Arial" w:cs="Arial"/>
              <w:noProof/>
              <w:sz w:val="22"/>
              <w:szCs w:val="22"/>
              <w:lang w:val="en-GB"/>
            </w:rPr>
          </w:pPr>
          <w:hyperlink w:anchor="_Toc227678135" w:history="1">
            <w:r w:rsidRPr="00B80025">
              <w:rPr>
                <w:rStyle w:val="Hyperlink"/>
                <w:rFonts w:ascii="Arial" w:hAnsi="Arial" w:cs="Arial"/>
                <w:noProof/>
              </w:rPr>
              <w:t>3. Centralisation or Decentralisation within the Case Study</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_Toc227678135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9</w:t>
            </w:r>
            <w:r w:rsidRPr="00B80025">
              <w:rPr>
                <w:rFonts w:ascii="Arial" w:hAnsi="Arial" w:cs="Arial"/>
                <w:noProof/>
                <w:webHidden/>
              </w:rPr>
              <w:fldChar w:fldCharType="end"/>
            </w:r>
          </w:hyperlink>
        </w:p>
        <w:p w14:paraId="41624B11" w14:textId="1F46E291"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36" w:history="1">
            <w:r w:rsidRPr="00B80025">
              <w:rPr>
                <w:rStyle w:val="Hyperlink"/>
                <w:rFonts w:ascii="Arial" w:hAnsi="Arial" w:cs="Arial"/>
                <w:noProof/>
              </w:rPr>
              <w:t>3.1 Centralised System Analysis in the Case Study</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_Toc227678136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9</w:t>
            </w:r>
            <w:r w:rsidRPr="00B80025">
              <w:rPr>
                <w:rFonts w:ascii="Arial" w:hAnsi="Arial" w:cs="Arial"/>
                <w:noProof/>
                <w:webHidden/>
              </w:rPr>
              <w:fldChar w:fldCharType="end"/>
            </w:r>
          </w:hyperlink>
        </w:p>
        <w:p w14:paraId="72E6B379" w14:textId="052A813B"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37" w:history="1">
            <w:r w:rsidRPr="00B80025">
              <w:rPr>
                <w:rStyle w:val="Hyperlink"/>
                <w:rFonts w:ascii="Arial" w:hAnsi="Arial" w:cs="Arial"/>
                <w:noProof/>
              </w:rPr>
              <w:t>3.2 Decentralised System Analysis in the Case Study</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_Toc227678137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9</w:t>
            </w:r>
            <w:r w:rsidRPr="00B80025">
              <w:rPr>
                <w:rFonts w:ascii="Arial" w:hAnsi="Arial" w:cs="Arial"/>
                <w:noProof/>
                <w:webHidden/>
              </w:rPr>
              <w:fldChar w:fldCharType="end"/>
            </w:r>
          </w:hyperlink>
        </w:p>
        <w:p w14:paraId="1780232B" w14:textId="511406D2"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38" w:history="1">
            <w:r w:rsidRPr="00B80025">
              <w:rPr>
                <w:rStyle w:val="Hyperlink"/>
                <w:rFonts w:ascii="Arial" w:hAnsi="Arial" w:cs="Arial"/>
                <w:noProof/>
              </w:rPr>
              <w:t>3.3. Critical Evaluation of System Structure and Impact on Outcomes</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_Toc227678138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10</w:t>
            </w:r>
            <w:r w:rsidRPr="00B80025">
              <w:rPr>
                <w:rFonts w:ascii="Arial" w:hAnsi="Arial" w:cs="Arial"/>
                <w:noProof/>
                <w:webHidden/>
              </w:rPr>
              <w:fldChar w:fldCharType="end"/>
            </w:r>
          </w:hyperlink>
        </w:p>
        <w:p w14:paraId="29D1E5FD" w14:textId="54F3B405" w:rsidR="00B80025" w:rsidRPr="00B80025" w:rsidRDefault="00B80025">
          <w:pPr>
            <w:pStyle w:val="TOC1"/>
            <w:tabs>
              <w:tab w:val="right" w:leader="dot" w:pos="9350"/>
            </w:tabs>
            <w:rPr>
              <w:rFonts w:ascii="Arial" w:eastAsiaTheme="minorEastAsia" w:hAnsi="Arial" w:cs="Arial"/>
              <w:noProof/>
              <w:sz w:val="22"/>
              <w:szCs w:val="22"/>
              <w:lang w:val="en-GB"/>
            </w:rPr>
          </w:pPr>
          <w:hyperlink w:anchor="_Toc227678139" w:history="1">
            <w:r w:rsidRPr="00B80025">
              <w:rPr>
                <w:rStyle w:val="Hyperlink"/>
                <w:rFonts w:ascii="Arial" w:hAnsi="Arial" w:cs="Arial"/>
                <w:noProof/>
              </w:rPr>
              <w:t>4. Leadership Theories and Application to the Case Study</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_Toc227678139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11</w:t>
            </w:r>
            <w:r w:rsidRPr="00B80025">
              <w:rPr>
                <w:rFonts w:ascii="Arial" w:hAnsi="Arial" w:cs="Arial"/>
                <w:noProof/>
                <w:webHidden/>
              </w:rPr>
              <w:fldChar w:fldCharType="end"/>
            </w:r>
          </w:hyperlink>
        </w:p>
        <w:p w14:paraId="7470EBAE" w14:textId="479C52D8"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40" w:history="1">
            <w:r w:rsidRPr="00B80025">
              <w:rPr>
                <w:rStyle w:val="Hyperlink"/>
                <w:rFonts w:ascii="Arial" w:hAnsi="Arial" w:cs="Arial"/>
                <w:noProof/>
              </w:rPr>
              <w:t>4.1. Appropriateness of Leadership Style in the Case</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_Toc227678140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11</w:t>
            </w:r>
            <w:r w:rsidRPr="00B80025">
              <w:rPr>
                <w:rFonts w:ascii="Arial" w:hAnsi="Arial" w:cs="Arial"/>
                <w:noProof/>
                <w:webHidden/>
              </w:rPr>
              <w:fldChar w:fldCharType="end"/>
            </w:r>
          </w:hyperlink>
        </w:p>
        <w:p w14:paraId="2B0E6B12" w14:textId="4B451F93"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41" w:history="1">
            <w:r w:rsidRPr="00B80025">
              <w:rPr>
                <w:rStyle w:val="Hyperlink"/>
                <w:rFonts w:ascii="Arial" w:hAnsi="Arial" w:cs="Arial"/>
                <w:noProof/>
              </w:rPr>
              <w:t>4.2. Reactive and Proactive Leadership Approach.</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_Toc227678141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11</w:t>
            </w:r>
            <w:r w:rsidRPr="00B80025">
              <w:rPr>
                <w:rFonts w:ascii="Arial" w:hAnsi="Arial" w:cs="Arial"/>
                <w:noProof/>
                <w:webHidden/>
              </w:rPr>
              <w:fldChar w:fldCharType="end"/>
            </w:r>
          </w:hyperlink>
        </w:p>
        <w:p w14:paraId="632E6AED" w14:textId="79F4B3CE"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42" w:history="1">
            <w:r w:rsidRPr="00B80025">
              <w:rPr>
                <w:rStyle w:val="Hyperlink"/>
                <w:rFonts w:ascii="Arial" w:hAnsi="Arial" w:cs="Arial"/>
                <w:noProof/>
              </w:rPr>
              <w:t>4.3. Evidence of Leadership Effectiveness</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_Toc227678142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12</w:t>
            </w:r>
            <w:r w:rsidRPr="00B80025">
              <w:rPr>
                <w:rFonts w:ascii="Arial" w:hAnsi="Arial" w:cs="Arial"/>
                <w:noProof/>
                <w:webHidden/>
              </w:rPr>
              <w:fldChar w:fldCharType="end"/>
            </w:r>
          </w:hyperlink>
        </w:p>
        <w:p w14:paraId="06C8FAB1" w14:textId="5027A43B"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43" w:history="1">
            <w:r w:rsidRPr="00B80025">
              <w:rPr>
                <w:rStyle w:val="Hyperlink"/>
                <w:rFonts w:ascii="Arial" w:hAnsi="Arial" w:cs="Arial"/>
                <w:noProof/>
              </w:rPr>
              <w:t>4.4. Alternative Leadership Approaches and Improvements</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_Toc227678143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13</w:t>
            </w:r>
            <w:r w:rsidRPr="00B80025">
              <w:rPr>
                <w:rFonts w:ascii="Arial" w:hAnsi="Arial" w:cs="Arial"/>
                <w:noProof/>
                <w:webHidden/>
              </w:rPr>
              <w:fldChar w:fldCharType="end"/>
            </w:r>
          </w:hyperlink>
        </w:p>
        <w:p w14:paraId="6745FDB0" w14:textId="6D6957EF" w:rsidR="00B80025" w:rsidRPr="00B80025" w:rsidRDefault="00B80025">
          <w:pPr>
            <w:pStyle w:val="TOC1"/>
            <w:tabs>
              <w:tab w:val="right" w:leader="dot" w:pos="9350"/>
            </w:tabs>
            <w:rPr>
              <w:rFonts w:ascii="Arial" w:eastAsiaTheme="minorEastAsia" w:hAnsi="Arial" w:cs="Arial"/>
              <w:noProof/>
              <w:sz w:val="22"/>
              <w:szCs w:val="22"/>
              <w:lang w:val="en-GB"/>
            </w:rPr>
          </w:pPr>
          <w:hyperlink w:anchor="_Toc227678144" w:history="1">
            <w:r w:rsidRPr="00B80025">
              <w:rPr>
                <w:rStyle w:val="Hyperlink"/>
                <w:rFonts w:ascii="Arial" w:hAnsi="Arial" w:cs="Arial"/>
                <w:noProof/>
              </w:rPr>
              <w:t>5. Improvement, and Lessons Learned</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_Toc227678144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14</w:t>
            </w:r>
            <w:r w:rsidRPr="00B80025">
              <w:rPr>
                <w:rFonts w:ascii="Arial" w:hAnsi="Arial" w:cs="Arial"/>
                <w:noProof/>
                <w:webHidden/>
              </w:rPr>
              <w:fldChar w:fldCharType="end"/>
            </w:r>
          </w:hyperlink>
        </w:p>
        <w:p w14:paraId="03223B48" w14:textId="74DE1A4E"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45" w:history="1">
            <w:r w:rsidRPr="00B80025">
              <w:rPr>
                <w:rStyle w:val="Hyperlink"/>
                <w:rFonts w:ascii="Arial" w:hAnsi="Arial" w:cs="Arial"/>
                <w:noProof/>
              </w:rPr>
              <w:t>5.1 Interaction Between Leadership, Governance, and Missed Opportunities</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_Toc227678145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14</w:t>
            </w:r>
            <w:r w:rsidRPr="00B80025">
              <w:rPr>
                <w:rFonts w:ascii="Arial" w:hAnsi="Arial" w:cs="Arial"/>
                <w:noProof/>
                <w:webHidden/>
              </w:rPr>
              <w:fldChar w:fldCharType="end"/>
            </w:r>
          </w:hyperlink>
        </w:p>
        <w:p w14:paraId="5348F3AD" w14:textId="28F56DB4"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46" w:history="1">
            <w:r w:rsidRPr="00B80025">
              <w:rPr>
                <w:rStyle w:val="Hyperlink"/>
                <w:rFonts w:ascii="Arial" w:hAnsi="Arial" w:cs="Arial"/>
                <w:noProof/>
              </w:rPr>
              <w:t>5.2. Evidence-Based Improvements, Lessons Learned, and System Implications.</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_Toc227678146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15</w:t>
            </w:r>
            <w:r w:rsidRPr="00B80025">
              <w:rPr>
                <w:rFonts w:ascii="Arial" w:hAnsi="Arial" w:cs="Arial"/>
                <w:noProof/>
                <w:webHidden/>
              </w:rPr>
              <w:fldChar w:fldCharType="end"/>
            </w:r>
          </w:hyperlink>
        </w:p>
        <w:p w14:paraId="30B9085F" w14:textId="027D828F" w:rsidR="00B80025" w:rsidRPr="00B80025" w:rsidRDefault="00B80025">
          <w:pPr>
            <w:pStyle w:val="TOC1"/>
            <w:tabs>
              <w:tab w:val="right" w:leader="dot" w:pos="9350"/>
            </w:tabs>
            <w:rPr>
              <w:rFonts w:ascii="Arial" w:eastAsiaTheme="minorEastAsia" w:hAnsi="Arial" w:cs="Arial"/>
              <w:noProof/>
              <w:sz w:val="22"/>
              <w:szCs w:val="22"/>
              <w:lang w:val="en-GB"/>
            </w:rPr>
          </w:pPr>
          <w:hyperlink w:anchor="_Toc227678147" w:history="1">
            <w:r w:rsidRPr="00B80025">
              <w:rPr>
                <w:rStyle w:val="Hyperlink"/>
                <w:rFonts w:ascii="Arial" w:hAnsi="Arial" w:cs="Arial"/>
                <w:noProof/>
              </w:rPr>
              <w:t>6. Recommendation</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_Toc227678147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17</w:t>
            </w:r>
            <w:r w:rsidRPr="00B80025">
              <w:rPr>
                <w:rFonts w:ascii="Arial" w:hAnsi="Arial" w:cs="Arial"/>
                <w:noProof/>
                <w:webHidden/>
              </w:rPr>
              <w:fldChar w:fldCharType="end"/>
            </w:r>
          </w:hyperlink>
        </w:p>
        <w:p w14:paraId="4582EACB" w14:textId="31B05CEF"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48" w:history="1">
            <w:r w:rsidRPr="00B80025">
              <w:rPr>
                <w:rStyle w:val="Hyperlink"/>
                <w:rFonts w:ascii="Arial" w:hAnsi="Arial" w:cs="Arial"/>
                <w:noProof/>
              </w:rPr>
              <w:t>6.1 The Strategic Actions towards Organisational Improvement.</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_Toc227678148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17</w:t>
            </w:r>
            <w:r w:rsidRPr="00B80025">
              <w:rPr>
                <w:rFonts w:ascii="Arial" w:hAnsi="Arial" w:cs="Arial"/>
                <w:noProof/>
                <w:webHidden/>
              </w:rPr>
              <w:fldChar w:fldCharType="end"/>
            </w:r>
          </w:hyperlink>
        </w:p>
        <w:p w14:paraId="4A76561F" w14:textId="3CA5E479"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49" w:history="1">
            <w:r w:rsidRPr="00B80025">
              <w:rPr>
                <w:rStyle w:val="Hyperlink"/>
                <w:rFonts w:ascii="Arial" w:hAnsi="Arial" w:cs="Arial"/>
                <w:noProof/>
              </w:rPr>
              <w:t>6.2. Leadership Styles that are recommended to maintain the improvement.</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_Toc227678149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17</w:t>
            </w:r>
            <w:r w:rsidRPr="00B80025">
              <w:rPr>
                <w:rFonts w:ascii="Arial" w:hAnsi="Arial" w:cs="Arial"/>
                <w:noProof/>
                <w:webHidden/>
              </w:rPr>
              <w:fldChar w:fldCharType="end"/>
            </w:r>
          </w:hyperlink>
        </w:p>
        <w:p w14:paraId="38D2BE13" w14:textId="0C7D4097"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50" w:history="1">
            <w:r w:rsidRPr="00B80025">
              <w:rPr>
                <w:rStyle w:val="Hyperlink"/>
                <w:rFonts w:ascii="Arial" w:hAnsi="Arial" w:cs="Arial"/>
                <w:noProof/>
              </w:rPr>
              <w:t>6.3. Empowering Governance, Communication and Systems Integration.</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_Toc227678150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17</w:t>
            </w:r>
            <w:r w:rsidRPr="00B80025">
              <w:rPr>
                <w:rFonts w:ascii="Arial" w:hAnsi="Arial" w:cs="Arial"/>
                <w:noProof/>
                <w:webHidden/>
              </w:rPr>
              <w:fldChar w:fldCharType="end"/>
            </w:r>
          </w:hyperlink>
        </w:p>
        <w:p w14:paraId="07D2BE71" w14:textId="03C718BB"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51" w:history="1">
            <w:r w:rsidRPr="00B80025">
              <w:rPr>
                <w:rStyle w:val="Hyperlink"/>
                <w:rFonts w:ascii="Arial" w:hAnsi="Arial" w:cs="Arial"/>
                <w:noProof/>
              </w:rPr>
              <w:t>6.4. Improving technical and Allocative Efficiency.</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_Toc227678151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18</w:t>
            </w:r>
            <w:r w:rsidRPr="00B80025">
              <w:rPr>
                <w:rFonts w:ascii="Arial" w:hAnsi="Arial" w:cs="Arial"/>
                <w:noProof/>
                <w:webHidden/>
              </w:rPr>
              <w:fldChar w:fldCharType="end"/>
            </w:r>
          </w:hyperlink>
        </w:p>
        <w:p w14:paraId="3AE098DE" w14:textId="5D3E0482" w:rsidR="00B80025" w:rsidRPr="00B80025" w:rsidRDefault="00B80025">
          <w:pPr>
            <w:pStyle w:val="TOC1"/>
            <w:tabs>
              <w:tab w:val="right" w:leader="dot" w:pos="9350"/>
            </w:tabs>
            <w:rPr>
              <w:rFonts w:ascii="Arial" w:eastAsiaTheme="minorEastAsia" w:hAnsi="Arial" w:cs="Arial"/>
              <w:noProof/>
              <w:sz w:val="22"/>
              <w:szCs w:val="22"/>
              <w:lang w:val="en-GB"/>
            </w:rPr>
          </w:pPr>
          <w:hyperlink w:anchor="_Toc227678152" w:history="1">
            <w:r w:rsidRPr="00B80025">
              <w:rPr>
                <w:rStyle w:val="Hyperlink"/>
                <w:rFonts w:ascii="Arial" w:hAnsi="Arial" w:cs="Arial"/>
                <w:noProof/>
              </w:rPr>
              <w:t>7. Conclusion</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_Toc227678152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18</w:t>
            </w:r>
            <w:r w:rsidRPr="00B80025">
              <w:rPr>
                <w:rFonts w:ascii="Arial" w:hAnsi="Arial" w:cs="Arial"/>
                <w:noProof/>
                <w:webHidden/>
              </w:rPr>
              <w:fldChar w:fldCharType="end"/>
            </w:r>
          </w:hyperlink>
        </w:p>
        <w:p w14:paraId="55554FBE" w14:textId="194C7549"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53" w:history="1">
            <w:r w:rsidRPr="00B80025">
              <w:rPr>
                <w:rStyle w:val="Hyperlink"/>
                <w:rFonts w:ascii="Arial" w:hAnsi="Arial" w:cs="Arial"/>
                <w:noProof/>
              </w:rPr>
              <w:t>7.1 The main findings of the case study.</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_Toc227678153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18</w:t>
            </w:r>
            <w:r w:rsidRPr="00B80025">
              <w:rPr>
                <w:rFonts w:ascii="Arial" w:hAnsi="Arial" w:cs="Arial"/>
                <w:noProof/>
                <w:webHidden/>
              </w:rPr>
              <w:fldChar w:fldCharType="end"/>
            </w:r>
          </w:hyperlink>
        </w:p>
        <w:p w14:paraId="44E116B9" w14:textId="7DAB1067" w:rsidR="00B80025" w:rsidRPr="00B80025" w:rsidRDefault="00B80025">
          <w:pPr>
            <w:pStyle w:val="TOC2"/>
            <w:tabs>
              <w:tab w:val="right" w:leader="dot" w:pos="9350"/>
            </w:tabs>
            <w:rPr>
              <w:rFonts w:ascii="Arial" w:eastAsiaTheme="minorEastAsia" w:hAnsi="Arial" w:cs="Arial"/>
              <w:noProof/>
              <w:sz w:val="22"/>
              <w:szCs w:val="22"/>
              <w:lang w:val="en-GB"/>
            </w:rPr>
          </w:pPr>
          <w:hyperlink w:anchor="_Toc227678154" w:history="1">
            <w:r w:rsidRPr="00B80025">
              <w:rPr>
                <w:rStyle w:val="Hyperlink"/>
                <w:rFonts w:ascii="Arial" w:hAnsi="Arial" w:cs="Arial"/>
                <w:noProof/>
              </w:rPr>
              <w:t>7.2. The Role of Leadership, Governance and Systems Thinking in Fueling Change.</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_Toc227678154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19</w:t>
            </w:r>
            <w:r w:rsidRPr="00B80025">
              <w:rPr>
                <w:rFonts w:ascii="Arial" w:hAnsi="Arial" w:cs="Arial"/>
                <w:noProof/>
                <w:webHidden/>
              </w:rPr>
              <w:fldChar w:fldCharType="end"/>
            </w:r>
          </w:hyperlink>
        </w:p>
        <w:p w14:paraId="0A3183DD" w14:textId="55144877" w:rsidR="00B80025" w:rsidRPr="00B80025" w:rsidRDefault="00B80025">
          <w:pPr>
            <w:pStyle w:val="TOC1"/>
            <w:tabs>
              <w:tab w:val="right" w:leader="dot" w:pos="9350"/>
            </w:tabs>
            <w:rPr>
              <w:rFonts w:ascii="Arial" w:eastAsiaTheme="minorEastAsia" w:hAnsi="Arial" w:cs="Arial"/>
              <w:noProof/>
              <w:sz w:val="22"/>
              <w:szCs w:val="22"/>
              <w:lang w:val="en-GB"/>
            </w:rPr>
          </w:pPr>
          <w:hyperlink w:anchor="_Toc227678155" w:history="1">
            <w:r w:rsidRPr="00B80025">
              <w:rPr>
                <w:rStyle w:val="Hyperlink"/>
                <w:rFonts w:ascii="Arial" w:hAnsi="Arial" w:cs="Arial"/>
                <w:noProof/>
              </w:rPr>
              <w:t>8. Reference list</w:t>
            </w:r>
            <w:r w:rsidRPr="00B80025">
              <w:rPr>
                <w:rFonts w:ascii="Arial" w:hAnsi="Arial" w:cs="Arial"/>
                <w:noProof/>
                <w:webHidden/>
              </w:rPr>
              <w:tab/>
            </w:r>
            <w:r w:rsidRPr="00B80025">
              <w:rPr>
                <w:rFonts w:ascii="Arial" w:hAnsi="Arial" w:cs="Arial"/>
                <w:noProof/>
                <w:webHidden/>
              </w:rPr>
              <w:fldChar w:fldCharType="begin"/>
            </w:r>
            <w:r w:rsidRPr="00B80025">
              <w:rPr>
                <w:rFonts w:ascii="Arial" w:hAnsi="Arial" w:cs="Arial"/>
                <w:noProof/>
                <w:webHidden/>
              </w:rPr>
              <w:instrText xml:space="preserve"> PAGEREF _Toc227678155 \h </w:instrText>
            </w:r>
            <w:r w:rsidRPr="00B80025">
              <w:rPr>
                <w:rFonts w:ascii="Arial" w:hAnsi="Arial" w:cs="Arial"/>
                <w:noProof/>
                <w:webHidden/>
              </w:rPr>
            </w:r>
            <w:r w:rsidRPr="00B80025">
              <w:rPr>
                <w:rFonts w:ascii="Arial" w:hAnsi="Arial" w:cs="Arial"/>
                <w:noProof/>
                <w:webHidden/>
              </w:rPr>
              <w:fldChar w:fldCharType="separate"/>
            </w:r>
            <w:r w:rsidRPr="00B80025">
              <w:rPr>
                <w:rFonts w:ascii="Arial" w:hAnsi="Arial" w:cs="Arial"/>
                <w:noProof/>
                <w:webHidden/>
              </w:rPr>
              <w:t>20</w:t>
            </w:r>
            <w:r w:rsidRPr="00B80025">
              <w:rPr>
                <w:rFonts w:ascii="Arial" w:hAnsi="Arial" w:cs="Arial"/>
                <w:noProof/>
                <w:webHidden/>
              </w:rPr>
              <w:fldChar w:fldCharType="end"/>
            </w:r>
          </w:hyperlink>
        </w:p>
        <w:p w14:paraId="6CF346E7" w14:textId="289C61CB" w:rsidR="001443B9" w:rsidRPr="00B80025" w:rsidRDefault="001443B9" w:rsidP="001443B9">
          <w:pPr>
            <w:spacing w:line="276" w:lineRule="auto"/>
            <w:rPr>
              <w:rFonts w:ascii="Arial" w:hAnsi="Arial" w:cs="Arial"/>
              <w:color w:val="000000" w:themeColor="text1"/>
            </w:rPr>
          </w:pPr>
          <w:r w:rsidRPr="00B80025">
            <w:rPr>
              <w:rFonts w:ascii="Arial" w:hAnsi="Arial" w:cs="Arial"/>
              <w:b/>
              <w:bCs/>
              <w:noProof/>
              <w:color w:val="000000" w:themeColor="text1"/>
            </w:rPr>
            <w:fldChar w:fldCharType="end"/>
          </w:r>
        </w:p>
      </w:sdtContent>
    </w:sdt>
    <w:p w14:paraId="1EA79772" w14:textId="77777777" w:rsidR="00D06132" w:rsidRPr="00B80025" w:rsidRDefault="00B4551F" w:rsidP="001443B9">
      <w:pPr>
        <w:pBdr>
          <w:top w:val="nil"/>
          <w:left w:val="nil"/>
          <w:bottom w:val="nil"/>
          <w:right w:val="nil"/>
          <w:between w:val="nil"/>
        </w:pBdr>
        <w:spacing w:line="276" w:lineRule="auto"/>
        <w:jc w:val="left"/>
        <w:rPr>
          <w:rFonts w:ascii="Arial" w:hAnsi="Arial" w:cs="Arial"/>
          <w:b/>
          <w:bCs/>
          <w:color w:val="000000" w:themeColor="text1"/>
        </w:rPr>
      </w:pPr>
      <w:r w:rsidRPr="00B80025">
        <w:rPr>
          <w:rFonts w:ascii="Arial" w:hAnsi="Arial" w:cs="Arial"/>
          <w:color w:val="000000" w:themeColor="text1"/>
        </w:rPr>
        <w:br w:type="page"/>
      </w:r>
    </w:p>
    <w:p w14:paraId="1E69BFD7" w14:textId="77777777" w:rsidR="00D06132" w:rsidRPr="00B80025" w:rsidRDefault="00B4551F" w:rsidP="00A36102">
      <w:pPr>
        <w:pStyle w:val="Heading1"/>
        <w:rPr>
          <w:sz w:val="26"/>
          <w:szCs w:val="26"/>
        </w:rPr>
      </w:pPr>
      <w:bookmarkStart w:id="0" w:name="_Toc227678124"/>
      <w:r w:rsidRPr="00B80025">
        <w:lastRenderedPageBreak/>
        <w:t>1. Introduction</w:t>
      </w:r>
      <w:bookmarkEnd w:id="0"/>
    </w:p>
    <w:p w14:paraId="59F16343" w14:textId="77777777" w:rsidR="00D06132" w:rsidRPr="00B80025" w:rsidRDefault="00B4551F" w:rsidP="00A36102">
      <w:pPr>
        <w:pStyle w:val="Heading2"/>
      </w:pPr>
      <w:bookmarkStart w:id="1" w:name="_Toc227678125"/>
      <w:r w:rsidRPr="00B80025">
        <w:t>1.1. Background and Purpose of the Case Study</w:t>
      </w:r>
      <w:bookmarkEnd w:id="1"/>
    </w:p>
    <w:p w14:paraId="1C79D81C"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Lewis Blackman case study is the example of the tragedy of medical negligence in the framework of a healthcare system, when the 15-year-old patient was dead after a regular operation due to the failures of clinical judgement, communication, and </w:t>
      </w:r>
      <w:proofErr w:type="spellStart"/>
      <w:r w:rsidRPr="00B80025">
        <w:rPr>
          <w:rFonts w:ascii="Arial" w:hAnsi="Arial" w:cs="Arial"/>
          <w:color w:val="000000" w:themeColor="text1"/>
          <w:sz w:val="22"/>
          <w:szCs w:val="22"/>
        </w:rPr>
        <w:t>organisational</w:t>
      </w:r>
      <w:proofErr w:type="spellEnd"/>
      <w:r w:rsidRPr="00B80025">
        <w:rPr>
          <w:rFonts w:ascii="Arial" w:hAnsi="Arial" w:cs="Arial"/>
          <w:color w:val="000000" w:themeColor="text1"/>
          <w:sz w:val="22"/>
          <w:szCs w:val="22"/>
        </w:rPr>
        <w:t xml:space="preserve"> control. As the case demonstrates, the preventable harm can be caused by such systemic weaknesses as insufficient supervision, poor decision-making and fragmented care delivery (Ștefan, Popa and Breazu, 2025). It will seek to determine the role of leadership failures in causing poor patient outcomes and lessons that can lead to better safety and quality in health and social care systems.</w:t>
      </w:r>
    </w:p>
    <w:p w14:paraId="5A047BBD" w14:textId="77777777" w:rsidR="004E1D18" w:rsidRPr="00B80025" w:rsidRDefault="004E1D18" w:rsidP="00A36102">
      <w:pPr>
        <w:pBdr>
          <w:top w:val="nil"/>
          <w:left w:val="nil"/>
          <w:bottom w:val="nil"/>
          <w:right w:val="nil"/>
          <w:between w:val="nil"/>
        </w:pBdr>
        <w:rPr>
          <w:rFonts w:ascii="Arial" w:hAnsi="Arial" w:cs="Arial"/>
          <w:color w:val="000000" w:themeColor="text1"/>
          <w:sz w:val="22"/>
          <w:szCs w:val="22"/>
        </w:rPr>
      </w:pPr>
    </w:p>
    <w:p w14:paraId="09646AB0" w14:textId="77777777" w:rsidR="00D06132" w:rsidRPr="00B80025" w:rsidRDefault="00B4551F" w:rsidP="00A36102">
      <w:pPr>
        <w:pStyle w:val="Heading2"/>
      </w:pPr>
      <w:bookmarkStart w:id="2" w:name="_Toc227678126"/>
      <w:r w:rsidRPr="00B80025">
        <w:t>1.2. Concept of Leadership in Health and Social Care</w:t>
      </w:r>
      <w:bookmarkEnd w:id="2"/>
    </w:p>
    <w:p w14:paraId="6C5DA479" w14:textId="2DCDA392"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Health and social care leadership is the capacity to influence, guide and guide people or teams to accomplish common objectives especially in the provision of safe, effective, and patient-</w:t>
      </w:r>
      <w:proofErr w:type="spellStart"/>
      <w:r w:rsidRPr="00B80025">
        <w:rPr>
          <w:rFonts w:ascii="Arial" w:hAnsi="Arial" w:cs="Arial"/>
          <w:color w:val="000000" w:themeColor="text1"/>
          <w:sz w:val="22"/>
          <w:szCs w:val="22"/>
        </w:rPr>
        <w:t>centred</w:t>
      </w:r>
      <w:proofErr w:type="spellEnd"/>
      <w:r w:rsidRPr="00B80025">
        <w:rPr>
          <w:rFonts w:ascii="Arial" w:hAnsi="Arial" w:cs="Arial"/>
          <w:color w:val="000000" w:themeColor="text1"/>
          <w:sz w:val="22"/>
          <w:szCs w:val="22"/>
        </w:rPr>
        <w:t xml:space="preserve"> care. It entails decision making, communication, accountability and ability to react to a complex and dynamic situation (</w:t>
      </w:r>
      <w:proofErr w:type="spellStart"/>
      <w:r w:rsidRPr="00B80025">
        <w:rPr>
          <w:rFonts w:ascii="Arial" w:hAnsi="Arial" w:cs="Arial"/>
          <w:color w:val="000000" w:themeColor="text1"/>
          <w:sz w:val="22"/>
          <w:szCs w:val="22"/>
        </w:rPr>
        <w:t>Malićanin</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2025).</w:t>
      </w:r>
      <w:r w:rsidR="0033341C" w:rsidRPr="00B80025">
        <w:rPr>
          <w:color w:val="000000" w:themeColor="text1"/>
        </w:rPr>
        <w:t xml:space="preserve"> </w:t>
      </w:r>
      <w:r w:rsidR="0033341C" w:rsidRPr="00B80025">
        <w:rPr>
          <w:rFonts w:ascii="Arial" w:hAnsi="Arial" w:cs="Arial"/>
          <w:color w:val="000000" w:themeColor="text1"/>
          <w:sz w:val="22"/>
          <w:szCs w:val="22"/>
        </w:rPr>
        <w:t>Healthcare leadership is the act of influencing, guiding, and coordinating teams to provide for consistent safe, effective, patient-</w:t>
      </w:r>
      <w:proofErr w:type="spellStart"/>
      <w:r w:rsidR="0033341C" w:rsidRPr="00B80025">
        <w:rPr>
          <w:rFonts w:ascii="Arial" w:hAnsi="Arial" w:cs="Arial"/>
          <w:color w:val="000000" w:themeColor="text1"/>
          <w:sz w:val="22"/>
          <w:szCs w:val="22"/>
        </w:rPr>
        <w:t>centred</w:t>
      </w:r>
      <w:proofErr w:type="spellEnd"/>
      <w:r w:rsidR="0033341C" w:rsidRPr="00B80025">
        <w:rPr>
          <w:rFonts w:ascii="Arial" w:hAnsi="Arial" w:cs="Arial"/>
          <w:color w:val="000000" w:themeColor="text1"/>
          <w:sz w:val="22"/>
          <w:szCs w:val="22"/>
        </w:rPr>
        <w:t xml:space="preserve"> care (</w:t>
      </w:r>
      <w:r w:rsidR="00E20F4D" w:rsidRPr="00B80025">
        <w:rPr>
          <w:rFonts w:ascii="Arial" w:hAnsi="Arial" w:cs="Arial"/>
          <w:color w:val="000000" w:themeColor="text1"/>
          <w:sz w:val="22"/>
          <w:szCs w:val="22"/>
        </w:rPr>
        <w:t xml:space="preserve">Balogun </w:t>
      </w:r>
      <w:r w:rsidR="00E20F4D" w:rsidRPr="00B80025">
        <w:rPr>
          <w:rFonts w:ascii="Arial" w:hAnsi="Arial" w:cs="Arial"/>
          <w:i/>
          <w:iCs/>
          <w:color w:val="000000" w:themeColor="text1"/>
          <w:sz w:val="22"/>
          <w:szCs w:val="22"/>
        </w:rPr>
        <w:t>et al.</w:t>
      </w:r>
      <w:r w:rsidR="00E20F4D" w:rsidRPr="00B80025">
        <w:rPr>
          <w:rFonts w:ascii="Arial" w:hAnsi="Arial" w:cs="Arial"/>
          <w:color w:val="000000" w:themeColor="text1"/>
          <w:sz w:val="22"/>
          <w:szCs w:val="22"/>
        </w:rPr>
        <w:t xml:space="preserve"> 2024</w:t>
      </w:r>
      <w:r w:rsidR="0033341C" w:rsidRPr="00B80025">
        <w:rPr>
          <w:rFonts w:ascii="Arial" w:hAnsi="Arial" w:cs="Arial"/>
          <w:color w:val="000000" w:themeColor="text1"/>
          <w:sz w:val="22"/>
          <w:szCs w:val="22"/>
        </w:rPr>
        <w:t>).</w:t>
      </w:r>
      <w:r w:rsidRPr="00B80025">
        <w:rPr>
          <w:rFonts w:ascii="Arial" w:hAnsi="Arial" w:cs="Arial"/>
          <w:color w:val="000000" w:themeColor="text1"/>
          <w:sz w:val="22"/>
          <w:szCs w:val="22"/>
        </w:rPr>
        <w:t xml:space="preserve"> </w:t>
      </w:r>
    </w:p>
    <w:p w14:paraId="167BE449" w14:textId="77777777" w:rsidR="004E1D18" w:rsidRPr="00B80025" w:rsidRDefault="004E1D18" w:rsidP="00A36102">
      <w:pPr>
        <w:pBdr>
          <w:top w:val="nil"/>
          <w:left w:val="nil"/>
          <w:bottom w:val="nil"/>
          <w:right w:val="nil"/>
          <w:between w:val="nil"/>
        </w:pBdr>
        <w:rPr>
          <w:rFonts w:ascii="Arial" w:hAnsi="Arial" w:cs="Arial"/>
          <w:color w:val="000000" w:themeColor="text1"/>
          <w:sz w:val="22"/>
          <w:szCs w:val="22"/>
        </w:rPr>
      </w:pPr>
    </w:p>
    <w:p w14:paraId="5F7B9B2F" w14:textId="77777777" w:rsidR="00D06132" w:rsidRPr="00B80025" w:rsidRDefault="00B4551F" w:rsidP="00A36102">
      <w:pPr>
        <w:pStyle w:val="Heading2"/>
      </w:pPr>
      <w:bookmarkStart w:id="3" w:name="_Toc227678127"/>
      <w:r w:rsidRPr="00B80025">
        <w:t xml:space="preserve">1.3. </w:t>
      </w:r>
      <w:proofErr w:type="spellStart"/>
      <w:r w:rsidRPr="00B80025">
        <w:t>Centralisation</w:t>
      </w:r>
      <w:proofErr w:type="spellEnd"/>
      <w:r w:rsidRPr="00B80025">
        <w:t xml:space="preserve">, </w:t>
      </w:r>
      <w:proofErr w:type="spellStart"/>
      <w:r w:rsidRPr="00B80025">
        <w:t>Decentralisation</w:t>
      </w:r>
      <w:proofErr w:type="spellEnd"/>
      <w:r w:rsidRPr="00B80025">
        <w:t>, and Leadership Theories</w:t>
      </w:r>
      <w:bookmarkEnd w:id="3"/>
    </w:p>
    <w:p w14:paraId="23FD4333" w14:textId="07D71AD6"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healthcare systems may be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or </w:t>
      </w:r>
      <w:proofErr w:type="spellStart"/>
      <w:r w:rsidRPr="00B80025">
        <w:rPr>
          <w:rFonts w:ascii="Arial" w:hAnsi="Arial" w:cs="Arial"/>
          <w:color w:val="000000" w:themeColor="text1"/>
          <w:sz w:val="22"/>
          <w:szCs w:val="22"/>
        </w:rPr>
        <w:t>decentralised</w:t>
      </w:r>
      <w:proofErr w:type="spellEnd"/>
      <w:r w:rsidRPr="00B80025">
        <w:rPr>
          <w:rFonts w:ascii="Arial" w:hAnsi="Arial" w:cs="Arial"/>
          <w:color w:val="000000" w:themeColor="text1"/>
          <w:sz w:val="22"/>
          <w:szCs w:val="22"/>
        </w:rPr>
        <w:t xml:space="preserve">. In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systems, the seat of decision-making power is located higher and this can guarantee consistency but will delay in responding during emergencies (</w:t>
      </w:r>
      <w:proofErr w:type="spellStart"/>
      <w:r w:rsidRPr="00B80025">
        <w:rPr>
          <w:rFonts w:ascii="Arial" w:hAnsi="Arial" w:cs="Arial"/>
          <w:color w:val="000000" w:themeColor="text1"/>
          <w:sz w:val="22"/>
          <w:szCs w:val="22"/>
        </w:rPr>
        <w:t>Tsapnidou</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2024). </w:t>
      </w:r>
      <w:r w:rsidR="0033341C" w:rsidRPr="00B80025">
        <w:rPr>
          <w:rFonts w:ascii="Arial" w:hAnsi="Arial" w:cs="Arial"/>
          <w:color w:val="000000" w:themeColor="text1"/>
          <w:sz w:val="22"/>
          <w:szCs w:val="22"/>
        </w:rPr>
        <w:t>Whereas, t</w:t>
      </w:r>
      <w:r w:rsidRPr="00B80025">
        <w:rPr>
          <w:rFonts w:ascii="Arial" w:hAnsi="Arial" w:cs="Arial"/>
          <w:color w:val="000000" w:themeColor="text1"/>
          <w:sz w:val="22"/>
          <w:szCs w:val="22"/>
        </w:rPr>
        <w:t>ransformational leadership is characterized by the process of inspiring and motivating employees towards a common objective and aims, transactional leadership is characterized by structure, rules and performance awards</w:t>
      </w:r>
      <w:r w:rsidR="00E20F4D" w:rsidRPr="00B80025">
        <w:rPr>
          <w:rFonts w:ascii="Arial" w:hAnsi="Arial" w:cs="Arial"/>
          <w:color w:val="000000" w:themeColor="text1"/>
          <w:sz w:val="22"/>
          <w:szCs w:val="22"/>
        </w:rPr>
        <w:t>. S</w:t>
      </w:r>
      <w:r w:rsidRPr="00B80025">
        <w:rPr>
          <w:rFonts w:ascii="Arial" w:hAnsi="Arial" w:cs="Arial"/>
          <w:color w:val="000000" w:themeColor="text1"/>
          <w:sz w:val="22"/>
          <w:szCs w:val="22"/>
        </w:rPr>
        <w:t>ituational leadership points out the necessity to adjust the leadership style according to the circumstances and requirements of a situation</w:t>
      </w:r>
      <w:r w:rsidR="0033341C" w:rsidRPr="00B80025">
        <w:rPr>
          <w:rFonts w:ascii="Arial" w:hAnsi="Arial" w:cs="Arial"/>
          <w:color w:val="000000" w:themeColor="text1"/>
          <w:sz w:val="22"/>
          <w:szCs w:val="22"/>
        </w:rPr>
        <w:t xml:space="preserve"> (</w:t>
      </w:r>
      <w:proofErr w:type="spellStart"/>
      <w:r w:rsidR="00E20F4D" w:rsidRPr="00B80025">
        <w:rPr>
          <w:rFonts w:ascii="Arial" w:hAnsi="Arial" w:cs="Arial"/>
          <w:color w:val="000000" w:themeColor="text1"/>
          <w:sz w:val="22"/>
          <w:szCs w:val="22"/>
        </w:rPr>
        <w:t>Klarström</w:t>
      </w:r>
      <w:proofErr w:type="spellEnd"/>
      <w:r w:rsidR="00E20F4D" w:rsidRPr="00B80025">
        <w:rPr>
          <w:rFonts w:ascii="Arial" w:hAnsi="Arial" w:cs="Arial"/>
          <w:color w:val="000000" w:themeColor="text1"/>
          <w:sz w:val="22"/>
          <w:szCs w:val="22"/>
        </w:rPr>
        <w:t xml:space="preserve"> </w:t>
      </w:r>
      <w:r w:rsidR="00E20F4D" w:rsidRPr="00B80025">
        <w:rPr>
          <w:rFonts w:ascii="Arial" w:hAnsi="Arial" w:cs="Arial"/>
          <w:i/>
          <w:iCs/>
          <w:color w:val="000000" w:themeColor="text1"/>
          <w:sz w:val="22"/>
          <w:szCs w:val="22"/>
        </w:rPr>
        <w:t>et al.</w:t>
      </w:r>
      <w:r w:rsidR="00E20F4D" w:rsidRPr="00B80025">
        <w:rPr>
          <w:rFonts w:ascii="Arial" w:hAnsi="Arial" w:cs="Arial"/>
          <w:color w:val="000000" w:themeColor="text1"/>
          <w:sz w:val="22"/>
          <w:szCs w:val="22"/>
        </w:rPr>
        <w:t xml:space="preserve"> 2025</w:t>
      </w:r>
      <w:r w:rsidR="0033341C" w:rsidRPr="00B80025">
        <w:rPr>
          <w:rFonts w:ascii="Arial" w:hAnsi="Arial" w:cs="Arial"/>
          <w:color w:val="000000" w:themeColor="text1"/>
          <w:sz w:val="22"/>
          <w:szCs w:val="22"/>
        </w:rPr>
        <w:t>)</w:t>
      </w:r>
      <w:r w:rsidRPr="00B80025">
        <w:rPr>
          <w:rFonts w:ascii="Arial" w:hAnsi="Arial" w:cs="Arial"/>
          <w:color w:val="000000" w:themeColor="text1"/>
          <w:sz w:val="22"/>
          <w:szCs w:val="22"/>
        </w:rPr>
        <w:t>.</w:t>
      </w:r>
    </w:p>
    <w:p w14:paraId="76498D09" w14:textId="77777777" w:rsidR="004E1D18" w:rsidRPr="00B80025" w:rsidRDefault="004E1D18" w:rsidP="00A36102">
      <w:pPr>
        <w:pBdr>
          <w:top w:val="nil"/>
          <w:left w:val="nil"/>
          <w:bottom w:val="nil"/>
          <w:right w:val="nil"/>
          <w:between w:val="nil"/>
        </w:pBdr>
        <w:rPr>
          <w:rFonts w:ascii="Arial" w:hAnsi="Arial" w:cs="Arial"/>
          <w:color w:val="000000" w:themeColor="text1"/>
          <w:sz w:val="22"/>
          <w:szCs w:val="22"/>
        </w:rPr>
      </w:pPr>
    </w:p>
    <w:p w14:paraId="4607CF4C" w14:textId="77777777" w:rsidR="00D06132" w:rsidRPr="00B80025" w:rsidRDefault="00B4551F" w:rsidP="00A36102">
      <w:pPr>
        <w:pStyle w:val="Heading2"/>
      </w:pPr>
      <w:bookmarkStart w:id="4" w:name="_Toc227678128"/>
      <w:r w:rsidRPr="00B80025">
        <w:t>1.4. Importance of Leadership in Change and Crisis Situations</w:t>
      </w:r>
      <w:bookmarkEnd w:id="4"/>
    </w:p>
    <w:p w14:paraId="34A8734C" w14:textId="52CB684A"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choice of leadership style is an important aspect of health care especially when change or crisis is involved. With good leadership, there will be ability to make timely decisions, communicate effectively and escalate care accordingly, which will guarantee a high degree of patient safety (Restivo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2022). Poor leadership in high-pressure situations, where the case of Lewis Blackman was described, will lead to delayed interventions, misunderstandings and low </w:t>
      </w:r>
      <w:r w:rsidRPr="00B80025">
        <w:rPr>
          <w:rFonts w:ascii="Arial" w:hAnsi="Arial" w:cs="Arial"/>
          <w:color w:val="000000" w:themeColor="text1"/>
          <w:sz w:val="22"/>
          <w:szCs w:val="22"/>
        </w:rPr>
        <w:lastRenderedPageBreak/>
        <w:t>outcomes</w:t>
      </w:r>
      <w:r w:rsidR="0033341C" w:rsidRPr="00B80025">
        <w:rPr>
          <w:rFonts w:ascii="Arial" w:hAnsi="Arial" w:cs="Arial"/>
          <w:color w:val="000000" w:themeColor="text1"/>
          <w:sz w:val="22"/>
          <w:szCs w:val="22"/>
        </w:rPr>
        <w:t xml:space="preserve"> (</w:t>
      </w:r>
      <w:r w:rsidR="00E20F4D" w:rsidRPr="00B80025">
        <w:rPr>
          <w:rFonts w:ascii="Arial" w:hAnsi="Arial" w:cs="Arial"/>
          <w:color w:val="000000" w:themeColor="text1"/>
          <w:sz w:val="22"/>
          <w:szCs w:val="22"/>
        </w:rPr>
        <w:t xml:space="preserve">Goosby </w:t>
      </w:r>
      <w:r w:rsidR="00E20F4D" w:rsidRPr="00B80025">
        <w:rPr>
          <w:rFonts w:ascii="Arial" w:hAnsi="Arial" w:cs="Arial"/>
          <w:i/>
          <w:iCs/>
          <w:color w:val="000000" w:themeColor="text1"/>
          <w:sz w:val="22"/>
          <w:szCs w:val="22"/>
        </w:rPr>
        <w:t>et al.</w:t>
      </w:r>
      <w:r w:rsidR="00B80025" w:rsidRPr="00B80025">
        <w:rPr>
          <w:rFonts w:ascii="Arial" w:hAnsi="Arial" w:cs="Arial"/>
          <w:i/>
          <w:iCs/>
          <w:color w:val="000000" w:themeColor="text1"/>
          <w:sz w:val="22"/>
          <w:szCs w:val="22"/>
        </w:rPr>
        <w:t>,</w:t>
      </w:r>
      <w:r w:rsidR="00B80025" w:rsidRPr="00B80025">
        <w:rPr>
          <w:rFonts w:ascii="Arial" w:hAnsi="Arial" w:cs="Arial"/>
          <w:color w:val="000000" w:themeColor="text1"/>
          <w:sz w:val="22"/>
          <w:szCs w:val="22"/>
        </w:rPr>
        <w:t xml:space="preserve"> </w:t>
      </w:r>
      <w:r w:rsidR="00E20F4D" w:rsidRPr="00B80025">
        <w:rPr>
          <w:rFonts w:ascii="Arial" w:hAnsi="Arial" w:cs="Arial"/>
          <w:color w:val="000000" w:themeColor="text1"/>
          <w:sz w:val="22"/>
          <w:szCs w:val="22"/>
        </w:rPr>
        <w:t>2025</w:t>
      </w:r>
      <w:r w:rsidR="0033341C" w:rsidRPr="00B80025">
        <w:rPr>
          <w:rFonts w:ascii="Arial" w:hAnsi="Arial" w:cs="Arial"/>
          <w:color w:val="000000" w:themeColor="text1"/>
          <w:sz w:val="22"/>
          <w:szCs w:val="22"/>
        </w:rPr>
        <w:t>)</w:t>
      </w:r>
      <w:r w:rsidRPr="00B80025">
        <w:rPr>
          <w:rFonts w:ascii="Arial" w:hAnsi="Arial" w:cs="Arial"/>
          <w:color w:val="000000" w:themeColor="text1"/>
          <w:sz w:val="22"/>
          <w:szCs w:val="22"/>
        </w:rPr>
        <w:t xml:space="preserve">. </w:t>
      </w:r>
      <w:r w:rsidR="0033341C" w:rsidRPr="00B80025">
        <w:rPr>
          <w:rFonts w:ascii="Arial" w:hAnsi="Arial" w:cs="Arial"/>
          <w:color w:val="000000" w:themeColor="text1"/>
          <w:sz w:val="22"/>
          <w:szCs w:val="22"/>
        </w:rPr>
        <w:t>Although in Section 1.3, the theoretical models of leadership have been described, Section 1.4 is more effective as it relates leadership styles to the crisis situation and patient safety.</w:t>
      </w:r>
    </w:p>
    <w:p w14:paraId="3D5BF889" w14:textId="77777777" w:rsidR="00D06132" w:rsidRPr="00B80025" w:rsidRDefault="00B4551F" w:rsidP="00A36102">
      <w:pPr>
        <w:pStyle w:val="Heading2"/>
      </w:pPr>
      <w:bookmarkStart w:id="5" w:name="_Toc227678129"/>
      <w:r w:rsidRPr="00B80025">
        <w:t>1.5. Structure of the Report</w:t>
      </w:r>
      <w:bookmarkEnd w:id="5"/>
    </w:p>
    <w:p w14:paraId="0C5A7604"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In this report, the key problem of the case study will be identified and </w:t>
      </w:r>
      <w:proofErr w:type="spellStart"/>
      <w:r w:rsidRPr="00B80025">
        <w:rPr>
          <w:rFonts w:ascii="Arial" w:hAnsi="Arial" w:cs="Arial"/>
          <w:color w:val="000000" w:themeColor="text1"/>
          <w:sz w:val="22"/>
          <w:szCs w:val="22"/>
        </w:rPr>
        <w:t>analysed</w:t>
      </w:r>
      <w:proofErr w:type="spellEnd"/>
      <w:r w:rsidRPr="00B80025">
        <w:rPr>
          <w:rFonts w:ascii="Arial" w:hAnsi="Arial" w:cs="Arial"/>
          <w:color w:val="000000" w:themeColor="text1"/>
          <w:sz w:val="22"/>
          <w:szCs w:val="22"/>
        </w:rPr>
        <w:t xml:space="preserve"> through systems thinking and statistical data provided. It shall then discuss how the concept of </w:t>
      </w:r>
      <w:proofErr w:type="spellStart"/>
      <w:r w:rsidRPr="00B80025">
        <w:rPr>
          <w:rFonts w:ascii="Arial" w:hAnsi="Arial" w:cs="Arial"/>
          <w:color w:val="000000" w:themeColor="text1"/>
          <w:sz w:val="22"/>
          <w:szCs w:val="22"/>
        </w:rPr>
        <w:t>centralisation</w:t>
      </w:r>
      <w:proofErr w:type="spellEnd"/>
      <w:r w:rsidRPr="00B80025">
        <w:rPr>
          <w:rFonts w:ascii="Arial" w:hAnsi="Arial" w:cs="Arial"/>
          <w:color w:val="000000" w:themeColor="text1"/>
          <w:sz w:val="22"/>
          <w:szCs w:val="22"/>
        </w:rPr>
        <w:t xml:space="preserve"> and </w:t>
      </w:r>
      <w:proofErr w:type="spellStart"/>
      <w:r w:rsidRPr="00B80025">
        <w:rPr>
          <w:rFonts w:ascii="Arial" w:hAnsi="Arial" w:cs="Arial"/>
          <w:color w:val="000000" w:themeColor="text1"/>
          <w:sz w:val="22"/>
          <w:szCs w:val="22"/>
        </w:rPr>
        <w:t>decentralisation</w:t>
      </w:r>
      <w:proofErr w:type="spellEnd"/>
      <w:r w:rsidRPr="00B80025">
        <w:rPr>
          <w:rFonts w:ascii="Arial" w:hAnsi="Arial" w:cs="Arial"/>
          <w:color w:val="000000" w:themeColor="text1"/>
          <w:sz w:val="22"/>
          <w:szCs w:val="22"/>
        </w:rPr>
        <w:t xml:space="preserve"> contributes to decision making and accountability. Lastly, the report will offer evidence-based improvements and recommendations on how the leadership, governance, and the general system performance in health and social care can be improved.</w:t>
      </w:r>
    </w:p>
    <w:p w14:paraId="6FBB44E9" w14:textId="77777777" w:rsidR="004E1D18" w:rsidRPr="00B80025" w:rsidRDefault="004E1D18" w:rsidP="00A36102">
      <w:pPr>
        <w:pBdr>
          <w:top w:val="nil"/>
          <w:left w:val="nil"/>
          <w:bottom w:val="nil"/>
          <w:right w:val="nil"/>
          <w:between w:val="nil"/>
        </w:pBdr>
        <w:rPr>
          <w:rFonts w:ascii="Arial" w:hAnsi="Arial" w:cs="Arial"/>
          <w:color w:val="000000" w:themeColor="text1"/>
          <w:sz w:val="22"/>
          <w:szCs w:val="22"/>
        </w:rPr>
      </w:pPr>
    </w:p>
    <w:p w14:paraId="056E2D8E" w14:textId="77777777" w:rsidR="00D06132" w:rsidRPr="00B80025" w:rsidRDefault="00B4551F" w:rsidP="00A36102">
      <w:pPr>
        <w:pStyle w:val="Heading1"/>
      </w:pPr>
      <w:bookmarkStart w:id="6" w:name="_Toc227678130"/>
      <w:r w:rsidRPr="00B80025">
        <w:t>2. Identifying the Problem and Setting the System Context- Applying Systems Thinking and the Rich Picture</w:t>
      </w:r>
      <w:bookmarkEnd w:id="6"/>
    </w:p>
    <w:p w14:paraId="6ED6599B"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noProof/>
          <w:color w:val="000000" w:themeColor="text1"/>
          <w:sz w:val="22"/>
          <w:szCs w:val="22"/>
        </w:rPr>
        <w:drawing>
          <wp:inline distT="114300" distB="114300" distL="114300" distR="114300" wp14:anchorId="3AB149CE" wp14:editId="3E6930CA">
            <wp:extent cx="5943600" cy="39624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3962400"/>
                    </a:xfrm>
                    <a:prstGeom prst="rect">
                      <a:avLst/>
                    </a:prstGeom>
                    <a:ln/>
                  </pic:spPr>
                </pic:pic>
              </a:graphicData>
            </a:graphic>
          </wp:inline>
        </w:drawing>
      </w:r>
    </w:p>
    <w:p w14:paraId="303871EA" w14:textId="77777777" w:rsidR="00D06132" w:rsidRPr="00B80025" w:rsidRDefault="00B4551F" w:rsidP="00A36102">
      <w:pPr>
        <w:pBdr>
          <w:top w:val="nil"/>
          <w:left w:val="nil"/>
          <w:bottom w:val="nil"/>
          <w:right w:val="nil"/>
          <w:between w:val="nil"/>
        </w:pBdr>
        <w:jc w:val="cente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Figure 1: Rich Picture</w:t>
      </w:r>
    </w:p>
    <w:p w14:paraId="0076F959" w14:textId="77777777" w:rsidR="00D06132" w:rsidRPr="00B80025" w:rsidRDefault="00B4551F" w:rsidP="00A36102">
      <w:pPr>
        <w:pBdr>
          <w:top w:val="nil"/>
          <w:left w:val="nil"/>
          <w:bottom w:val="nil"/>
          <w:right w:val="nil"/>
          <w:between w:val="nil"/>
        </w:pBdr>
        <w:jc w:val="center"/>
        <w:rPr>
          <w:rFonts w:ascii="Arial" w:hAnsi="Arial" w:cs="Arial"/>
          <w:color w:val="000000" w:themeColor="text1"/>
          <w:sz w:val="22"/>
          <w:szCs w:val="22"/>
        </w:rPr>
      </w:pPr>
      <w:r w:rsidRPr="00B80025">
        <w:rPr>
          <w:rFonts w:ascii="Arial" w:hAnsi="Arial" w:cs="Arial"/>
          <w:color w:val="000000" w:themeColor="text1"/>
          <w:sz w:val="22"/>
          <w:szCs w:val="22"/>
        </w:rPr>
        <w:t>(Source: Author)</w:t>
      </w:r>
    </w:p>
    <w:p w14:paraId="61EC6913" w14:textId="77777777" w:rsidR="004E1D18" w:rsidRPr="00B80025" w:rsidRDefault="004E1D18" w:rsidP="00A36102">
      <w:pPr>
        <w:pBdr>
          <w:top w:val="nil"/>
          <w:left w:val="nil"/>
          <w:bottom w:val="nil"/>
          <w:right w:val="nil"/>
          <w:between w:val="nil"/>
        </w:pBdr>
        <w:jc w:val="center"/>
        <w:rPr>
          <w:rFonts w:ascii="Arial" w:hAnsi="Arial" w:cs="Arial"/>
          <w:color w:val="000000" w:themeColor="text1"/>
          <w:sz w:val="22"/>
          <w:szCs w:val="22"/>
        </w:rPr>
      </w:pPr>
    </w:p>
    <w:p w14:paraId="6F488EEA" w14:textId="241BE9E0"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lastRenderedPageBreak/>
        <w:t xml:space="preserve">The visual picture of the rich picture </w:t>
      </w:r>
      <w:r w:rsidR="004E1D18" w:rsidRPr="00B80025">
        <w:rPr>
          <w:rFonts w:ascii="Arial" w:hAnsi="Arial" w:cs="Arial"/>
          <w:color w:val="000000" w:themeColor="text1"/>
          <w:sz w:val="22"/>
          <w:szCs w:val="22"/>
        </w:rPr>
        <w:t xml:space="preserve">(see figure 1) </w:t>
      </w:r>
      <w:r w:rsidRPr="00B80025">
        <w:rPr>
          <w:rFonts w:ascii="Arial" w:hAnsi="Arial" w:cs="Arial"/>
          <w:color w:val="000000" w:themeColor="text1"/>
          <w:sz w:val="22"/>
          <w:szCs w:val="22"/>
        </w:rPr>
        <w:t xml:space="preserve">suggests systemic failures in cases of the Lewis Blackman case as it shows interactions of people, processes, and structures. It presents the case of a 15-year-old patient who developed excruciating pain and deteriorating vital signs during the 30-hour period, but no senior physicians (more than 1-year experience) were able to escalate the case. Gaps that could be critical were created by communication failure (inadequate handovers, switched off monitoring alarms). There is a lack of top management, which is an indicator of poor local governance. Feedback loops indicate that wrong diagnosis and actions promoted degradation. </w:t>
      </w:r>
    </w:p>
    <w:p w14:paraId="4303F542" w14:textId="77777777" w:rsidR="004E1D18" w:rsidRPr="00B80025" w:rsidRDefault="004E1D18" w:rsidP="00A36102">
      <w:pPr>
        <w:pBdr>
          <w:top w:val="nil"/>
          <w:left w:val="nil"/>
          <w:bottom w:val="nil"/>
          <w:right w:val="nil"/>
          <w:between w:val="nil"/>
        </w:pBdr>
        <w:rPr>
          <w:rFonts w:ascii="Arial" w:hAnsi="Arial" w:cs="Arial"/>
          <w:color w:val="000000" w:themeColor="text1"/>
          <w:sz w:val="22"/>
          <w:szCs w:val="22"/>
        </w:rPr>
      </w:pPr>
    </w:p>
    <w:p w14:paraId="4D9FA111" w14:textId="77777777" w:rsidR="00D06132" w:rsidRPr="00B80025" w:rsidRDefault="00B4551F" w:rsidP="00A36102">
      <w:pPr>
        <w:pStyle w:val="Heading2"/>
      </w:pPr>
      <w:bookmarkStart w:id="7" w:name="_Toc227678131"/>
      <w:r w:rsidRPr="00B80025">
        <w:t>2.1. Central Problem in the Case Study.</w:t>
      </w:r>
      <w:bookmarkEnd w:id="7"/>
    </w:p>
    <w:p w14:paraId="7FF2EA81" w14:textId="709FF35E"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Lewis Blackman case is a patient safety event, which is a major failure due to the failure to diagnose the patient, a failure in communication, and senior clinical oversight. After undergoing a common surgical practice, Lewis contracted a perforated duodenal ulcer that was associated with taking Toradol, but the patient was wrongly diagnosed with constipation in more than 30 hours (Diniz</w:t>
      </w:r>
      <w:r w:rsidR="008D4F76" w:rsidRPr="00B80025">
        <w:rPr>
          <w:rFonts w:ascii="Arial" w:hAnsi="Arial" w:cs="Arial"/>
          <w:color w:val="000000" w:themeColor="text1"/>
          <w:sz w:val="22"/>
          <w:szCs w:val="22"/>
        </w:rPr>
        <w:t xml:space="preserve"> </w:t>
      </w:r>
      <w:r w:rsidR="008D4F76" w:rsidRPr="00B80025">
        <w:rPr>
          <w:rFonts w:ascii="Arial" w:hAnsi="Arial" w:cs="Arial"/>
          <w:i/>
          <w:iCs/>
          <w:color w:val="000000" w:themeColor="text1"/>
          <w:sz w:val="22"/>
          <w:szCs w:val="22"/>
        </w:rPr>
        <w:t>et al.</w:t>
      </w:r>
      <w:proofErr w:type="gramStart"/>
      <w:r w:rsidR="008D4F76" w:rsidRPr="00B80025">
        <w:rPr>
          <w:rFonts w:ascii="Arial" w:hAnsi="Arial" w:cs="Arial"/>
          <w:i/>
          <w:iCs/>
          <w:color w:val="000000" w:themeColor="text1"/>
          <w:sz w:val="22"/>
          <w:szCs w:val="22"/>
        </w:rPr>
        <w:t xml:space="preserve">, </w:t>
      </w:r>
      <w:r w:rsidRPr="00B80025">
        <w:rPr>
          <w:rFonts w:ascii="Arial" w:hAnsi="Arial" w:cs="Arial"/>
          <w:color w:val="000000" w:themeColor="text1"/>
          <w:sz w:val="22"/>
          <w:szCs w:val="22"/>
        </w:rPr>
        <w:t xml:space="preserve"> 2025</w:t>
      </w:r>
      <w:proofErr w:type="gramEnd"/>
      <w:r w:rsidRPr="00B80025">
        <w:rPr>
          <w:rFonts w:ascii="Arial" w:hAnsi="Arial" w:cs="Arial"/>
          <w:color w:val="000000" w:themeColor="text1"/>
          <w:sz w:val="22"/>
          <w:szCs w:val="22"/>
        </w:rPr>
        <w:t xml:space="preserve">). It has been indicated that the inability to identify and act upon patient deterioration is contributing to about 12 percent of the hospital deaths that are preventable in the world. Another similar </w:t>
      </w:r>
      <w:proofErr w:type="gramStart"/>
      <w:r w:rsidRPr="00B80025">
        <w:rPr>
          <w:rFonts w:ascii="Arial" w:hAnsi="Arial" w:cs="Arial"/>
          <w:color w:val="000000" w:themeColor="text1"/>
          <w:sz w:val="22"/>
          <w:szCs w:val="22"/>
        </w:rPr>
        <w:t>real life</w:t>
      </w:r>
      <w:proofErr w:type="gramEnd"/>
      <w:r w:rsidRPr="00B80025">
        <w:rPr>
          <w:rFonts w:ascii="Arial" w:hAnsi="Arial" w:cs="Arial"/>
          <w:color w:val="000000" w:themeColor="text1"/>
          <w:sz w:val="22"/>
          <w:szCs w:val="22"/>
        </w:rPr>
        <w:t xml:space="preserve"> scenario is the Mid Staffordshire NHS Foundation Trust scandal (2005-2009) in which 400-1200 of the excess deaths were credited to ineffective clinical monitoring procedures, absence of escalation and poor leadership. The main issue in both scenarios is not the occurrence of one clinical error but the combination of the various failures, such as communication breakdown, fixating on diagnosis, and ineffective governance at the hospital level</w:t>
      </w:r>
      <w:r w:rsidR="0033341C" w:rsidRPr="00B80025">
        <w:rPr>
          <w:rFonts w:ascii="Arial" w:hAnsi="Arial" w:cs="Arial"/>
          <w:color w:val="000000" w:themeColor="text1"/>
          <w:sz w:val="22"/>
          <w:szCs w:val="22"/>
        </w:rPr>
        <w:t xml:space="preserve"> (</w:t>
      </w:r>
      <w:proofErr w:type="spellStart"/>
      <w:r w:rsidR="002D477C" w:rsidRPr="00B80025">
        <w:rPr>
          <w:rFonts w:ascii="Arial" w:hAnsi="Arial" w:cs="Arial"/>
          <w:color w:val="000000" w:themeColor="text1"/>
          <w:sz w:val="22"/>
          <w:szCs w:val="22"/>
        </w:rPr>
        <w:t>Hazwani</w:t>
      </w:r>
      <w:proofErr w:type="spellEnd"/>
      <w:r w:rsidR="002D477C" w:rsidRPr="00B80025">
        <w:rPr>
          <w:rFonts w:ascii="Arial" w:hAnsi="Arial" w:cs="Arial"/>
          <w:color w:val="000000" w:themeColor="text1"/>
          <w:sz w:val="22"/>
          <w:szCs w:val="22"/>
        </w:rPr>
        <w:t xml:space="preserve"> </w:t>
      </w:r>
      <w:r w:rsidR="002D477C" w:rsidRPr="00B80025">
        <w:rPr>
          <w:rFonts w:ascii="Arial" w:hAnsi="Arial" w:cs="Arial"/>
          <w:i/>
          <w:iCs/>
          <w:color w:val="000000" w:themeColor="text1"/>
          <w:sz w:val="22"/>
          <w:szCs w:val="22"/>
        </w:rPr>
        <w:t>et al</w:t>
      </w:r>
      <w:r w:rsidR="00B80025" w:rsidRPr="00B80025">
        <w:rPr>
          <w:rFonts w:ascii="Arial" w:hAnsi="Arial" w:cs="Arial"/>
          <w:i/>
          <w:iCs/>
          <w:color w:val="000000" w:themeColor="text1"/>
          <w:sz w:val="22"/>
          <w:szCs w:val="22"/>
        </w:rPr>
        <w:t>.</w:t>
      </w:r>
      <w:proofErr w:type="gramStart"/>
      <w:r w:rsidR="00B80025" w:rsidRPr="00B80025">
        <w:rPr>
          <w:rFonts w:ascii="Arial" w:hAnsi="Arial" w:cs="Arial"/>
          <w:i/>
          <w:iCs/>
          <w:color w:val="000000" w:themeColor="text1"/>
          <w:sz w:val="22"/>
          <w:szCs w:val="22"/>
        </w:rPr>
        <w:t xml:space="preserve">, </w:t>
      </w:r>
      <w:r w:rsidR="002D477C" w:rsidRPr="00B80025">
        <w:rPr>
          <w:rFonts w:ascii="Arial" w:hAnsi="Arial" w:cs="Arial"/>
          <w:color w:val="000000" w:themeColor="text1"/>
          <w:sz w:val="22"/>
          <w:szCs w:val="22"/>
        </w:rPr>
        <w:t xml:space="preserve"> 2024</w:t>
      </w:r>
      <w:proofErr w:type="gramEnd"/>
      <w:r w:rsidR="0033341C" w:rsidRPr="00B80025">
        <w:rPr>
          <w:rFonts w:ascii="Arial" w:hAnsi="Arial" w:cs="Arial"/>
          <w:color w:val="000000" w:themeColor="text1"/>
          <w:sz w:val="22"/>
          <w:szCs w:val="22"/>
        </w:rPr>
        <w:t>)</w:t>
      </w:r>
      <w:r w:rsidRPr="00B80025">
        <w:rPr>
          <w:rFonts w:ascii="Arial" w:hAnsi="Arial" w:cs="Arial"/>
          <w:color w:val="000000" w:themeColor="text1"/>
          <w:sz w:val="22"/>
          <w:szCs w:val="22"/>
        </w:rPr>
        <w:t>.</w:t>
      </w:r>
    </w:p>
    <w:p w14:paraId="272E6CF6" w14:textId="77777777" w:rsidR="004E1D18" w:rsidRPr="00B80025" w:rsidRDefault="004E1D18" w:rsidP="00A36102">
      <w:pPr>
        <w:pBdr>
          <w:top w:val="nil"/>
          <w:left w:val="nil"/>
          <w:bottom w:val="nil"/>
          <w:right w:val="nil"/>
          <w:between w:val="nil"/>
        </w:pBdr>
        <w:rPr>
          <w:rFonts w:ascii="Arial" w:hAnsi="Arial" w:cs="Arial"/>
          <w:color w:val="000000" w:themeColor="text1"/>
          <w:sz w:val="22"/>
          <w:szCs w:val="22"/>
        </w:rPr>
      </w:pPr>
    </w:p>
    <w:p w14:paraId="251B5532" w14:textId="77777777" w:rsidR="00D06132" w:rsidRPr="00B80025" w:rsidRDefault="00B4551F" w:rsidP="00A36102">
      <w:pPr>
        <w:pStyle w:val="Heading2"/>
      </w:pPr>
      <w:bookmarkStart w:id="8" w:name="_Toc227678132"/>
      <w:r w:rsidRPr="00B80025">
        <w:t>2.2. Global and National Statistical Evidence</w:t>
      </w:r>
      <w:bookmarkEnd w:id="8"/>
    </w:p>
    <w:p w14:paraId="24A01C3C" w14:textId="77777777" w:rsidR="00D06132" w:rsidRPr="00B80025" w:rsidRDefault="00B4551F" w:rsidP="00A36102">
      <w:pP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Global Level of Governance (International Influence)</w:t>
      </w:r>
    </w:p>
    <w:p w14:paraId="2D67DEB3" w14:textId="493DC282" w:rsidR="00D06132" w:rsidRPr="00B80025" w:rsidRDefault="00B4551F" w:rsidP="00A36102">
      <w:pPr>
        <w:rPr>
          <w:rFonts w:ascii="Arial" w:hAnsi="Arial" w:cs="Arial"/>
          <w:color w:val="000000" w:themeColor="text1"/>
          <w:sz w:val="22"/>
          <w:szCs w:val="22"/>
        </w:rPr>
      </w:pPr>
      <w:r w:rsidRPr="00B80025">
        <w:rPr>
          <w:rFonts w:ascii="Arial" w:hAnsi="Arial" w:cs="Arial"/>
          <w:color w:val="000000" w:themeColor="text1"/>
          <w:sz w:val="22"/>
          <w:szCs w:val="22"/>
        </w:rPr>
        <w:t>In the world, unsafe health behaviors are one of the major causes of morbidity and mortality. The World Health Organization (WHO) estimates that 2.6 million deaths are a result of unsafe care annually in low- and middle-income countries, and medication errors alone cost the country about 42 billion a year. In addition, research shows that almost half of the unwanted incidences in hospitals can be avoided, which are usually attributed to ineffective communication and absence of a timely clinical reaction</w:t>
      </w:r>
      <w:r w:rsidR="0033341C" w:rsidRPr="00B80025">
        <w:rPr>
          <w:rFonts w:ascii="Arial" w:hAnsi="Arial" w:cs="Arial"/>
          <w:color w:val="000000" w:themeColor="text1"/>
          <w:sz w:val="22"/>
          <w:szCs w:val="22"/>
        </w:rPr>
        <w:t xml:space="preserve"> (</w:t>
      </w:r>
      <w:proofErr w:type="spellStart"/>
      <w:r w:rsidR="002D477C" w:rsidRPr="00B80025">
        <w:rPr>
          <w:rFonts w:ascii="Arial" w:hAnsi="Arial" w:cs="Arial"/>
          <w:color w:val="000000" w:themeColor="text1"/>
          <w:sz w:val="22"/>
          <w:szCs w:val="22"/>
        </w:rPr>
        <w:t>Katantha</w:t>
      </w:r>
      <w:proofErr w:type="spellEnd"/>
      <w:r w:rsidR="002D477C" w:rsidRPr="00B80025">
        <w:rPr>
          <w:rFonts w:ascii="Arial" w:hAnsi="Arial" w:cs="Arial"/>
          <w:color w:val="000000" w:themeColor="text1"/>
          <w:sz w:val="22"/>
          <w:szCs w:val="22"/>
        </w:rPr>
        <w:t xml:space="preserve"> </w:t>
      </w:r>
      <w:r w:rsidR="002D477C" w:rsidRPr="00B80025">
        <w:rPr>
          <w:rFonts w:ascii="Arial" w:hAnsi="Arial" w:cs="Arial"/>
          <w:i/>
          <w:iCs/>
          <w:color w:val="000000" w:themeColor="text1"/>
          <w:sz w:val="22"/>
          <w:szCs w:val="22"/>
        </w:rPr>
        <w:t>et al.</w:t>
      </w:r>
      <w:proofErr w:type="gramStart"/>
      <w:r w:rsidR="00B80025" w:rsidRPr="00B80025">
        <w:rPr>
          <w:rFonts w:ascii="Arial" w:hAnsi="Arial" w:cs="Arial"/>
          <w:i/>
          <w:iCs/>
          <w:color w:val="000000" w:themeColor="text1"/>
          <w:sz w:val="22"/>
          <w:szCs w:val="22"/>
        </w:rPr>
        <w:t xml:space="preserve">, </w:t>
      </w:r>
      <w:r w:rsidR="002D477C" w:rsidRPr="00B80025">
        <w:rPr>
          <w:rFonts w:ascii="Arial" w:hAnsi="Arial" w:cs="Arial"/>
          <w:color w:val="000000" w:themeColor="text1"/>
          <w:sz w:val="22"/>
          <w:szCs w:val="22"/>
        </w:rPr>
        <w:t xml:space="preserve"> 2025</w:t>
      </w:r>
      <w:proofErr w:type="gramEnd"/>
      <w:r w:rsidR="0033341C" w:rsidRPr="00B80025">
        <w:rPr>
          <w:rFonts w:ascii="Arial" w:hAnsi="Arial" w:cs="Arial"/>
          <w:color w:val="000000" w:themeColor="text1"/>
          <w:sz w:val="22"/>
          <w:szCs w:val="22"/>
        </w:rPr>
        <w:t>)</w:t>
      </w:r>
      <w:r w:rsidRPr="00B80025">
        <w:rPr>
          <w:rFonts w:ascii="Arial" w:hAnsi="Arial" w:cs="Arial"/>
          <w:color w:val="000000" w:themeColor="text1"/>
          <w:sz w:val="22"/>
          <w:szCs w:val="22"/>
        </w:rPr>
        <w:t>.</w:t>
      </w:r>
    </w:p>
    <w:p w14:paraId="04D735A6" w14:textId="77777777" w:rsidR="00D06132" w:rsidRPr="00B80025" w:rsidRDefault="00B4551F" w:rsidP="00A36102">
      <w:pPr>
        <w:jc w:val="center"/>
        <w:rPr>
          <w:rFonts w:ascii="Arial" w:hAnsi="Arial" w:cs="Arial"/>
          <w:color w:val="000000" w:themeColor="text1"/>
          <w:sz w:val="22"/>
          <w:szCs w:val="22"/>
        </w:rPr>
      </w:pPr>
      <w:r w:rsidRPr="00B80025">
        <w:rPr>
          <w:rFonts w:ascii="Arial" w:hAnsi="Arial" w:cs="Arial"/>
          <w:noProof/>
          <w:color w:val="000000" w:themeColor="text1"/>
          <w:sz w:val="22"/>
          <w:szCs w:val="22"/>
        </w:rPr>
        <w:lastRenderedPageBreak/>
        <w:drawing>
          <wp:inline distT="114300" distB="114300" distL="114300" distR="114300" wp14:anchorId="64817DC3" wp14:editId="56C28D83">
            <wp:extent cx="5238750" cy="33432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38750" cy="3343275"/>
                    </a:xfrm>
                    <a:prstGeom prst="rect">
                      <a:avLst/>
                    </a:prstGeom>
                    <a:ln/>
                  </pic:spPr>
                </pic:pic>
              </a:graphicData>
            </a:graphic>
          </wp:inline>
        </w:drawing>
      </w:r>
    </w:p>
    <w:p w14:paraId="4F31D2C2" w14:textId="77777777" w:rsidR="00D06132" w:rsidRPr="00B80025" w:rsidRDefault="00B4551F" w:rsidP="00A36102">
      <w:pPr>
        <w:jc w:val="cente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Figure 2: Interrelated dynamics by which relational leadership is developed and enabled, stretching the outcomes.</w:t>
      </w:r>
    </w:p>
    <w:p w14:paraId="456F31D2" w14:textId="77777777" w:rsidR="00D06132" w:rsidRPr="00B80025" w:rsidRDefault="00B4551F" w:rsidP="00A36102">
      <w:pPr>
        <w:jc w:val="center"/>
        <w:rPr>
          <w:rFonts w:ascii="Arial" w:hAnsi="Arial" w:cs="Arial"/>
          <w:color w:val="000000" w:themeColor="text1"/>
          <w:sz w:val="22"/>
          <w:szCs w:val="22"/>
        </w:rPr>
      </w:pPr>
      <w:r w:rsidRPr="00B80025">
        <w:rPr>
          <w:rFonts w:ascii="Arial" w:hAnsi="Arial" w:cs="Arial"/>
          <w:color w:val="000000" w:themeColor="text1"/>
          <w:sz w:val="22"/>
          <w:szCs w:val="22"/>
        </w:rPr>
        <w:t xml:space="preserve">(Source: Maritsa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2022)</w:t>
      </w:r>
    </w:p>
    <w:p w14:paraId="55D71ADB" w14:textId="77777777" w:rsidR="00D06132" w:rsidRPr="00B80025" w:rsidRDefault="00D06132" w:rsidP="00A36102">
      <w:pPr>
        <w:rPr>
          <w:rFonts w:ascii="Arial" w:hAnsi="Arial" w:cs="Arial"/>
          <w:color w:val="000000" w:themeColor="text1"/>
          <w:sz w:val="22"/>
          <w:szCs w:val="22"/>
        </w:rPr>
      </w:pPr>
    </w:p>
    <w:p w14:paraId="382E2E08" w14:textId="77777777" w:rsidR="00D06132" w:rsidRPr="00B80025" w:rsidRDefault="00B4551F" w:rsidP="00A36102">
      <w:pP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National Level of Governance (Country-Level Influence)</w:t>
      </w:r>
    </w:p>
    <w:p w14:paraId="5EA8C704" w14:textId="3EA3C275" w:rsidR="00D06132" w:rsidRPr="00B80025" w:rsidRDefault="00B4551F" w:rsidP="00A36102">
      <w:pPr>
        <w:rPr>
          <w:rFonts w:ascii="Arial" w:hAnsi="Arial" w:cs="Arial"/>
          <w:color w:val="000000" w:themeColor="text1"/>
          <w:sz w:val="22"/>
          <w:szCs w:val="22"/>
        </w:rPr>
      </w:pPr>
      <w:r w:rsidRPr="00B80025">
        <w:rPr>
          <w:rFonts w:ascii="Arial" w:hAnsi="Arial" w:cs="Arial"/>
          <w:color w:val="000000" w:themeColor="text1"/>
          <w:sz w:val="22"/>
          <w:szCs w:val="22"/>
        </w:rPr>
        <w:t xml:space="preserve">On a national scale, healthcare systems like the NHS of England record more than 2 million patient safety events every year, and about 11,000 deaths resulting from preventable injury are estimated annually. Among the most commonly reported causes are delays in diagnosis and treatment (Maritsa </w:t>
      </w:r>
      <w:r w:rsidRPr="00B80025">
        <w:rPr>
          <w:rFonts w:ascii="Arial" w:hAnsi="Arial" w:cs="Arial"/>
          <w:i/>
          <w:iCs/>
          <w:color w:val="000000" w:themeColor="text1"/>
          <w:sz w:val="22"/>
          <w:szCs w:val="22"/>
        </w:rPr>
        <w:t xml:space="preserve">et al., </w:t>
      </w:r>
      <w:r w:rsidRPr="00B80025">
        <w:rPr>
          <w:rFonts w:ascii="Arial" w:hAnsi="Arial" w:cs="Arial"/>
          <w:color w:val="000000" w:themeColor="text1"/>
          <w:sz w:val="22"/>
          <w:szCs w:val="22"/>
        </w:rPr>
        <w:t xml:space="preserve">2022). </w:t>
      </w:r>
      <w:r w:rsidR="00E20F4D" w:rsidRPr="00B80025">
        <w:rPr>
          <w:rFonts w:ascii="Arial" w:hAnsi="Arial" w:cs="Arial"/>
          <w:color w:val="000000" w:themeColor="text1"/>
          <w:sz w:val="22"/>
          <w:szCs w:val="22"/>
        </w:rPr>
        <w:t xml:space="preserve">Leader-Member exchange is reinforced through trust, organization support, time, and relationship influence that in the end improves the outcome of organizational citizenship behavior and job satisfaction (Maritsa </w:t>
      </w:r>
      <w:r w:rsidR="00E20F4D" w:rsidRPr="00B80025">
        <w:rPr>
          <w:rFonts w:ascii="Arial" w:hAnsi="Arial" w:cs="Arial"/>
          <w:i/>
          <w:iCs/>
          <w:color w:val="000000" w:themeColor="text1"/>
          <w:sz w:val="22"/>
          <w:szCs w:val="22"/>
        </w:rPr>
        <w:t xml:space="preserve">et al., </w:t>
      </w:r>
      <w:r w:rsidR="00E20F4D" w:rsidRPr="00B80025">
        <w:rPr>
          <w:rFonts w:ascii="Arial" w:hAnsi="Arial" w:cs="Arial"/>
          <w:color w:val="000000" w:themeColor="text1"/>
          <w:sz w:val="22"/>
          <w:szCs w:val="22"/>
        </w:rPr>
        <w:t xml:space="preserve">2022). </w:t>
      </w:r>
      <w:r w:rsidRPr="00B80025">
        <w:rPr>
          <w:rFonts w:ascii="Arial" w:hAnsi="Arial" w:cs="Arial"/>
          <w:color w:val="000000" w:themeColor="text1"/>
          <w:sz w:val="22"/>
          <w:szCs w:val="22"/>
        </w:rPr>
        <w:t>An example is the Bristol Royal Infirmary Inquiry (1990s), which reported 30–35 unnecessary deaths among children because of failures in leadership and delays in clinical decision-making.</w:t>
      </w:r>
    </w:p>
    <w:p w14:paraId="6146B2EA" w14:textId="77777777" w:rsidR="004E1D18" w:rsidRPr="00B80025" w:rsidRDefault="004E1D18" w:rsidP="00A36102">
      <w:pPr>
        <w:rPr>
          <w:rFonts w:ascii="Arial" w:hAnsi="Arial" w:cs="Arial"/>
          <w:color w:val="000000" w:themeColor="text1"/>
          <w:sz w:val="22"/>
          <w:szCs w:val="22"/>
        </w:rPr>
      </w:pPr>
    </w:p>
    <w:p w14:paraId="0BE7C3B1" w14:textId="77777777" w:rsidR="00D06132" w:rsidRPr="00B80025" w:rsidRDefault="00B4551F" w:rsidP="00A36102">
      <w:pP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Regional/Organizational Level of Governance (Hospital/System-Level Influence)</w:t>
      </w:r>
    </w:p>
    <w:p w14:paraId="554B0B9B" w14:textId="77777777" w:rsidR="00D06132" w:rsidRPr="00B80025" w:rsidRDefault="00B4551F" w:rsidP="00A36102">
      <w:pPr>
        <w:rPr>
          <w:rFonts w:ascii="Arial" w:hAnsi="Arial" w:cs="Arial"/>
          <w:color w:val="000000" w:themeColor="text1"/>
          <w:sz w:val="22"/>
          <w:szCs w:val="22"/>
        </w:rPr>
      </w:pPr>
      <w:r w:rsidRPr="00B80025">
        <w:rPr>
          <w:rFonts w:ascii="Arial" w:hAnsi="Arial" w:cs="Arial"/>
          <w:color w:val="000000" w:themeColor="text1"/>
          <w:sz w:val="22"/>
          <w:szCs w:val="22"/>
        </w:rPr>
        <w:t xml:space="preserve">At the regional or organizational level, failures within hospital systems—such as poor leadership structures, lack of accountability, and ineffective communication among healthcare teams—significantly contribute to patient safety incidents. These governance gaps often result in delayed responses to clinical deterioration and inadequate coordination of care, reflecting systemic weaknesses within healthcare institutions (Maritsa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2022).</w:t>
      </w:r>
    </w:p>
    <w:p w14:paraId="161CE0A5" w14:textId="77777777" w:rsidR="004E1D18" w:rsidRPr="00B80025" w:rsidRDefault="004E1D18" w:rsidP="00A36102">
      <w:pPr>
        <w:rPr>
          <w:rFonts w:ascii="Arial" w:hAnsi="Arial" w:cs="Arial"/>
          <w:b/>
          <w:bCs/>
          <w:i/>
          <w:iCs/>
          <w:color w:val="000000" w:themeColor="text1"/>
          <w:sz w:val="22"/>
          <w:szCs w:val="22"/>
        </w:rPr>
      </w:pPr>
    </w:p>
    <w:p w14:paraId="7DCA084F" w14:textId="77777777" w:rsidR="004E1D18" w:rsidRPr="00B80025" w:rsidRDefault="004E1D18" w:rsidP="00A36102">
      <w:pPr>
        <w:rPr>
          <w:rFonts w:ascii="Arial" w:hAnsi="Arial" w:cs="Arial"/>
          <w:b/>
          <w:bCs/>
          <w:i/>
          <w:iCs/>
          <w:color w:val="000000" w:themeColor="text1"/>
          <w:sz w:val="22"/>
          <w:szCs w:val="22"/>
        </w:rPr>
      </w:pPr>
    </w:p>
    <w:p w14:paraId="3B091CE4" w14:textId="2581C0B1" w:rsidR="00D06132" w:rsidRPr="00B80025" w:rsidRDefault="00B4551F" w:rsidP="00A36102">
      <w:pP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Local Level of Governance (Clinical/Frontline Influence)</w:t>
      </w:r>
    </w:p>
    <w:p w14:paraId="67A619A9" w14:textId="1BB4D467" w:rsidR="00D06132" w:rsidRPr="00B80025" w:rsidRDefault="00B4551F" w:rsidP="00A36102">
      <w:pPr>
        <w:rPr>
          <w:rFonts w:ascii="Arial" w:hAnsi="Arial" w:cs="Arial"/>
          <w:color w:val="000000" w:themeColor="text1"/>
          <w:sz w:val="22"/>
          <w:szCs w:val="22"/>
        </w:rPr>
      </w:pPr>
      <w:r w:rsidRPr="00B80025">
        <w:rPr>
          <w:rFonts w:ascii="Arial" w:hAnsi="Arial" w:cs="Arial"/>
          <w:color w:val="000000" w:themeColor="text1"/>
          <w:sz w:val="22"/>
          <w:szCs w:val="22"/>
        </w:rPr>
        <w:t>At the local level, the problem is influenced by frontline clinical practices, including breakdowns in communication between staff, failure to escalate patient concerns, and delayed clinical decision-making. In cases such as Lewis Blackman, these immediate care-level failures directly contributed to adverse outcomes, demonstrating how local governance and team dynamics play a critical role in patient safety</w:t>
      </w:r>
      <w:r w:rsidR="00E20F4D" w:rsidRPr="00B80025">
        <w:rPr>
          <w:rFonts w:ascii="Arial" w:hAnsi="Arial" w:cs="Arial"/>
          <w:color w:val="000000" w:themeColor="text1"/>
          <w:sz w:val="22"/>
          <w:szCs w:val="22"/>
        </w:rPr>
        <w:t xml:space="preserve"> (</w:t>
      </w:r>
      <w:proofErr w:type="spellStart"/>
      <w:r w:rsidR="00E20F4D" w:rsidRPr="00B80025">
        <w:rPr>
          <w:rFonts w:ascii="Arial" w:hAnsi="Arial" w:cs="Arial"/>
          <w:color w:val="000000" w:themeColor="text1"/>
          <w:sz w:val="22"/>
          <w:szCs w:val="22"/>
        </w:rPr>
        <w:t>Stojmanovski</w:t>
      </w:r>
      <w:proofErr w:type="spellEnd"/>
      <w:r w:rsidR="00E20F4D" w:rsidRPr="00B80025">
        <w:rPr>
          <w:rFonts w:ascii="Arial" w:hAnsi="Arial" w:cs="Arial"/>
          <w:color w:val="000000" w:themeColor="text1"/>
          <w:sz w:val="22"/>
          <w:szCs w:val="22"/>
        </w:rPr>
        <w:t xml:space="preserve"> Mercieca,)</w:t>
      </w:r>
      <w:r w:rsidRPr="00B80025">
        <w:rPr>
          <w:rFonts w:ascii="Arial" w:hAnsi="Arial" w:cs="Arial"/>
          <w:color w:val="000000" w:themeColor="text1"/>
          <w:sz w:val="22"/>
          <w:szCs w:val="22"/>
        </w:rPr>
        <w:t>.</w:t>
      </w:r>
    </w:p>
    <w:p w14:paraId="5A65E75B" w14:textId="77777777" w:rsidR="004E1D18" w:rsidRPr="00B80025" w:rsidRDefault="004E1D18" w:rsidP="00A36102">
      <w:pPr>
        <w:rPr>
          <w:rFonts w:ascii="Arial" w:hAnsi="Arial" w:cs="Arial"/>
          <w:color w:val="000000" w:themeColor="text1"/>
          <w:sz w:val="22"/>
          <w:szCs w:val="22"/>
        </w:rPr>
      </w:pPr>
    </w:p>
    <w:p w14:paraId="6A33697E" w14:textId="77777777" w:rsidR="00D06132" w:rsidRPr="00B80025" w:rsidRDefault="00B4551F" w:rsidP="00A36102">
      <w:pPr>
        <w:pStyle w:val="Heading2"/>
      </w:pPr>
      <w:bookmarkStart w:id="9" w:name="_Toc227678133"/>
      <w:r w:rsidRPr="00B80025">
        <w:t xml:space="preserve">2.3. </w:t>
      </w:r>
      <w:proofErr w:type="spellStart"/>
      <w:r w:rsidRPr="00B80025">
        <w:t>Organisational</w:t>
      </w:r>
      <w:proofErr w:type="spellEnd"/>
      <w:r w:rsidRPr="00B80025">
        <w:t xml:space="preserve"> Data, Governance, and Underlying Challenges</w:t>
      </w:r>
      <w:bookmarkEnd w:id="9"/>
    </w:p>
    <w:p w14:paraId="516305B4" w14:textId="7BCAECBF" w:rsidR="00D06132" w:rsidRPr="00B80025" w:rsidRDefault="00B4551F" w:rsidP="00A36102">
      <w:pPr>
        <w:pBdr>
          <w:top w:val="nil"/>
          <w:left w:val="nil"/>
          <w:bottom w:val="nil"/>
          <w:right w:val="nil"/>
          <w:between w:val="nil"/>
        </w:pBdr>
        <w:rPr>
          <w:rFonts w:ascii="Arial" w:hAnsi="Arial" w:cs="Arial"/>
          <w:color w:val="000000" w:themeColor="text1"/>
          <w:sz w:val="22"/>
          <w:szCs w:val="22"/>
        </w:rPr>
      </w:pPr>
      <w:proofErr w:type="spellStart"/>
      <w:r w:rsidRPr="00B80025">
        <w:rPr>
          <w:rFonts w:ascii="Arial" w:hAnsi="Arial" w:cs="Arial"/>
          <w:color w:val="000000" w:themeColor="text1"/>
          <w:sz w:val="22"/>
          <w:szCs w:val="22"/>
        </w:rPr>
        <w:t>Organisational</w:t>
      </w:r>
      <w:proofErr w:type="spellEnd"/>
      <w:r w:rsidRPr="00B80025">
        <w:rPr>
          <w:rFonts w:ascii="Arial" w:hAnsi="Arial" w:cs="Arial"/>
          <w:color w:val="000000" w:themeColor="text1"/>
          <w:sz w:val="22"/>
          <w:szCs w:val="22"/>
        </w:rPr>
        <w:t xml:space="preserve"> statistics provided by </w:t>
      </w:r>
      <w:proofErr w:type="spellStart"/>
      <w:r w:rsidRPr="00B80025">
        <w:rPr>
          <w:rFonts w:ascii="Arial" w:hAnsi="Arial" w:cs="Arial"/>
          <w:color w:val="000000" w:themeColor="text1"/>
          <w:sz w:val="22"/>
          <w:szCs w:val="22"/>
        </w:rPr>
        <w:t>organisations</w:t>
      </w:r>
      <w:proofErr w:type="spellEnd"/>
      <w:r w:rsidRPr="00B80025">
        <w:rPr>
          <w:rFonts w:ascii="Arial" w:hAnsi="Arial" w:cs="Arial"/>
          <w:color w:val="000000" w:themeColor="text1"/>
          <w:sz w:val="22"/>
          <w:szCs w:val="22"/>
        </w:rPr>
        <w:t xml:space="preserve"> like the Institute of Healthcare Improvement (IHI) suggest that close to 70 per cent of severe negative occurrences involve communication failures and that poor supervision of junior staff is linked to as high as 25 per cent rise in complications among patients (</w:t>
      </w:r>
      <w:proofErr w:type="spellStart"/>
      <w:r w:rsidRPr="00B80025">
        <w:rPr>
          <w:rFonts w:ascii="Arial" w:hAnsi="Arial" w:cs="Arial"/>
          <w:color w:val="000000" w:themeColor="text1"/>
          <w:sz w:val="22"/>
          <w:szCs w:val="22"/>
        </w:rPr>
        <w:t>Alzghaibi</w:t>
      </w:r>
      <w:proofErr w:type="spellEnd"/>
      <w:r w:rsidRPr="00B80025">
        <w:rPr>
          <w:rFonts w:ascii="Arial" w:hAnsi="Arial" w:cs="Arial"/>
          <w:color w:val="000000" w:themeColor="text1"/>
          <w:sz w:val="22"/>
          <w:szCs w:val="22"/>
        </w:rPr>
        <w:t xml:space="preserve"> and Hutchings, 2024). The case of Lewis Blackman shows that junior doctors who have not worked more than one year dealt with a patient who was in a critical state without involving an attending physician, and it is a governance failure on the local (hospital) level. Moreover, the inadequacy of documentation and monitoring systems also contribute to making the situation worse, and the researches have shown that up to 30 percent of the signs of worsening in patients remain unnoticed or improperly documented. The same can be observed in the Garling Report which reported going through more than 1,500 negative events per year associated with staffing and poor supervision. These characters demonstrate the failure of governance, which is coupled with the resource scarcity and inefficiencies of the system, in contributing to the possibility of avoidable </w:t>
      </w:r>
    </w:p>
    <w:p w14:paraId="6F6D860E" w14:textId="77777777" w:rsidR="004E1D18" w:rsidRPr="00B80025" w:rsidRDefault="004E1D18" w:rsidP="00A36102">
      <w:pPr>
        <w:pBdr>
          <w:top w:val="nil"/>
          <w:left w:val="nil"/>
          <w:bottom w:val="nil"/>
          <w:right w:val="nil"/>
          <w:between w:val="nil"/>
        </w:pBdr>
        <w:rPr>
          <w:rFonts w:ascii="Arial" w:hAnsi="Arial" w:cs="Arial"/>
          <w:color w:val="000000" w:themeColor="text1"/>
          <w:sz w:val="22"/>
          <w:szCs w:val="22"/>
        </w:rPr>
      </w:pPr>
    </w:p>
    <w:p w14:paraId="5EDE98B0" w14:textId="77777777" w:rsidR="00D06132" w:rsidRPr="00B80025" w:rsidRDefault="00B4551F" w:rsidP="00A36102">
      <w:pPr>
        <w:pStyle w:val="Heading2"/>
      </w:pPr>
      <w:bookmarkStart w:id="10" w:name="_Toc227678134"/>
      <w:r w:rsidRPr="00B80025">
        <w:t>2.4. Systemic Weaknesses and Global Relevance of the Problem</w:t>
      </w:r>
      <w:bookmarkEnd w:id="10"/>
    </w:p>
    <w:p w14:paraId="1C949106"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case of the Lewis Blackman illustrates more systemic flaws in the healthcare systems especially on communication and leadership as well as accountability. The inability to resolve the wrong diagnosis is a cognitive bias, whereas the inability to report the issue to the higher authority reflects the hierarchical impediments of clinical teams. It is estimated that across the globe, poor communication has been a cause of over 60 percent of sentinel events as well as poor leadership has been a major contributor to preventable deaths in hospitals (30 percent) (Osmani and </w:t>
      </w:r>
      <w:proofErr w:type="spellStart"/>
      <w:r w:rsidRPr="00B80025">
        <w:rPr>
          <w:rFonts w:ascii="Arial" w:hAnsi="Arial" w:cs="Arial"/>
          <w:color w:val="000000" w:themeColor="text1"/>
          <w:sz w:val="22"/>
          <w:szCs w:val="22"/>
        </w:rPr>
        <w:t>Ndoka</w:t>
      </w:r>
      <w:proofErr w:type="spellEnd"/>
      <w:r w:rsidRPr="00B80025">
        <w:rPr>
          <w:rFonts w:ascii="Arial" w:hAnsi="Arial" w:cs="Arial"/>
          <w:color w:val="000000" w:themeColor="text1"/>
          <w:sz w:val="22"/>
          <w:szCs w:val="22"/>
        </w:rPr>
        <w:t xml:space="preserve">, 2025). These problems are even compounded by the disjointed care systems, where the absence of coordination results in delays in treatment and putting the patients at risk. In terms of governance, the aspect of failure in the case is mainly at the local </w:t>
      </w:r>
      <w:proofErr w:type="spellStart"/>
      <w:r w:rsidRPr="00B80025">
        <w:rPr>
          <w:rFonts w:ascii="Arial" w:hAnsi="Arial" w:cs="Arial"/>
          <w:color w:val="000000" w:themeColor="text1"/>
          <w:sz w:val="22"/>
          <w:szCs w:val="22"/>
        </w:rPr>
        <w:t>organisational</w:t>
      </w:r>
      <w:proofErr w:type="spellEnd"/>
      <w:r w:rsidRPr="00B80025">
        <w:rPr>
          <w:rFonts w:ascii="Arial" w:hAnsi="Arial" w:cs="Arial"/>
          <w:color w:val="000000" w:themeColor="text1"/>
          <w:sz w:val="22"/>
          <w:szCs w:val="22"/>
        </w:rPr>
        <w:t xml:space="preserve"> level, in which </w:t>
      </w:r>
      <w:r w:rsidRPr="00B80025">
        <w:rPr>
          <w:rFonts w:ascii="Arial" w:hAnsi="Arial" w:cs="Arial"/>
          <w:color w:val="000000" w:themeColor="text1"/>
          <w:sz w:val="22"/>
          <w:szCs w:val="22"/>
        </w:rPr>
        <w:lastRenderedPageBreak/>
        <w:t>the policies on supervision, escalation and monitoring of patients were either missing or not effectively applied. This data supports the idea that a greater sense of leadership, a better framework of governance, and the usage of systems thinking are necessary in order to make sure that the deterioration of patients is realized early enough and unnecessary deaths are avoided.</w:t>
      </w:r>
    </w:p>
    <w:p w14:paraId="0A8C5B0A" w14:textId="77777777" w:rsidR="00D06132" w:rsidRPr="00B80025" w:rsidRDefault="00B4551F" w:rsidP="00A36102">
      <w:pPr>
        <w:pStyle w:val="Heading1"/>
      </w:pPr>
      <w:bookmarkStart w:id="11" w:name="_Toc227678135"/>
      <w:r w:rsidRPr="00B80025">
        <w:t xml:space="preserve">3. </w:t>
      </w:r>
      <w:proofErr w:type="spellStart"/>
      <w:r w:rsidRPr="00B80025">
        <w:t>Centralisation</w:t>
      </w:r>
      <w:proofErr w:type="spellEnd"/>
      <w:r w:rsidRPr="00B80025">
        <w:t xml:space="preserve"> or </w:t>
      </w:r>
      <w:proofErr w:type="spellStart"/>
      <w:r w:rsidRPr="00B80025">
        <w:t>Decentralisation</w:t>
      </w:r>
      <w:proofErr w:type="spellEnd"/>
      <w:r w:rsidRPr="00B80025">
        <w:t xml:space="preserve"> within the Case Study</w:t>
      </w:r>
      <w:bookmarkEnd w:id="11"/>
    </w:p>
    <w:p w14:paraId="458D4987" w14:textId="77777777" w:rsidR="00D06132" w:rsidRPr="00B80025" w:rsidRDefault="00B4551F" w:rsidP="00A36102">
      <w:pPr>
        <w:pStyle w:val="Heading2"/>
      </w:pPr>
      <w:bookmarkStart w:id="12" w:name="_Toc227678136"/>
      <w:r w:rsidRPr="00B80025">
        <w:t xml:space="preserve">3.1 </w:t>
      </w:r>
      <w:proofErr w:type="spellStart"/>
      <w:r w:rsidRPr="00B80025">
        <w:t>Centralised</w:t>
      </w:r>
      <w:proofErr w:type="spellEnd"/>
      <w:r w:rsidRPr="00B80025">
        <w:t xml:space="preserve"> System Analysis in the Case Study</w:t>
      </w:r>
      <w:bookmarkEnd w:id="12"/>
    </w:p>
    <w:p w14:paraId="584A910A" w14:textId="77777777" w:rsidR="00D06132" w:rsidRPr="00B80025" w:rsidRDefault="00B4551F" w:rsidP="00A36102">
      <w:pP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 xml:space="preserve">Advantages of </w:t>
      </w:r>
      <w:proofErr w:type="spellStart"/>
      <w:r w:rsidRPr="00B80025">
        <w:rPr>
          <w:rFonts w:ascii="Arial" w:hAnsi="Arial" w:cs="Arial"/>
          <w:b/>
          <w:bCs/>
          <w:i/>
          <w:iCs/>
          <w:color w:val="000000" w:themeColor="text1"/>
          <w:sz w:val="22"/>
          <w:szCs w:val="22"/>
        </w:rPr>
        <w:t>Centralised</w:t>
      </w:r>
      <w:proofErr w:type="spellEnd"/>
      <w:r w:rsidRPr="00B80025">
        <w:rPr>
          <w:rFonts w:ascii="Arial" w:hAnsi="Arial" w:cs="Arial"/>
          <w:b/>
          <w:bCs/>
          <w:i/>
          <w:iCs/>
          <w:color w:val="000000" w:themeColor="text1"/>
          <w:sz w:val="22"/>
          <w:szCs w:val="22"/>
        </w:rPr>
        <w:t xml:space="preserve"> Governance in the Lewis Blackman Case</w:t>
      </w:r>
    </w:p>
    <w:p w14:paraId="3FAB1409" w14:textId="77777777" w:rsidR="00D06132" w:rsidRPr="00B80025" w:rsidRDefault="00B4551F" w:rsidP="00A36102">
      <w:pPr>
        <w:rPr>
          <w:rFonts w:ascii="Arial" w:hAnsi="Arial" w:cs="Arial"/>
          <w:color w:val="000000" w:themeColor="text1"/>
          <w:sz w:val="22"/>
          <w:szCs w:val="22"/>
        </w:rPr>
      </w:pPr>
      <w:r w:rsidRPr="00B80025">
        <w:rPr>
          <w:rFonts w:ascii="Arial" w:hAnsi="Arial" w:cs="Arial"/>
          <w:color w:val="000000" w:themeColor="text1"/>
          <w:sz w:val="22"/>
          <w:szCs w:val="22"/>
        </w:rPr>
        <w:t xml:space="preserve">The Lewis Blackman case illustrates key attributes of a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healthcare system, where decision-making authority is concentrated at higher </w:t>
      </w:r>
      <w:proofErr w:type="spellStart"/>
      <w:r w:rsidRPr="00B80025">
        <w:rPr>
          <w:rFonts w:ascii="Arial" w:hAnsi="Arial" w:cs="Arial"/>
          <w:color w:val="000000" w:themeColor="text1"/>
          <w:sz w:val="22"/>
          <w:szCs w:val="22"/>
        </w:rPr>
        <w:t>organisational</w:t>
      </w:r>
      <w:proofErr w:type="spellEnd"/>
      <w:r w:rsidRPr="00B80025">
        <w:rPr>
          <w:rFonts w:ascii="Arial" w:hAnsi="Arial" w:cs="Arial"/>
          <w:color w:val="000000" w:themeColor="text1"/>
          <w:sz w:val="22"/>
          <w:szCs w:val="22"/>
        </w:rPr>
        <w:t xml:space="preserve"> levels, particularly among senior physicians (Patient Safety Movement, 2014). One major advantage of </w:t>
      </w:r>
      <w:proofErr w:type="spellStart"/>
      <w:r w:rsidRPr="00B80025">
        <w:rPr>
          <w:rFonts w:ascii="Arial" w:hAnsi="Arial" w:cs="Arial"/>
          <w:color w:val="000000" w:themeColor="text1"/>
          <w:sz w:val="22"/>
          <w:szCs w:val="22"/>
        </w:rPr>
        <w:t>centralisation</w:t>
      </w:r>
      <w:proofErr w:type="spellEnd"/>
      <w:r w:rsidRPr="00B80025">
        <w:rPr>
          <w:rFonts w:ascii="Arial" w:hAnsi="Arial" w:cs="Arial"/>
          <w:color w:val="000000" w:themeColor="text1"/>
          <w:sz w:val="22"/>
          <w:szCs w:val="22"/>
        </w:rPr>
        <w:t xml:space="preserve"> is that critical clinical decisions are made by highly experienced professionals, promoting consistency and reducing variation in care (</w:t>
      </w:r>
      <w:proofErr w:type="spellStart"/>
      <w:r w:rsidRPr="00B80025">
        <w:rPr>
          <w:rFonts w:ascii="Arial" w:hAnsi="Arial" w:cs="Arial"/>
          <w:color w:val="000000" w:themeColor="text1"/>
          <w:sz w:val="22"/>
          <w:szCs w:val="22"/>
        </w:rPr>
        <w:t>Georgousopoulou</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2025). </w:t>
      </w:r>
      <w:proofErr w:type="spellStart"/>
      <w:r w:rsidRPr="00B80025">
        <w:rPr>
          <w:rFonts w:ascii="Arial" w:hAnsi="Arial" w:cs="Arial"/>
          <w:color w:val="000000" w:themeColor="text1"/>
          <w:sz w:val="22"/>
          <w:szCs w:val="22"/>
        </w:rPr>
        <w:t>Standardised</w:t>
      </w:r>
      <w:proofErr w:type="spellEnd"/>
      <w:r w:rsidRPr="00B80025">
        <w:rPr>
          <w:rFonts w:ascii="Arial" w:hAnsi="Arial" w:cs="Arial"/>
          <w:color w:val="000000" w:themeColor="text1"/>
          <w:sz w:val="22"/>
          <w:szCs w:val="22"/>
        </w:rPr>
        <w:t xml:space="preserve"> procedures and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control have been shown to reduce clinical errors by up to 25%, especially in high-risk settings such as surgery and intensive care (Patient Safety Movement, 2014). Additionally, hierarchical structures can enhance accountability when properly implemented, and escalation policies in such systems can improve response times to crises by up to 30% (</w:t>
      </w:r>
      <w:proofErr w:type="spellStart"/>
      <w:r w:rsidRPr="00B80025">
        <w:rPr>
          <w:rFonts w:ascii="Arial" w:hAnsi="Arial" w:cs="Arial"/>
          <w:color w:val="000000" w:themeColor="text1"/>
          <w:sz w:val="22"/>
          <w:szCs w:val="22"/>
        </w:rPr>
        <w:t>Sfantou</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2017).</w:t>
      </w:r>
    </w:p>
    <w:p w14:paraId="212C6A39" w14:textId="77777777" w:rsidR="00D06132" w:rsidRPr="00B80025" w:rsidRDefault="00B4551F" w:rsidP="00A36102">
      <w:pP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 xml:space="preserve">Disadvantages of </w:t>
      </w:r>
      <w:proofErr w:type="spellStart"/>
      <w:r w:rsidRPr="00B80025">
        <w:rPr>
          <w:rFonts w:ascii="Arial" w:hAnsi="Arial" w:cs="Arial"/>
          <w:b/>
          <w:bCs/>
          <w:i/>
          <w:iCs/>
          <w:color w:val="000000" w:themeColor="text1"/>
          <w:sz w:val="22"/>
          <w:szCs w:val="22"/>
        </w:rPr>
        <w:t>Centralised</w:t>
      </w:r>
      <w:proofErr w:type="spellEnd"/>
      <w:r w:rsidRPr="00B80025">
        <w:rPr>
          <w:rFonts w:ascii="Arial" w:hAnsi="Arial" w:cs="Arial"/>
          <w:b/>
          <w:bCs/>
          <w:i/>
          <w:iCs/>
          <w:color w:val="000000" w:themeColor="text1"/>
          <w:sz w:val="22"/>
          <w:szCs w:val="22"/>
        </w:rPr>
        <w:t xml:space="preserve"> Governance in the Lewis Blackman Case</w:t>
      </w:r>
    </w:p>
    <w:p w14:paraId="3FF3D517" w14:textId="77777777" w:rsidR="00D06132" w:rsidRPr="00B80025" w:rsidRDefault="00B4551F" w:rsidP="00A36102">
      <w:pPr>
        <w:rPr>
          <w:rFonts w:ascii="Arial" w:hAnsi="Arial" w:cs="Arial"/>
          <w:color w:val="000000" w:themeColor="text1"/>
          <w:sz w:val="22"/>
          <w:szCs w:val="22"/>
        </w:rPr>
      </w:pPr>
      <w:r w:rsidRPr="00B80025">
        <w:rPr>
          <w:rFonts w:ascii="Arial" w:hAnsi="Arial" w:cs="Arial"/>
          <w:color w:val="000000" w:themeColor="text1"/>
          <w:sz w:val="22"/>
          <w:szCs w:val="22"/>
        </w:rPr>
        <w:t xml:space="preserve">However, the case also highlights significant disadvantages. Despite the patient’s deterioration over 30 hours, no senior doctor intervened, and care was managed by junior staff, including an inexperienced intern, without proper escalation. This demonstrates how over-reliance on senior authority can delay decision-making when communication and escalation fail.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systems may discourage junior staff from speaking up, leading to inaction in critical situations. Research indicates that 20–30% of avoidable hospital deaths are linked to delayed escalation, showing the risks of rigid hierarchies.</w:t>
      </w:r>
    </w:p>
    <w:p w14:paraId="084298AB" w14:textId="77777777" w:rsidR="00D06132" w:rsidRPr="00B80025" w:rsidRDefault="00B4551F" w:rsidP="00A36102">
      <w:pPr>
        <w:pStyle w:val="Heading2"/>
      </w:pPr>
      <w:bookmarkStart w:id="13" w:name="_Toc227678137"/>
      <w:r w:rsidRPr="00B80025">
        <w:t xml:space="preserve">3.2 </w:t>
      </w:r>
      <w:proofErr w:type="spellStart"/>
      <w:r w:rsidRPr="00B80025">
        <w:t>Decentralised</w:t>
      </w:r>
      <w:proofErr w:type="spellEnd"/>
      <w:r w:rsidRPr="00B80025">
        <w:t xml:space="preserve"> System Analysis in the Case Study</w:t>
      </w:r>
      <w:bookmarkEnd w:id="13"/>
    </w:p>
    <w:p w14:paraId="7DE78C45" w14:textId="77777777" w:rsidR="00D06132" w:rsidRPr="00B80025" w:rsidRDefault="00B4551F" w:rsidP="00A36102">
      <w:pPr>
        <w:pBdr>
          <w:top w:val="nil"/>
          <w:left w:val="nil"/>
          <w:bottom w:val="nil"/>
          <w:right w:val="nil"/>
          <w:between w:val="nil"/>
        </w:pBd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 xml:space="preserve">Advantages of </w:t>
      </w:r>
      <w:proofErr w:type="spellStart"/>
      <w:r w:rsidRPr="00B80025">
        <w:rPr>
          <w:rFonts w:ascii="Arial" w:hAnsi="Arial" w:cs="Arial"/>
          <w:b/>
          <w:bCs/>
          <w:i/>
          <w:iCs/>
          <w:color w:val="000000" w:themeColor="text1"/>
          <w:sz w:val="22"/>
          <w:szCs w:val="22"/>
        </w:rPr>
        <w:t>Decentralisation</w:t>
      </w:r>
      <w:proofErr w:type="spellEnd"/>
      <w:r w:rsidRPr="00B80025">
        <w:rPr>
          <w:rFonts w:ascii="Arial" w:hAnsi="Arial" w:cs="Arial"/>
          <w:b/>
          <w:bCs/>
          <w:i/>
          <w:iCs/>
          <w:color w:val="000000" w:themeColor="text1"/>
          <w:sz w:val="22"/>
          <w:szCs w:val="22"/>
        </w:rPr>
        <w:t xml:space="preserve"> in the Lewis Blackman Case</w:t>
      </w:r>
    </w:p>
    <w:p w14:paraId="36FD1D17"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Although the </w:t>
      </w:r>
      <w:proofErr w:type="spellStart"/>
      <w:r w:rsidRPr="00B80025">
        <w:rPr>
          <w:rFonts w:ascii="Arial" w:hAnsi="Arial" w:cs="Arial"/>
          <w:color w:val="000000" w:themeColor="text1"/>
          <w:sz w:val="22"/>
          <w:szCs w:val="22"/>
        </w:rPr>
        <w:t>organisation</w:t>
      </w:r>
      <w:proofErr w:type="spellEnd"/>
      <w:r w:rsidRPr="00B80025">
        <w:rPr>
          <w:rFonts w:ascii="Arial" w:hAnsi="Arial" w:cs="Arial"/>
          <w:color w:val="000000" w:themeColor="text1"/>
          <w:sz w:val="22"/>
          <w:szCs w:val="22"/>
        </w:rPr>
        <w:t xml:space="preserve"> was structurally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the Lewis Blackman case reflects elements of informal </w:t>
      </w:r>
      <w:proofErr w:type="spellStart"/>
      <w:r w:rsidRPr="00B80025">
        <w:rPr>
          <w:rFonts w:ascii="Arial" w:hAnsi="Arial" w:cs="Arial"/>
          <w:color w:val="000000" w:themeColor="text1"/>
          <w:sz w:val="22"/>
          <w:szCs w:val="22"/>
        </w:rPr>
        <w:t>decentralisation</w:t>
      </w:r>
      <w:proofErr w:type="spellEnd"/>
      <w:r w:rsidRPr="00B80025">
        <w:rPr>
          <w:rFonts w:ascii="Arial" w:hAnsi="Arial" w:cs="Arial"/>
          <w:color w:val="000000" w:themeColor="text1"/>
          <w:sz w:val="22"/>
          <w:szCs w:val="22"/>
        </w:rPr>
        <w:t xml:space="preserve">, where decision-making was effectively delegated to junior staff. In healthcare, </w:t>
      </w:r>
      <w:proofErr w:type="spellStart"/>
      <w:r w:rsidRPr="00B80025">
        <w:rPr>
          <w:rFonts w:ascii="Arial" w:hAnsi="Arial" w:cs="Arial"/>
          <w:color w:val="000000" w:themeColor="text1"/>
          <w:sz w:val="22"/>
          <w:szCs w:val="22"/>
        </w:rPr>
        <w:t>decentralisation</w:t>
      </w:r>
      <w:proofErr w:type="spellEnd"/>
      <w:r w:rsidRPr="00B80025">
        <w:rPr>
          <w:rFonts w:ascii="Arial" w:hAnsi="Arial" w:cs="Arial"/>
          <w:color w:val="000000" w:themeColor="text1"/>
          <w:sz w:val="22"/>
          <w:szCs w:val="22"/>
        </w:rPr>
        <w:t xml:space="preserve"> can improve responsiveness, particularly in emergencies, as frontline staff can act quickly without waiting for senior approval. Studies suggest that </w:t>
      </w:r>
      <w:proofErr w:type="spellStart"/>
      <w:r w:rsidRPr="00B80025">
        <w:rPr>
          <w:rFonts w:ascii="Arial" w:hAnsi="Arial" w:cs="Arial"/>
          <w:color w:val="000000" w:themeColor="text1"/>
          <w:sz w:val="22"/>
          <w:szCs w:val="22"/>
        </w:rPr>
        <w:t>decentralised</w:t>
      </w:r>
      <w:proofErr w:type="spellEnd"/>
      <w:r w:rsidRPr="00B80025">
        <w:rPr>
          <w:rFonts w:ascii="Arial" w:hAnsi="Arial" w:cs="Arial"/>
          <w:color w:val="000000" w:themeColor="text1"/>
          <w:sz w:val="22"/>
          <w:szCs w:val="22"/>
        </w:rPr>
        <w:t xml:space="preserve"> teams can enhance response times by up to 40% when staff are adequately trained and supported. Additionally, empowering frontline professionals is associated with improved patient satisfaction and reduced delays in care, as decisions are made closer to the patient (</w:t>
      </w:r>
      <w:proofErr w:type="spellStart"/>
      <w:r w:rsidRPr="00B80025">
        <w:rPr>
          <w:rFonts w:ascii="Arial" w:hAnsi="Arial" w:cs="Arial"/>
          <w:color w:val="000000" w:themeColor="text1"/>
          <w:sz w:val="22"/>
          <w:szCs w:val="22"/>
        </w:rPr>
        <w:t>Aldogiher</w:t>
      </w:r>
      <w:proofErr w:type="spellEnd"/>
      <w:r w:rsidRPr="00B80025">
        <w:rPr>
          <w:rFonts w:ascii="Arial" w:hAnsi="Arial" w:cs="Arial"/>
          <w:color w:val="000000" w:themeColor="text1"/>
          <w:sz w:val="22"/>
          <w:szCs w:val="22"/>
        </w:rPr>
        <w:t xml:space="preserve"> and Halim, </w:t>
      </w:r>
      <w:r w:rsidRPr="00B80025">
        <w:rPr>
          <w:rFonts w:ascii="Arial" w:hAnsi="Arial" w:cs="Arial"/>
          <w:color w:val="000000" w:themeColor="text1"/>
          <w:sz w:val="22"/>
          <w:szCs w:val="22"/>
        </w:rPr>
        <w:lastRenderedPageBreak/>
        <w:t xml:space="preserve">2025). These advantages highlight the potential benefits of </w:t>
      </w:r>
      <w:proofErr w:type="spellStart"/>
      <w:r w:rsidRPr="00B80025">
        <w:rPr>
          <w:rFonts w:ascii="Arial" w:hAnsi="Arial" w:cs="Arial"/>
          <w:color w:val="000000" w:themeColor="text1"/>
          <w:sz w:val="22"/>
          <w:szCs w:val="22"/>
        </w:rPr>
        <w:t>decentralisation</w:t>
      </w:r>
      <w:proofErr w:type="spellEnd"/>
      <w:r w:rsidRPr="00B80025">
        <w:rPr>
          <w:rFonts w:ascii="Arial" w:hAnsi="Arial" w:cs="Arial"/>
          <w:color w:val="000000" w:themeColor="text1"/>
          <w:sz w:val="22"/>
          <w:szCs w:val="22"/>
        </w:rPr>
        <w:t xml:space="preserve"> in dynamic clinical environments.</w:t>
      </w:r>
    </w:p>
    <w:p w14:paraId="2751D618" w14:textId="77777777" w:rsidR="00D06132" w:rsidRPr="00B80025" w:rsidRDefault="00B4551F" w:rsidP="00A36102">
      <w:pPr>
        <w:pBdr>
          <w:top w:val="nil"/>
          <w:left w:val="nil"/>
          <w:bottom w:val="nil"/>
          <w:right w:val="nil"/>
          <w:between w:val="nil"/>
        </w:pBd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 xml:space="preserve">Disadvantages of </w:t>
      </w:r>
      <w:proofErr w:type="spellStart"/>
      <w:r w:rsidRPr="00B80025">
        <w:rPr>
          <w:rFonts w:ascii="Arial" w:hAnsi="Arial" w:cs="Arial"/>
          <w:b/>
          <w:bCs/>
          <w:i/>
          <w:iCs/>
          <w:color w:val="000000" w:themeColor="text1"/>
          <w:sz w:val="22"/>
          <w:szCs w:val="22"/>
        </w:rPr>
        <w:t>Decentralisation</w:t>
      </w:r>
      <w:proofErr w:type="spellEnd"/>
      <w:r w:rsidRPr="00B80025">
        <w:rPr>
          <w:rFonts w:ascii="Arial" w:hAnsi="Arial" w:cs="Arial"/>
          <w:b/>
          <w:bCs/>
          <w:i/>
          <w:iCs/>
          <w:color w:val="000000" w:themeColor="text1"/>
          <w:sz w:val="22"/>
          <w:szCs w:val="22"/>
        </w:rPr>
        <w:t xml:space="preserve"> in the Lewis Blackman Case</w:t>
      </w:r>
    </w:p>
    <w:p w14:paraId="098F2F4A"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However, the case clearly demonstrates the risks when </w:t>
      </w:r>
      <w:proofErr w:type="spellStart"/>
      <w:r w:rsidRPr="00B80025">
        <w:rPr>
          <w:rFonts w:ascii="Arial" w:hAnsi="Arial" w:cs="Arial"/>
          <w:color w:val="000000" w:themeColor="text1"/>
          <w:sz w:val="22"/>
          <w:szCs w:val="22"/>
        </w:rPr>
        <w:t>decentralisation</w:t>
      </w:r>
      <w:proofErr w:type="spellEnd"/>
      <w:r w:rsidRPr="00B80025">
        <w:rPr>
          <w:rFonts w:ascii="Arial" w:hAnsi="Arial" w:cs="Arial"/>
          <w:color w:val="000000" w:themeColor="text1"/>
          <w:sz w:val="22"/>
          <w:szCs w:val="22"/>
        </w:rPr>
        <w:t xml:space="preserve"> occurs without proper governance. Critical decisions—such as lowering oxygen saturation alarm thresholds from 90% to 85% and eventually turning off monitoring systems—were made by inexperienced junior staff without adequate supervision (</w:t>
      </w:r>
      <w:proofErr w:type="spellStart"/>
      <w:r w:rsidRPr="00B80025">
        <w:rPr>
          <w:rFonts w:ascii="Arial" w:hAnsi="Arial" w:cs="Arial"/>
          <w:color w:val="000000" w:themeColor="text1"/>
          <w:sz w:val="22"/>
          <w:szCs w:val="22"/>
        </w:rPr>
        <w:t>Aldogiher</w:t>
      </w:r>
      <w:proofErr w:type="spellEnd"/>
      <w:r w:rsidRPr="00B80025">
        <w:rPr>
          <w:rFonts w:ascii="Arial" w:hAnsi="Arial" w:cs="Arial"/>
          <w:color w:val="000000" w:themeColor="text1"/>
          <w:sz w:val="22"/>
          <w:szCs w:val="22"/>
        </w:rPr>
        <w:t xml:space="preserve"> and Halim, 2025). This reflects unsafe autonomy and lack of accountability. Research shows that hospitals with weak supervision of junior staff experience complication rates as high as 25% in complex clinical situations (</w:t>
      </w:r>
      <w:proofErr w:type="spellStart"/>
      <w:r w:rsidRPr="00B80025">
        <w:rPr>
          <w:rFonts w:ascii="Arial" w:hAnsi="Arial" w:cs="Arial"/>
          <w:color w:val="000000" w:themeColor="text1"/>
          <w:sz w:val="22"/>
          <w:szCs w:val="22"/>
        </w:rPr>
        <w:t>Meirinhos</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 xml:space="preserve">et al., </w:t>
      </w:r>
      <w:r w:rsidRPr="00B80025">
        <w:rPr>
          <w:rFonts w:ascii="Arial" w:hAnsi="Arial" w:cs="Arial"/>
          <w:color w:val="000000" w:themeColor="text1"/>
          <w:sz w:val="22"/>
          <w:szCs w:val="22"/>
        </w:rPr>
        <w:t xml:space="preserve">2023). Furthermore, understaffing or reliance on underqualified personnel can increase mortality rates by up to 15–20%. In this case, </w:t>
      </w:r>
      <w:proofErr w:type="spellStart"/>
      <w:r w:rsidRPr="00B80025">
        <w:rPr>
          <w:rFonts w:ascii="Arial" w:hAnsi="Arial" w:cs="Arial"/>
          <w:color w:val="000000" w:themeColor="text1"/>
          <w:sz w:val="22"/>
          <w:szCs w:val="22"/>
        </w:rPr>
        <w:t>decentralisation</w:t>
      </w:r>
      <w:proofErr w:type="spellEnd"/>
      <w:r w:rsidRPr="00B80025">
        <w:rPr>
          <w:rFonts w:ascii="Arial" w:hAnsi="Arial" w:cs="Arial"/>
          <w:color w:val="000000" w:themeColor="text1"/>
          <w:sz w:val="22"/>
          <w:szCs w:val="22"/>
        </w:rPr>
        <w:t xml:space="preserve"> led to fragmented care, delayed escalation, and failure to </w:t>
      </w:r>
      <w:proofErr w:type="spellStart"/>
      <w:r w:rsidRPr="00B80025">
        <w:rPr>
          <w:rFonts w:ascii="Arial" w:hAnsi="Arial" w:cs="Arial"/>
          <w:color w:val="000000" w:themeColor="text1"/>
          <w:sz w:val="22"/>
          <w:szCs w:val="22"/>
        </w:rPr>
        <w:t>recognise</w:t>
      </w:r>
      <w:proofErr w:type="spellEnd"/>
      <w:r w:rsidRPr="00B80025">
        <w:rPr>
          <w:rFonts w:ascii="Arial" w:hAnsi="Arial" w:cs="Arial"/>
          <w:color w:val="000000" w:themeColor="text1"/>
          <w:sz w:val="22"/>
          <w:szCs w:val="22"/>
        </w:rPr>
        <w:t xml:space="preserve"> patient deterioration.</w:t>
      </w:r>
    </w:p>
    <w:p w14:paraId="5515D1D2" w14:textId="77777777" w:rsidR="00D06132" w:rsidRPr="00B80025" w:rsidRDefault="00B4551F" w:rsidP="00A36102">
      <w:pPr>
        <w:pStyle w:val="Heading2"/>
      </w:pPr>
      <w:bookmarkStart w:id="14" w:name="_Toc227678138"/>
      <w:r w:rsidRPr="00B80025">
        <w:t>3.3. Critical Evaluation of System Structure and Impact on Outcomes</w:t>
      </w:r>
      <w:bookmarkEnd w:id="14"/>
    </w:p>
    <w:p w14:paraId="411F3803"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Lewis Blackman case demonstrates that the communication between </w:t>
      </w:r>
      <w:proofErr w:type="spellStart"/>
      <w:r w:rsidRPr="00B80025">
        <w:rPr>
          <w:rFonts w:ascii="Arial" w:hAnsi="Arial" w:cs="Arial"/>
          <w:color w:val="000000" w:themeColor="text1"/>
          <w:sz w:val="22"/>
          <w:szCs w:val="22"/>
        </w:rPr>
        <w:t>decentralised</w:t>
      </w:r>
      <w:proofErr w:type="spellEnd"/>
      <w:r w:rsidRPr="00B80025">
        <w:rPr>
          <w:rFonts w:ascii="Arial" w:hAnsi="Arial" w:cs="Arial"/>
          <w:color w:val="000000" w:themeColor="text1"/>
          <w:sz w:val="22"/>
          <w:szCs w:val="22"/>
        </w:rPr>
        <w:t xml:space="preserve"> and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factors may obstruct crisis management, decision-making, and accountability in case of the lack of their integration. The hierarchical system inhibited the flow of information to the top clinicians, and the </w:t>
      </w:r>
      <w:proofErr w:type="spellStart"/>
      <w:r w:rsidRPr="00B80025">
        <w:rPr>
          <w:rFonts w:ascii="Arial" w:hAnsi="Arial" w:cs="Arial"/>
          <w:color w:val="000000" w:themeColor="text1"/>
          <w:sz w:val="22"/>
          <w:szCs w:val="22"/>
        </w:rPr>
        <w:t>decentralised</w:t>
      </w:r>
      <w:proofErr w:type="spellEnd"/>
      <w:r w:rsidRPr="00B80025">
        <w:rPr>
          <w:rFonts w:ascii="Arial" w:hAnsi="Arial" w:cs="Arial"/>
          <w:color w:val="000000" w:themeColor="text1"/>
          <w:sz w:val="22"/>
          <w:szCs w:val="22"/>
        </w:rPr>
        <w:t xml:space="preserve"> system of execution of the care put critical decisions in the hands of unskilled employees (Hofmann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2024). It has been demonstrated that proper early-warning and escalation mechanisms can decrease in-hospital cardiac arrests by as much as 35 percent but these mechanisms were not put in place or they were not used in this instance. Also, a critical role was played by poor communication, which was pointed out as contributing to almost 70 percent of serious adverse events since the information concerning the condition of the patient was not properly shared and acted upon. The deficiency in the coordination among the team members and the inability to engage senior clinicians are two major flaws in terms of leadership and governance.</w:t>
      </w:r>
    </w:p>
    <w:p w14:paraId="65B492F2" w14:textId="789717C2"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Other causes of the outcome were also staffing and </w:t>
      </w:r>
      <w:proofErr w:type="spellStart"/>
      <w:r w:rsidRPr="00B80025">
        <w:rPr>
          <w:rFonts w:ascii="Arial" w:hAnsi="Arial" w:cs="Arial"/>
          <w:color w:val="000000" w:themeColor="text1"/>
          <w:sz w:val="22"/>
          <w:szCs w:val="22"/>
        </w:rPr>
        <w:t>organisational</w:t>
      </w:r>
      <w:proofErr w:type="spellEnd"/>
      <w:r w:rsidRPr="00B80025">
        <w:rPr>
          <w:rFonts w:ascii="Arial" w:hAnsi="Arial" w:cs="Arial"/>
          <w:color w:val="000000" w:themeColor="text1"/>
          <w:sz w:val="22"/>
          <w:szCs w:val="22"/>
        </w:rPr>
        <w:t xml:space="preserve"> factors. It has been shown that mortality rates increase by 1520 percent when there are low supervision ratios, including one senior doctor and a number of junior staff. This scenario created a situation whereby the junior staff were left to deal with a complicated and worsening patient without the necessary support since there was a lack of an attending physician (Milojević</w:t>
      </w:r>
      <w:r w:rsidR="008D4F76" w:rsidRPr="00B80025">
        <w:rPr>
          <w:rFonts w:ascii="Arial" w:hAnsi="Arial" w:cs="Arial"/>
          <w:color w:val="000000" w:themeColor="text1"/>
          <w:sz w:val="22"/>
          <w:szCs w:val="22"/>
        </w:rPr>
        <w:t xml:space="preserve"> </w:t>
      </w:r>
      <w:r w:rsidR="008D4F76" w:rsidRPr="00B80025">
        <w:rPr>
          <w:rFonts w:ascii="Arial" w:hAnsi="Arial" w:cs="Arial"/>
          <w:i/>
          <w:iCs/>
          <w:color w:val="000000" w:themeColor="text1"/>
          <w:sz w:val="22"/>
          <w:szCs w:val="22"/>
        </w:rPr>
        <w:t xml:space="preserve">et al., </w:t>
      </w:r>
      <w:r w:rsidRPr="00B80025">
        <w:rPr>
          <w:rFonts w:ascii="Arial" w:hAnsi="Arial" w:cs="Arial"/>
          <w:color w:val="000000" w:themeColor="text1"/>
          <w:sz w:val="22"/>
          <w:szCs w:val="22"/>
        </w:rPr>
        <w:t xml:space="preserve">2024). Also, research indicates that signs of patient deterioration are missed or not recorded in an adequate manner to up to 30% of cases, which further increases the risk in ill-orchestrated systems. A topical case is the introduction of the early warning score systems in the UK that </w:t>
      </w:r>
      <w:proofErr w:type="spellStart"/>
      <w:r w:rsidRPr="00B80025">
        <w:rPr>
          <w:rFonts w:ascii="Arial" w:hAnsi="Arial" w:cs="Arial"/>
          <w:color w:val="000000" w:themeColor="text1"/>
          <w:sz w:val="22"/>
          <w:szCs w:val="22"/>
        </w:rPr>
        <w:t>minimised</w:t>
      </w:r>
      <w:proofErr w:type="spellEnd"/>
      <w:r w:rsidRPr="00B80025">
        <w:rPr>
          <w:rFonts w:ascii="Arial" w:hAnsi="Arial" w:cs="Arial"/>
          <w:color w:val="000000" w:themeColor="text1"/>
          <w:sz w:val="22"/>
          <w:szCs w:val="22"/>
        </w:rPr>
        <w:t xml:space="preserve"> the mortality rates by about 2030 per cent in a number of hospitals due to better escalation and communication. It </w:t>
      </w:r>
      <w:r w:rsidRPr="00B80025">
        <w:rPr>
          <w:rFonts w:ascii="Arial" w:hAnsi="Arial" w:cs="Arial"/>
          <w:color w:val="000000" w:themeColor="text1"/>
          <w:sz w:val="22"/>
          <w:szCs w:val="22"/>
        </w:rPr>
        <w:lastRenderedPageBreak/>
        <w:t xml:space="preserve">proves that with an effective combination of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control and </w:t>
      </w:r>
      <w:proofErr w:type="spellStart"/>
      <w:r w:rsidRPr="00B80025">
        <w:rPr>
          <w:rFonts w:ascii="Arial" w:hAnsi="Arial" w:cs="Arial"/>
          <w:color w:val="000000" w:themeColor="text1"/>
          <w:sz w:val="22"/>
          <w:szCs w:val="22"/>
        </w:rPr>
        <w:t>decentralised</w:t>
      </w:r>
      <w:proofErr w:type="spellEnd"/>
      <w:r w:rsidRPr="00B80025">
        <w:rPr>
          <w:rFonts w:ascii="Arial" w:hAnsi="Arial" w:cs="Arial"/>
          <w:color w:val="000000" w:themeColor="text1"/>
          <w:sz w:val="22"/>
          <w:szCs w:val="22"/>
        </w:rPr>
        <w:t xml:space="preserve"> responsiveness, the results of patients can be significantly enhanced.</w:t>
      </w:r>
    </w:p>
    <w:p w14:paraId="5B762F2B" w14:textId="77777777" w:rsidR="00D06132" w:rsidRPr="00B80025" w:rsidRDefault="00B4551F" w:rsidP="00A36102">
      <w:pPr>
        <w:pStyle w:val="Heading1"/>
      </w:pPr>
      <w:bookmarkStart w:id="15" w:name="_Toc227678139"/>
      <w:r w:rsidRPr="00B80025">
        <w:t>4. Leadership Theories and Application to the Case Study</w:t>
      </w:r>
      <w:bookmarkEnd w:id="15"/>
    </w:p>
    <w:p w14:paraId="5FFC7BFB" w14:textId="77777777" w:rsidR="00D06132" w:rsidRPr="00B80025" w:rsidRDefault="00B4551F" w:rsidP="00A36102">
      <w:pPr>
        <w:pStyle w:val="Heading2"/>
      </w:pPr>
      <w:bookmarkStart w:id="16" w:name="_Toc227678140"/>
      <w:r w:rsidRPr="00B80025">
        <w:t>4.1. Appropriateness of Leadership Style in the Case</w:t>
      </w:r>
      <w:bookmarkEnd w:id="16"/>
    </w:p>
    <w:p w14:paraId="742D3395" w14:textId="77777777" w:rsidR="00D06132" w:rsidRPr="00B80025" w:rsidRDefault="00B4551F" w:rsidP="00A36102">
      <w:pPr>
        <w:pBdr>
          <w:top w:val="nil"/>
          <w:left w:val="nil"/>
          <w:bottom w:val="nil"/>
          <w:right w:val="nil"/>
          <w:between w:val="nil"/>
        </w:pBd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Leadership Theories Relevant to the Case</w:t>
      </w:r>
    </w:p>
    <w:p w14:paraId="0520CE73"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leadership approach in the Lewis Blackman case reflects a failure to apply adaptive and emotionally intelligent leadership. Transformational and situational leadership theories </w:t>
      </w:r>
      <w:proofErr w:type="spellStart"/>
      <w:r w:rsidRPr="00B80025">
        <w:rPr>
          <w:rFonts w:ascii="Arial" w:hAnsi="Arial" w:cs="Arial"/>
          <w:color w:val="000000" w:themeColor="text1"/>
          <w:sz w:val="22"/>
          <w:szCs w:val="22"/>
        </w:rPr>
        <w:t>emphasise</w:t>
      </w:r>
      <w:proofErr w:type="spellEnd"/>
      <w:r w:rsidRPr="00B80025">
        <w:rPr>
          <w:rFonts w:ascii="Arial" w:hAnsi="Arial" w:cs="Arial"/>
          <w:color w:val="000000" w:themeColor="text1"/>
          <w:sz w:val="22"/>
          <w:szCs w:val="22"/>
        </w:rPr>
        <w:t xml:space="preserve"> the need for leaders to respond flexibly to changing clinical conditions and to engage actively with team members. Similarly, emotionally intelligent leadership highlights awareness, communication, and responsiveness to patient deterioration.</w:t>
      </w:r>
    </w:p>
    <w:p w14:paraId="569CB3DE" w14:textId="77777777" w:rsidR="00D06132" w:rsidRPr="00B80025" w:rsidRDefault="00B4551F" w:rsidP="00A36102">
      <w:pPr>
        <w:pBdr>
          <w:top w:val="nil"/>
          <w:left w:val="nil"/>
          <w:bottom w:val="nil"/>
          <w:right w:val="nil"/>
          <w:between w:val="nil"/>
        </w:pBd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Application to the Lewis Blackman Case</w:t>
      </w:r>
    </w:p>
    <w:p w14:paraId="54AD3E4A"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In this case, the leadership style was static and task-oriented rather than adaptive. Despite the patient’s deterioration over approximately 36 hours, there was no timely reassessment or escalation by senior clinicians. Effective situational leadership would have required continuous evaluation and adjustment of decisions as the patient’s condition worsened. Research shows that appropriate leadership engagement can reduce clinical deterioration incidents by up to 28%, particularly when senior clinicians are directly involved in monitoring patients (</w:t>
      </w:r>
      <w:proofErr w:type="spellStart"/>
      <w:r w:rsidRPr="00B80025">
        <w:rPr>
          <w:rFonts w:ascii="Arial" w:hAnsi="Arial" w:cs="Arial"/>
          <w:color w:val="000000" w:themeColor="text1"/>
          <w:sz w:val="22"/>
          <w:szCs w:val="22"/>
        </w:rPr>
        <w:t>Tsapnidou</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2025). However, in this case, leadership remained distant, and junior staff managed care without adequate guidance, reflecting a lack of distributed leadership.</w:t>
      </w:r>
    </w:p>
    <w:p w14:paraId="153B7347" w14:textId="77777777" w:rsidR="00D06132" w:rsidRPr="00B80025" w:rsidRDefault="00B4551F" w:rsidP="00A36102">
      <w:pPr>
        <w:pBdr>
          <w:top w:val="nil"/>
          <w:left w:val="nil"/>
          <w:bottom w:val="nil"/>
          <w:right w:val="nil"/>
          <w:between w:val="nil"/>
        </w:pBd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Supporting Evidence and Comparative Case</w:t>
      </w:r>
    </w:p>
    <w:p w14:paraId="24C22ED4"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Evidence from acute care settings indicates that failure to adapt leadership styles contributes to nearly one-fifth of delayed clinical interventions. A similar failure is seen in the Morecambe Bay NHS scandal (2011–2015), where poor leadership and lack of clinical oversight resulted in avoidable deaths, particularly in maternity services (Qin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2023).</w:t>
      </w:r>
    </w:p>
    <w:p w14:paraId="488B5228" w14:textId="77777777" w:rsidR="00D06132" w:rsidRPr="00B80025" w:rsidRDefault="00B4551F" w:rsidP="00A36102">
      <w:pPr>
        <w:pBdr>
          <w:top w:val="nil"/>
          <w:left w:val="nil"/>
          <w:bottom w:val="nil"/>
          <w:right w:val="nil"/>
          <w:between w:val="nil"/>
        </w:pBd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What Could Have Been Done Differently</w:t>
      </w:r>
    </w:p>
    <w:p w14:paraId="23DBABE3"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A more distributed and emotionally intelligent leadership approach could have improved outcomes. Senior clinicians should have been actively involved, encouraged open communication, and supported timely escalation, ensuring a responsive and safe clinical environment.</w:t>
      </w:r>
    </w:p>
    <w:p w14:paraId="3D5DF7C2" w14:textId="77777777" w:rsidR="00D06132" w:rsidRPr="00B80025" w:rsidRDefault="00B4551F" w:rsidP="00A36102">
      <w:pPr>
        <w:pStyle w:val="Heading2"/>
      </w:pPr>
      <w:bookmarkStart w:id="17" w:name="_Toc227678141"/>
      <w:r w:rsidRPr="00B80025">
        <w:t>4.2. Reactive and Proactive Leadership Approach.</w:t>
      </w:r>
      <w:bookmarkEnd w:id="17"/>
    </w:p>
    <w:p w14:paraId="58F6B494" w14:textId="42306D18"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leadership style was largely reactive, i.e. aimed at keeping the routine processes and not predicting and responding to the risk. As an example, rather than examine the cause of a high severity of abdominal pain and deteriorating vital signs, the staff was still responding according to </w:t>
      </w:r>
      <w:r w:rsidRPr="00B80025">
        <w:rPr>
          <w:rFonts w:ascii="Arial" w:hAnsi="Arial" w:cs="Arial"/>
          <w:color w:val="000000" w:themeColor="text1"/>
          <w:sz w:val="22"/>
          <w:szCs w:val="22"/>
        </w:rPr>
        <w:lastRenderedPageBreak/>
        <w:t>the belief that the cause was constipation. This reactive mechanism continued even in the presence of definite physiological warning signs such as irregular heart rate and oxygen content over a long duration. It has been observed that reactive mechanisms of healthcare provide up to 22 percent more emergency complications, because they only respond to problems once they have developed (Hunda</w:t>
      </w:r>
      <w:r w:rsidR="008D4F76" w:rsidRPr="00B80025">
        <w:rPr>
          <w:rFonts w:ascii="Arial" w:hAnsi="Arial" w:cs="Arial"/>
          <w:color w:val="000000" w:themeColor="text1"/>
          <w:sz w:val="22"/>
          <w:szCs w:val="22"/>
        </w:rPr>
        <w:t xml:space="preserve">l </w:t>
      </w:r>
      <w:r w:rsidR="008D4F76" w:rsidRPr="00B80025">
        <w:rPr>
          <w:rFonts w:ascii="Arial" w:hAnsi="Arial" w:cs="Arial"/>
          <w:i/>
          <w:iCs/>
          <w:color w:val="000000" w:themeColor="text1"/>
          <w:sz w:val="22"/>
          <w:szCs w:val="22"/>
        </w:rPr>
        <w:t xml:space="preserve">et al., </w:t>
      </w:r>
      <w:r w:rsidRPr="00B80025">
        <w:rPr>
          <w:rFonts w:ascii="Arial" w:hAnsi="Arial" w:cs="Arial"/>
          <w:color w:val="000000" w:themeColor="text1"/>
          <w:sz w:val="22"/>
          <w:szCs w:val="22"/>
        </w:rPr>
        <w:t xml:space="preserve">2025). On the other hand, proactive leadership entails the identification of risk early and timely action. In hospitals operating with proactive level of monitoring (rapid assessment protocols), the unplanned ICU admissions have been reduced by 27%. There were no such measures taken in the Lewis Blackman case and leadership did not inquire or review the initial diagnosis. In other instances, there were mortality indicators which were 10-15 higher than the expected level because of sluggish clinical response. This further supports the notion that reactive leadership is not only a form of slowing down intervention but also more likely to cause poor results (Ștefan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2024). Absence of proactive, goal-oriented leadership in the case of Lewis Blackman was one of the major factors leading to the failure in the ability to </w:t>
      </w:r>
      <w:proofErr w:type="spellStart"/>
      <w:r w:rsidRPr="00B80025">
        <w:rPr>
          <w:rFonts w:ascii="Arial" w:hAnsi="Arial" w:cs="Arial"/>
          <w:color w:val="000000" w:themeColor="text1"/>
          <w:sz w:val="22"/>
          <w:szCs w:val="22"/>
        </w:rPr>
        <w:t>recognise</w:t>
      </w:r>
      <w:proofErr w:type="spellEnd"/>
      <w:r w:rsidRPr="00B80025">
        <w:rPr>
          <w:rFonts w:ascii="Arial" w:hAnsi="Arial" w:cs="Arial"/>
          <w:color w:val="000000" w:themeColor="text1"/>
          <w:sz w:val="22"/>
          <w:szCs w:val="22"/>
        </w:rPr>
        <w:t xml:space="preserve"> and deal with the clinical deterioration.</w:t>
      </w:r>
    </w:p>
    <w:p w14:paraId="0B7A6936" w14:textId="77777777" w:rsidR="00D06132" w:rsidRPr="00B80025" w:rsidRDefault="00B4551F" w:rsidP="00A36102">
      <w:pPr>
        <w:pStyle w:val="Heading2"/>
      </w:pPr>
      <w:bookmarkStart w:id="18" w:name="_Toc227678142"/>
      <w:r w:rsidRPr="00B80025">
        <w:t>4.3. Evidence of Leadership Effectiveness</w:t>
      </w:r>
      <w:bookmarkEnd w:id="18"/>
      <w:r w:rsidRPr="00B80025">
        <w:t xml:space="preserve"> </w:t>
      </w:r>
    </w:p>
    <w:p w14:paraId="7222EF1E"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evidence collected through the research on healthcare performance reveals that the performance of the leadership can be straightforwardly related to the patient outcomes and to the staff </w:t>
      </w:r>
      <w:proofErr w:type="spellStart"/>
      <w:r w:rsidRPr="00B80025">
        <w:rPr>
          <w:rFonts w:ascii="Arial" w:hAnsi="Arial" w:cs="Arial"/>
          <w:color w:val="000000" w:themeColor="text1"/>
          <w:sz w:val="22"/>
          <w:szCs w:val="22"/>
        </w:rPr>
        <w:t>behaviour</w:t>
      </w:r>
      <w:proofErr w:type="spellEnd"/>
      <w:r w:rsidRPr="00B80025">
        <w:rPr>
          <w:rFonts w:ascii="Arial" w:hAnsi="Arial" w:cs="Arial"/>
          <w:color w:val="000000" w:themeColor="text1"/>
          <w:sz w:val="22"/>
          <w:szCs w:val="22"/>
        </w:rPr>
        <w:t xml:space="preserve">. Poor clinical coordination and lack of escalation in a case led to the death of the patient in the Lewis Blackman case, through poor leadership. Research indicates that in </w:t>
      </w:r>
      <w:proofErr w:type="spellStart"/>
      <w:r w:rsidRPr="00B80025">
        <w:rPr>
          <w:rFonts w:ascii="Arial" w:hAnsi="Arial" w:cs="Arial"/>
          <w:color w:val="000000" w:themeColor="text1"/>
          <w:sz w:val="22"/>
          <w:szCs w:val="22"/>
        </w:rPr>
        <w:t>organisations</w:t>
      </w:r>
      <w:proofErr w:type="spellEnd"/>
      <w:r w:rsidRPr="00B80025">
        <w:rPr>
          <w:rFonts w:ascii="Arial" w:hAnsi="Arial" w:cs="Arial"/>
          <w:color w:val="000000" w:themeColor="text1"/>
          <w:sz w:val="22"/>
          <w:szCs w:val="22"/>
        </w:rPr>
        <w:t xml:space="preserve"> where leadership is not well supported, a proportion of 40 percent of the healthcare employees indicate that they are reluctant to raise issues due to fear of critique or lack of confidence (Halat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2023). This can be seen to be applicable in the case, in the sense that junior staff members did not question decisions and consult senior staff. </w:t>
      </w:r>
    </w:p>
    <w:p w14:paraId="413C3C12" w14:textId="77777777" w:rsidR="00D06132" w:rsidRPr="00B80025" w:rsidRDefault="00B4551F" w:rsidP="00A36102">
      <w:pPr>
        <w:pBdr>
          <w:top w:val="nil"/>
          <w:left w:val="nil"/>
          <w:bottom w:val="nil"/>
          <w:right w:val="nil"/>
          <w:between w:val="nil"/>
        </w:pBdr>
        <w:jc w:val="center"/>
        <w:rPr>
          <w:rFonts w:ascii="Arial" w:hAnsi="Arial" w:cs="Arial"/>
          <w:color w:val="000000" w:themeColor="text1"/>
          <w:sz w:val="22"/>
          <w:szCs w:val="22"/>
        </w:rPr>
      </w:pPr>
      <w:r w:rsidRPr="00B80025">
        <w:rPr>
          <w:rFonts w:ascii="Arial" w:hAnsi="Arial" w:cs="Arial"/>
          <w:noProof/>
          <w:color w:val="000000" w:themeColor="text1"/>
          <w:sz w:val="22"/>
          <w:szCs w:val="22"/>
        </w:rPr>
        <w:lastRenderedPageBreak/>
        <w:drawing>
          <wp:inline distT="114300" distB="114300" distL="114300" distR="114300" wp14:anchorId="00BBB51B" wp14:editId="3C1F9078">
            <wp:extent cx="5238750" cy="31051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38750" cy="3105150"/>
                    </a:xfrm>
                    <a:prstGeom prst="rect">
                      <a:avLst/>
                    </a:prstGeom>
                    <a:ln/>
                  </pic:spPr>
                </pic:pic>
              </a:graphicData>
            </a:graphic>
          </wp:inline>
        </w:drawing>
      </w:r>
    </w:p>
    <w:p w14:paraId="3ED96737" w14:textId="77777777" w:rsidR="00D06132" w:rsidRPr="00B80025" w:rsidRDefault="00B4551F" w:rsidP="00A36102">
      <w:pPr>
        <w:pBdr>
          <w:top w:val="nil"/>
          <w:left w:val="nil"/>
          <w:bottom w:val="nil"/>
          <w:right w:val="nil"/>
          <w:between w:val="nil"/>
        </w:pBdr>
        <w:jc w:val="cente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Figure 3: The Social Embeddedness of Thriving at Work Model</w:t>
      </w:r>
    </w:p>
    <w:p w14:paraId="3559794E" w14:textId="0D64A3FB" w:rsidR="00D06132" w:rsidRPr="00B80025" w:rsidRDefault="00B4551F" w:rsidP="00A36102">
      <w:pPr>
        <w:pBdr>
          <w:top w:val="nil"/>
          <w:left w:val="nil"/>
          <w:bottom w:val="nil"/>
          <w:right w:val="nil"/>
          <w:between w:val="nil"/>
        </w:pBdr>
        <w:jc w:val="center"/>
        <w:rPr>
          <w:rFonts w:ascii="Arial" w:hAnsi="Arial" w:cs="Arial"/>
          <w:color w:val="000000" w:themeColor="text1"/>
          <w:sz w:val="22"/>
          <w:szCs w:val="22"/>
        </w:rPr>
      </w:pPr>
      <w:r w:rsidRPr="00B80025">
        <w:rPr>
          <w:rFonts w:ascii="Arial" w:hAnsi="Arial" w:cs="Arial"/>
          <w:color w:val="000000" w:themeColor="text1"/>
          <w:sz w:val="22"/>
          <w:szCs w:val="22"/>
        </w:rPr>
        <w:t>(Source: Moloney</w:t>
      </w:r>
      <w:r w:rsidR="008D4F76" w:rsidRPr="00B80025">
        <w:rPr>
          <w:rFonts w:ascii="Arial" w:hAnsi="Arial" w:cs="Arial"/>
          <w:color w:val="000000" w:themeColor="text1"/>
          <w:sz w:val="22"/>
          <w:szCs w:val="22"/>
        </w:rPr>
        <w:t xml:space="preserve"> </w:t>
      </w:r>
      <w:r w:rsidR="008D4F76" w:rsidRPr="00B80025">
        <w:rPr>
          <w:rFonts w:ascii="Arial" w:hAnsi="Arial" w:cs="Arial"/>
          <w:i/>
          <w:iCs/>
          <w:color w:val="000000" w:themeColor="text1"/>
          <w:sz w:val="22"/>
          <w:szCs w:val="22"/>
        </w:rPr>
        <w:t>et al.</w:t>
      </w:r>
      <w:proofErr w:type="gramStart"/>
      <w:r w:rsidR="008D4F76" w:rsidRPr="00B80025">
        <w:rPr>
          <w:rFonts w:ascii="Arial" w:hAnsi="Arial" w:cs="Arial"/>
          <w:i/>
          <w:iCs/>
          <w:color w:val="000000" w:themeColor="text1"/>
          <w:sz w:val="22"/>
          <w:szCs w:val="22"/>
        </w:rPr>
        <w:t xml:space="preserve">, </w:t>
      </w:r>
      <w:r w:rsidRPr="00B80025">
        <w:rPr>
          <w:rFonts w:ascii="Arial" w:hAnsi="Arial" w:cs="Arial"/>
          <w:color w:val="000000" w:themeColor="text1"/>
          <w:sz w:val="22"/>
          <w:szCs w:val="22"/>
        </w:rPr>
        <w:t xml:space="preserve"> 2020</w:t>
      </w:r>
      <w:proofErr w:type="gramEnd"/>
      <w:r w:rsidRPr="00B80025">
        <w:rPr>
          <w:rFonts w:ascii="Arial" w:hAnsi="Arial" w:cs="Arial"/>
          <w:color w:val="000000" w:themeColor="text1"/>
          <w:sz w:val="22"/>
          <w:szCs w:val="22"/>
        </w:rPr>
        <w:t>)</w:t>
      </w:r>
    </w:p>
    <w:p w14:paraId="448F7463" w14:textId="40889E0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Also, there is evidence of poor leadership in terms of safety audits indicating that 1 out of 10 hospital deaths were due to system failure, especially in communication and decision-making aspects. Another similar case is the Francis Report (2013) which found leadership failures to cause serious harm to patients, where in some of the departments the mortality rates were higher than expected by 14% (Moloney</w:t>
      </w:r>
      <w:r w:rsidR="003E3031" w:rsidRPr="00B80025">
        <w:rPr>
          <w:rFonts w:ascii="Arial" w:hAnsi="Arial" w:cs="Arial"/>
          <w:i/>
          <w:iCs/>
          <w:color w:val="000000" w:themeColor="text1"/>
          <w:sz w:val="22"/>
          <w:szCs w:val="22"/>
        </w:rPr>
        <w:t xml:space="preserve"> et al., </w:t>
      </w:r>
      <w:r w:rsidRPr="00B80025">
        <w:rPr>
          <w:rFonts w:ascii="Arial" w:hAnsi="Arial" w:cs="Arial"/>
          <w:color w:val="000000" w:themeColor="text1"/>
          <w:sz w:val="22"/>
          <w:szCs w:val="22"/>
        </w:rPr>
        <w:t>2020). These results indicate that the effectiveness of leaders can be measured using safety outcomes and staff engagement indicators. At Lewis Blackman case, the lack of effective leadership led to lack of accountability, communication failure and eventual preventable death.</w:t>
      </w:r>
    </w:p>
    <w:p w14:paraId="4E70C5A4" w14:textId="77777777" w:rsidR="00D06132" w:rsidRPr="00B80025" w:rsidRDefault="00B4551F" w:rsidP="00A36102">
      <w:pPr>
        <w:pStyle w:val="Heading2"/>
      </w:pPr>
      <w:bookmarkStart w:id="19" w:name="_Toc227678143"/>
      <w:r w:rsidRPr="00B80025">
        <w:t>4.4. Alternative Leadership Approaches and Improvements</w:t>
      </w:r>
      <w:bookmarkEnd w:id="19"/>
    </w:p>
    <w:p w14:paraId="575B0FF3" w14:textId="128F0C72"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A better leadership style in this situation would have entailed transformational, emotionally intelligent, and distributed leadership style. Transformational leadership would have also developed the culture of openness and critical thinking, which would have motivated the staff to challenge the initial diagnosis and react to the emerging threats (Saleem</w:t>
      </w:r>
      <w:r w:rsidR="003E3031" w:rsidRPr="00B80025">
        <w:rPr>
          <w:rFonts w:ascii="Arial" w:hAnsi="Arial" w:cs="Arial"/>
          <w:color w:val="000000" w:themeColor="text1"/>
          <w:sz w:val="22"/>
          <w:szCs w:val="22"/>
        </w:rPr>
        <w:t xml:space="preserve"> </w:t>
      </w:r>
      <w:r w:rsidR="003E3031" w:rsidRPr="00B80025">
        <w:rPr>
          <w:rFonts w:ascii="Arial" w:hAnsi="Arial" w:cs="Arial"/>
          <w:i/>
          <w:iCs/>
          <w:color w:val="000000" w:themeColor="text1"/>
          <w:sz w:val="22"/>
          <w:szCs w:val="22"/>
        </w:rPr>
        <w:t xml:space="preserve">et al., </w:t>
      </w:r>
      <w:r w:rsidRPr="00B80025">
        <w:rPr>
          <w:rFonts w:ascii="Arial" w:hAnsi="Arial" w:cs="Arial"/>
          <w:color w:val="000000" w:themeColor="text1"/>
          <w:sz w:val="22"/>
          <w:szCs w:val="22"/>
        </w:rPr>
        <w:t xml:space="preserve">2025). Research shows that when teams are guided by emotionally intelligent leaders, the reporting of clinical concerns is increased by a factor of 35 percent that is essential in early intervention. As also, distributed leadership, in which the responsibility is distributed among the participants in the team, might have improved the decision-making. Those hospitals that have adopted the use of distributed leadership models record up to 18 percent faster response rate in emergency cases as the staff on the frontline are no longer detained in needless delays (Suthida </w:t>
      </w:r>
      <w:proofErr w:type="spellStart"/>
      <w:r w:rsidRPr="00B80025">
        <w:rPr>
          <w:rFonts w:ascii="Arial" w:hAnsi="Arial" w:cs="Arial"/>
          <w:color w:val="000000" w:themeColor="text1"/>
          <w:sz w:val="22"/>
          <w:szCs w:val="22"/>
        </w:rPr>
        <w:t>Chansanguan</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 xml:space="preserve">et </w:t>
      </w:r>
      <w:r w:rsidRPr="00B80025">
        <w:rPr>
          <w:rFonts w:ascii="Arial" w:hAnsi="Arial" w:cs="Arial"/>
          <w:i/>
          <w:iCs/>
          <w:color w:val="000000" w:themeColor="text1"/>
          <w:sz w:val="22"/>
          <w:szCs w:val="22"/>
        </w:rPr>
        <w:lastRenderedPageBreak/>
        <w:t xml:space="preserve">al., </w:t>
      </w:r>
      <w:r w:rsidRPr="00B80025">
        <w:rPr>
          <w:rFonts w:ascii="Arial" w:hAnsi="Arial" w:cs="Arial"/>
          <w:color w:val="000000" w:themeColor="text1"/>
          <w:sz w:val="22"/>
          <w:szCs w:val="22"/>
        </w:rPr>
        <w:t>2025). The most recent example is the implementation of systematic communication tools, e.g. SBAR (Situation, Background, Assessment, Recommendation) which in clinical practice has been proven to minimize the number of communication mistakes by about 23%. Provided that such approaches had been implemented in the Lewis Blackman case, there is a high chance that the deterioration of the patient would have been identified sooner and escalated accordingly.</w:t>
      </w:r>
    </w:p>
    <w:p w14:paraId="5B7FC248" w14:textId="77777777" w:rsidR="00D06132" w:rsidRPr="00B80025" w:rsidRDefault="00B4551F" w:rsidP="00A36102">
      <w:pPr>
        <w:pStyle w:val="Heading1"/>
      </w:pPr>
      <w:bookmarkStart w:id="20" w:name="_Toc227678144"/>
      <w:r w:rsidRPr="00B80025">
        <w:t>5. Improvement, and Lessons Learned</w:t>
      </w:r>
      <w:bookmarkEnd w:id="20"/>
    </w:p>
    <w:p w14:paraId="4F4D184D" w14:textId="77777777" w:rsidR="00D06132" w:rsidRPr="00B80025" w:rsidRDefault="00B4551F" w:rsidP="00A36102">
      <w:pPr>
        <w:pStyle w:val="Heading2"/>
      </w:pPr>
      <w:bookmarkStart w:id="21" w:name="_Toc227678145"/>
      <w:r w:rsidRPr="00B80025">
        <w:t>5.1 Interaction Between Leadership, Governance, and Missed Opportunities</w:t>
      </w:r>
      <w:bookmarkEnd w:id="21"/>
    </w:p>
    <w:p w14:paraId="5BAA1B23"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The case of Lewis Blackman is an eloquent example of the failure of leadership and of the poor governance framework meeting to give a negative outcome that could have been avoided. In about 48 hours, the patient would show several symptoms of worsening, such as intense abdominal pain, decreasing oxygen saturation, and </w:t>
      </w:r>
      <w:proofErr w:type="spellStart"/>
      <w:r w:rsidRPr="00B80025">
        <w:rPr>
          <w:rFonts w:ascii="Arial" w:hAnsi="Arial" w:cs="Arial"/>
          <w:color w:val="000000" w:themeColor="text1"/>
          <w:sz w:val="22"/>
          <w:szCs w:val="22"/>
        </w:rPr>
        <w:t>haemodynamic</w:t>
      </w:r>
      <w:proofErr w:type="spellEnd"/>
      <w:r w:rsidRPr="00B80025">
        <w:rPr>
          <w:rFonts w:ascii="Arial" w:hAnsi="Arial" w:cs="Arial"/>
          <w:color w:val="000000" w:themeColor="text1"/>
          <w:sz w:val="22"/>
          <w:szCs w:val="22"/>
        </w:rPr>
        <w:t xml:space="preserve"> instability, but none of the senior clinicians took any action (Notarnicola </w:t>
      </w:r>
      <w:r w:rsidRPr="00B80025">
        <w:rPr>
          <w:rFonts w:ascii="Arial" w:hAnsi="Arial" w:cs="Arial"/>
          <w:i/>
          <w:iCs/>
          <w:color w:val="000000" w:themeColor="text1"/>
          <w:sz w:val="22"/>
          <w:szCs w:val="22"/>
        </w:rPr>
        <w:t xml:space="preserve">et al., </w:t>
      </w:r>
      <w:r w:rsidRPr="00B80025">
        <w:rPr>
          <w:rFonts w:ascii="Arial" w:hAnsi="Arial" w:cs="Arial"/>
          <w:color w:val="000000" w:themeColor="text1"/>
          <w:sz w:val="22"/>
          <w:szCs w:val="22"/>
        </w:rPr>
        <w:t xml:space="preserve">2024). This is an indication of a failure of governance at the local </w:t>
      </w:r>
      <w:proofErr w:type="spellStart"/>
      <w:r w:rsidRPr="00B80025">
        <w:rPr>
          <w:rFonts w:ascii="Arial" w:hAnsi="Arial" w:cs="Arial"/>
          <w:color w:val="000000" w:themeColor="text1"/>
          <w:sz w:val="22"/>
          <w:szCs w:val="22"/>
        </w:rPr>
        <w:t>organisational</w:t>
      </w:r>
      <w:proofErr w:type="spellEnd"/>
      <w:r w:rsidRPr="00B80025">
        <w:rPr>
          <w:rFonts w:ascii="Arial" w:hAnsi="Arial" w:cs="Arial"/>
          <w:color w:val="000000" w:themeColor="text1"/>
          <w:sz w:val="22"/>
          <w:szCs w:val="22"/>
        </w:rPr>
        <w:t xml:space="preserve"> level whereby there was no implementation and adherence to the escalation protocols and supervision systems. </w:t>
      </w:r>
    </w:p>
    <w:p w14:paraId="27DFED66" w14:textId="77777777" w:rsidR="00D06132" w:rsidRPr="00B80025" w:rsidRDefault="00B4551F" w:rsidP="00A36102">
      <w:pPr>
        <w:pBdr>
          <w:top w:val="nil"/>
          <w:left w:val="nil"/>
          <w:bottom w:val="nil"/>
          <w:right w:val="nil"/>
          <w:between w:val="nil"/>
        </w:pBdr>
        <w:jc w:val="center"/>
        <w:rPr>
          <w:rFonts w:ascii="Arial" w:hAnsi="Arial" w:cs="Arial"/>
          <w:color w:val="000000" w:themeColor="text1"/>
          <w:sz w:val="22"/>
          <w:szCs w:val="22"/>
        </w:rPr>
      </w:pPr>
      <w:r w:rsidRPr="00B80025">
        <w:rPr>
          <w:rFonts w:ascii="Arial" w:hAnsi="Arial" w:cs="Arial"/>
          <w:noProof/>
          <w:color w:val="000000" w:themeColor="text1"/>
          <w:sz w:val="22"/>
          <w:szCs w:val="22"/>
        </w:rPr>
        <w:drawing>
          <wp:inline distT="114300" distB="114300" distL="114300" distR="114300" wp14:anchorId="21F62643" wp14:editId="7B268F09">
            <wp:extent cx="5238750" cy="33813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38750" cy="3381375"/>
                    </a:xfrm>
                    <a:prstGeom prst="rect">
                      <a:avLst/>
                    </a:prstGeom>
                    <a:ln/>
                  </pic:spPr>
                </pic:pic>
              </a:graphicData>
            </a:graphic>
          </wp:inline>
        </w:drawing>
      </w:r>
    </w:p>
    <w:p w14:paraId="54A33A2B" w14:textId="77777777" w:rsidR="00D06132" w:rsidRPr="00B80025" w:rsidRDefault="00B4551F" w:rsidP="00A36102">
      <w:pPr>
        <w:pBdr>
          <w:top w:val="nil"/>
          <w:left w:val="nil"/>
          <w:bottom w:val="nil"/>
          <w:right w:val="nil"/>
          <w:between w:val="nil"/>
        </w:pBdr>
        <w:jc w:val="cente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Figure 4: The model of healthcare leadership strategies important to hybrid employees’ well-being</w:t>
      </w:r>
    </w:p>
    <w:p w14:paraId="14FB74D7" w14:textId="77777777" w:rsidR="00D06132" w:rsidRPr="00B80025" w:rsidRDefault="00B4551F" w:rsidP="00A36102">
      <w:pPr>
        <w:pBdr>
          <w:top w:val="nil"/>
          <w:left w:val="nil"/>
          <w:bottom w:val="nil"/>
          <w:right w:val="nil"/>
          <w:between w:val="nil"/>
        </w:pBdr>
        <w:jc w:val="center"/>
        <w:rPr>
          <w:rFonts w:ascii="Arial" w:hAnsi="Arial" w:cs="Arial"/>
          <w:color w:val="000000" w:themeColor="text1"/>
          <w:sz w:val="22"/>
          <w:szCs w:val="22"/>
        </w:rPr>
      </w:pPr>
      <w:r w:rsidRPr="00B80025">
        <w:rPr>
          <w:rFonts w:ascii="Arial" w:hAnsi="Arial" w:cs="Arial"/>
          <w:color w:val="000000" w:themeColor="text1"/>
          <w:sz w:val="22"/>
          <w:szCs w:val="22"/>
        </w:rPr>
        <w:t>(Source: Oleksa-</w:t>
      </w:r>
      <w:proofErr w:type="spellStart"/>
      <w:r w:rsidRPr="00B80025">
        <w:rPr>
          <w:rFonts w:ascii="Arial" w:hAnsi="Arial" w:cs="Arial"/>
          <w:color w:val="000000" w:themeColor="text1"/>
          <w:sz w:val="22"/>
          <w:szCs w:val="22"/>
        </w:rPr>
        <w:t>Marewska</w:t>
      </w:r>
      <w:proofErr w:type="spellEnd"/>
      <w:r w:rsidRPr="00B80025">
        <w:rPr>
          <w:rFonts w:ascii="Arial" w:hAnsi="Arial" w:cs="Arial"/>
          <w:color w:val="000000" w:themeColor="text1"/>
          <w:sz w:val="22"/>
          <w:szCs w:val="22"/>
        </w:rPr>
        <w:t xml:space="preserve"> and Tokar, 2022)</w:t>
      </w:r>
    </w:p>
    <w:p w14:paraId="0DBE2131"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It is up to leadership to make sure that systems of governance are put into practice but in this scenario the top management failed to exercise its leadership; hence the systemic failures were </w:t>
      </w:r>
      <w:r w:rsidRPr="00B80025">
        <w:rPr>
          <w:rFonts w:ascii="Arial" w:hAnsi="Arial" w:cs="Arial"/>
          <w:color w:val="000000" w:themeColor="text1"/>
          <w:sz w:val="22"/>
          <w:szCs w:val="22"/>
        </w:rPr>
        <w:lastRenderedPageBreak/>
        <w:t>not eliminated (Oleksa-</w:t>
      </w:r>
      <w:proofErr w:type="spellStart"/>
      <w:r w:rsidRPr="00B80025">
        <w:rPr>
          <w:rFonts w:ascii="Arial" w:hAnsi="Arial" w:cs="Arial"/>
          <w:color w:val="000000" w:themeColor="text1"/>
          <w:sz w:val="22"/>
          <w:szCs w:val="22"/>
        </w:rPr>
        <w:t>Marewska</w:t>
      </w:r>
      <w:proofErr w:type="spellEnd"/>
      <w:r w:rsidRPr="00B80025">
        <w:rPr>
          <w:rFonts w:ascii="Arial" w:hAnsi="Arial" w:cs="Arial"/>
          <w:color w:val="000000" w:themeColor="text1"/>
          <w:sz w:val="22"/>
          <w:szCs w:val="22"/>
        </w:rPr>
        <w:t xml:space="preserve"> and Tokar, 2022). Doctors who had less than one year of experience were left to attend to a worsening patient on their own which implied that the supervision of the leaders and the implementation of governance had failed. The research indicates that poor clinical supervision contributes to the occurrence of adverse events in clinical settings by an average of 19 percent particularly in high-risk settings. </w:t>
      </w:r>
    </w:p>
    <w:p w14:paraId="520C1A69"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A number of missed opportunities in the case enable us to identify how better leadership and governance would have been applied to change the case. The case of the failure to identify the warning signs and intensify care was a fatal oversight. The research shows that in instances of patient deterioration, the mortality rate can be lowered by 32 percent by early detection systems but there was no such system that was effectively applied in this case (</w:t>
      </w:r>
      <w:proofErr w:type="spellStart"/>
      <w:r w:rsidRPr="00B80025">
        <w:rPr>
          <w:rFonts w:ascii="Arial" w:hAnsi="Arial" w:cs="Arial"/>
          <w:color w:val="000000" w:themeColor="text1"/>
          <w:sz w:val="22"/>
          <w:szCs w:val="22"/>
        </w:rPr>
        <w:t>Udod</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2025). Moreover, the process of reducing oxygen saturation alarm settings to 85, and ultimately, turning it off, is also a big governance failure, since the safety measures were not implemented. When escalation is timely to experienced clinicians, the complications have been proven to decrease by around 27 cases but this time there was no attending physician who was consulted. This is an indicator of leadership failure to provide an environment in which escalation is promoted and facilitated. Moreover, the lack of communication between employees was linked to the continuity of a false diagnosis, which is related to as many as 21% of diagnostic errors in the healthcare system (Wu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2022). These omissions show that the combination of poor leadership and unproductive governance resulted in a system that did not respond to the needs of patients, which in the end led to </w:t>
      </w:r>
      <w:proofErr w:type="gramStart"/>
      <w:r w:rsidRPr="00B80025">
        <w:rPr>
          <w:rFonts w:ascii="Arial" w:hAnsi="Arial" w:cs="Arial"/>
          <w:color w:val="000000" w:themeColor="text1"/>
          <w:sz w:val="22"/>
          <w:szCs w:val="22"/>
        </w:rPr>
        <w:t>a</w:t>
      </w:r>
      <w:proofErr w:type="gramEnd"/>
      <w:r w:rsidRPr="00B80025">
        <w:rPr>
          <w:rFonts w:ascii="Arial" w:hAnsi="Arial" w:cs="Arial"/>
          <w:color w:val="000000" w:themeColor="text1"/>
          <w:sz w:val="22"/>
          <w:szCs w:val="22"/>
        </w:rPr>
        <w:t xml:space="preserve"> avoidable death.</w:t>
      </w:r>
    </w:p>
    <w:p w14:paraId="355DFE2B" w14:textId="77777777" w:rsidR="00D06132" w:rsidRPr="00B80025" w:rsidRDefault="00B4551F" w:rsidP="00A36102">
      <w:pPr>
        <w:pStyle w:val="Heading2"/>
      </w:pPr>
      <w:bookmarkStart w:id="22" w:name="_Toc227678146"/>
      <w:r w:rsidRPr="00B80025">
        <w:t>5.2. Evidence-Based Improvements, Lessons Learned, and System Implications.</w:t>
      </w:r>
      <w:bookmarkEnd w:id="22"/>
    </w:p>
    <w:p w14:paraId="71EC9128"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This case of Lewis Blackman shows the necessity of providing evidence-based reforms that will bring together leadership and governance to improve patient safety. Among the significant opportunities to enhance the situation, the evidence-based practice of implementing structured early warning systems that will allow identifying and reporting the patient deterioration in a timely manner must be mentioned. It has been proven that the hospitals that implement such systems manage to decrease the incidents of unexpected clinical deterioration by 29% since they offer objective criteria on which a decision is made (</w:t>
      </w:r>
      <w:proofErr w:type="spellStart"/>
      <w:r w:rsidRPr="00B80025">
        <w:rPr>
          <w:rFonts w:ascii="Arial" w:hAnsi="Arial" w:cs="Arial"/>
          <w:color w:val="000000" w:themeColor="text1"/>
          <w:sz w:val="22"/>
          <w:szCs w:val="22"/>
        </w:rPr>
        <w:t>Hospodková</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2021). Clinical auditing and performance monitoring on a regular basis has been found to increase adherence to safety measures by up to 21 percent especially when the leaders are well established. In the case of Lewis Blackman, accountability was not in place and as such unsafe practices including shutting of monitoring equipment could be done without any repercussions. It can greatly minimize such risks by having clear roles and responsibilities and enforcing the role and responsibility </w:t>
      </w:r>
      <w:r w:rsidRPr="00B80025">
        <w:rPr>
          <w:rFonts w:ascii="Arial" w:hAnsi="Arial" w:cs="Arial"/>
          <w:color w:val="000000" w:themeColor="text1"/>
          <w:sz w:val="22"/>
          <w:szCs w:val="22"/>
        </w:rPr>
        <w:lastRenderedPageBreak/>
        <w:t>mechanisms. An actual case in point is the implementation of the national patient safety frameworks in the UK, which helped to increase the reporting and management of safety incidents by 17 percent during a time frame.</w:t>
      </w:r>
    </w:p>
    <w:p w14:paraId="1B89AE0F"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noProof/>
          <w:color w:val="000000" w:themeColor="text1"/>
          <w:sz w:val="22"/>
          <w:szCs w:val="22"/>
        </w:rPr>
        <w:drawing>
          <wp:inline distT="114300" distB="114300" distL="114300" distR="114300" wp14:anchorId="114A3D0A" wp14:editId="68146A58">
            <wp:extent cx="5238750" cy="36576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238750" cy="3657600"/>
                    </a:xfrm>
                    <a:prstGeom prst="rect">
                      <a:avLst/>
                    </a:prstGeom>
                    <a:ln/>
                  </pic:spPr>
                </pic:pic>
              </a:graphicData>
            </a:graphic>
          </wp:inline>
        </w:drawing>
      </w:r>
    </w:p>
    <w:p w14:paraId="0BE7391D" w14:textId="77777777" w:rsidR="00D06132" w:rsidRPr="00B80025" w:rsidRDefault="00B4551F" w:rsidP="00A36102">
      <w:pPr>
        <w:pBdr>
          <w:top w:val="nil"/>
          <w:left w:val="nil"/>
          <w:bottom w:val="nil"/>
          <w:right w:val="nil"/>
          <w:between w:val="nil"/>
        </w:pBdr>
        <w:jc w:val="center"/>
        <w:rPr>
          <w:rFonts w:ascii="Arial" w:hAnsi="Arial" w:cs="Arial"/>
          <w:b/>
          <w:bCs/>
          <w:i/>
          <w:iCs/>
          <w:color w:val="000000" w:themeColor="text1"/>
          <w:sz w:val="22"/>
          <w:szCs w:val="22"/>
        </w:rPr>
      </w:pPr>
      <w:r w:rsidRPr="00B80025">
        <w:rPr>
          <w:rFonts w:ascii="Arial" w:hAnsi="Arial" w:cs="Arial"/>
          <w:b/>
          <w:bCs/>
          <w:i/>
          <w:iCs/>
          <w:color w:val="000000" w:themeColor="text1"/>
          <w:sz w:val="22"/>
          <w:szCs w:val="22"/>
        </w:rPr>
        <w:t>Figure 5: Factors leading to change implementation.</w:t>
      </w:r>
    </w:p>
    <w:p w14:paraId="4086C1D6" w14:textId="77777777" w:rsidR="00D06132" w:rsidRPr="00B80025" w:rsidRDefault="00B4551F" w:rsidP="00A36102">
      <w:pPr>
        <w:pBdr>
          <w:top w:val="nil"/>
          <w:left w:val="nil"/>
          <w:bottom w:val="nil"/>
          <w:right w:val="nil"/>
          <w:between w:val="nil"/>
        </w:pBdr>
        <w:jc w:val="center"/>
        <w:rPr>
          <w:rFonts w:ascii="Arial" w:hAnsi="Arial" w:cs="Arial"/>
          <w:color w:val="000000" w:themeColor="text1"/>
          <w:sz w:val="22"/>
          <w:szCs w:val="22"/>
        </w:rPr>
      </w:pPr>
      <w:r w:rsidRPr="00B80025">
        <w:rPr>
          <w:rFonts w:ascii="Arial" w:hAnsi="Arial" w:cs="Arial"/>
          <w:color w:val="000000" w:themeColor="text1"/>
          <w:sz w:val="22"/>
          <w:szCs w:val="22"/>
        </w:rPr>
        <w:t xml:space="preserve"> (Source: </w:t>
      </w:r>
      <w:proofErr w:type="spellStart"/>
      <w:r w:rsidRPr="00B80025">
        <w:rPr>
          <w:rFonts w:ascii="Arial" w:hAnsi="Arial" w:cs="Arial"/>
          <w:color w:val="000000" w:themeColor="text1"/>
          <w:sz w:val="22"/>
          <w:szCs w:val="22"/>
        </w:rPr>
        <w:t>Hospodková</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2021)</w:t>
      </w:r>
    </w:p>
    <w:p w14:paraId="1422D7B0" w14:textId="03499C8F" w:rsidR="004E1D18" w:rsidRPr="00B80025" w:rsidRDefault="00B4551F" w:rsidP="00E20F4D">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It is also essential to enhance results through the development of leadership. Transformation leadership and emotionally intelligent leadership training </w:t>
      </w:r>
      <w:proofErr w:type="spellStart"/>
      <w:r w:rsidRPr="00B80025">
        <w:rPr>
          <w:rFonts w:ascii="Arial" w:hAnsi="Arial" w:cs="Arial"/>
          <w:color w:val="000000" w:themeColor="text1"/>
          <w:sz w:val="22"/>
          <w:szCs w:val="22"/>
        </w:rPr>
        <w:t>programmes</w:t>
      </w:r>
      <w:proofErr w:type="spellEnd"/>
      <w:r w:rsidRPr="00B80025">
        <w:rPr>
          <w:rFonts w:ascii="Arial" w:hAnsi="Arial" w:cs="Arial"/>
          <w:color w:val="000000" w:themeColor="text1"/>
          <w:sz w:val="22"/>
          <w:szCs w:val="22"/>
        </w:rPr>
        <w:t xml:space="preserve"> have been reported to enhance communication within the teams and minimize clinical errors by about 26. The absence of the leadership and support in this case is one of the factors that have led to poor decision making and employee lack of confidence (</w:t>
      </w:r>
      <w:proofErr w:type="spellStart"/>
      <w:r w:rsidRPr="00B80025">
        <w:rPr>
          <w:rFonts w:ascii="Arial" w:hAnsi="Arial" w:cs="Arial"/>
          <w:color w:val="000000" w:themeColor="text1"/>
          <w:sz w:val="22"/>
          <w:szCs w:val="22"/>
        </w:rPr>
        <w:t>Juknevičienė</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2025). It is necessary to promote the culture of psychological safety, which means empowering the staff in order to express their concerns. Fractured care provision as witnessed in this case predisposes the risk of mistakes and time wastage. There is some evidence to suggest that coordination and adverse events can be reduced by as much as 18 cases through integrated care models, especially if there </w:t>
      </w:r>
      <w:proofErr w:type="gramStart"/>
      <w:r w:rsidRPr="00B80025">
        <w:rPr>
          <w:rFonts w:ascii="Arial" w:hAnsi="Arial" w:cs="Arial"/>
          <w:color w:val="000000" w:themeColor="text1"/>
          <w:sz w:val="22"/>
          <w:szCs w:val="22"/>
        </w:rPr>
        <w:t>is</w:t>
      </w:r>
      <w:proofErr w:type="gramEnd"/>
      <w:r w:rsidRPr="00B80025">
        <w:rPr>
          <w:rFonts w:ascii="Arial" w:hAnsi="Arial" w:cs="Arial"/>
          <w:color w:val="000000" w:themeColor="text1"/>
          <w:sz w:val="22"/>
          <w:szCs w:val="22"/>
        </w:rPr>
        <w:t xml:space="preserve"> effective communication systems (Jazmín Eliana Villa-</w:t>
      </w:r>
      <w:proofErr w:type="spellStart"/>
      <w:r w:rsidRPr="00B80025">
        <w:rPr>
          <w:rFonts w:ascii="Arial" w:hAnsi="Arial" w:cs="Arial"/>
          <w:color w:val="000000" w:themeColor="text1"/>
          <w:sz w:val="22"/>
          <w:szCs w:val="22"/>
        </w:rPr>
        <w:t>Gallón</w:t>
      </w:r>
      <w:proofErr w:type="spellEnd"/>
      <w:r w:rsidR="008D4F76" w:rsidRPr="00B80025">
        <w:rPr>
          <w:rFonts w:ascii="Arial" w:hAnsi="Arial" w:cs="Arial"/>
          <w:color w:val="000000" w:themeColor="text1"/>
          <w:sz w:val="22"/>
          <w:szCs w:val="22"/>
        </w:rPr>
        <w:t xml:space="preserve"> </w:t>
      </w:r>
      <w:r w:rsidR="008D4F76"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2024). The </w:t>
      </w:r>
      <w:proofErr w:type="spellStart"/>
      <w:r w:rsidRPr="00B80025">
        <w:rPr>
          <w:rFonts w:ascii="Arial" w:hAnsi="Arial" w:cs="Arial"/>
          <w:color w:val="000000" w:themeColor="text1"/>
          <w:sz w:val="22"/>
          <w:szCs w:val="22"/>
        </w:rPr>
        <w:t>organisations</w:t>
      </w:r>
      <w:proofErr w:type="spellEnd"/>
      <w:r w:rsidRPr="00B80025">
        <w:rPr>
          <w:rFonts w:ascii="Arial" w:hAnsi="Arial" w:cs="Arial"/>
          <w:color w:val="000000" w:themeColor="text1"/>
          <w:sz w:val="22"/>
          <w:szCs w:val="22"/>
        </w:rPr>
        <w:t xml:space="preserve"> that embrace the feedback systems and learning structures record a maximum of 20% increase in safety performance, because they can detect trends and take corrective measures. Lewis Blackman case highlights the significance of learning to make a mistake and making use of measurements </w:t>
      </w:r>
      <w:r w:rsidRPr="00B80025">
        <w:rPr>
          <w:rFonts w:ascii="Arial" w:hAnsi="Arial" w:cs="Arial"/>
          <w:color w:val="000000" w:themeColor="text1"/>
          <w:sz w:val="22"/>
          <w:szCs w:val="22"/>
        </w:rPr>
        <w:lastRenderedPageBreak/>
        <w:t xml:space="preserve">to initiate change. Healthcare </w:t>
      </w:r>
      <w:proofErr w:type="spellStart"/>
      <w:r w:rsidRPr="00B80025">
        <w:rPr>
          <w:rFonts w:ascii="Arial" w:hAnsi="Arial" w:cs="Arial"/>
          <w:color w:val="000000" w:themeColor="text1"/>
          <w:sz w:val="22"/>
          <w:szCs w:val="22"/>
        </w:rPr>
        <w:t>organisations</w:t>
      </w:r>
      <w:proofErr w:type="spellEnd"/>
      <w:r w:rsidRPr="00B80025">
        <w:rPr>
          <w:rFonts w:ascii="Arial" w:hAnsi="Arial" w:cs="Arial"/>
          <w:color w:val="000000" w:themeColor="text1"/>
          <w:sz w:val="22"/>
          <w:szCs w:val="22"/>
        </w:rPr>
        <w:t xml:space="preserve"> can develop a safer and more responsive system by aligning leadership practices with the best governance and evidence-based strategies (Erschens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2024). Through these lessons, it is evident that the best way of preventing similar incidences is through a </w:t>
      </w:r>
      <w:proofErr w:type="spellStart"/>
      <w:r w:rsidRPr="00B80025">
        <w:rPr>
          <w:rFonts w:ascii="Arial" w:hAnsi="Arial" w:cs="Arial"/>
          <w:color w:val="000000" w:themeColor="text1"/>
          <w:sz w:val="22"/>
          <w:szCs w:val="22"/>
        </w:rPr>
        <w:t>co-ordinated</w:t>
      </w:r>
      <w:proofErr w:type="spellEnd"/>
      <w:r w:rsidRPr="00B80025">
        <w:rPr>
          <w:rFonts w:ascii="Arial" w:hAnsi="Arial" w:cs="Arial"/>
          <w:color w:val="000000" w:themeColor="text1"/>
          <w:sz w:val="22"/>
          <w:szCs w:val="22"/>
        </w:rPr>
        <w:t xml:space="preserve"> strategy, in which leadership, governance, and systems thinking are intertwined to facilitate accountability, enhance communication and eventual patient outcomes.</w:t>
      </w:r>
    </w:p>
    <w:p w14:paraId="4964DC07" w14:textId="7715A333" w:rsidR="00D06132" w:rsidRPr="00B80025" w:rsidRDefault="00B4551F" w:rsidP="00A36102">
      <w:pPr>
        <w:pStyle w:val="Heading1"/>
      </w:pPr>
      <w:bookmarkStart w:id="23" w:name="_Toc227678147"/>
      <w:r w:rsidRPr="00B80025">
        <w:t>6. Recommendation</w:t>
      </w:r>
      <w:bookmarkEnd w:id="23"/>
    </w:p>
    <w:p w14:paraId="3D59CAE4" w14:textId="77777777" w:rsidR="00D06132" w:rsidRPr="00B80025" w:rsidRDefault="00B4551F" w:rsidP="00A36102">
      <w:pPr>
        <w:pStyle w:val="Heading2"/>
      </w:pPr>
      <w:bookmarkStart w:id="24" w:name="_Toc227678148"/>
      <w:r w:rsidRPr="00B80025">
        <w:t xml:space="preserve">6.1 The Strategic Actions towards </w:t>
      </w:r>
      <w:proofErr w:type="spellStart"/>
      <w:r w:rsidRPr="00B80025">
        <w:t>Organisational</w:t>
      </w:r>
      <w:proofErr w:type="spellEnd"/>
      <w:r w:rsidRPr="00B80025">
        <w:t xml:space="preserve"> Improvement.</w:t>
      </w:r>
      <w:bookmarkEnd w:id="24"/>
    </w:p>
    <w:p w14:paraId="38C95835"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Systemic improvement should also be applied to the </w:t>
      </w:r>
      <w:proofErr w:type="spellStart"/>
      <w:r w:rsidRPr="00B80025">
        <w:rPr>
          <w:rFonts w:ascii="Arial" w:hAnsi="Arial" w:cs="Arial"/>
          <w:color w:val="000000" w:themeColor="text1"/>
          <w:sz w:val="22"/>
          <w:szCs w:val="22"/>
        </w:rPr>
        <w:t>organisation</w:t>
      </w:r>
      <w:proofErr w:type="spellEnd"/>
      <w:r w:rsidRPr="00B80025">
        <w:rPr>
          <w:rFonts w:ascii="Arial" w:hAnsi="Arial" w:cs="Arial"/>
          <w:color w:val="000000" w:themeColor="text1"/>
          <w:sz w:val="22"/>
          <w:szCs w:val="22"/>
        </w:rPr>
        <w:t xml:space="preserve"> to deal with the failures detected in the Lewis Blackman case. The important measures involve the introduction of early warning scoring systems that are able to decrease mortality in caused by clinical deterioration by up to 33 percent and real-time electronic monitoring which has reduced missed deterioration events by 24 percent (Heydari and Kin Keung Lai, 2023). It is important to strengthen clinical supervision, and the policies should provide fast access of senior clinicians in order to enhance patient outcomes. Also, the involvement of the stakeholders and co-production are to be considered a priority, because the involvement of patients and families in the process of care decision-making has been associated with a 17 percent decrease in the number of safety </w:t>
      </w:r>
      <w:proofErr w:type="gramStart"/>
      <w:r w:rsidRPr="00B80025">
        <w:rPr>
          <w:rFonts w:ascii="Arial" w:hAnsi="Arial" w:cs="Arial"/>
          <w:color w:val="000000" w:themeColor="text1"/>
          <w:sz w:val="22"/>
          <w:szCs w:val="22"/>
        </w:rPr>
        <w:t>incidents  (</w:t>
      </w:r>
      <w:proofErr w:type="gramEnd"/>
      <w:r w:rsidRPr="00B80025">
        <w:rPr>
          <w:rFonts w:ascii="Arial" w:hAnsi="Arial" w:cs="Arial"/>
          <w:color w:val="000000" w:themeColor="text1"/>
          <w:sz w:val="22"/>
          <w:szCs w:val="22"/>
        </w:rPr>
        <w:t xml:space="preserve">Yousaf, Khan and Paracha, 2022). These are evidence-based practices and offer a practical guide to improve patient safety, the </w:t>
      </w:r>
      <w:proofErr w:type="spellStart"/>
      <w:r w:rsidRPr="00B80025">
        <w:rPr>
          <w:rFonts w:ascii="Arial" w:hAnsi="Arial" w:cs="Arial"/>
          <w:color w:val="000000" w:themeColor="text1"/>
          <w:sz w:val="22"/>
          <w:szCs w:val="22"/>
        </w:rPr>
        <w:t>organisational</w:t>
      </w:r>
      <w:proofErr w:type="spellEnd"/>
      <w:r w:rsidRPr="00B80025">
        <w:rPr>
          <w:rFonts w:ascii="Arial" w:hAnsi="Arial" w:cs="Arial"/>
          <w:color w:val="000000" w:themeColor="text1"/>
          <w:sz w:val="22"/>
          <w:szCs w:val="22"/>
        </w:rPr>
        <w:t xml:space="preserve"> performance, and such failures in the future.</w:t>
      </w:r>
    </w:p>
    <w:p w14:paraId="1F49B8C1" w14:textId="77777777" w:rsidR="00D06132" w:rsidRPr="00B80025" w:rsidRDefault="00B4551F" w:rsidP="00A36102">
      <w:pPr>
        <w:pStyle w:val="Heading2"/>
      </w:pPr>
      <w:bookmarkStart w:id="25" w:name="_Toc227678149"/>
      <w:r w:rsidRPr="00B80025">
        <w:t>6.2. Leadership Styles that are recommended to maintain the improvement.</w:t>
      </w:r>
      <w:bookmarkEnd w:id="25"/>
    </w:p>
    <w:p w14:paraId="6A41933C"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Transformational, situational and distributed leadership styles should be embraced by the </w:t>
      </w:r>
      <w:proofErr w:type="spellStart"/>
      <w:r w:rsidRPr="00B80025">
        <w:rPr>
          <w:rFonts w:ascii="Arial" w:hAnsi="Arial" w:cs="Arial"/>
          <w:color w:val="000000" w:themeColor="text1"/>
          <w:sz w:val="22"/>
          <w:szCs w:val="22"/>
        </w:rPr>
        <w:t>organisation</w:t>
      </w:r>
      <w:proofErr w:type="spellEnd"/>
      <w:r w:rsidRPr="00B80025">
        <w:rPr>
          <w:rFonts w:ascii="Arial" w:hAnsi="Arial" w:cs="Arial"/>
          <w:color w:val="000000" w:themeColor="text1"/>
          <w:sz w:val="22"/>
          <w:szCs w:val="22"/>
        </w:rPr>
        <w:t xml:space="preserve"> to be able to maintain the improvement. Transformational leadership also promotes a high degree of safety culture and shared vision that increases patient safety indicators by up to 29 percent and also improves staff motivation (</w:t>
      </w:r>
      <w:proofErr w:type="spellStart"/>
      <w:r w:rsidRPr="00B80025">
        <w:rPr>
          <w:rFonts w:ascii="Arial" w:hAnsi="Arial" w:cs="Arial"/>
          <w:color w:val="000000" w:themeColor="text1"/>
          <w:sz w:val="22"/>
          <w:szCs w:val="22"/>
        </w:rPr>
        <w:t>Paganin</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2023). Also, emotionally intelligent leadership boosts teamwork and communication where research indicates that team effectiveness has increased by 28 per cent when the leaders are empathetic and aware. To facilitate these strategies, the constant development of professions will be necessary since the training of leadership can be advanced by a fifth. These types of leadership styles form a proactive, responsive and patient-</w:t>
      </w:r>
      <w:proofErr w:type="spellStart"/>
      <w:r w:rsidRPr="00B80025">
        <w:rPr>
          <w:rFonts w:ascii="Arial" w:hAnsi="Arial" w:cs="Arial"/>
          <w:color w:val="000000" w:themeColor="text1"/>
          <w:sz w:val="22"/>
          <w:szCs w:val="22"/>
        </w:rPr>
        <w:t>centred</w:t>
      </w:r>
      <w:proofErr w:type="spellEnd"/>
      <w:r w:rsidRPr="00B80025">
        <w:rPr>
          <w:rFonts w:ascii="Arial" w:hAnsi="Arial" w:cs="Arial"/>
          <w:color w:val="000000" w:themeColor="text1"/>
          <w:sz w:val="22"/>
          <w:szCs w:val="22"/>
        </w:rPr>
        <w:t xml:space="preserve"> culture that will achieve long term change in healthcare delivery and patient outcomes.</w:t>
      </w:r>
    </w:p>
    <w:p w14:paraId="70BA5DCE" w14:textId="77777777" w:rsidR="00D06132" w:rsidRPr="00B80025" w:rsidRDefault="00B4551F" w:rsidP="00A36102">
      <w:pPr>
        <w:pStyle w:val="Heading2"/>
      </w:pPr>
      <w:bookmarkStart w:id="26" w:name="_Toc227678150"/>
      <w:r w:rsidRPr="00B80025">
        <w:t>6.3. Empowering Governance, Communication and Systems Integration.</w:t>
      </w:r>
      <w:bookmarkEnd w:id="26"/>
    </w:p>
    <w:p w14:paraId="38AD8F17"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It is necessary to tighten governance to be able to follow accountability and consistency in care delivery. Setting up the roles, duties, and escalation channels can enhance the adherence to the clinical standards by as much as 19%. Clear, non-punitive incident reporting systems have the </w:t>
      </w:r>
      <w:r w:rsidRPr="00B80025">
        <w:rPr>
          <w:rFonts w:ascii="Arial" w:hAnsi="Arial" w:cs="Arial"/>
          <w:color w:val="000000" w:themeColor="text1"/>
          <w:sz w:val="22"/>
          <w:szCs w:val="22"/>
        </w:rPr>
        <w:lastRenderedPageBreak/>
        <w:t>potential to raise the reporting rates, by 27 percent, and manage the risks more effectively. Mistakes can be minimized by 18 to 14 percentage points by improving communication through organized tools such as SBAR and also by means of efficient handover practices (Leung e</w:t>
      </w:r>
      <w:r w:rsidRPr="00B80025">
        <w:rPr>
          <w:rFonts w:ascii="Arial" w:hAnsi="Arial" w:cs="Arial"/>
          <w:i/>
          <w:iCs/>
          <w:color w:val="000000" w:themeColor="text1"/>
          <w:sz w:val="22"/>
          <w:szCs w:val="22"/>
        </w:rPr>
        <w:t xml:space="preserve">t al., </w:t>
      </w:r>
      <w:r w:rsidRPr="00B80025">
        <w:rPr>
          <w:rFonts w:ascii="Arial" w:hAnsi="Arial" w:cs="Arial"/>
          <w:color w:val="000000" w:themeColor="text1"/>
          <w:sz w:val="22"/>
          <w:szCs w:val="22"/>
        </w:rPr>
        <w:t>2019). Frequent interdisciplinary meetings also increase team-to-team coordination. Technology, work force, and processes should be synchronized in systems integration. Integrated care models have the ability to increase patient outcomes by 15 times and real time data analytics can increase efficiency of the decision making by 22 times (</w:t>
      </w:r>
      <w:proofErr w:type="spellStart"/>
      <w:r w:rsidRPr="00B80025">
        <w:rPr>
          <w:rFonts w:ascii="Arial" w:hAnsi="Arial" w:cs="Arial"/>
          <w:color w:val="000000" w:themeColor="text1"/>
          <w:sz w:val="22"/>
          <w:szCs w:val="22"/>
        </w:rPr>
        <w:t>Ystaas</w:t>
      </w:r>
      <w:proofErr w:type="spellEnd"/>
      <w:r w:rsidRPr="00B80025">
        <w:rPr>
          <w:rFonts w:ascii="Arial" w:hAnsi="Arial" w:cs="Arial"/>
          <w:color w:val="000000" w:themeColor="text1"/>
          <w:sz w:val="22"/>
          <w:szCs w:val="22"/>
        </w:rPr>
        <w:t xml:space="preserve"> </w:t>
      </w:r>
      <w:r w:rsidRPr="00B80025">
        <w:rPr>
          <w:rFonts w:ascii="Arial" w:hAnsi="Arial" w:cs="Arial"/>
          <w:i/>
          <w:iCs/>
          <w:color w:val="000000" w:themeColor="text1"/>
          <w:sz w:val="22"/>
          <w:szCs w:val="22"/>
        </w:rPr>
        <w:t>et al.,</w:t>
      </w:r>
      <w:r w:rsidRPr="00B80025">
        <w:rPr>
          <w:rFonts w:ascii="Arial" w:hAnsi="Arial" w:cs="Arial"/>
          <w:color w:val="000000" w:themeColor="text1"/>
          <w:sz w:val="22"/>
          <w:szCs w:val="22"/>
        </w:rPr>
        <w:t xml:space="preserve"> 2023). To achieve this, stakeholder involvement and co-production are also essential and patient and staff involvement boost the satisfaction by 13%. The measures make governance transparent, coordinated and aligned to patient needs.</w:t>
      </w:r>
    </w:p>
    <w:p w14:paraId="75572484" w14:textId="77777777" w:rsidR="00D06132" w:rsidRPr="00B80025" w:rsidRDefault="00B4551F" w:rsidP="00A36102">
      <w:pPr>
        <w:pStyle w:val="Heading2"/>
      </w:pPr>
      <w:bookmarkStart w:id="27" w:name="_Toc227678151"/>
      <w:r w:rsidRPr="00B80025">
        <w:t>6.4. Improving technical and Allocative Efficiency.</w:t>
      </w:r>
      <w:bookmarkEnd w:id="27"/>
    </w:p>
    <w:p w14:paraId="1E07A3E5" w14:textId="22BA0F76" w:rsidR="004E1D18" w:rsidRPr="00B80025" w:rsidRDefault="00B4551F" w:rsidP="00E20F4D">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Enhancement of efficiency is essential to </w:t>
      </w:r>
      <w:proofErr w:type="spellStart"/>
      <w:r w:rsidRPr="00B80025">
        <w:rPr>
          <w:rFonts w:ascii="Arial" w:hAnsi="Arial" w:cs="Arial"/>
          <w:color w:val="000000" w:themeColor="text1"/>
          <w:sz w:val="22"/>
          <w:szCs w:val="22"/>
        </w:rPr>
        <w:t>maximise</w:t>
      </w:r>
      <w:proofErr w:type="spellEnd"/>
      <w:r w:rsidRPr="00B80025">
        <w:rPr>
          <w:rFonts w:ascii="Arial" w:hAnsi="Arial" w:cs="Arial"/>
          <w:color w:val="000000" w:themeColor="text1"/>
          <w:sz w:val="22"/>
          <w:szCs w:val="22"/>
        </w:rPr>
        <w:t xml:space="preserve"> the </w:t>
      </w:r>
      <w:proofErr w:type="spellStart"/>
      <w:r w:rsidRPr="00B80025">
        <w:rPr>
          <w:rFonts w:ascii="Arial" w:hAnsi="Arial" w:cs="Arial"/>
          <w:color w:val="000000" w:themeColor="text1"/>
          <w:sz w:val="22"/>
          <w:szCs w:val="22"/>
        </w:rPr>
        <w:t>utilisation</w:t>
      </w:r>
      <w:proofErr w:type="spellEnd"/>
      <w:r w:rsidRPr="00B80025">
        <w:rPr>
          <w:rFonts w:ascii="Arial" w:hAnsi="Arial" w:cs="Arial"/>
          <w:color w:val="000000" w:themeColor="text1"/>
          <w:sz w:val="22"/>
          <w:szCs w:val="22"/>
        </w:rPr>
        <w:t xml:space="preserve"> of resources and quality care. Digital technologies like electronic health records can be used to promote technical efficiency by increasing the efficiency of the workflow by up to 25 percent. The </w:t>
      </w:r>
      <w:proofErr w:type="spellStart"/>
      <w:r w:rsidRPr="00B80025">
        <w:rPr>
          <w:rFonts w:ascii="Arial" w:hAnsi="Arial" w:cs="Arial"/>
          <w:color w:val="000000" w:themeColor="text1"/>
          <w:sz w:val="22"/>
          <w:szCs w:val="22"/>
        </w:rPr>
        <w:t>standardised</w:t>
      </w:r>
      <w:proofErr w:type="spellEnd"/>
      <w:r w:rsidRPr="00B80025">
        <w:rPr>
          <w:rFonts w:ascii="Arial" w:hAnsi="Arial" w:cs="Arial"/>
          <w:color w:val="000000" w:themeColor="text1"/>
          <w:sz w:val="22"/>
          <w:szCs w:val="22"/>
        </w:rPr>
        <w:t xml:space="preserve"> clinical pathways also </w:t>
      </w:r>
      <w:proofErr w:type="spellStart"/>
      <w:r w:rsidRPr="00B80025">
        <w:rPr>
          <w:rFonts w:ascii="Arial" w:hAnsi="Arial" w:cs="Arial"/>
          <w:color w:val="000000" w:themeColor="text1"/>
          <w:sz w:val="22"/>
          <w:szCs w:val="22"/>
        </w:rPr>
        <w:t>minimise</w:t>
      </w:r>
      <w:proofErr w:type="spellEnd"/>
      <w:r w:rsidRPr="00B80025">
        <w:rPr>
          <w:rFonts w:ascii="Arial" w:hAnsi="Arial" w:cs="Arial"/>
          <w:color w:val="000000" w:themeColor="text1"/>
          <w:sz w:val="22"/>
          <w:szCs w:val="22"/>
        </w:rPr>
        <w:t xml:space="preserve"> variation and delays of treatment dropped by 20% (Geremias</w:t>
      </w:r>
      <w:r w:rsidR="008D4F76" w:rsidRPr="00B80025">
        <w:rPr>
          <w:rFonts w:ascii="Arial" w:hAnsi="Arial" w:cs="Arial"/>
          <w:i/>
          <w:iCs/>
          <w:color w:val="000000" w:themeColor="text1"/>
          <w:sz w:val="22"/>
          <w:szCs w:val="22"/>
        </w:rPr>
        <w:t xml:space="preserve"> et al.</w:t>
      </w:r>
      <w:proofErr w:type="gramStart"/>
      <w:r w:rsidR="008D4F76" w:rsidRPr="00B80025">
        <w:rPr>
          <w:rFonts w:ascii="Arial" w:hAnsi="Arial" w:cs="Arial"/>
          <w:i/>
          <w:iCs/>
          <w:color w:val="000000" w:themeColor="text1"/>
          <w:sz w:val="22"/>
          <w:szCs w:val="22"/>
        </w:rPr>
        <w:t xml:space="preserve">, </w:t>
      </w:r>
      <w:r w:rsidRPr="00B80025">
        <w:rPr>
          <w:rFonts w:ascii="Arial" w:hAnsi="Arial" w:cs="Arial"/>
          <w:color w:val="000000" w:themeColor="text1"/>
          <w:sz w:val="22"/>
          <w:szCs w:val="22"/>
        </w:rPr>
        <w:t xml:space="preserve"> 2024</w:t>
      </w:r>
      <w:proofErr w:type="gramEnd"/>
      <w:r w:rsidRPr="00B80025">
        <w:rPr>
          <w:rFonts w:ascii="Arial" w:hAnsi="Arial" w:cs="Arial"/>
          <w:color w:val="000000" w:themeColor="text1"/>
          <w:sz w:val="22"/>
          <w:szCs w:val="22"/>
        </w:rPr>
        <w:t>). Allocative efficiency is used to ensure that resources are put in place at the expense of patient requirements. The utilization of data-driven decision-making can enhance the performance of the operation by 21 percent, whereas continuing improvement culture can guarantee long-term success. These measures can offer an evidence-based practice grounded on practical strategies that can improve the performance and safety of a healthcare system.</w:t>
      </w:r>
    </w:p>
    <w:p w14:paraId="275FD435" w14:textId="6D02C334" w:rsidR="00D06132" w:rsidRPr="00B80025" w:rsidRDefault="00B4551F" w:rsidP="00A36102">
      <w:pPr>
        <w:pStyle w:val="Heading1"/>
      </w:pPr>
      <w:bookmarkStart w:id="28" w:name="_Toc227678152"/>
      <w:r w:rsidRPr="00B80025">
        <w:t>7. Conclusion</w:t>
      </w:r>
      <w:bookmarkEnd w:id="28"/>
    </w:p>
    <w:p w14:paraId="225CBF23" w14:textId="77777777" w:rsidR="00D06132" w:rsidRPr="00B80025" w:rsidRDefault="00B4551F" w:rsidP="00A36102">
      <w:pPr>
        <w:pStyle w:val="Heading2"/>
      </w:pPr>
      <w:bookmarkStart w:id="29" w:name="_Toc227678153"/>
      <w:r w:rsidRPr="00B80025">
        <w:t>7.1 The main findings of the case study.</w:t>
      </w:r>
      <w:bookmarkEnd w:id="29"/>
    </w:p>
    <w:p w14:paraId="5B1D58F0" w14:textId="77777777" w:rsidR="00D06132" w:rsidRPr="00B80025"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Lewis Blackman case points to the failure in patient safety, which is a severe failure of leadership and governance as well as ineffective process of the system. Although the clinical led to visible clinical deterioration in over 30 hours without the intervention, it failed, and the death could have been avoided. Among the essential problems, one should single out delayed escalation, wrong diagnosis, ineffective communication, and absence of senior clinical supervision. There is evidence that escalation and monitoring failures lead to about 12-13 of hospital deaths especially in the acute care hospitals. It was also </w:t>
      </w:r>
      <w:proofErr w:type="spellStart"/>
      <w:r w:rsidRPr="00B80025">
        <w:rPr>
          <w:rFonts w:ascii="Arial" w:hAnsi="Arial" w:cs="Arial"/>
          <w:color w:val="000000" w:themeColor="text1"/>
          <w:sz w:val="22"/>
          <w:szCs w:val="22"/>
        </w:rPr>
        <w:t>realised</w:t>
      </w:r>
      <w:proofErr w:type="spellEnd"/>
      <w:r w:rsidRPr="00B80025">
        <w:rPr>
          <w:rFonts w:ascii="Arial" w:hAnsi="Arial" w:cs="Arial"/>
          <w:color w:val="000000" w:themeColor="text1"/>
          <w:sz w:val="22"/>
          <w:szCs w:val="22"/>
        </w:rPr>
        <w:t xml:space="preserve"> in the case that there were structural weaknesses that included a </w:t>
      </w:r>
      <w:proofErr w:type="spellStart"/>
      <w:r w:rsidRPr="00B80025">
        <w:rPr>
          <w:rFonts w:ascii="Arial" w:hAnsi="Arial" w:cs="Arial"/>
          <w:color w:val="000000" w:themeColor="text1"/>
          <w:sz w:val="22"/>
          <w:szCs w:val="22"/>
        </w:rPr>
        <w:t>centralised</w:t>
      </w:r>
      <w:proofErr w:type="spellEnd"/>
      <w:r w:rsidRPr="00B80025">
        <w:rPr>
          <w:rFonts w:ascii="Arial" w:hAnsi="Arial" w:cs="Arial"/>
          <w:color w:val="000000" w:themeColor="text1"/>
          <w:sz w:val="22"/>
          <w:szCs w:val="22"/>
        </w:rPr>
        <w:t xml:space="preserve"> hierarchy and informal </w:t>
      </w:r>
      <w:proofErr w:type="spellStart"/>
      <w:r w:rsidRPr="00B80025">
        <w:rPr>
          <w:rFonts w:ascii="Arial" w:hAnsi="Arial" w:cs="Arial"/>
          <w:color w:val="000000" w:themeColor="text1"/>
          <w:sz w:val="22"/>
          <w:szCs w:val="22"/>
        </w:rPr>
        <w:t>decentralisation</w:t>
      </w:r>
      <w:proofErr w:type="spellEnd"/>
      <w:r w:rsidRPr="00B80025">
        <w:rPr>
          <w:rFonts w:ascii="Arial" w:hAnsi="Arial" w:cs="Arial"/>
          <w:color w:val="000000" w:themeColor="text1"/>
          <w:sz w:val="22"/>
          <w:szCs w:val="22"/>
        </w:rPr>
        <w:t xml:space="preserve"> which led to confusion in accountability. The junior staffs would be left to make crucial decisions without being supervised, which augmented risks, and research indicated that inappropriate supervision could augment adverse events by 18 per cent. Also, reactive care was the result of the lack of proactive </w:t>
      </w:r>
      <w:r w:rsidRPr="00B80025">
        <w:rPr>
          <w:rFonts w:ascii="Arial" w:hAnsi="Arial" w:cs="Arial"/>
          <w:color w:val="000000" w:themeColor="text1"/>
          <w:sz w:val="22"/>
          <w:szCs w:val="22"/>
        </w:rPr>
        <w:lastRenderedPageBreak/>
        <w:t xml:space="preserve">leadership styles. In </w:t>
      </w:r>
      <w:proofErr w:type="spellStart"/>
      <w:r w:rsidRPr="00B80025">
        <w:rPr>
          <w:rFonts w:ascii="Arial" w:hAnsi="Arial" w:cs="Arial"/>
          <w:color w:val="000000" w:themeColor="text1"/>
          <w:sz w:val="22"/>
          <w:szCs w:val="22"/>
        </w:rPr>
        <w:t>organisations</w:t>
      </w:r>
      <w:proofErr w:type="spellEnd"/>
      <w:r w:rsidRPr="00B80025">
        <w:rPr>
          <w:rFonts w:ascii="Arial" w:hAnsi="Arial" w:cs="Arial"/>
          <w:color w:val="000000" w:themeColor="text1"/>
          <w:sz w:val="22"/>
          <w:szCs w:val="22"/>
        </w:rPr>
        <w:t xml:space="preserve"> where there is no alignment of leadership, up to 20% of the harm that can be prevented is </w:t>
      </w:r>
      <w:proofErr w:type="spellStart"/>
      <w:r w:rsidRPr="00B80025">
        <w:rPr>
          <w:rFonts w:ascii="Arial" w:hAnsi="Arial" w:cs="Arial"/>
          <w:color w:val="000000" w:themeColor="text1"/>
          <w:sz w:val="22"/>
          <w:szCs w:val="22"/>
        </w:rPr>
        <w:t>realised</w:t>
      </w:r>
      <w:proofErr w:type="spellEnd"/>
      <w:r w:rsidRPr="00B80025">
        <w:rPr>
          <w:rFonts w:ascii="Arial" w:hAnsi="Arial" w:cs="Arial"/>
          <w:color w:val="000000" w:themeColor="text1"/>
          <w:sz w:val="22"/>
          <w:szCs w:val="22"/>
        </w:rPr>
        <w:t>, which shows that evidence-based healthcare management should be integrated.</w:t>
      </w:r>
    </w:p>
    <w:p w14:paraId="0FE9C402" w14:textId="77777777" w:rsidR="00D06132" w:rsidRPr="00B80025" w:rsidRDefault="00B4551F" w:rsidP="00A36102">
      <w:pPr>
        <w:pStyle w:val="Heading2"/>
      </w:pPr>
      <w:bookmarkStart w:id="30" w:name="_Toc227678154"/>
      <w:r w:rsidRPr="00B80025">
        <w:t>7.2. The Role of Leadership, Governance and Systems Thinking in Fueling Change.</w:t>
      </w:r>
      <w:bookmarkEnd w:id="30"/>
    </w:p>
    <w:p w14:paraId="16114BE2" w14:textId="77777777" w:rsidR="00D06132" w:rsidRPr="00A36102" w:rsidRDefault="00B4551F" w:rsidP="00A36102">
      <w:pPr>
        <w:pBdr>
          <w:top w:val="nil"/>
          <w:left w:val="nil"/>
          <w:bottom w:val="nil"/>
          <w:right w:val="nil"/>
          <w:between w:val="nil"/>
        </w:pBdr>
        <w:rPr>
          <w:rFonts w:ascii="Arial" w:hAnsi="Arial" w:cs="Arial"/>
          <w:color w:val="000000" w:themeColor="text1"/>
          <w:sz w:val="22"/>
          <w:szCs w:val="22"/>
        </w:rPr>
      </w:pPr>
      <w:r w:rsidRPr="00B80025">
        <w:rPr>
          <w:rFonts w:ascii="Arial" w:hAnsi="Arial" w:cs="Arial"/>
          <w:color w:val="000000" w:themeColor="text1"/>
          <w:sz w:val="22"/>
          <w:szCs w:val="22"/>
        </w:rPr>
        <w:t xml:space="preserve">This case brings to the fore, the importance of leadership, governance and systems thinking in enhancing healthcare outcomes. A good culture of safety is provided by effective leadership, which makes sure that decisions are timely, there is an adequate level of communication and the culture is well </w:t>
      </w:r>
      <w:proofErr w:type="gramStart"/>
      <w:r w:rsidRPr="00B80025">
        <w:rPr>
          <w:rFonts w:ascii="Arial" w:hAnsi="Arial" w:cs="Arial"/>
          <w:color w:val="000000" w:themeColor="text1"/>
          <w:sz w:val="22"/>
          <w:szCs w:val="22"/>
        </w:rPr>
        <w:t>established .</w:t>
      </w:r>
      <w:proofErr w:type="gramEnd"/>
      <w:r w:rsidRPr="00B80025">
        <w:rPr>
          <w:rFonts w:ascii="Arial" w:hAnsi="Arial" w:cs="Arial"/>
          <w:color w:val="000000" w:themeColor="text1"/>
          <w:sz w:val="22"/>
          <w:szCs w:val="22"/>
        </w:rPr>
        <w:t xml:space="preserve"> It is stated that proactive leadership may lead to the better patient outcomes up to 25% and the absence of it results in the delay of interventions and low outcomes as in this situation. The governance gives the framework of accountability and implementation of standards. In this instance, poor governance led to unsafe practices being practiced whereas well governed system may enhance adherence to safety measures by as much as 22% times. These frameworks have to be strengthened in order to ensure quality care. System thinking helps </w:t>
      </w:r>
      <w:proofErr w:type="spellStart"/>
      <w:r w:rsidRPr="00B80025">
        <w:rPr>
          <w:rFonts w:ascii="Arial" w:hAnsi="Arial" w:cs="Arial"/>
          <w:color w:val="000000" w:themeColor="text1"/>
          <w:sz w:val="22"/>
          <w:szCs w:val="22"/>
        </w:rPr>
        <w:t>organisations</w:t>
      </w:r>
      <w:proofErr w:type="spellEnd"/>
      <w:r w:rsidRPr="00B80025">
        <w:rPr>
          <w:rFonts w:ascii="Arial" w:hAnsi="Arial" w:cs="Arial"/>
          <w:color w:val="000000" w:themeColor="text1"/>
          <w:sz w:val="22"/>
          <w:szCs w:val="22"/>
        </w:rPr>
        <w:t xml:space="preserve"> to </w:t>
      </w:r>
      <w:proofErr w:type="spellStart"/>
      <w:r w:rsidRPr="00B80025">
        <w:rPr>
          <w:rFonts w:ascii="Arial" w:hAnsi="Arial" w:cs="Arial"/>
          <w:color w:val="000000" w:themeColor="text1"/>
          <w:sz w:val="22"/>
          <w:szCs w:val="22"/>
        </w:rPr>
        <w:t>realise</w:t>
      </w:r>
      <w:proofErr w:type="spellEnd"/>
      <w:r w:rsidRPr="00B80025">
        <w:rPr>
          <w:rFonts w:ascii="Arial" w:hAnsi="Arial" w:cs="Arial"/>
          <w:color w:val="000000" w:themeColor="text1"/>
          <w:sz w:val="22"/>
          <w:szCs w:val="22"/>
        </w:rPr>
        <w:t xml:space="preserve"> the interrelationships that exist amongst people, processes and structures. Research reveals that adverse events can be mitigated by about 19 percent through systems based approach. All in all, robust leadership, governance, and systems thinking are essential elements that need to be combined to develop robust healthcare systems and guarantee long-term positive changes in patient safety.</w:t>
      </w:r>
      <w:r w:rsidRPr="00A36102">
        <w:rPr>
          <w:rFonts w:ascii="Arial" w:hAnsi="Arial" w:cs="Arial"/>
          <w:color w:val="000000" w:themeColor="text1"/>
          <w:sz w:val="22"/>
          <w:szCs w:val="22"/>
        </w:rPr>
        <w:br w:type="page"/>
      </w:r>
    </w:p>
    <w:p w14:paraId="3098D7B2" w14:textId="6C481FE1" w:rsidR="00D06132" w:rsidRDefault="00FE44A8" w:rsidP="00A36102">
      <w:pPr>
        <w:pStyle w:val="Heading1"/>
      </w:pPr>
      <w:bookmarkStart w:id="31" w:name="_Toc227678155"/>
      <w:r>
        <w:lastRenderedPageBreak/>
        <w:t xml:space="preserve">8. </w:t>
      </w:r>
      <w:r w:rsidR="00B4551F" w:rsidRPr="00A36102">
        <w:t>Reference list</w:t>
      </w:r>
      <w:bookmarkEnd w:id="31"/>
    </w:p>
    <w:p w14:paraId="25FBEC55" w14:textId="77777777" w:rsidR="00A46E2F" w:rsidRPr="00A46E2F" w:rsidRDefault="00A46E2F" w:rsidP="00A46E2F"/>
    <w:p w14:paraId="2693762B" w14:textId="77777777" w:rsidR="002D477C"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Aldogiher</w:t>
      </w:r>
      <w:proofErr w:type="spellEnd"/>
      <w:r w:rsidRPr="00A36102">
        <w:rPr>
          <w:rFonts w:ascii="Arial" w:hAnsi="Arial" w:cs="Arial"/>
          <w:color w:val="000000" w:themeColor="text1"/>
          <w:sz w:val="22"/>
          <w:szCs w:val="22"/>
        </w:rPr>
        <w:t xml:space="preserve">, A. and Halim, Y.T. (2025). Strategic Change Management to Sustainable Healthcare: Customer Insights from Saudi Arabia.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17(22), p.9953.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13" w:history="1">
        <w:r w:rsidRPr="00A36102">
          <w:rPr>
            <w:rStyle w:val="Hyperlink"/>
            <w:rFonts w:ascii="Arial" w:hAnsi="Arial" w:cs="Arial"/>
            <w:sz w:val="22"/>
            <w:szCs w:val="22"/>
          </w:rPr>
          <w:t>https://doi.org/10.3390/su17229953</w:t>
        </w:r>
      </w:hyperlink>
      <w:r w:rsidRPr="00A36102">
        <w:rPr>
          <w:rFonts w:ascii="Arial" w:hAnsi="Arial" w:cs="Arial"/>
          <w:color w:val="000000" w:themeColor="text1"/>
          <w:sz w:val="22"/>
          <w:szCs w:val="22"/>
        </w:rPr>
        <w:t xml:space="preserve">. </w:t>
      </w:r>
    </w:p>
    <w:p w14:paraId="022906FF"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Alzghaibi</w:t>
      </w:r>
      <w:proofErr w:type="spellEnd"/>
      <w:r w:rsidRPr="00A36102">
        <w:rPr>
          <w:rFonts w:ascii="Arial" w:hAnsi="Arial" w:cs="Arial"/>
          <w:color w:val="000000" w:themeColor="text1"/>
          <w:sz w:val="22"/>
          <w:szCs w:val="22"/>
        </w:rPr>
        <w:t xml:space="preserve">, H. and Hutchings, H.A. (2024). The Impact of Leadership and Management on the Implementation of Electronic Health Record Systems in the Primary Healthcare Centers. </w:t>
      </w:r>
      <w:r w:rsidRPr="00A36102">
        <w:rPr>
          <w:rFonts w:ascii="Arial" w:hAnsi="Arial" w:cs="Arial"/>
          <w:i/>
          <w:iCs/>
          <w:color w:val="000000" w:themeColor="text1"/>
          <w:sz w:val="22"/>
          <w:szCs w:val="22"/>
        </w:rPr>
        <w:t>Healthcare</w:t>
      </w:r>
      <w:r w:rsidRPr="00A36102">
        <w:rPr>
          <w:rFonts w:ascii="Arial" w:hAnsi="Arial" w:cs="Arial"/>
          <w:color w:val="000000" w:themeColor="text1"/>
          <w:sz w:val="22"/>
          <w:szCs w:val="22"/>
        </w:rPr>
        <w:t xml:space="preserve">, [online] 12(20), p.2013.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14" w:history="1">
        <w:r w:rsidRPr="00A36102">
          <w:rPr>
            <w:rStyle w:val="Hyperlink"/>
            <w:rFonts w:ascii="Arial" w:hAnsi="Arial" w:cs="Arial"/>
            <w:sz w:val="22"/>
            <w:szCs w:val="22"/>
          </w:rPr>
          <w:t>https://doi.org/10.3390/healthcare12202013</w:t>
        </w:r>
      </w:hyperlink>
      <w:r w:rsidRPr="00A36102">
        <w:rPr>
          <w:rFonts w:ascii="Arial" w:hAnsi="Arial" w:cs="Arial"/>
          <w:color w:val="000000" w:themeColor="text1"/>
          <w:sz w:val="22"/>
          <w:szCs w:val="22"/>
        </w:rPr>
        <w:t xml:space="preserve">. </w:t>
      </w:r>
    </w:p>
    <w:p w14:paraId="7AFE2107" w14:textId="671F177F" w:rsidR="002D477C" w:rsidRPr="00A46E2F" w:rsidRDefault="002D477C" w:rsidP="002D477C">
      <w:pPr>
        <w:pBdr>
          <w:top w:val="nil"/>
          <w:left w:val="nil"/>
          <w:bottom w:val="nil"/>
          <w:right w:val="nil"/>
          <w:between w:val="nil"/>
        </w:pBdr>
        <w:spacing w:after="240"/>
        <w:rPr>
          <w:rFonts w:ascii="Arial" w:hAnsi="Arial" w:cs="Arial"/>
          <w:color w:val="000000" w:themeColor="text1"/>
          <w:sz w:val="22"/>
          <w:szCs w:val="22"/>
          <w:lang w:val="en-IN"/>
        </w:rPr>
      </w:pPr>
      <w:r w:rsidRPr="00A46E2F">
        <w:rPr>
          <w:rFonts w:ascii="Arial" w:hAnsi="Arial" w:cs="Arial"/>
          <w:color w:val="000000" w:themeColor="text1"/>
          <w:sz w:val="22"/>
          <w:szCs w:val="22"/>
          <w:lang w:val="en-IN"/>
        </w:rPr>
        <w:t xml:space="preserve">Balogun, O.D., Mustapha, A.Y., </w:t>
      </w:r>
      <w:proofErr w:type="spellStart"/>
      <w:r w:rsidRPr="00A46E2F">
        <w:rPr>
          <w:rFonts w:ascii="Arial" w:hAnsi="Arial" w:cs="Arial"/>
          <w:color w:val="000000" w:themeColor="text1"/>
          <w:sz w:val="22"/>
          <w:szCs w:val="22"/>
          <w:lang w:val="en-IN"/>
        </w:rPr>
        <w:t>Tomoh</w:t>
      </w:r>
      <w:proofErr w:type="spellEnd"/>
      <w:r w:rsidRPr="00A46E2F">
        <w:rPr>
          <w:rFonts w:ascii="Arial" w:hAnsi="Arial" w:cs="Arial"/>
          <w:color w:val="000000" w:themeColor="text1"/>
          <w:sz w:val="22"/>
          <w:szCs w:val="22"/>
          <w:lang w:val="en-IN"/>
        </w:rPr>
        <w:t xml:space="preserve">, B.O., </w:t>
      </w:r>
      <w:proofErr w:type="spellStart"/>
      <w:r w:rsidRPr="00A46E2F">
        <w:rPr>
          <w:rFonts w:ascii="Arial" w:hAnsi="Arial" w:cs="Arial"/>
          <w:color w:val="000000" w:themeColor="text1"/>
          <w:sz w:val="22"/>
          <w:szCs w:val="22"/>
          <w:lang w:val="en-IN"/>
        </w:rPr>
        <w:t>Soyege</w:t>
      </w:r>
      <w:proofErr w:type="spellEnd"/>
      <w:r w:rsidRPr="00A46E2F">
        <w:rPr>
          <w:rFonts w:ascii="Arial" w:hAnsi="Arial" w:cs="Arial"/>
          <w:color w:val="000000" w:themeColor="text1"/>
          <w:sz w:val="22"/>
          <w:szCs w:val="22"/>
          <w:lang w:val="en-IN"/>
        </w:rPr>
        <w:t xml:space="preserve">, O.S., Nwokedi, C.N., Mbata, A.O. and </w:t>
      </w:r>
      <w:proofErr w:type="spellStart"/>
      <w:r w:rsidRPr="00A46E2F">
        <w:rPr>
          <w:rFonts w:ascii="Arial" w:hAnsi="Arial" w:cs="Arial"/>
          <w:color w:val="000000" w:themeColor="text1"/>
          <w:sz w:val="22"/>
          <w:szCs w:val="22"/>
          <w:lang w:val="en-IN"/>
        </w:rPr>
        <w:t>Iguma</w:t>
      </w:r>
      <w:proofErr w:type="spellEnd"/>
      <w:r w:rsidRPr="00A46E2F">
        <w:rPr>
          <w:rFonts w:ascii="Arial" w:hAnsi="Arial" w:cs="Arial"/>
          <w:color w:val="000000" w:themeColor="text1"/>
          <w:sz w:val="22"/>
          <w:szCs w:val="22"/>
          <w:lang w:val="en-IN"/>
        </w:rPr>
        <w:t xml:space="preserve">, D.R., </w:t>
      </w:r>
      <w:r w:rsidR="00A46E2F">
        <w:rPr>
          <w:rFonts w:ascii="Arial" w:hAnsi="Arial" w:cs="Arial"/>
          <w:color w:val="000000" w:themeColor="text1"/>
          <w:sz w:val="22"/>
          <w:szCs w:val="22"/>
          <w:lang w:val="en-IN"/>
        </w:rPr>
        <w:t>(</w:t>
      </w:r>
      <w:r w:rsidRPr="00A46E2F">
        <w:rPr>
          <w:rFonts w:ascii="Arial" w:hAnsi="Arial" w:cs="Arial"/>
          <w:color w:val="000000" w:themeColor="text1"/>
          <w:sz w:val="22"/>
          <w:szCs w:val="22"/>
          <w:lang w:val="en-IN"/>
        </w:rPr>
        <w:t>2024</w:t>
      </w:r>
      <w:r w:rsidR="00A46E2F">
        <w:rPr>
          <w:rFonts w:ascii="Arial" w:hAnsi="Arial" w:cs="Arial"/>
          <w:color w:val="000000" w:themeColor="text1"/>
          <w:sz w:val="22"/>
          <w:szCs w:val="22"/>
          <w:lang w:val="en-IN"/>
        </w:rPr>
        <w:t>)</w:t>
      </w:r>
      <w:r w:rsidRPr="00A46E2F">
        <w:rPr>
          <w:rFonts w:ascii="Arial" w:hAnsi="Arial" w:cs="Arial"/>
          <w:color w:val="000000" w:themeColor="text1"/>
          <w:sz w:val="22"/>
          <w:szCs w:val="22"/>
          <w:lang w:val="en-IN"/>
        </w:rPr>
        <w:t>. Patient-</w:t>
      </w:r>
      <w:proofErr w:type="spellStart"/>
      <w:r w:rsidRPr="00A46E2F">
        <w:rPr>
          <w:rFonts w:ascii="Arial" w:hAnsi="Arial" w:cs="Arial"/>
          <w:color w:val="000000" w:themeColor="text1"/>
          <w:sz w:val="22"/>
          <w:szCs w:val="22"/>
          <w:lang w:val="en-IN"/>
        </w:rPr>
        <w:t>centered</w:t>
      </w:r>
      <w:proofErr w:type="spellEnd"/>
      <w:r w:rsidRPr="00A46E2F">
        <w:rPr>
          <w:rFonts w:ascii="Arial" w:hAnsi="Arial" w:cs="Arial"/>
          <w:color w:val="000000" w:themeColor="text1"/>
          <w:sz w:val="22"/>
          <w:szCs w:val="22"/>
          <w:lang w:val="en-IN"/>
        </w:rPr>
        <w:t xml:space="preserve"> care models: a review of their influence on healthcare management practices. </w:t>
      </w:r>
      <w:r w:rsidRPr="00A46E2F">
        <w:rPr>
          <w:rFonts w:ascii="Arial" w:hAnsi="Arial" w:cs="Arial"/>
          <w:i/>
          <w:iCs/>
          <w:color w:val="000000" w:themeColor="text1"/>
          <w:sz w:val="22"/>
          <w:szCs w:val="22"/>
          <w:lang w:val="en-IN"/>
        </w:rPr>
        <w:t xml:space="preserve">J Front </w:t>
      </w:r>
      <w:proofErr w:type="spellStart"/>
      <w:r w:rsidRPr="00A46E2F">
        <w:rPr>
          <w:rFonts w:ascii="Arial" w:hAnsi="Arial" w:cs="Arial"/>
          <w:i/>
          <w:iCs/>
          <w:color w:val="000000" w:themeColor="text1"/>
          <w:sz w:val="22"/>
          <w:szCs w:val="22"/>
          <w:lang w:val="en-IN"/>
        </w:rPr>
        <w:t>Multidiscip</w:t>
      </w:r>
      <w:proofErr w:type="spellEnd"/>
      <w:r w:rsidRPr="00A46E2F">
        <w:rPr>
          <w:rFonts w:ascii="Arial" w:hAnsi="Arial" w:cs="Arial"/>
          <w:i/>
          <w:iCs/>
          <w:color w:val="000000" w:themeColor="text1"/>
          <w:sz w:val="22"/>
          <w:szCs w:val="22"/>
          <w:lang w:val="en-IN"/>
        </w:rPr>
        <w:t xml:space="preserve"> Res</w:t>
      </w:r>
      <w:r w:rsidRPr="00A46E2F">
        <w:rPr>
          <w:rFonts w:ascii="Arial" w:hAnsi="Arial" w:cs="Arial"/>
          <w:color w:val="000000" w:themeColor="text1"/>
          <w:sz w:val="22"/>
          <w:szCs w:val="22"/>
          <w:lang w:val="en-IN"/>
        </w:rPr>
        <w:t xml:space="preserve">, </w:t>
      </w:r>
      <w:r w:rsidRPr="00A46E2F">
        <w:rPr>
          <w:rFonts w:ascii="Arial" w:hAnsi="Arial" w:cs="Arial"/>
          <w:i/>
          <w:iCs/>
          <w:color w:val="000000" w:themeColor="text1"/>
          <w:sz w:val="22"/>
          <w:szCs w:val="22"/>
          <w:lang w:val="en-IN"/>
        </w:rPr>
        <w:t>5</w:t>
      </w:r>
      <w:r w:rsidRPr="00A46E2F">
        <w:rPr>
          <w:rFonts w:ascii="Arial" w:hAnsi="Arial" w:cs="Arial"/>
          <w:color w:val="000000" w:themeColor="text1"/>
          <w:sz w:val="22"/>
          <w:szCs w:val="22"/>
          <w:lang w:val="en-IN"/>
        </w:rPr>
        <w:t xml:space="preserve">(2), pp.28-35. </w:t>
      </w:r>
      <w:r w:rsidR="00A46E2F">
        <w:rPr>
          <w:rFonts w:ascii="Arial" w:hAnsi="Arial" w:cs="Arial"/>
          <w:color w:val="000000" w:themeColor="text1"/>
          <w:sz w:val="22"/>
          <w:szCs w:val="22"/>
          <w:lang w:val="en-IN"/>
        </w:rPr>
        <w:t xml:space="preserve"> </w:t>
      </w:r>
      <w:hyperlink r:id="rId15" w:history="1">
        <w:r w:rsidR="00A46E2F" w:rsidRPr="0074422C">
          <w:rPr>
            <w:rStyle w:val="Hyperlink"/>
            <w:rFonts w:ascii="Arial" w:hAnsi="Arial" w:cs="Arial"/>
            <w:sz w:val="22"/>
            <w:szCs w:val="22"/>
            <w:lang w:val="en-IN"/>
          </w:rPr>
          <w:t>https://www.multidisciplinaryfrontiers.com/uploads/archives/20250319115401_FMR-2025-1-012.1.pdf</w:t>
        </w:r>
      </w:hyperlink>
      <w:r w:rsidR="00A46E2F">
        <w:rPr>
          <w:rStyle w:val="Hyperlink"/>
          <w:rFonts w:ascii="Arial" w:hAnsi="Arial" w:cs="Arial"/>
          <w:color w:val="000000" w:themeColor="text1"/>
          <w:sz w:val="22"/>
          <w:szCs w:val="22"/>
          <w:u w:val="none"/>
          <w:lang w:val="en-IN"/>
        </w:rPr>
        <w:t xml:space="preserve"> </w:t>
      </w:r>
      <w:r w:rsidRPr="00A46E2F">
        <w:rPr>
          <w:rFonts w:ascii="Arial" w:hAnsi="Arial" w:cs="Arial"/>
          <w:color w:val="000000" w:themeColor="text1"/>
          <w:sz w:val="22"/>
          <w:szCs w:val="22"/>
          <w:lang w:val="en-IN"/>
        </w:rPr>
        <w:t> </w:t>
      </w:r>
      <w:r w:rsidR="00A46E2F">
        <w:rPr>
          <w:rFonts w:ascii="Arial" w:hAnsi="Arial" w:cs="Arial"/>
          <w:color w:val="000000" w:themeColor="text1"/>
          <w:sz w:val="22"/>
          <w:szCs w:val="22"/>
          <w:lang w:val="en-IN"/>
        </w:rPr>
        <w:t xml:space="preserve"> </w:t>
      </w:r>
    </w:p>
    <w:p w14:paraId="0245F2D3"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Diniz, P., Marques, I.C.P. and Pereira, Â.M. (2025). Leadership, Human-Centered Management and Organizational Culture: Pathways to Well-Being and Innovative Work Based on a Systematic Review.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17(24), p.11181.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16" w:history="1">
        <w:r w:rsidRPr="00A36102">
          <w:rPr>
            <w:rStyle w:val="Hyperlink"/>
            <w:rFonts w:ascii="Arial" w:hAnsi="Arial" w:cs="Arial"/>
            <w:sz w:val="22"/>
            <w:szCs w:val="22"/>
          </w:rPr>
          <w:t>https://doi.org/10.3390/su172411181</w:t>
        </w:r>
      </w:hyperlink>
      <w:r w:rsidRPr="00A36102">
        <w:rPr>
          <w:rFonts w:ascii="Arial" w:hAnsi="Arial" w:cs="Arial"/>
          <w:color w:val="000000" w:themeColor="text1"/>
          <w:sz w:val="22"/>
          <w:szCs w:val="22"/>
        </w:rPr>
        <w:t xml:space="preserve">. </w:t>
      </w:r>
    </w:p>
    <w:p w14:paraId="508134A2"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Erschens, R., Adam, S.H., </w:t>
      </w:r>
      <w:proofErr w:type="spellStart"/>
      <w:r w:rsidRPr="00A36102">
        <w:rPr>
          <w:rFonts w:ascii="Arial" w:hAnsi="Arial" w:cs="Arial"/>
          <w:color w:val="000000" w:themeColor="text1"/>
          <w:sz w:val="22"/>
          <w:szCs w:val="22"/>
        </w:rPr>
        <w:t>Schröpel</w:t>
      </w:r>
      <w:proofErr w:type="spellEnd"/>
      <w:r w:rsidRPr="00A36102">
        <w:rPr>
          <w:rFonts w:ascii="Arial" w:hAnsi="Arial" w:cs="Arial"/>
          <w:color w:val="000000" w:themeColor="text1"/>
          <w:sz w:val="22"/>
          <w:szCs w:val="22"/>
        </w:rPr>
        <w:t xml:space="preserve">, C., </w:t>
      </w:r>
      <w:proofErr w:type="spellStart"/>
      <w:r w:rsidRPr="00A36102">
        <w:rPr>
          <w:rFonts w:ascii="Arial" w:hAnsi="Arial" w:cs="Arial"/>
          <w:color w:val="000000" w:themeColor="text1"/>
          <w:sz w:val="22"/>
          <w:szCs w:val="22"/>
        </w:rPr>
        <w:t>Diebig</w:t>
      </w:r>
      <w:proofErr w:type="spellEnd"/>
      <w:r w:rsidRPr="00A36102">
        <w:rPr>
          <w:rFonts w:ascii="Arial" w:hAnsi="Arial" w:cs="Arial"/>
          <w:color w:val="000000" w:themeColor="text1"/>
          <w:sz w:val="22"/>
          <w:szCs w:val="22"/>
        </w:rPr>
        <w:t xml:space="preserve">, M., Rieger, M.A., Gündel, H., Zipfel, S. and Junne, F. (2024). Improving Well-Being and Fostering Health-Oriented Leadership among Leaders in Small and Medium-Sized Enterprises (SMEs): A Systematic Review. </w:t>
      </w:r>
      <w:r w:rsidRPr="00A36102">
        <w:rPr>
          <w:rFonts w:ascii="Arial" w:hAnsi="Arial" w:cs="Arial"/>
          <w:i/>
          <w:iCs/>
          <w:color w:val="000000" w:themeColor="text1"/>
          <w:sz w:val="22"/>
          <w:szCs w:val="22"/>
        </w:rPr>
        <w:t>Healthcare</w:t>
      </w:r>
      <w:r w:rsidRPr="00A36102">
        <w:rPr>
          <w:rFonts w:ascii="Arial" w:hAnsi="Arial" w:cs="Arial"/>
          <w:color w:val="000000" w:themeColor="text1"/>
          <w:sz w:val="22"/>
          <w:szCs w:val="22"/>
        </w:rPr>
        <w:t xml:space="preserve">, [online] 12(4), p.486.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17" w:history="1">
        <w:r w:rsidRPr="00A36102">
          <w:rPr>
            <w:rStyle w:val="Hyperlink"/>
            <w:rFonts w:ascii="Arial" w:hAnsi="Arial" w:cs="Arial"/>
            <w:sz w:val="22"/>
            <w:szCs w:val="22"/>
          </w:rPr>
          <w:t>https://doi.org/10.3390/healthcare12040486</w:t>
        </w:r>
      </w:hyperlink>
      <w:r w:rsidRPr="00A36102">
        <w:rPr>
          <w:rFonts w:ascii="Arial" w:hAnsi="Arial" w:cs="Arial"/>
          <w:color w:val="000000" w:themeColor="text1"/>
          <w:sz w:val="22"/>
          <w:szCs w:val="22"/>
        </w:rPr>
        <w:t xml:space="preserve">. </w:t>
      </w:r>
    </w:p>
    <w:p w14:paraId="07CD1C99"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Georgousopoulou, V., Amanatidou, M., Pinelopi Vlotinou, Lahana, E., </w:t>
      </w:r>
      <w:proofErr w:type="spellStart"/>
      <w:r w:rsidRPr="00A36102">
        <w:rPr>
          <w:rFonts w:ascii="Arial" w:hAnsi="Arial" w:cs="Arial"/>
          <w:color w:val="000000" w:themeColor="text1"/>
          <w:sz w:val="22"/>
          <w:szCs w:val="22"/>
        </w:rPr>
        <w:t>Tsiakiri</w:t>
      </w:r>
      <w:proofErr w:type="spellEnd"/>
      <w:r w:rsidRPr="00A36102">
        <w:rPr>
          <w:rFonts w:ascii="Arial" w:hAnsi="Arial" w:cs="Arial"/>
          <w:color w:val="000000" w:themeColor="text1"/>
          <w:sz w:val="22"/>
          <w:szCs w:val="22"/>
        </w:rPr>
        <w:t xml:space="preserve">, A., Ioannis Koutelekos, Koutra, E. and Georgios Manomenidis (2025). The Role of Organizational Culture and Emotional Intelligence: Enhancing Healthcare Professionals’ Job Satisfaction. </w:t>
      </w:r>
      <w:r w:rsidRPr="00A36102">
        <w:rPr>
          <w:rFonts w:ascii="Arial" w:hAnsi="Arial" w:cs="Arial"/>
          <w:i/>
          <w:iCs/>
          <w:color w:val="000000" w:themeColor="text1"/>
          <w:sz w:val="22"/>
          <w:szCs w:val="22"/>
        </w:rPr>
        <w:t>Social Sciences</w:t>
      </w:r>
      <w:r w:rsidRPr="00A36102">
        <w:rPr>
          <w:rFonts w:ascii="Arial" w:hAnsi="Arial" w:cs="Arial"/>
          <w:color w:val="000000" w:themeColor="text1"/>
          <w:sz w:val="22"/>
          <w:szCs w:val="22"/>
        </w:rPr>
        <w:t xml:space="preserve">, [online] 14(5), pp.286–286.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18" w:history="1">
        <w:r w:rsidRPr="00A36102">
          <w:rPr>
            <w:rStyle w:val="Hyperlink"/>
            <w:rFonts w:ascii="Arial" w:hAnsi="Arial" w:cs="Arial"/>
            <w:sz w:val="22"/>
            <w:szCs w:val="22"/>
          </w:rPr>
          <w:t>https://doi.org/10.3390/socsci14050286</w:t>
        </w:r>
      </w:hyperlink>
      <w:r w:rsidRPr="00A36102">
        <w:rPr>
          <w:rFonts w:ascii="Arial" w:hAnsi="Arial" w:cs="Arial"/>
          <w:color w:val="000000" w:themeColor="text1"/>
          <w:sz w:val="22"/>
          <w:szCs w:val="22"/>
        </w:rPr>
        <w:t xml:space="preserve">. </w:t>
      </w:r>
    </w:p>
    <w:p w14:paraId="62CED9B8"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Geremias, R.L., Lopes, M.P. and Sotomayor, A.M. (2024). Improving Organizational Commitment among Healthcare Employees in Angola: The Role of Psychological Capital and Perceived Transformational Leadership. </w:t>
      </w:r>
      <w:r w:rsidRPr="00A36102">
        <w:rPr>
          <w:rFonts w:ascii="Arial" w:hAnsi="Arial" w:cs="Arial"/>
          <w:i/>
          <w:iCs/>
          <w:color w:val="000000" w:themeColor="text1"/>
          <w:sz w:val="22"/>
          <w:szCs w:val="22"/>
        </w:rPr>
        <w:t>Healthcare</w:t>
      </w:r>
      <w:r w:rsidRPr="00A36102">
        <w:rPr>
          <w:rFonts w:ascii="Arial" w:hAnsi="Arial" w:cs="Arial"/>
          <w:color w:val="000000" w:themeColor="text1"/>
          <w:sz w:val="22"/>
          <w:szCs w:val="22"/>
        </w:rPr>
        <w:t xml:space="preserve">, [online] 12(3), p.326.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19" w:history="1">
        <w:r w:rsidRPr="00A36102">
          <w:rPr>
            <w:rStyle w:val="Hyperlink"/>
            <w:rFonts w:ascii="Arial" w:hAnsi="Arial" w:cs="Arial"/>
            <w:sz w:val="22"/>
            <w:szCs w:val="22"/>
          </w:rPr>
          <w:t>https://doi.org/10.3390/healthcare12030326</w:t>
        </w:r>
      </w:hyperlink>
      <w:r w:rsidRPr="00A36102">
        <w:rPr>
          <w:rFonts w:ascii="Arial" w:hAnsi="Arial" w:cs="Arial"/>
          <w:color w:val="000000" w:themeColor="text1"/>
          <w:sz w:val="22"/>
          <w:szCs w:val="22"/>
        </w:rPr>
        <w:t xml:space="preserve">. </w:t>
      </w:r>
    </w:p>
    <w:p w14:paraId="34835444" w14:textId="40B7711C" w:rsidR="002D477C" w:rsidRPr="00A46E2F" w:rsidRDefault="002D477C" w:rsidP="002D477C">
      <w:pPr>
        <w:pBdr>
          <w:top w:val="nil"/>
          <w:left w:val="nil"/>
          <w:bottom w:val="nil"/>
          <w:right w:val="nil"/>
          <w:between w:val="nil"/>
        </w:pBdr>
        <w:spacing w:after="240"/>
        <w:rPr>
          <w:rFonts w:ascii="Arial" w:hAnsi="Arial" w:cs="Arial"/>
          <w:color w:val="000000" w:themeColor="text1"/>
          <w:sz w:val="22"/>
          <w:szCs w:val="22"/>
          <w:lang w:val="en-IN"/>
        </w:rPr>
      </w:pPr>
      <w:r w:rsidRPr="00A46E2F">
        <w:rPr>
          <w:rFonts w:ascii="Arial" w:hAnsi="Arial" w:cs="Arial"/>
          <w:color w:val="000000" w:themeColor="text1"/>
          <w:sz w:val="22"/>
          <w:szCs w:val="22"/>
          <w:lang w:val="en-IN"/>
        </w:rPr>
        <w:lastRenderedPageBreak/>
        <w:t xml:space="preserve">Goosby, B.J., Winkle-Wagner, R. and Zhang, A., 2025. The uterus keeps the score: Black women academics’ insights and coping with uterine fibroids. </w:t>
      </w:r>
      <w:r w:rsidRPr="00A46E2F">
        <w:rPr>
          <w:rFonts w:ascii="Arial" w:hAnsi="Arial" w:cs="Arial"/>
          <w:i/>
          <w:iCs/>
          <w:color w:val="000000" w:themeColor="text1"/>
          <w:sz w:val="22"/>
          <w:szCs w:val="22"/>
          <w:lang w:val="en-IN"/>
        </w:rPr>
        <w:t xml:space="preserve">Journal of Health and Social </w:t>
      </w:r>
      <w:proofErr w:type="spellStart"/>
      <w:r w:rsidRPr="00A46E2F">
        <w:rPr>
          <w:rFonts w:ascii="Arial" w:hAnsi="Arial" w:cs="Arial"/>
          <w:i/>
          <w:iCs/>
          <w:color w:val="000000" w:themeColor="text1"/>
          <w:sz w:val="22"/>
          <w:szCs w:val="22"/>
          <w:lang w:val="en-IN"/>
        </w:rPr>
        <w:t>Behavior</w:t>
      </w:r>
      <w:proofErr w:type="spellEnd"/>
      <w:r w:rsidRPr="00A46E2F">
        <w:rPr>
          <w:rFonts w:ascii="Arial" w:hAnsi="Arial" w:cs="Arial"/>
          <w:color w:val="000000" w:themeColor="text1"/>
          <w:sz w:val="22"/>
          <w:szCs w:val="22"/>
          <w:lang w:val="en-IN"/>
        </w:rPr>
        <w:t xml:space="preserve">, </w:t>
      </w:r>
      <w:r w:rsidRPr="00A46E2F">
        <w:rPr>
          <w:rFonts w:ascii="Arial" w:hAnsi="Arial" w:cs="Arial"/>
          <w:i/>
          <w:iCs/>
          <w:color w:val="000000" w:themeColor="text1"/>
          <w:sz w:val="22"/>
          <w:szCs w:val="22"/>
          <w:lang w:val="en-IN"/>
        </w:rPr>
        <w:t>66</w:t>
      </w:r>
      <w:r w:rsidRPr="00A46E2F">
        <w:rPr>
          <w:rFonts w:ascii="Arial" w:hAnsi="Arial" w:cs="Arial"/>
          <w:color w:val="000000" w:themeColor="text1"/>
          <w:sz w:val="22"/>
          <w:szCs w:val="22"/>
          <w:lang w:val="en-IN"/>
        </w:rPr>
        <w:t xml:space="preserve">(2), pp.212-227. </w:t>
      </w:r>
      <w:r w:rsidR="00A46E2F">
        <w:rPr>
          <w:rFonts w:ascii="Arial" w:hAnsi="Arial" w:cs="Arial"/>
          <w:color w:val="000000" w:themeColor="text1"/>
          <w:sz w:val="22"/>
          <w:szCs w:val="22"/>
          <w:lang w:val="en-IN"/>
        </w:rPr>
        <w:t xml:space="preserve"> </w:t>
      </w:r>
      <w:hyperlink r:id="rId20" w:history="1">
        <w:r w:rsidR="00A46E2F" w:rsidRPr="0074422C">
          <w:rPr>
            <w:rStyle w:val="Hyperlink"/>
            <w:rFonts w:ascii="Arial" w:hAnsi="Arial" w:cs="Arial"/>
            <w:sz w:val="22"/>
            <w:szCs w:val="22"/>
            <w:lang w:val="en-IN"/>
          </w:rPr>
          <w:t>https://doi.org/10.1177/00221465241268434</w:t>
        </w:r>
      </w:hyperlink>
      <w:r w:rsidR="00A46E2F">
        <w:rPr>
          <w:rFonts w:ascii="Arial" w:hAnsi="Arial" w:cs="Arial"/>
          <w:color w:val="000000" w:themeColor="text1"/>
          <w:sz w:val="22"/>
          <w:szCs w:val="22"/>
          <w:lang w:val="en-IN"/>
        </w:rPr>
        <w:t xml:space="preserve"> </w:t>
      </w:r>
    </w:p>
    <w:p w14:paraId="2D44882D"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Halat, D.H., Soltani, A., Dalli, R., Alsarraj, L. and Malki, A. (2023). Understanding and Fostering Mental Health and well-being among University faculty: a Narrative Review. </w:t>
      </w:r>
      <w:r w:rsidRPr="00A36102">
        <w:rPr>
          <w:rFonts w:ascii="Arial" w:hAnsi="Arial" w:cs="Arial"/>
          <w:i/>
          <w:iCs/>
          <w:color w:val="000000" w:themeColor="text1"/>
          <w:sz w:val="22"/>
          <w:szCs w:val="22"/>
        </w:rPr>
        <w:t>Journal of Clinical Medicine</w:t>
      </w:r>
      <w:r w:rsidRPr="00A36102">
        <w:rPr>
          <w:rFonts w:ascii="Arial" w:hAnsi="Arial" w:cs="Arial"/>
          <w:color w:val="000000" w:themeColor="text1"/>
          <w:sz w:val="22"/>
          <w:szCs w:val="22"/>
        </w:rPr>
        <w:t xml:space="preserve">, [online] 12(13), p.4425.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21" w:history="1">
        <w:r w:rsidRPr="00A36102">
          <w:rPr>
            <w:rStyle w:val="Hyperlink"/>
            <w:rFonts w:ascii="Arial" w:hAnsi="Arial" w:cs="Arial"/>
            <w:sz w:val="22"/>
            <w:szCs w:val="22"/>
          </w:rPr>
          <w:t>https://doi.org/10.3390/jcm12134425</w:t>
        </w:r>
      </w:hyperlink>
      <w:r w:rsidRPr="00A36102">
        <w:rPr>
          <w:rFonts w:ascii="Arial" w:hAnsi="Arial" w:cs="Arial"/>
          <w:color w:val="000000" w:themeColor="text1"/>
          <w:sz w:val="22"/>
          <w:szCs w:val="22"/>
        </w:rPr>
        <w:t xml:space="preserve">. </w:t>
      </w:r>
    </w:p>
    <w:p w14:paraId="3928E729" w14:textId="39FB43EE" w:rsidR="002D477C" w:rsidRPr="00B80025" w:rsidRDefault="002D477C" w:rsidP="002D477C">
      <w:pPr>
        <w:pBdr>
          <w:top w:val="nil"/>
          <w:left w:val="nil"/>
          <w:bottom w:val="nil"/>
          <w:right w:val="nil"/>
          <w:between w:val="nil"/>
        </w:pBdr>
        <w:spacing w:after="240"/>
        <w:rPr>
          <w:rFonts w:ascii="Arial" w:hAnsi="Arial" w:cs="Arial"/>
          <w:color w:val="000000" w:themeColor="text1"/>
          <w:sz w:val="22"/>
          <w:szCs w:val="22"/>
          <w:lang w:val="en-IN"/>
        </w:rPr>
      </w:pPr>
      <w:r w:rsidRPr="00B80025">
        <w:rPr>
          <w:rFonts w:ascii="Arial" w:hAnsi="Arial" w:cs="Arial"/>
          <w:color w:val="000000" w:themeColor="text1"/>
          <w:sz w:val="22"/>
          <w:szCs w:val="22"/>
          <w:lang w:val="en-IN"/>
        </w:rPr>
        <w:t xml:space="preserve">Hazwani, T., Hamam, H., Caswell, A., </w:t>
      </w:r>
      <w:proofErr w:type="spellStart"/>
      <w:r w:rsidRPr="00B80025">
        <w:rPr>
          <w:rFonts w:ascii="Arial" w:hAnsi="Arial" w:cs="Arial"/>
          <w:color w:val="000000" w:themeColor="text1"/>
          <w:sz w:val="22"/>
          <w:szCs w:val="22"/>
          <w:lang w:val="en-IN"/>
        </w:rPr>
        <w:t>Madkhaly</w:t>
      </w:r>
      <w:proofErr w:type="spellEnd"/>
      <w:r w:rsidRPr="00B80025">
        <w:rPr>
          <w:rFonts w:ascii="Arial" w:hAnsi="Arial" w:cs="Arial"/>
          <w:color w:val="000000" w:themeColor="text1"/>
          <w:sz w:val="22"/>
          <w:szCs w:val="22"/>
          <w:lang w:val="en-IN"/>
        </w:rPr>
        <w:t xml:space="preserve">, A., Al Saif, S., Al Hassan, Z., Al Sweilem, R. and Arabi, A., 2024. Proactive patient safety: enhancing hospital readiness through simulation-based clinical systems testing and healthcare failure mode and effect analysis. </w:t>
      </w:r>
      <w:r w:rsidRPr="00B80025">
        <w:rPr>
          <w:rFonts w:ascii="Arial" w:hAnsi="Arial" w:cs="Arial"/>
          <w:i/>
          <w:iCs/>
          <w:color w:val="000000" w:themeColor="text1"/>
          <w:sz w:val="22"/>
          <w:szCs w:val="22"/>
          <w:lang w:val="en-IN"/>
        </w:rPr>
        <w:t>Advances in Simulation</w:t>
      </w:r>
      <w:r w:rsidRPr="00B80025">
        <w:rPr>
          <w:rFonts w:ascii="Arial" w:hAnsi="Arial" w:cs="Arial"/>
          <w:color w:val="000000" w:themeColor="text1"/>
          <w:sz w:val="22"/>
          <w:szCs w:val="22"/>
          <w:lang w:val="en-IN"/>
        </w:rPr>
        <w:t xml:space="preserve">, </w:t>
      </w:r>
      <w:r w:rsidRPr="00B80025">
        <w:rPr>
          <w:rFonts w:ascii="Arial" w:hAnsi="Arial" w:cs="Arial"/>
          <w:i/>
          <w:iCs/>
          <w:color w:val="000000" w:themeColor="text1"/>
          <w:sz w:val="22"/>
          <w:szCs w:val="22"/>
          <w:lang w:val="en-IN"/>
        </w:rPr>
        <w:t>9</w:t>
      </w:r>
      <w:r w:rsidRPr="00B80025">
        <w:rPr>
          <w:rFonts w:ascii="Arial" w:hAnsi="Arial" w:cs="Arial"/>
          <w:color w:val="000000" w:themeColor="text1"/>
          <w:sz w:val="22"/>
          <w:szCs w:val="22"/>
          <w:lang w:val="en-IN"/>
        </w:rPr>
        <w:t>(1), p.26</w:t>
      </w:r>
      <w:r w:rsidR="00B80025">
        <w:rPr>
          <w:rFonts w:ascii="Arial" w:hAnsi="Arial" w:cs="Arial"/>
          <w:color w:val="000000" w:themeColor="text1"/>
          <w:sz w:val="22"/>
          <w:szCs w:val="22"/>
          <w:lang w:val="en-IN"/>
        </w:rPr>
        <w:t xml:space="preserve">. </w:t>
      </w:r>
      <w:hyperlink r:id="rId22" w:history="1">
        <w:r w:rsidR="00B80025" w:rsidRPr="0074422C">
          <w:rPr>
            <w:rStyle w:val="Hyperlink"/>
            <w:rFonts w:ascii="Arial" w:hAnsi="Arial" w:cs="Arial"/>
            <w:sz w:val="22"/>
            <w:szCs w:val="22"/>
            <w:lang w:val="en-IN"/>
          </w:rPr>
          <w:t>https://doi.org/10.1186/s41077-024-00298-z</w:t>
        </w:r>
      </w:hyperlink>
      <w:r w:rsidR="00B80025">
        <w:rPr>
          <w:rStyle w:val="Hyperlink"/>
          <w:rFonts w:ascii="Arial" w:hAnsi="Arial" w:cs="Arial"/>
          <w:color w:val="000000" w:themeColor="text1"/>
          <w:sz w:val="22"/>
          <w:szCs w:val="22"/>
          <w:u w:val="none"/>
          <w:lang w:val="en-IN"/>
        </w:rPr>
        <w:t xml:space="preserve"> </w:t>
      </w:r>
      <w:r w:rsidR="00B80025">
        <w:rPr>
          <w:rFonts w:ascii="Arial" w:hAnsi="Arial" w:cs="Arial"/>
          <w:color w:val="000000" w:themeColor="text1"/>
          <w:sz w:val="22"/>
          <w:szCs w:val="22"/>
          <w:lang w:val="en-IN"/>
        </w:rPr>
        <w:t xml:space="preserve"> </w:t>
      </w:r>
    </w:p>
    <w:p w14:paraId="7138EE4D"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Heydari, M. and Kin Keung Lai (2023). Post-COVID-19 Pandemic Era and Sustainable Healthcare: Organization and Delivery of Health Economics Research (Principles and Clinical Practice). </w:t>
      </w:r>
      <w:r w:rsidRPr="00A36102">
        <w:rPr>
          <w:rFonts w:ascii="Arial" w:hAnsi="Arial" w:cs="Arial"/>
          <w:i/>
          <w:iCs/>
          <w:color w:val="000000" w:themeColor="text1"/>
          <w:sz w:val="22"/>
          <w:szCs w:val="22"/>
        </w:rPr>
        <w:t>Mathematics</w:t>
      </w:r>
      <w:r w:rsidRPr="00A36102">
        <w:rPr>
          <w:rFonts w:ascii="Arial" w:hAnsi="Arial" w:cs="Arial"/>
          <w:color w:val="000000" w:themeColor="text1"/>
          <w:sz w:val="22"/>
          <w:szCs w:val="22"/>
        </w:rPr>
        <w:t xml:space="preserve">, [online] 11(16), pp.3520–3520.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23" w:history="1">
        <w:r w:rsidRPr="00A36102">
          <w:rPr>
            <w:rStyle w:val="Hyperlink"/>
            <w:rFonts w:ascii="Arial" w:hAnsi="Arial" w:cs="Arial"/>
            <w:sz w:val="22"/>
            <w:szCs w:val="22"/>
          </w:rPr>
          <w:t>https://doi.org/10.3390/math11163520</w:t>
        </w:r>
      </w:hyperlink>
      <w:r w:rsidRPr="00A36102">
        <w:rPr>
          <w:rFonts w:ascii="Arial" w:hAnsi="Arial" w:cs="Arial"/>
          <w:color w:val="000000" w:themeColor="text1"/>
          <w:sz w:val="22"/>
          <w:szCs w:val="22"/>
        </w:rPr>
        <w:t xml:space="preserve">. </w:t>
      </w:r>
    </w:p>
    <w:p w14:paraId="301AFB15"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Hofmann, R., Chu, C.P.K., Twiner, A. and </w:t>
      </w:r>
      <w:proofErr w:type="spellStart"/>
      <w:r w:rsidRPr="00A36102">
        <w:rPr>
          <w:rFonts w:ascii="Arial" w:hAnsi="Arial" w:cs="Arial"/>
          <w:color w:val="000000" w:themeColor="text1"/>
          <w:sz w:val="22"/>
          <w:szCs w:val="22"/>
        </w:rPr>
        <w:t>Vermunt</w:t>
      </w:r>
      <w:proofErr w:type="spellEnd"/>
      <w:r w:rsidRPr="00A36102">
        <w:rPr>
          <w:rFonts w:ascii="Arial" w:hAnsi="Arial" w:cs="Arial"/>
          <w:color w:val="000000" w:themeColor="text1"/>
          <w:sz w:val="22"/>
          <w:szCs w:val="22"/>
        </w:rPr>
        <w:t xml:space="preserve">, J.D. (2024). Patterns in Clinical Leadership Learning: Understanding the Quality of Learning about Leadership to Support Sustainable Transformation in Healthcare Education.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16(10), p.4165.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24" w:history="1">
        <w:r w:rsidRPr="00A36102">
          <w:rPr>
            <w:rStyle w:val="Hyperlink"/>
            <w:rFonts w:ascii="Arial" w:hAnsi="Arial" w:cs="Arial"/>
            <w:sz w:val="22"/>
            <w:szCs w:val="22"/>
          </w:rPr>
          <w:t>https://doi.org/10.3390/su16104165</w:t>
        </w:r>
      </w:hyperlink>
      <w:r w:rsidRPr="00A36102">
        <w:rPr>
          <w:rFonts w:ascii="Arial" w:hAnsi="Arial" w:cs="Arial"/>
          <w:color w:val="000000" w:themeColor="text1"/>
          <w:sz w:val="22"/>
          <w:szCs w:val="22"/>
        </w:rPr>
        <w:t xml:space="preserve">. </w:t>
      </w:r>
    </w:p>
    <w:p w14:paraId="161F18E4"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Hospodková</w:t>
      </w:r>
      <w:proofErr w:type="spellEnd"/>
      <w:r w:rsidRPr="00A36102">
        <w:rPr>
          <w:rFonts w:ascii="Arial" w:hAnsi="Arial" w:cs="Arial"/>
          <w:color w:val="000000" w:themeColor="text1"/>
          <w:sz w:val="22"/>
          <w:szCs w:val="22"/>
        </w:rPr>
        <w:t xml:space="preserve">, P., </w:t>
      </w:r>
      <w:proofErr w:type="spellStart"/>
      <w:r w:rsidRPr="00A36102">
        <w:rPr>
          <w:rFonts w:ascii="Arial" w:hAnsi="Arial" w:cs="Arial"/>
          <w:color w:val="000000" w:themeColor="text1"/>
          <w:sz w:val="22"/>
          <w:szCs w:val="22"/>
        </w:rPr>
        <w:t>Berežná</w:t>
      </w:r>
      <w:proofErr w:type="spellEnd"/>
      <w:r w:rsidRPr="00A36102">
        <w:rPr>
          <w:rFonts w:ascii="Arial" w:hAnsi="Arial" w:cs="Arial"/>
          <w:color w:val="000000" w:themeColor="text1"/>
          <w:sz w:val="22"/>
          <w:szCs w:val="22"/>
        </w:rPr>
        <w:t xml:space="preserve">, J., Barták, M., Rogalewicz, V., Severová, L. and Svoboda, R. (2021). Change Management and Digital Innovations in Hospitals of Five European Countries. </w:t>
      </w:r>
      <w:r w:rsidRPr="00A36102">
        <w:rPr>
          <w:rFonts w:ascii="Arial" w:hAnsi="Arial" w:cs="Arial"/>
          <w:i/>
          <w:iCs/>
          <w:color w:val="000000" w:themeColor="text1"/>
          <w:sz w:val="22"/>
          <w:szCs w:val="22"/>
        </w:rPr>
        <w:t>Healthcare</w:t>
      </w:r>
      <w:r w:rsidRPr="00A36102">
        <w:rPr>
          <w:rFonts w:ascii="Arial" w:hAnsi="Arial" w:cs="Arial"/>
          <w:color w:val="000000" w:themeColor="text1"/>
          <w:sz w:val="22"/>
          <w:szCs w:val="22"/>
        </w:rPr>
        <w:t xml:space="preserve">, [online] 9(11), p.1508.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25" w:history="1">
        <w:r w:rsidRPr="00A36102">
          <w:rPr>
            <w:rStyle w:val="Hyperlink"/>
            <w:rFonts w:ascii="Arial" w:hAnsi="Arial" w:cs="Arial"/>
            <w:sz w:val="22"/>
            <w:szCs w:val="22"/>
          </w:rPr>
          <w:t>https://doi.org/10.3390/healthcare9111508</w:t>
        </w:r>
      </w:hyperlink>
      <w:r w:rsidRPr="00A36102">
        <w:rPr>
          <w:rFonts w:ascii="Arial" w:hAnsi="Arial" w:cs="Arial"/>
          <w:color w:val="000000" w:themeColor="text1"/>
          <w:sz w:val="22"/>
          <w:szCs w:val="22"/>
        </w:rPr>
        <w:t xml:space="preserve">. </w:t>
      </w:r>
    </w:p>
    <w:p w14:paraId="420AA883"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Hundal, G.S., Rhodes, D. and Laux, C. (2025). Digital Transformation of Healthcare Enterprises in the Era of Disruptions—A Structured Literature Review.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17(13), pp.5690–5690.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26" w:history="1">
        <w:r w:rsidRPr="00A36102">
          <w:rPr>
            <w:rStyle w:val="Hyperlink"/>
            <w:rFonts w:ascii="Arial" w:hAnsi="Arial" w:cs="Arial"/>
            <w:sz w:val="22"/>
            <w:szCs w:val="22"/>
          </w:rPr>
          <w:t>https://doi.org/10.3390/su17135690</w:t>
        </w:r>
      </w:hyperlink>
      <w:r w:rsidRPr="00A36102">
        <w:rPr>
          <w:rFonts w:ascii="Arial" w:hAnsi="Arial" w:cs="Arial"/>
          <w:color w:val="000000" w:themeColor="text1"/>
          <w:sz w:val="22"/>
          <w:szCs w:val="22"/>
        </w:rPr>
        <w:t xml:space="preserve">. </w:t>
      </w:r>
    </w:p>
    <w:p w14:paraId="2DEF8095"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Jazmín Eliana Villa-</w:t>
      </w:r>
      <w:proofErr w:type="spellStart"/>
      <w:r w:rsidRPr="00A36102">
        <w:rPr>
          <w:rFonts w:ascii="Arial" w:hAnsi="Arial" w:cs="Arial"/>
          <w:color w:val="000000" w:themeColor="text1"/>
          <w:sz w:val="22"/>
          <w:szCs w:val="22"/>
        </w:rPr>
        <w:t>Gallón</w:t>
      </w:r>
      <w:proofErr w:type="spellEnd"/>
      <w:r w:rsidRPr="00A36102">
        <w:rPr>
          <w:rFonts w:ascii="Arial" w:hAnsi="Arial" w:cs="Arial"/>
          <w:color w:val="000000" w:themeColor="text1"/>
          <w:sz w:val="22"/>
          <w:szCs w:val="22"/>
        </w:rPr>
        <w:t xml:space="preserve">, Jorge Alberto Valencia-Bernal and Yeison Alberto Garcés-Gómez (2024). ISO Standards in Healthcare Organizations: Research Evolution and Trends from a Bibliometric Analysis. </w:t>
      </w:r>
      <w:r w:rsidRPr="00A36102">
        <w:rPr>
          <w:rFonts w:ascii="Arial" w:hAnsi="Arial" w:cs="Arial"/>
          <w:i/>
          <w:iCs/>
          <w:color w:val="000000" w:themeColor="text1"/>
          <w:sz w:val="22"/>
          <w:szCs w:val="22"/>
        </w:rPr>
        <w:t>Publications</w:t>
      </w:r>
      <w:r w:rsidRPr="00A36102">
        <w:rPr>
          <w:rFonts w:ascii="Arial" w:hAnsi="Arial" w:cs="Arial"/>
          <w:color w:val="000000" w:themeColor="text1"/>
          <w:sz w:val="22"/>
          <w:szCs w:val="22"/>
        </w:rPr>
        <w:t xml:space="preserve">, [online] 12(3), pp.27–27.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27" w:history="1">
        <w:r w:rsidRPr="00A36102">
          <w:rPr>
            <w:rStyle w:val="Hyperlink"/>
            <w:rFonts w:ascii="Arial" w:hAnsi="Arial" w:cs="Arial"/>
            <w:sz w:val="22"/>
            <w:szCs w:val="22"/>
          </w:rPr>
          <w:t>https://doi.org/10.3390/publications12030027</w:t>
        </w:r>
      </w:hyperlink>
      <w:r w:rsidRPr="00A36102">
        <w:rPr>
          <w:rFonts w:ascii="Arial" w:hAnsi="Arial" w:cs="Arial"/>
          <w:color w:val="000000" w:themeColor="text1"/>
          <w:sz w:val="22"/>
          <w:szCs w:val="22"/>
        </w:rPr>
        <w:t xml:space="preserve">. </w:t>
      </w:r>
    </w:p>
    <w:p w14:paraId="5824A98C"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lastRenderedPageBreak/>
        <w:t>Juknevičienė</w:t>
      </w:r>
      <w:proofErr w:type="spellEnd"/>
      <w:r w:rsidRPr="00A36102">
        <w:rPr>
          <w:rFonts w:ascii="Arial" w:hAnsi="Arial" w:cs="Arial"/>
          <w:color w:val="000000" w:themeColor="text1"/>
          <w:sz w:val="22"/>
          <w:szCs w:val="22"/>
        </w:rPr>
        <w:t xml:space="preserve">, V., Leach, N., </w:t>
      </w:r>
      <w:proofErr w:type="spellStart"/>
      <w:r w:rsidRPr="00A36102">
        <w:rPr>
          <w:rFonts w:ascii="Arial" w:hAnsi="Arial" w:cs="Arial"/>
          <w:color w:val="000000" w:themeColor="text1"/>
          <w:sz w:val="22"/>
          <w:szCs w:val="22"/>
        </w:rPr>
        <w:t>Toleikienė</w:t>
      </w:r>
      <w:proofErr w:type="spellEnd"/>
      <w:r w:rsidRPr="00A36102">
        <w:rPr>
          <w:rFonts w:ascii="Arial" w:hAnsi="Arial" w:cs="Arial"/>
          <w:color w:val="000000" w:themeColor="text1"/>
          <w:sz w:val="22"/>
          <w:szCs w:val="22"/>
        </w:rPr>
        <w:t xml:space="preserve">, R., </w:t>
      </w:r>
      <w:proofErr w:type="spellStart"/>
      <w:r w:rsidRPr="00A36102">
        <w:rPr>
          <w:rFonts w:ascii="Arial" w:hAnsi="Arial" w:cs="Arial"/>
          <w:color w:val="000000" w:themeColor="text1"/>
          <w:sz w:val="22"/>
          <w:szCs w:val="22"/>
        </w:rPr>
        <w:t>Balčiūnas</w:t>
      </w:r>
      <w:proofErr w:type="spellEnd"/>
      <w:r w:rsidRPr="00A36102">
        <w:rPr>
          <w:rFonts w:ascii="Arial" w:hAnsi="Arial" w:cs="Arial"/>
          <w:color w:val="000000" w:themeColor="text1"/>
          <w:sz w:val="22"/>
          <w:szCs w:val="22"/>
        </w:rPr>
        <w:t xml:space="preserve">, S., </w:t>
      </w:r>
      <w:proofErr w:type="spellStart"/>
      <w:r w:rsidRPr="00A36102">
        <w:rPr>
          <w:rFonts w:ascii="Arial" w:hAnsi="Arial" w:cs="Arial"/>
          <w:color w:val="000000" w:themeColor="text1"/>
          <w:sz w:val="22"/>
          <w:szCs w:val="22"/>
        </w:rPr>
        <w:t>Razumė</w:t>
      </w:r>
      <w:proofErr w:type="spellEnd"/>
      <w:r w:rsidRPr="00A36102">
        <w:rPr>
          <w:rFonts w:ascii="Arial" w:hAnsi="Arial" w:cs="Arial"/>
          <w:color w:val="000000" w:themeColor="text1"/>
          <w:sz w:val="22"/>
          <w:szCs w:val="22"/>
        </w:rPr>
        <w:t xml:space="preserve">, G., Rybnikova, I. and </w:t>
      </w:r>
      <w:proofErr w:type="spellStart"/>
      <w:r w:rsidRPr="00A36102">
        <w:rPr>
          <w:rFonts w:ascii="Arial" w:hAnsi="Arial" w:cs="Arial"/>
          <w:color w:val="000000" w:themeColor="text1"/>
          <w:sz w:val="22"/>
          <w:szCs w:val="22"/>
        </w:rPr>
        <w:t>Āboliņa</w:t>
      </w:r>
      <w:proofErr w:type="spellEnd"/>
      <w:r w:rsidRPr="00A36102">
        <w:rPr>
          <w:rFonts w:ascii="Arial" w:hAnsi="Arial" w:cs="Arial"/>
          <w:color w:val="000000" w:themeColor="text1"/>
          <w:sz w:val="22"/>
          <w:szCs w:val="22"/>
        </w:rPr>
        <w:t xml:space="preserve">, I. (2025). E-Leadership Within Public Sector </w:t>
      </w:r>
      <w:proofErr w:type="spellStart"/>
      <w:r w:rsidRPr="00A36102">
        <w:rPr>
          <w:rFonts w:ascii="Arial" w:hAnsi="Arial" w:cs="Arial"/>
          <w:color w:val="000000" w:themeColor="text1"/>
          <w:sz w:val="22"/>
          <w:szCs w:val="22"/>
        </w:rPr>
        <w:t>Organisations</w:t>
      </w:r>
      <w:proofErr w:type="spellEnd"/>
      <w:r w:rsidRPr="00A36102">
        <w:rPr>
          <w:rFonts w:ascii="Arial" w:hAnsi="Arial" w:cs="Arial"/>
          <w:color w:val="000000" w:themeColor="text1"/>
          <w:sz w:val="22"/>
          <w:szCs w:val="22"/>
        </w:rPr>
        <w:t xml:space="preserve">: A Systematic Literature Review.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17(10), p.4474.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28" w:history="1">
        <w:r w:rsidRPr="00A36102">
          <w:rPr>
            <w:rStyle w:val="Hyperlink"/>
            <w:rFonts w:ascii="Arial" w:hAnsi="Arial" w:cs="Arial"/>
            <w:sz w:val="22"/>
            <w:szCs w:val="22"/>
          </w:rPr>
          <w:t>https://doi.org/10.3390/su17104474</w:t>
        </w:r>
      </w:hyperlink>
      <w:r w:rsidRPr="00A36102">
        <w:rPr>
          <w:rFonts w:ascii="Arial" w:hAnsi="Arial" w:cs="Arial"/>
          <w:color w:val="000000" w:themeColor="text1"/>
          <w:sz w:val="22"/>
          <w:szCs w:val="22"/>
        </w:rPr>
        <w:t xml:space="preserve">. </w:t>
      </w:r>
    </w:p>
    <w:p w14:paraId="11893C66" w14:textId="7C190D23" w:rsidR="002D477C" w:rsidRPr="00A46E2F" w:rsidRDefault="002D477C" w:rsidP="002D477C">
      <w:pPr>
        <w:pBdr>
          <w:top w:val="nil"/>
          <w:left w:val="nil"/>
          <w:bottom w:val="nil"/>
          <w:right w:val="nil"/>
          <w:between w:val="nil"/>
        </w:pBdr>
        <w:spacing w:after="240"/>
        <w:rPr>
          <w:rFonts w:ascii="Arial" w:hAnsi="Arial" w:cs="Arial"/>
          <w:color w:val="000000" w:themeColor="text1"/>
          <w:sz w:val="22"/>
          <w:szCs w:val="22"/>
        </w:rPr>
      </w:pPr>
      <w:proofErr w:type="spellStart"/>
      <w:r w:rsidRPr="00A46E2F">
        <w:rPr>
          <w:rFonts w:ascii="Arial" w:hAnsi="Arial" w:cs="Arial"/>
          <w:color w:val="000000" w:themeColor="text1"/>
          <w:sz w:val="22"/>
          <w:szCs w:val="22"/>
          <w:lang w:val="en-IN"/>
        </w:rPr>
        <w:t>Katantha</w:t>
      </w:r>
      <w:proofErr w:type="spellEnd"/>
      <w:r w:rsidRPr="00A46E2F">
        <w:rPr>
          <w:rFonts w:ascii="Arial" w:hAnsi="Arial" w:cs="Arial"/>
          <w:color w:val="000000" w:themeColor="text1"/>
          <w:sz w:val="22"/>
          <w:szCs w:val="22"/>
          <w:lang w:val="en-IN"/>
        </w:rPr>
        <w:t xml:space="preserve">, M.N., Strametz, R., </w:t>
      </w:r>
      <w:proofErr w:type="spellStart"/>
      <w:r w:rsidRPr="00A46E2F">
        <w:rPr>
          <w:rFonts w:ascii="Arial" w:hAnsi="Arial" w:cs="Arial"/>
          <w:color w:val="000000" w:themeColor="text1"/>
          <w:sz w:val="22"/>
          <w:szCs w:val="22"/>
          <w:lang w:val="en-IN"/>
        </w:rPr>
        <w:t>Baluwa</w:t>
      </w:r>
      <w:proofErr w:type="spellEnd"/>
      <w:r w:rsidRPr="00A46E2F">
        <w:rPr>
          <w:rFonts w:ascii="Arial" w:hAnsi="Arial" w:cs="Arial"/>
          <w:color w:val="000000" w:themeColor="text1"/>
          <w:sz w:val="22"/>
          <w:szCs w:val="22"/>
          <w:lang w:val="en-IN"/>
        </w:rPr>
        <w:t xml:space="preserve">, M.A., Mapulanga, P. and Chirwa, E.M., 2025. Effective Interprofessional Communication for Patient Safety in Low-Resource Settings: A Concept Analysis. </w:t>
      </w:r>
      <w:r w:rsidRPr="00A46E2F">
        <w:rPr>
          <w:rFonts w:ascii="Arial" w:hAnsi="Arial" w:cs="Arial"/>
          <w:i/>
          <w:iCs/>
          <w:color w:val="000000" w:themeColor="text1"/>
          <w:sz w:val="22"/>
          <w:szCs w:val="22"/>
          <w:lang w:val="en-IN"/>
        </w:rPr>
        <w:t>Safety</w:t>
      </w:r>
      <w:r w:rsidRPr="00A46E2F">
        <w:rPr>
          <w:rFonts w:ascii="Arial" w:hAnsi="Arial" w:cs="Arial"/>
          <w:color w:val="000000" w:themeColor="text1"/>
          <w:sz w:val="22"/>
          <w:szCs w:val="22"/>
          <w:lang w:val="en-IN"/>
        </w:rPr>
        <w:t xml:space="preserve">, </w:t>
      </w:r>
      <w:r w:rsidRPr="00A46E2F">
        <w:rPr>
          <w:rFonts w:ascii="Arial" w:hAnsi="Arial" w:cs="Arial"/>
          <w:i/>
          <w:iCs/>
          <w:color w:val="000000" w:themeColor="text1"/>
          <w:sz w:val="22"/>
          <w:szCs w:val="22"/>
          <w:lang w:val="en-IN"/>
        </w:rPr>
        <w:t>11</w:t>
      </w:r>
      <w:r w:rsidRPr="00A46E2F">
        <w:rPr>
          <w:rFonts w:ascii="Arial" w:hAnsi="Arial" w:cs="Arial"/>
          <w:color w:val="000000" w:themeColor="text1"/>
          <w:sz w:val="22"/>
          <w:szCs w:val="22"/>
          <w:lang w:val="en-IN"/>
        </w:rPr>
        <w:t>(3), p.91.</w:t>
      </w:r>
      <w:r w:rsidR="00A46E2F">
        <w:rPr>
          <w:rFonts w:ascii="Arial" w:hAnsi="Arial" w:cs="Arial"/>
          <w:color w:val="000000" w:themeColor="text1"/>
          <w:sz w:val="22"/>
          <w:szCs w:val="22"/>
          <w:lang w:val="en-IN"/>
        </w:rPr>
        <w:t xml:space="preserve"> </w:t>
      </w:r>
      <w:hyperlink r:id="rId29" w:history="1">
        <w:r w:rsidR="00A46E2F" w:rsidRPr="0074422C">
          <w:rPr>
            <w:rStyle w:val="Hyperlink"/>
            <w:rFonts w:ascii="Arial" w:hAnsi="Arial" w:cs="Arial"/>
            <w:sz w:val="22"/>
            <w:szCs w:val="22"/>
            <w:lang w:val="en-IN"/>
          </w:rPr>
          <w:t>https://doi.org/10.3390/safety11030091</w:t>
        </w:r>
      </w:hyperlink>
      <w:r w:rsidR="00A46E2F">
        <w:rPr>
          <w:rStyle w:val="Hyperlink"/>
          <w:rFonts w:ascii="Arial" w:hAnsi="Arial" w:cs="Arial"/>
          <w:color w:val="000000" w:themeColor="text1"/>
          <w:sz w:val="22"/>
          <w:szCs w:val="22"/>
          <w:lang w:val="en-IN"/>
        </w:rPr>
        <w:t xml:space="preserve">  </w:t>
      </w:r>
    </w:p>
    <w:p w14:paraId="58DED50B" w14:textId="142D1344" w:rsidR="002D477C" w:rsidRPr="00A46E2F" w:rsidRDefault="002D477C" w:rsidP="002D477C">
      <w:pPr>
        <w:pBdr>
          <w:top w:val="nil"/>
          <w:left w:val="nil"/>
          <w:bottom w:val="nil"/>
          <w:right w:val="nil"/>
          <w:between w:val="nil"/>
        </w:pBdr>
        <w:spacing w:after="240"/>
        <w:rPr>
          <w:rFonts w:ascii="Arial" w:hAnsi="Arial" w:cs="Arial"/>
          <w:color w:val="000000" w:themeColor="text1"/>
          <w:sz w:val="22"/>
          <w:szCs w:val="22"/>
          <w:lang w:val="en-IN"/>
        </w:rPr>
      </w:pPr>
      <w:proofErr w:type="spellStart"/>
      <w:r w:rsidRPr="00A46E2F">
        <w:rPr>
          <w:rFonts w:ascii="Arial" w:hAnsi="Arial" w:cs="Arial"/>
          <w:color w:val="000000" w:themeColor="text1"/>
          <w:sz w:val="22"/>
          <w:szCs w:val="22"/>
          <w:lang w:val="en-IN"/>
        </w:rPr>
        <w:t>Klarström</w:t>
      </w:r>
      <w:proofErr w:type="spellEnd"/>
      <w:r w:rsidRPr="00A46E2F">
        <w:rPr>
          <w:rFonts w:ascii="Arial" w:hAnsi="Arial" w:cs="Arial"/>
          <w:color w:val="000000" w:themeColor="text1"/>
          <w:sz w:val="22"/>
          <w:szCs w:val="22"/>
          <w:lang w:val="en-IN"/>
        </w:rPr>
        <w:t>, L., Adnan, S. and Ek, A., 2025. Leadership Adaptation in Organizational Crises: A Situational Leadership Perspective on Decision-Making.</w:t>
      </w:r>
      <w:r w:rsidR="00A46E2F">
        <w:rPr>
          <w:rFonts w:ascii="Arial" w:hAnsi="Arial" w:cs="Arial"/>
          <w:color w:val="000000" w:themeColor="text1"/>
          <w:sz w:val="22"/>
          <w:szCs w:val="22"/>
          <w:lang w:val="en-IN"/>
        </w:rPr>
        <w:t xml:space="preserve"> </w:t>
      </w:r>
      <w:hyperlink r:id="rId30" w:history="1">
        <w:r w:rsidR="00A46E2F" w:rsidRPr="0074422C">
          <w:rPr>
            <w:rStyle w:val="Hyperlink"/>
            <w:rFonts w:ascii="Arial" w:hAnsi="Arial" w:cs="Arial"/>
            <w:sz w:val="22"/>
            <w:szCs w:val="22"/>
            <w:lang w:val="en-IN"/>
          </w:rPr>
          <w:t>https://www.diva-portal.org/smash/get/diva2:1964704/FULLTEXT01. pdf</w:t>
        </w:r>
      </w:hyperlink>
      <w:r w:rsidR="00A46E2F">
        <w:rPr>
          <w:rFonts w:ascii="Arial" w:hAnsi="Arial" w:cs="Arial"/>
          <w:color w:val="000000" w:themeColor="text1"/>
          <w:sz w:val="22"/>
          <w:szCs w:val="22"/>
          <w:lang w:val="en-IN"/>
        </w:rPr>
        <w:t xml:space="preserve"> </w:t>
      </w:r>
    </w:p>
    <w:p w14:paraId="779FE57A"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Leung, H., Shek, D., Leung, E. and Shek, E. (2019). Development of Contextually-relevant Sexuality Education: Lessons from a Comprehensive Review of Adolescent Sexuality Education Across Cultures. </w:t>
      </w:r>
      <w:r w:rsidRPr="00A36102">
        <w:rPr>
          <w:rFonts w:ascii="Arial" w:hAnsi="Arial" w:cs="Arial"/>
          <w:i/>
          <w:iCs/>
          <w:color w:val="000000" w:themeColor="text1"/>
          <w:sz w:val="22"/>
          <w:szCs w:val="22"/>
        </w:rPr>
        <w:t>International Journal of Environmental Research and Public Health</w:t>
      </w:r>
      <w:r w:rsidRPr="00A36102">
        <w:rPr>
          <w:rFonts w:ascii="Arial" w:hAnsi="Arial" w:cs="Arial"/>
          <w:color w:val="000000" w:themeColor="text1"/>
          <w:sz w:val="22"/>
          <w:szCs w:val="22"/>
        </w:rPr>
        <w:t xml:space="preserve">, [online] 16(4), p.621.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1" w:history="1">
        <w:r w:rsidRPr="00A36102">
          <w:rPr>
            <w:rStyle w:val="Hyperlink"/>
            <w:rFonts w:ascii="Arial" w:hAnsi="Arial" w:cs="Arial"/>
            <w:sz w:val="22"/>
            <w:szCs w:val="22"/>
          </w:rPr>
          <w:t>https://doi.org/10.3390/ijerph16040621</w:t>
        </w:r>
      </w:hyperlink>
      <w:r w:rsidRPr="00A36102">
        <w:rPr>
          <w:rFonts w:ascii="Arial" w:hAnsi="Arial" w:cs="Arial"/>
          <w:color w:val="000000" w:themeColor="text1"/>
          <w:sz w:val="22"/>
          <w:szCs w:val="22"/>
        </w:rPr>
        <w:t xml:space="preserve">. </w:t>
      </w:r>
    </w:p>
    <w:p w14:paraId="4C337B65"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Malićanin</w:t>
      </w:r>
      <w:proofErr w:type="spellEnd"/>
      <w:r w:rsidRPr="00A36102">
        <w:rPr>
          <w:rFonts w:ascii="Arial" w:hAnsi="Arial" w:cs="Arial"/>
          <w:color w:val="000000" w:themeColor="text1"/>
          <w:sz w:val="22"/>
          <w:szCs w:val="22"/>
        </w:rPr>
        <w:t xml:space="preserve">, V., Čivović, A., Aničić, A., </w:t>
      </w:r>
      <w:proofErr w:type="spellStart"/>
      <w:r w:rsidRPr="00A36102">
        <w:rPr>
          <w:rFonts w:ascii="Arial" w:hAnsi="Arial" w:cs="Arial"/>
          <w:color w:val="000000" w:themeColor="text1"/>
          <w:sz w:val="22"/>
          <w:szCs w:val="22"/>
        </w:rPr>
        <w:t>Bugarčić</w:t>
      </w:r>
      <w:proofErr w:type="spellEnd"/>
      <w:r w:rsidRPr="00A36102">
        <w:rPr>
          <w:rFonts w:ascii="Arial" w:hAnsi="Arial" w:cs="Arial"/>
          <w:color w:val="000000" w:themeColor="text1"/>
          <w:sz w:val="22"/>
          <w:szCs w:val="22"/>
        </w:rPr>
        <w:t xml:space="preserve">, M. and </w:t>
      </w:r>
      <w:proofErr w:type="spellStart"/>
      <w:r w:rsidRPr="00A36102">
        <w:rPr>
          <w:rFonts w:ascii="Arial" w:hAnsi="Arial" w:cs="Arial"/>
          <w:color w:val="000000" w:themeColor="text1"/>
          <w:sz w:val="22"/>
          <w:szCs w:val="22"/>
        </w:rPr>
        <w:t>Slavković</w:t>
      </w:r>
      <w:proofErr w:type="spellEnd"/>
      <w:r w:rsidRPr="00A36102">
        <w:rPr>
          <w:rFonts w:ascii="Arial" w:hAnsi="Arial" w:cs="Arial"/>
          <w:color w:val="000000" w:themeColor="text1"/>
          <w:sz w:val="22"/>
          <w:szCs w:val="22"/>
        </w:rPr>
        <w:t xml:space="preserve">, M. (2025). The Role of Servant Leadership in Work Engagement Among Healthcare Professionals. </w:t>
      </w:r>
      <w:r w:rsidRPr="00A36102">
        <w:rPr>
          <w:rFonts w:ascii="Arial" w:hAnsi="Arial" w:cs="Arial"/>
          <w:i/>
          <w:iCs/>
          <w:color w:val="000000" w:themeColor="text1"/>
          <w:sz w:val="22"/>
          <w:szCs w:val="22"/>
        </w:rPr>
        <w:t>Healthcare</w:t>
      </w:r>
      <w:r w:rsidRPr="00A36102">
        <w:rPr>
          <w:rFonts w:ascii="Arial" w:hAnsi="Arial" w:cs="Arial"/>
          <w:color w:val="000000" w:themeColor="text1"/>
          <w:sz w:val="22"/>
          <w:szCs w:val="22"/>
        </w:rPr>
        <w:t xml:space="preserve">, [online] 13(20), p.2565.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2" w:history="1">
        <w:r w:rsidRPr="00A36102">
          <w:rPr>
            <w:rStyle w:val="Hyperlink"/>
            <w:rFonts w:ascii="Arial" w:hAnsi="Arial" w:cs="Arial"/>
            <w:sz w:val="22"/>
            <w:szCs w:val="22"/>
          </w:rPr>
          <w:t>https://doi.org/10.3390/healthcare13202565</w:t>
        </w:r>
      </w:hyperlink>
      <w:r w:rsidRPr="00A36102">
        <w:rPr>
          <w:rFonts w:ascii="Arial" w:hAnsi="Arial" w:cs="Arial"/>
          <w:color w:val="000000" w:themeColor="text1"/>
          <w:sz w:val="22"/>
          <w:szCs w:val="22"/>
        </w:rPr>
        <w:t xml:space="preserve">. </w:t>
      </w:r>
    </w:p>
    <w:p w14:paraId="6E11B81E"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Maritsa, E., Goula, A., </w:t>
      </w:r>
      <w:proofErr w:type="spellStart"/>
      <w:r w:rsidRPr="00A36102">
        <w:rPr>
          <w:rFonts w:ascii="Arial" w:hAnsi="Arial" w:cs="Arial"/>
          <w:color w:val="000000" w:themeColor="text1"/>
          <w:sz w:val="22"/>
          <w:szCs w:val="22"/>
        </w:rPr>
        <w:t>Psychogios</w:t>
      </w:r>
      <w:proofErr w:type="spellEnd"/>
      <w:r w:rsidRPr="00A36102">
        <w:rPr>
          <w:rFonts w:ascii="Arial" w:hAnsi="Arial" w:cs="Arial"/>
          <w:color w:val="000000" w:themeColor="text1"/>
          <w:sz w:val="22"/>
          <w:szCs w:val="22"/>
        </w:rPr>
        <w:t xml:space="preserve">, A. and </w:t>
      </w:r>
      <w:proofErr w:type="spellStart"/>
      <w:r w:rsidRPr="00A36102">
        <w:rPr>
          <w:rFonts w:ascii="Arial" w:hAnsi="Arial" w:cs="Arial"/>
          <w:color w:val="000000" w:themeColor="text1"/>
          <w:sz w:val="22"/>
          <w:szCs w:val="22"/>
        </w:rPr>
        <w:t>Pierrakos</w:t>
      </w:r>
      <w:proofErr w:type="spellEnd"/>
      <w:r w:rsidRPr="00A36102">
        <w:rPr>
          <w:rFonts w:ascii="Arial" w:hAnsi="Arial" w:cs="Arial"/>
          <w:color w:val="000000" w:themeColor="text1"/>
          <w:sz w:val="22"/>
          <w:szCs w:val="22"/>
        </w:rPr>
        <w:t xml:space="preserve">, G. (2022). Leadership development: Exploring relational leadership implications in healthcare organizations. </w:t>
      </w:r>
      <w:r w:rsidRPr="00A36102">
        <w:rPr>
          <w:rFonts w:ascii="Arial" w:hAnsi="Arial" w:cs="Arial"/>
          <w:i/>
          <w:iCs/>
          <w:color w:val="000000" w:themeColor="text1"/>
          <w:sz w:val="22"/>
          <w:szCs w:val="22"/>
        </w:rPr>
        <w:t>International Journal of Environmental Research and Public Health</w:t>
      </w:r>
      <w:r w:rsidRPr="00A36102">
        <w:rPr>
          <w:rFonts w:ascii="Arial" w:hAnsi="Arial" w:cs="Arial"/>
          <w:color w:val="000000" w:themeColor="text1"/>
          <w:sz w:val="22"/>
          <w:szCs w:val="22"/>
        </w:rPr>
        <w:t xml:space="preserve">, [online] 19(23), pp.1–14.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3" w:history="1">
        <w:r w:rsidRPr="00A36102">
          <w:rPr>
            <w:rStyle w:val="Hyperlink"/>
            <w:rFonts w:ascii="Arial" w:hAnsi="Arial" w:cs="Arial"/>
            <w:sz w:val="22"/>
            <w:szCs w:val="22"/>
          </w:rPr>
          <w:t>https://doi.org/10.3390/ijerph192315971</w:t>
        </w:r>
      </w:hyperlink>
      <w:r w:rsidRPr="00A36102">
        <w:rPr>
          <w:rFonts w:ascii="Arial" w:hAnsi="Arial" w:cs="Arial"/>
          <w:color w:val="000000" w:themeColor="text1"/>
          <w:sz w:val="22"/>
          <w:szCs w:val="22"/>
        </w:rPr>
        <w:t xml:space="preserve">. </w:t>
      </w:r>
    </w:p>
    <w:p w14:paraId="38D13C5A"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Meirinhos</w:t>
      </w:r>
      <w:proofErr w:type="spellEnd"/>
      <w:r w:rsidRPr="00A36102">
        <w:rPr>
          <w:rFonts w:ascii="Arial" w:hAnsi="Arial" w:cs="Arial"/>
          <w:color w:val="000000" w:themeColor="text1"/>
          <w:sz w:val="22"/>
          <w:szCs w:val="22"/>
        </w:rPr>
        <w:t xml:space="preserve">, G., Cardoso, A., Neves, M., Silva, R. and Rêgo, R. (2023). Leadership styles, motivation, communication and reward systems in business performance. </w:t>
      </w:r>
      <w:r w:rsidRPr="00A36102">
        <w:rPr>
          <w:rFonts w:ascii="Arial" w:hAnsi="Arial" w:cs="Arial"/>
          <w:i/>
          <w:iCs/>
          <w:color w:val="000000" w:themeColor="text1"/>
          <w:sz w:val="22"/>
          <w:szCs w:val="22"/>
        </w:rPr>
        <w:t>Journal of Risk and Financial Management</w:t>
      </w:r>
      <w:r w:rsidRPr="00A36102">
        <w:rPr>
          <w:rFonts w:ascii="Arial" w:hAnsi="Arial" w:cs="Arial"/>
          <w:color w:val="000000" w:themeColor="text1"/>
          <w:sz w:val="22"/>
          <w:szCs w:val="22"/>
        </w:rPr>
        <w:t xml:space="preserve">, [online] 16(2), p.70.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4" w:history="1">
        <w:r w:rsidRPr="00A36102">
          <w:rPr>
            <w:rStyle w:val="Hyperlink"/>
            <w:rFonts w:ascii="Arial" w:hAnsi="Arial" w:cs="Arial"/>
            <w:sz w:val="22"/>
            <w:szCs w:val="22"/>
          </w:rPr>
          <w:t>https://doi.org/10.3390/jrfm16020070</w:t>
        </w:r>
      </w:hyperlink>
      <w:r w:rsidRPr="00A36102">
        <w:rPr>
          <w:rFonts w:ascii="Arial" w:hAnsi="Arial" w:cs="Arial"/>
          <w:color w:val="000000" w:themeColor="text1"/>
          <w:sz w:val="22"/>
          <w:szCs w:val="22"/>
        </w:rPr>
        <w:t xml:space="preserve">. </w:t>
      </w:r>
    </w:p>
    <w:p w14:paraId="4E052070"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Milojević, S., Aleksić, V.S. and Slavković, M. (2024). ‘Direct Me or Leave Me’: the Effect of Leadership Style on Stress and Self-Efficacy of Healthcare Professionals. </w:t>
      </w:r>
      <w:r w:rsidRPr="00A36102">
        <w:rPr>
          <w:rFonts w:ascii="Arial" w:hAnsi="Arial" w:cs="Arial"/>
          <w:i/>
          <w:iCs/>
          <w:color w:val="000000" w:themeColor="text1"/>
          <w:sz w:val="22"/>
          <w:szCs w:val="22"/>
        </w:rPr>
        <w:t>Behavioral Sciences</w:t>
      </w:r>
      <w:r w:rsidRPr="00A36102">
        <w:rPr>
          <w:rFonts w:ascii="Arial" w:hAnsi="Arial" w:cs="Arial"/>
          <w:color w:val="000000" w:themeColor="text1"/>
          <w:sz w:val="22"/>
          <w:szCs w:val="22"/>
        </w:rPr>
        <w:t xml:space="preserve">, [online] 15(1), pp.25–25.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5" w:history="1">
        <w:r w:rsidRPr="00A36102">
          <w:rPr>
            <w:rStyle w:val="Hyperlink"/>
            <w:rFonts w:ascii="Arial" w:hAnsi="Arial" w:cs="Arial"/>
            <w:sz w:val="22"/>
            <w:szCs w:val="22"/>
          </w:rPr>
          <w:t>https://doi.org/10.3390/bs15010025</w:t>
        </w:r>
      </w:hyperlink>
      <w:r w:rsidRPr="00A36102">
        <w:rPr>
          <w:rFonts w:ascii="Arial" w:hAnsi="Arial" w:cs="Arial"/>
          <w:color w:val="000000" w:themeColor="text1"/>
          <w:sz w:val="22"/>
          <w:szCs w:val="22"/>
        </w:rPr>
        <w:t xml:space="preserve">. </w:t>
      </w:r>
    </w:p>
    <w:p w14:paraId="35BA3710" w14:textId="2AE46420"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Moloney, W., Fieldes, J. and Jacobs, S. (2020). An integrative review of how healthcare organizations can support hospital nurses to thrive at work. </w:t>
      </w:r>
      <w:r w:rsidRPr="00A36102">
        <w:rPr>
          <w:rFonts w:ascii="Arial" w:hAnsi="Arial" w:cs="Arial"/>
          <w:i/>
          <w:iCs/>
          <w:color w:val="000000" w:themeColor="text1"/>
          <w:sz w:val="22"/>
          <w:szCs w:val="22"/>
        </w:rPr>
        <w:t>International Journal of Environmental Research and Public Health</w:t>
      </w:r>
      <w:r w:rsidRPr="00A36102">
        <w:rPr>
          <w:rFonts w:ascii="Arial" w:hAnsi="Arial" w:cs="Arial"/>
          <w:color w:val="000000" w:themeColor="text1"/>
          <w:sz w:val="22"/>
          <w:szCs w:val="22"/>
        </w:rPr>
        <w:t xml:space="preserve">, [online] 17(23), pp.1–19.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6" w:history="1">
        <w:r w:rsidRPr="00A36102">
          <w:rPr>
            <w:rStyle w:val="Hyperlink"/>
            <w:rFonts w:ascii="Arial" w:hAnsi="Arial" w:cs="Arial"/>
            <w:sz w:val="22"/>
            <w:szCs w:val="22"/>
          </w:rPr>
          <w:t>https://doi.org/10.3390/ijerph17238757</w:t>
        </w:r>
      </w:hyperlink>
      <w:r w:rsidRPr="00A36102">
        <w:rPr>
          <w:rFonts w:ascii="Arial" w:hAnsi="Arial" w:cs="Arial"/>
          <w:color w:val="000000" w:themeColor="text1"/>
          <w:sz w:val="22"/>
          <w:szCs w:val="22"/>
        </w:rPr>
        <w:t xml:space="preserve"> </w:t>
      </w:r>
    </w:p>
    <w:p w14:paraId="43DF3A80"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lastRenderedPageBreak/>
        <w:t xml:space="preserve">Notarnicola, I., Duka, B., Lommi, M., </w:t>
      </w:r>
      <w:proofErr w:type="spellStart"/>
      <w:r w:rsidRPr="00A36102">
        <w:rPr>
          <w:rFonts w:ascii="Arial" w:hAnsi="Arial" w:cs="Arial"/>
          <w:color w:val="000000" w:themeColor="text1"/>
          <w:sz w:val="22"/>
          <w:szCs w:val="22"/>
        </w:rPr>
        <w:t>Grosha</w:t>
      </w:r>
      <w:proofErr w:type="spellEnd"/>
      <w:r w:rsidRPr="00A36102">
        <w:rPr>
          <w:rFonts w:ascii="Arial" w:hAnsi="Arial" w:cs="Arial"/>
          <w:color w:val="000000" w:themeColor="text1"/>
          <w:sz w:val="22"/>
          <w:szCs w:val="22"/>
        </w:rPr>
        <w:t xml:space="preserve">, E., Maria, D., </w:t>
      </w:r>
      <w:proofErr w:type="spellStart"/>
      <w:r w:rsidRPr="00A36102">
        <w:rPr>
          <w:rFonts w:ascii="Arial" w:hAnsi="Arial" w:cs="Arial"/>
          <w:color w:val="000000" w:themeColor="text1"/>
          <w:sz w:val="22"/>
          <w:szCs w:val="22"/>
        </w:rPr>
        <w:t>Iacorossi</w:t>
      </w:r>
      <w:proofErr w:type="spellEnd"/>
      <w:r w:rsidRPr="00A36102">
        <w:rPr>
          <w:rFonts w:ascii="Arial" w:hAnsi="Arial" w:cs="Arial"/>
          <w:color w:val="000000" w:themeColor="text1"/>
          <w:sz w:val="22"/>
          <w:szCs w:val="22"/>
        </w:rPr>
        <w:t xml:space="preserve">, L., Mastroianni, C., </w:t>
      </w:r>
      <w:proofErr w:type="spellStart"/>
      <w:r w:rsidRPr="00A36102">
        <w:rPr>
          <w:rFonts w:ascii="Arial" w:hAnsi="Arial" w:cs="Arial"/>
          <w:color w:val="000000" w:themeColor="text1"/>
          <w:sz w:val="22"/>
          <w:szCs w:val="22"/>
        </w:rPr>
        <w:t>Ivziku</w:t>
      </w:r>
      <w:proofErr w:type="spellEnd"/>
      <w:r w:rsidRPr="00A36102">
        <w:rPr>
          <w:rFonts w:ascii="Arial" w:hAnsi="Arial" w:cs="Arial"/>
          <w:color w:val="000000" w:themeColor="text1"/>
          <w:sz w:val="22"/>
          <w:szCs w:val="22"/>
        </w:rPr>
        <w:t xml:space="preserve">, D., Rocco, G. and </w:t>
      </w:r>
      <w:proofErr w:type="spellStart"/>
      <w:r w:rsidRPr="00A36102">
        <w:rPr>
          <w:rFonts w:ascii="Arial" w:hAnsi="Arial" w:cs="Arial"/>
          <w:color w:val="000000" w:themeColor="text1"/>
          <w:sz w:val="22"/>
          <w:szCs w:val="22"/>
        </w:rPr>
        <w:t>Stievano</w:t>
      </w:r>
      <w:proofErr w:type="spellEnd"/>
      <w:r w:rsidRPr="00A36102">
        <w:rPr>
          <w:rFonts w:ascii="Arial" w:hAnsi="Arial" w:cs="Arial"/>
          <w:color w:val="000000" w:themeColor="text1"/>
          <w:sz w:val="22"/>
          <w:szCs w:val="22"/>
        </w:rPr>
        <w:t xml:space="preserve">, A. (2024). Transformational Leadership and Its Impact on Job Satisfaction and Personal Mastery for Nursing Leaders in Healthcare Organizations. </w:t>
      </w:r>
      <w:r w:rsidRPr="00A36102">
        <w:rPr>
          <w:rFonts w:ascii="Arial" w:hAnsi="Arial" w:cs="Arial"/>
          <w:i/>
          <w:iCs/>
          <w:color w:val="000000" w:themeColor="text1"/>
          <w:sz w:val="22"/>
          <w:szCs w:val="22"/>
        </w:rPr>
        <w:t>Nursing Reports</w:t>
      </w:r>
      <w:r w:rsidRPr="00A36102">
        <w:rPr>
          <w:rFonts w:ascii="Arial" w:hAnsi="Arial" w:cs="Arial"/>
          <w:color w:val="000000" w:themeColor="text1"/>
          <w:sz w:val="22"/>
          <w:szCs w:val="22"/>
        </w:rPr>
        <w:t xml:space="preserve">, [online] 14(4), pp.3561–3574.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7" w:history="1">
        <w:r w:rsidRPr="00A36102">
          <w:rPr>
            <w:rStyle w:val="Hyperlink"/>
            <w:rFonts w:ascii="Arial" w:hAnsi="Arial" w:cs="Arial"/>
            <w:sz w:val="22"/>
            <w:szCs w:val="22"/>
          </w:rPr>
          <w:t>https://doi.org/10.3390/nursrep14040260</w:t>
        </w:r>
      </w:hyperlink>
      <w:r w:rsidRPr="00A36102">
        <w:rPr>
          <w:rFonts w:ascii="Arial" w:hAnsi="Arial" w:cs="Arial"/>
          <w:color w:val="000000" w:themeColor="text1"/>
          <w:sz w:val="22"/>
          <w:szCs w:val="22"/>
        </w:rPr>
        <w:t xml:space="preserve">. </w:t>
      </w:r>
    </w:p>
    <w:p w14:paraId="65D42A99"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Oleksa-</w:t>
      </w:r>
      <w:proofErr w:type="spellStart"/>
      <w:r w:rsidRPr="00A36102">
        <w:rPr>
          <w:rFonts w:ascii="Arial" w:hAnsi="Arial" w:cs="Arial"/>
          <w:color w:val="000000" w:themeColor="text1"/>
          <w:sz w:val="22"/>
          <w:szCs w:val="22"/>
        </w:rPr>
        <w:t>Marewska</w:t>
      </w:r>
      <w:proofErr w:type="spellEnd"/>
      <w:r w:rsidRPr="00A36102">
        <w:rPr>
          <w:rFonts w:ascii="Arial" w:hAnsi="Arial" w:cs="Arial"/>
          <w:color w:val="000000" w:themeColor="text1"/>
          <w:sz w:val="22"/>
          <w:szCs w:val="22"/>
        </w:rPr>
        <w:t xml:space="preserve">, K. and Tokar, J. (2022). Facing the Post-Pandemic Challenges: the Role of Leadership Effectiveness in Shaping the Affective Well-Being of Healthcare Providers Working in a Hybrid Work Mode. </w:t>
      </w:r>
      <w:r w:rsidRPr="00A36102">
        <w:rPr>
          <w:rFonts w:ascii="Arial" w:hAnsi="Arial" w:cs="Arial"/>
          <w:i/>
          <w:iCs/>
          <w:color w:val="000000" w:themeColor="text1"/>
          <w:sz w:val="22"/>
          <w:szCs w:val="22"/>
        </w:rPr>
        <w:t>International Journal of Environmental Research and Public Health</w:t>
      </w:r>
      <w:r w:rsidRPr="00A36102">
        <w:rPr>
          <w:rFonts w:ascii="Arial" w:hAnsi="Arial" w:cs="Arial"/>
          <w:color w:val="000000" w:themeColor="text1"/>
          <w:sz w:val="22"/>
          <w:szCs w:val="22"/>
        </w:rPr>
        <w:t xml:space="preserve">, [online] 19(21), p.14388.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8" w:history="1">
        <w:r w:rsidRPr="00A36102">
          <w:rPr>
            <w:rStyle w:val="Hyperlink"/>
            <w:rFonts w:ascii="Arial" w:hAnsi="Arial" w:cs="Arial"/>
            <w:sz w:val="22"/>
            <w:szCs w:val="22"/>
          </w:rPr>
          <w:t>https://doi.org/10.3390/ijerph192114388</w:t>
        </w:r>
      </w:hyperlink>
      <w:r w:rsidRPr="00A36102">
        <w:rPr>
          <w:rFonts w:ascii="Arial" w:hAnsi="Arial" w:cs="Arial"/>
          <w:color w:val="000000" w:themeColor="text1"/>
          <w:sz w:val="22"/>
          <w:szCs w:val="22"/>
        </w:rPr>
        <w:t xml:space="preserve">. </w:t>
      </w:r>
    </w:p>
    <w:p w14:paraId="17731137"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Osmani, A. and </w:t>
      </w:r>
      <w:proofErr w:type="spellStart"/>
      <w:r w:rsidRPr="00A36102">
        <w:rPr>
          <w:rFonts w:ascii="Arial" w:hAnsi="Arial" w:cs="Arial"/>
          <w:color w:val="000000" w:themeColor="text1"/>
          <w:sz w:val="22"/>
          <w:szCs w:val="22"/>
        </w:rPr>
        <w:t>Ndoka</w:t>
      </w:r>
      <w:proofErr w:type="spellEnd"/>
      <w:r w:rsidRPr="00A36102">
        <w:rPr>
          <w:rFonts w:ascii="Arial" w:hAnsi="Arial" w:cs="Arial"/>
          <w:color w:val="000000" w:themeColor="text1"/>
          <w:sz w:val="22"/>
          <w:szCs w:val="22"/>
        </w:rPr>
        <w:t xml:space="preserve">, E. (2025). From Sustainable Leadership to Well-Being: A Systematic Literature Review on the Function of Collaborative Learning in Organizations.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17(22), p.10345.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39" w:history="1">
        <w:r w:rsidRPr="00A36102">
          <w:rPr>
            <w:rStyle w:val="Hyperlink"/>
            <w:rFonts w:ascii="Arial" w:hAnsi="Arial" w:cs="Arial"/>
            <w:sz w:val="22"/>
            <w:szCs w:val="22"/>
          </w:rPr>
          <w:t>https://doi.org/10.3390/su172210345</w:t>
        </w:r>
      </w:hyperlink>
      <w:r w:rsidRPr="00A36102">
        <w:rPr>
          <w:rFonts w:ascii="Arial" w:hAnsi="Arial" w:cs="Arial"/>
          <w:color w:val="000000" w:themeColor="text1"/>
          <w:sz w:val="22"/>
          <w:szCs w:val="22"/>
        </w:rPr>
        <w:t xml:space="preserve">. </w:t>
      </w:r>
    </w:p>
    <w:p w14:paraId="34683875"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Paganin</w:t>
      </w:r>
      <w:proofErr w:type="spellEnd"/>
      <w:r w:rsidRPr="00A36102">
        <w:rPr>
          <w:rFonts w:ascii="Arial" w:hAnsi="Arial" w:cs="Arial"/>
          <w:color w:val="000000" w:themeColor="text1"/>
          <w:sz w:val="22"/>
          <w:szCs w:val="22"/>
        </w:rPr>
        <w:t xml:space="preserve">, G., De Angelis, M., </w:t>
      </w:r>
      <w:proofErr w:type="spellStart"/>
      <w:r w:rsidRPr="00A36102">
        <w:rPr>
          <w:rFonts w:ascii="Arial" w:hAnsi="Arial" w:cs="Arial"/>
          <w:color w:val="000000" w:themeColor="text1"/>
          <w:sz w:val="22"/>
          <w:szCs w:val="22"/>
        </w:rPr>
        <w:t>Pische</w:t>
      </w:r>
      <w:proofErr w:type="spellEnd"/>
      <w:r w:rsidRPr="00A36102">
        <w:rPr>
          <w:rFonts w:ascii="Arial" w:hAnsi="Arial" w:cs="Arial"/>
          <w:color w:val="000000" w:themeColor="text1"/>
          <w:sz w:val="22"/>
          <w:szCs w:val="22"/>
        </w:rPr>
        <w:t xml:space="preserve">, E., Violante, F.S., Guglielmi, D. and Pietrantoni, L. (2023). The Impact of Mental Health Leadership on Teamwork in Healthcare Organizations: A Serial Mediation Study.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15(9), p.7337.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40" w:history="1">
        <w:r w:rsidRPr="00A36102">
          <w:rPr>
            <w:rStyle w:val="Hyperlink"/>
            <w:rFonts w:ascii="Arial" w:hAnsi="Arial" w:cs="Arial"/>
            <w:sz w:val="22"/>
            <w:szCs w:val="22"/>
          </w:rPr>
          <w:t>https://doi.org/10.3390/su15097337</w:t>
        </w:r>
      </w:hyperlink>
      <w:r w:rsidRPr="00A36102">
        <w:rPr>
          <w:rFonts w:ascii="Arial" w:hAnsi="Arial" w:cs="Arial"/>
          <w:color w:val="000000" w:themeColor="text1"/>
          <w:sz w:val="22"/>
          <w:szCs w:val="22"/>
        </w:rPr>
        <w:t xml:space="preserve">. </w:t>
      </w:r>
    </w:p>
    <w:p w14:paraId="1D4AB34D"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Patient Safety Movement (2014). </w:t>
      </w:r>
      <w:r w:rsidRPr="00A36102">
        <w:rPr>
          <w:rFonts w:ascii="Arial" w:hAnsi="Arial" w:cs="Arial"/>
          <w:i/>
          <w:iCs/>
          <w:color w:val="000000" w:themeColor="text1"/>
          <w:sz w:val="22"/>
          <w:szCs w:val="22"/>
        </w:rPr>
        <w:t>Lewis Blackman - Psmf.org</w:t>
      </w:r>
      <w:r w:rsidRPr="00A36102">
        <w:rPr>
          <w:rFonts w:ascii="Arial" w:hAnsi="Arial" w:cs="Arial"/>
          <w:color w:val="000000" w:themeColor="text1"/>
          <w:sz w:val="22"/>
          <w:szCs w:val="22"/>
        </w:rPr>
        <w:t xml:space="preserve">. [online] Patient Safety Movement. Available at: </w:t>
      </w:r>
      <w:hyperlink r:id="rId41" w:history="1">
        <w:r w:rsidRPr="00A36102">
          <w:rPr>
            <w:rStyle w:val="Hyperlink"/>
            <w:rFonts w:ascii="Arial" w:hAnsi="Arial" w:cs="Arial"/>
            <w:sz w:val="22"/>
            <w:szCs w:val="22"/>
          </w:rPr>
          <w:t>https://psmf.org/story/lewis-blackman</w:t>
        </w:r>
      </w:hyperlink>
      <w:r w:rsidRPr="00A36102">
        <w:rPr>
          <w:rFonts w:ascii="Arial" w:hAnsi="Arial" w:cs="Arial"/>
          <w:color w:val="000000" w:themeColor="text1"/>
          <w:sz w:val="22"/>
          <w:szCs w:val="22"/>
        </w:rPr>
        <w:t xml:space="preserve">  [Accessed 5 Apr. 2026].</w:t>
      </w:r>
    </w:p>
    <w:p w14:paraId="55CD5FCC"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Qin, X., Wang, R., Huang, Y.-N., Zhao, J., Chiu, H.-C., Tung, T.-H., Harrison, J. and Wang, B.-L. (2023). </w:t>
      </w:r>
      <w:proofErr w:type="spellStart"/>
      <w:r w:rsidRPr="00A36102">
        <w:rPr>
          <w:rFonts w:ascii="Arial" w:hAnsi="Arial" w:cs="Arial"/>
          <w:color w:val="000000" w:themeColor="text1"/>
          <w:sz w:val="22"/>
          <w:szCs w:val="22"/>
        </w:rPr>
        <w:t>Organisational</w:t>
      </w:r>
      <w:proofErr w:type="spellEnd"/>
      <w:r w:rsidRPr="00A36102">
        <w:rPr>
          <w:rFonts w:ascii="Arial" w:hAnsi="Arial" w:cs="Arial"/>
          <w:color w:val="000000" w:themeColor="text1"/>
          <w:sz w:val="22"/>
          <w:szCs w:val="22"/>
        </w:rPr>
        <w:t xml:space="preserve"> Culture Research in Healthcare: A Big Data Bibliometric Study. </w:t>
      </w:r>
      <w:r w:rsidRPr="00A36102">
        <w:rPr>
          <w:rFonts w:ascii="Arial" w:hAnsi="Arial" w:cs="Arial"/>
          <w:i/>
          <w:iCs/>
          <w:color w:val="000000" w:themeColor="text1"/>
          <w:sz w:val="22"/>
          <w:szCs w:val="22"/>
        </w:rPr>
        <w:t>Healthcare</w:t>
      </w:r>
      <w:r w:rsidRPr="00A36102">
        <w:rPr>
          <w:rFonts w:ascii="Arial" w:hAnsi="Arial" w:cs="Arial"/>
          <w:color w:val="000000" w:themeColor="text1"/>
          <w:sz w:val="22"/>
          <w:szCs w:val="22"/>
        </w:rPr>
        <w:t xml:space="preserve">, [online] 11(2), p.169.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42" w:history="1">
        <w:r w:rsidRPr="00A36102">
          <w:rPr>
            <w:rStyle w:val="Hyperlink"/>
            <w:rFonts w:ascii="Arial" w:hAnsi="Arial" w:cs="Arial"/>
            <w:sz w:val="22"/>
            <w:szCs w:val="22"/>
          </w:rPr>
          <w:t>https://doi.org/10.3390/healthcare11020169</w:t>
        </w:r>
      </w:hyperlink>
      <w:r w:rsidRPr="00A36102">
        <w:rPr>
          <w:rFonts w:ascii="Arial" w:hAnsi="Arial" w:cs="Arial"/>
          <w:color w:val="000000" w:themeColor="text1"/>
          <w:sz w:val="22"/>
          <w:szCs w:val="22"/>
        </w:rPr>
        <w:t xml:space="preserve">. </w:t>
      </w:r>
    </w:p>
    <w:p w14:paraId="42E0F23F"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Restivo, V., Minutolo, G., Battaglini, A., Carli, A., Capraro, M., Gaeta, M., Odone, A., Trucchi, C., Favaretti, C., Vitale, F. and Casuccio, A. (2022). Leadership Effectiveness in Healthcare Settings: a Systematic Review and Meta-Analysis of Cross-Sectional and Before–After Studies. </w:t>
      </w:r>
      <w:r w:rsidRPr="00A36102">
        <w:rPr>
          <w:rFonts w:ascii="Arial" w:hAnsi="Arial" w:cs="Arial"/>
          <w:i/>
          <w:iCs/>
          <w:color w:val="000000" w:themeColor="text1"/>
          <w:sz w:val="22"/>
          <w:szCs w:val="22"/>
        </w:rPr>
        <w:t>International Journal of Environmental Research and Public Health</w:t>
      </w:r>
      <w:r w:rsidRPr="00A36102">
        <w:rPr>
          <w:rFonts w:ascii="Arial" w:hAnsi="Arial" w:cs="Arial"/>
          <w:color w:val="000000" w:themeColor="text1"/>
          <w:sz w:val="22"/>
          <w:szCs w:val="22"/>
        </w:rPr>
        <w:t xml:space="preserve">, [online] 19(17), pp.1–13.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43" w:history="1">
        <w:r w:rsidRPr="00A36102">
          <w:rPr>
            <w:rStyle w:val="Hyperlink"/>
            <w:rFonts w:ascii="Arial" w:hAnsi="Arial" w:cs="Arial"/>
            <w:sz w:val="22"/>
            <w:szCs w:val="22"/>
          </w:rPr>
          <w:t>https://doi.org/10.3390/ijerph191710995</w:t>
        </w:r>
      </w:hyperlink>
      <w:r w:rsidRPr="00A36102">
        <w:rPr>
          <w:rFonts w:ascii="Arial" w:hAnsi="Arial" w:cs="Arial"/>
          <w:color w:val="000000" w:themeColor="text1"/>
          <w:sz w:val="22"/>
          <w:szCs w:val="22"/>
        </w:rPr>
        <w:t xml:space="preserve">. </w:t>
      </w:r>
    </w:p>
    <w:p w14:paraId="4ABA2C42"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Saleem, F., </w:t>
      </w:r>
      <w:proofErr w:type="spellStart"/>
      <w:r w:rsidRPr="00A36102">
        <w:rPr>
          <w:rFonts w:ascii="Arial" w:hAnsi="Arial" w:cs="Arial"/>
          <w:color w:val="000000" w:themeColor="text1"/>
          <w:sz w:val="22"/>
          <w:szCs w:val="22"/>
        </w:rPr>
        <w:t>Sundarasen</w:t>
      </w:r>
      <w:proofErr w:type="spellEnd"/>
      <w:r w:rsidRPr="00A36102">
        <w:rPr>
          <w:rFonts w:ascii="Arial" w:hAnsi="Arial" w:cs="Arial"/>
          <w:color w:val="000000" w:themeColor="text1"/>
          <w:sz w:val="22"/>
          <w:szCs w:val="22"/>
        </w:rPr>
        <w:t xml:space="preserve">, S. and Malik, M.I. (2025). Green Leadership and Environmental Performance in Hospitals: A Multi-Mediator Study.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17(12), p.5376.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44" w:history="1">
        <w:r w:rsidRPr="00A36102">
          <w:rPr>
            <w:rStyle w:val="Hyperlink"/>
            <w:rFonts w:ascii="Arial" w:hAnsi="Arial" w:cs="Arial"/>
            <w:sz w:val="22"/>
            <w:szCs w:val="22"/>
          </w:rPr>
          <w:t>https://doi.org/10.3390/su17125376</w:t>
        </w:r>
      </w:hyperlink>
      <w:r w:rsidRPr="00A36102">
        <w:rPr>
          <w:rFonts w:ascii="Arial" w:hAnsi="Arial" w:cs="Arial"/>
          <w:color w:val="000000" w:themeColor="text1"/>
          <w:sz w:val="22"/>
          <w:szCs w:val="22"/>
        </w:rPr>
        <w:t xml:space="preserve">. </w:t>
      </w:r>
    </w:p>
    <w:p w14:paraId="6340C3DB"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Sfantou, D., Laliotis, A., </w:t>
      </w:r>
      <w:proofErr w:type="spellStart"/>
      <w:r w:rsidRPr="00A36102">
        <w:rPr>
          <w:rFonts w:ascii="Arial" w:hAnsi="Arial" w:cs="Arial"/>
          <w:color w:val="000000" w:themeColor="text1"/>
          <w:sz w:val="22"/>
          <w:szCs w:val="22"/>
        </w:rPr>
        <w:t>Patelarou</w:t>
      </w:r>
      <w:proofErr w:type="spellEnd"/>
      <w:r w:rsidRPr="00A36102">
        <w:rPr>
          <w:rFonts w:ascii="Arial" w:hAnsi="Arial" w:cs="Arial"/>
          <w:color w:val="000000" w:themeColor="text1"/>
          <w:sz w:val="22"/>
          <w:szCs w:val="22"/>
        </w:rPr>
        <w:t xml:space="preserve">, A., </w:t>
      </w:r>
      <w:proofErr w:type="spellStart"/>
      <w:r w:rsidRPr="00A36102">
        <w:rPr>
          <w:rFonts w:ascii="Arial" w:hAnsi="Arial" w:cs="Arial"/>
          <w:color w:val="000000" w:themeColor="text1"/>
          <w:sz w:val="22"/>
          <w:szCs w:val="22"/>
        </w:rPr>
        <w:t>Sifaki-Pistolla</w:t>
      </w:r>
      <w:proofErr w:type="spellEnd"/>
      <w:r w:rsidRPr="00A36102">
        <w:rPr>
          <w:rFonts w:ascii="Arial" w:hAnsi="Arial" w:cs="Arial"/>
          <w:color w:val="000000" w:themeColor="text1"/>
          <w:sz w:val="22"/>
          <w:szCs w:val="22"/>
        </w:rPr>
        <w:t xml:space="preserve">, D., </w:t>
      </w:r>
      <w:proofErr w:type="spellStart"/>
      <w:r w:rsidRPr="00A36102">
        <w:rPr>
          <w:rFonts w:ascii="Arial" w:hAnsi="Arial" w:cs="Arial"/>
          <w:color w:val="000000" w:themeColor="text1"/>
          <w:sz w:val="22"/>
          <w:szCs w:val="22"/>
        </w:rPr>
        <w:t>Matalliotakis</w:t>
      </w:r>
      <w:proofErr w:type="spellEnd"/>
      <w:r w:rsidRPr="00A36102">
        <w:rPr>
          <w:rFonts w:ascii="Arial" w:hAnsi="Arial" w:cs="Arial"/>
          <w:color w:val="000000" w:themeColor="text1"/>
          <w:sz w:val="22"/>
          <w:szCs w:val="22"/>
        </w:rPr>
        <w:t xml:space="preserve">, M. and </w:t>
      </w:r>
      <w:proofErr w:type="spellStart"/>
      <w:r w:rsidRPr="00A36102">
        <w:rPr>
          <w:rFonts w:ascii="Arial" w:hAnsi="Arial" w:cs="Arial"/>
          <w:color w:val="000000" w:themeColor="text1"/>
          <w:sz w:val="22"/>
          <w:szCs w:val="22"/>
        </w:rPr>
        <w:t>Patelarou</w:t>
      </w:r>
      <w:proofErr w:type="spellEnd"/>
      <w:r w:rsidRPr="00A36102">
        <w:rPr>
          <w:rFonts w:ascii="Arial" w:hAnsi="Arial" w:cs="Arial"/>
          <w:color w:val="000000" w:themeColor="text1"/>
          <w:sz w:val="22"/>
          <w:szCs w:val="22"/>
        </w:rPr>
        <w:t xml:space="preserve">, E. (2017). Importance of leadership style towards quality of care measures in healthcare settings: A </w:t>
      </w:r>
      <w:r w:rsidRPr="00A36102">
        <w:rPr>
          <w:rFonts w:ascii="Arial" w:hAnsi="Arial" w:cs="Arial"/>
          <w:color w:val="000000" w:themeColor="text1"/>
          <w:sz w:val="22"/>
          <w:szCs w:val="22"/>
        </w:rPr>
        <w:lastRenderedPageBreak/>
        <w:t xml:space="preserve">systematic review. </w:t>
      </w:r>
      <w:r w:rsidRPr="00A36102">
        <w:rPr>
          <w:rFonts w:ascii="Arial" w:hAnsi="Arial" w:cs="Arial"/>
          <w:i/>
          <w:iCs/>
          <w:color w:val="000000" w:themeColor="text1"/>
          <w:sz w:val="22"/>
          <w:szCs w:val="22"/>
        </w:rPr>
        <w:t>Healthcare</w:t>
      </w:r>
      <w:r w:rsidRPr="00A36102">
        <w:rPr>
          <w:rFonts w:ascii="Arial" w:hAnsi="Arial" w:cs="Arial"/>
          <w:color w:val="000000" w:themeColor="text1"/>
          <w:sz w:val="22"/>
          <w:szCs w:val="22"/>
        </w:rPr>
        <w:t xml:space="preserve">, [online] 5(4), p.73.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45" w:history="1">
        <w:r w:rsidRPr="00A36102">
          <w:rPr>
            <w:rStyle w:val="Hyperlink"/>
            <w:rFonts w:ascii="Arial" w:hAnsi="Arial" w:cs="Arial"/>
            <w:sz w:val="22"/>
            <w:szCs w:val="22"/>
          </w:rPr>
          <w:t>https://doi.org/10.3390/healthcare5040073</w:t>
        </w:r>
      </w:hyperlink>
      <w:r w:rsidRPr="00A36102">
        <w:rPr>
          <w:rFonts w:ascii="Arial" w:hAnsi="Arial" w:cs="Arial"/>
          <w:color w:val="000000" w:themeColor="text1"/>
          <w:sz w:val="22"/>
          <w:szCs w:val="22"/>
        </w:rPr>
        <w:t xml:space="preserve">. </w:t>
      </w:r>
    </w:p>
    <w:p w14:paraId="46A68745"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Ștefan, A.-M., Rusu, N.-R., </w:t>
      </w:r>
      <w:proofErr w:type="spellStart"/>
      <w:r w:rsidRPr="00A36102">
        <w:rPr>
          <w:rFonts w:ascii="Arial" w:hAnsi="Arial" w:cs="Arial"/>
          <w:color w:val="000000" w:themeColor="text1"/>
          <w:sz w:val="22"/>
          <w:szCs w:val="22"/>
        </w:rPr>
        <w:t>Ovreiu</w:t>
      </w:r>
      <w:proofErr w:type="spellEnd"/>
      <w:r w:rsidRPr="00A36102">
        <w:rPr>
          <w:rFonts w:ascii="Arial" w:hAnsi="Arial" w:cs="Arial"/>
          <w:color w:val="000000" w:themeColor="text1"/>
          <w:sz w:val="22"/>
          <w:szCs w:val="22"/>
        </w:rPr>
        <w:t xml:space="preserve">, E. and </w:t>
      </w:r>
      <w:proofErr w:type="spellStart"/>
      <w:r w:rsidRPr="00A36102">
        <w:rPr>
          <w:rFonts w:ascii="Arial" w:hAnsi="Arial" w:cs="Arial"/>
          <w:color w:val="000000" w:themeColor="text1"/>
          <w:sz w:val="22"/>
          <w:szCs w:val="22"/>
        </w:rPr>
        <w:t>Ciuc</w:t>
      </w:r>
      <w:proofErr w:type="spellEnd"/>
      <w:r w:rsidRPr="00A36102">
        <w:rPr>
          <w:rFonts w:ascii="Arial" w:hAnsi="Arial" w:cs="Arial"/>
          <w:color w:val="000000" w:themeColor="text1"/>
          <w:sz w:val="22"/>
          <w:szCs w:val="22"/>
        </w:rPr>
        <w:t xml:space="preserve">, M. (2024). Empowering Healthcare: A Comprehensive Guide to Implementing a Robust Medical Information System—Components, Benefits, Objectives, Evaluation Criteria, and Seamless Deployment Strategies. </w:t>
      </w:r>
      <w:r w:rsidRPr="00A36102">
        <w:rPr>
          <w:rFonts w:ascii="Arial" w:hAnsi="Arial" w:cs="Arial"/>
          <w:i/>
          <w:iCs/>
          <w:color w:val="000000" w:themeColor="text1"/>
          <w:sz w:val="22"/>
          <w:szCs w:val="22"/>
        </w:rPr>
        <w:t>Applied System Innovation</w:t>
      </w:r>
      <w:r w:rsidRPr="00A36102">
        <w:rPr>
          <w:rFonts w:ascii="Arial" w:hAnsi="Arial" w:cs="Arial"/>
          <w:color w:val="000000" w:themeColor="text1"/>
          <w:sz w:val="22"/>
          <w:szCs w:val="22"/>
        </w:rPr>
        <w:t xml:space="preserve">, [online] 7(3), p.51.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46" w:history="1">
        <w:r w:rsidRPr="00A36102">
          <w:rPr>
            <w:rStyle w:val="Hyperlink"/>
            <w:rFonts w:ascii="Arial" w:hAnsi="Arial" w:cs="Arial"/>
            <w:sz w:val="22"/>
            <w:szCs w:val="22"/>
          </w:rPr>
          <w:t>https://doi.org/10.3390/asi7030051</w:t>
        </w:r>
      </w:hyperlink>
      <w:r w:rsidRPr="00A36102">
        <w:rPr>
          <w:rFonts w:ascii="Arial" w:hAnsi="Arial" w:cs="Arial"/>
          <w:color w:val="000000" w:themeColor="text1"/>
          <w:sz w:val="22"/>
          <w:szCs w:val="22"/>
        </w:rPr>
        <w:t xml:space="preserve">. </w:t>
      </w:r>
    </w:p>
    <w:p w14:paraId="7DA02C51"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Ștefan, S.C., Popa, I. and Breazu, A. (2025). Healthcare Organizations and Performance: The Role of Environment, Strategic Orientation, and Organizational Structure. </w:t>
      </w:r>
      <w:r w:rsidRPr="00A36102">
        <w:rPr>
          <w:rFonts w:ascii="Arial" w:hAnsi="Arial" w:cs="Arial"/>
          <w:i/>
          <w:iCs/>
          <w:color w:val="000000" w:themeColor="text1"/>
          <w:sz w:val="22"/>
          <w:szCs w:val="22"/>
        </w:rPr>
        <w:t>Systems</w:t>
      </w:r>
      <w:r w:rsidRPr="00A36102">
        <w:rPr>
          <w:rFonts w:ascii="Arial" w:hAnsi="Arial" w:cs="Arial"/>
          <w:color w:val="000000" w:themeColor="text1"/>
          <w:sz w:val="22"/>
          <w:szCs w:val="22"/>
        </w:rPr>
        <w:t xml:space="preserve">, [online] 13(11), p.1018.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47" w:history="1">
        <w:r w:rsidRPr="00A36102">
          <w:rPr>
            <w:rStyle w:val="Hyperlink"/>
            <w:rFonts w:ascii="Arial" w:hAnsi="Arial" w:cs="Arial"/>
            <w:sz w:val="22"/>
            <w:szCs w:val="22"/>
          </w:rPr>
          <w:t>https://doi.org/10.3390/systems13111018</w:t>
        </w:r>
      </w:hyperlink>
      <w:r w:rsidRPr="00A36102">
        <w:rPr>
          <w:rFonts w:ascii="Arial" w:hAnsi="Arial" w:cs="Arial"/>
          <w:color w:val="000000" w:themeColor="text1"/>
          <w:sz w:val="22"/>
          <w:szCs w:val="22"/>
        </w:rPr>
        <w:t xml:space="preserve">. </w:t>
      </w:r>
    </w:p>
    <w:p w14:paraId="04D11FDB" w14:textId="5C896A6E" w:rsidR="002D477C" w:rsidRPr="00A46E2F" w:rsidRDefault="002D477C" w:rsidP="002D477C">
      <w:pPr>
        <w:pBdr>
          <w:top w:val="nil"/>
          <w:left w:val="nil"/>
          <w:bottom w:val="nil"/>
          <w:right w:val="nil"/>
          <w:between w:val="nil"/>
        </w:pBdr>
        <w:spacing w:after="240"/>
        <w:rPr>
          <w:rFonts w:ascii="Arial" w:hAnsi="Arial" w:cs="Arial"/>
          <w:color w:val="000000" w:themeColor="text1"/>
          <w:sz w:val="22"/>
          <w:szCs w:val="22"/>
          <w:lang w:val="en-IN"/>
        </w:rPr>
      </w:pPr>
      <w:proofErr w:type="spellStart"/>
      <w:r w:rsidRPr="00A46E2F">
        <w:rPr>
          <w:rFonts w:ascii="Arial" w:hAnsi="Arial" w:cs="Arial"/>
          <w:color w:val="000000" w:themeColor="text1"/>
          <w:sz w:val="22"/>
          <w:szCs w:val="22"/>
          <w:lang w:val="en-IN"/>
        </w:rPr>
        <w:t>Stojmanovski</w:t>
      </w:r>
      <w:proofErr w:type="spellEnd"/>
      <w:r w:rsidRPr="00A46E2F">
        <w:rPr>
          <w:rFonts w:ascii="Arial" w:hAnsi="Arial" w:cs="Arial"/>
          <w:color w:val="000000" w:themeColor="text1"/>
          <w:sz w:val="22"/>
          <w:szCs w:val="22"/>
          <w:lang w:val="en-IN"/>
        </w:rPr>
        <w:t xml:space="preserve"> Mercieca, L.A., 2026. The development of a telemedicine service for core podiatry in the Maltese public service. </w:t>
      </w:r>
      <w:r w:rsidR="00A46E2F">
        <w:rPr>
          <w:rFonts w:ascii="Arial" w:hAnsi="Arial" w:cs="Arial"/>
          <w:color w:val="000000" w:themeColor="text1"/>
          <w:sz w:val="22"/>
          <w:szCs w:val="22"/>
          <w:lang w:val="en-IN"/>
        </w:rPr>
        <w:t xml:space="preserve"> </w:t>
      </w:r>
      <w:hyperlink r:id="rId48" w:history="1">
        <w:r w:rsidR="00A46E2F" w:rsidRPr="0074422C">
          <w:rPr>
            <w:rStyle w:val="Hyperlink"/>
            <w:rFonts w:ascii="Arial" w:hAnsi="Arial" w:cs="Arial"/>
            <w:sz w:val="22"/>
            <w:szCs w:val="22"/>
            <w:lang w:val="en-IN"/>
          </w:rPr>
          <w:t>https://www.um.edu.mt/library/oar/bitstream/123456789/144132/1/2601HSCPOD600000002211  _1.PDF</w:t>
        </w:r>
      </w:hyperlink>
      <w:r w:rsidRPr="00A46E2F">
        <w:rPr>
          <w:rFonts w:ascii="Arial" w:hAnsi="Arial" w:cs="Arial"/>
          <w:color w:val="000000" w:themeColor="text1"/>
          <w:sz w:val="22"/>
          <w:szCs w:val="22"/>
          <w:lang w:val="en-IN"/>
        </w:rPr>
        <w:t> </w:t>
      </w:r>
      <w:r w:rsidR="00A46E2F">
        <w:rPr>
          <w:rFonts w:ascii="Arial" w:hAnsi="Arial" w:cs="Arial"/>
          <w:color w:val="000000" w:themeColor="text1"/>
          <w:sz w:val="22"/>
          <w:szCs w:val="22"/>
          <w:lang w:val="en-IN"/>
        </w:rPr>
        <w:t xml:space="preserve"> </w:t>
      </w:r>
    </w:p>
    <w:p w14:paraId="65BFD4EC"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Suthida </w:t>
      </w:r>
      <w:proofErr w:type="spellStart"/>
      <w:r w:rsidRPr="00A36102">
        <w:rPr>
          <w:rFonts w:ascii="Arial" w:hAnsi="Arial" w:cs="Arial"/>
          <w:color w:val="000000" w:themeColor="text1"/>
          <w:sz w:val="22"/>
          <w:szCs w:val="22"/>
        </w:rPr>
        <w:t>Chansanguan</w:t>
      </w:r>
      <w:proofErr w:type="spellEnd"/>
      <w:r w:rsidRPr="00A36102">
        <w:rPr>
          <w:rFonts w:ascii="Arial" w:hAnsi="Arial" w:cs="Arial"/>
          <w:color w:val="000000" w:themeColor="text1"/>
          <w:sz w:val="22"/>
          <w:szCs w:val="22"/>
        </w:rPr>
        <w:t xml:space="preserve">, </w:t>
      </w:r>
      <w:proofErr w:type="spellStart"/>
      <w:r w:rsidRPr="00A36102">
        <w:rPr>
          <w:rFonts w:ascii="Arial" w:hAnsi="Arial" w:cs="Arial"/>
          <w:color w:val="000000" w:themeColor="text1"/>
          <w:sz w:val="22"/>
          <w:szCs w:val="22"/>
        </w:rPr>
        <w:t>Nattharika</w:t>
      </w:r>
      <w:proofErr w:type="spellEnd"/>
      <w:r w:rsidRPr="00A36102">
        <w:rPr>
          <w:rFonts w:ascii="Arial" w:hAnsi="Arial" w:cs="Arial"/>
          <w:color w:val="000000" w:themeColor="text1"/>
          <w:sz w:val="22"/>
          <w:szCs w:val="22"/>
        </w:rPr>
        <w:t xml:space="preserve"> </w:t>
      </w:r>
      <w:proofErr w:type="spellStart"/>
      <w:r w:rsidRPr="00A36102">
        <w:rPr>
          <w:rFonts w:ascii="Arial" w:hAnsi="Arial" w:cs="Arial"/>
          <w:color w:val="000000" w:themeColor="text1"/>
          <w:sz w:val="22"/>
          <w:szCs w:val="22"/>
        </w:rPr>
        <w:t>Rittippant</w:t>
      </w:r>
      <w:proofErr w:type="spellEnd"/>
      <w:r w:rsidRPr="00A36102">
        <w:rPr>
          <w:rFonts w:ascii="Arial" w:hAnsi="Arial" w:cs="Arial"/>
          <w:color w:val="000000" w:themeColor="text1"/>
          <w:sz w:val="22"/>
          <w:szCs w:val="22"/>
        </w:rPr>
        <w:t xml:space="preserve">, Ueki, Y. and </w:t>
      </w:r>
      <w:proofErr w:type="spellStart"/>
      <w:r w:rsidRPr="00A36102">
        <w:rPr>
          <w:rFonts w:ascii="Arial" w:hAnsi="Arial" w:cs="Arial"/>
          <w:color w:val="000000" w:themeColor="text1"/>
          <w:sz w:val="22"/>
          <w:szCs w:val="22"/>
        </w:rPr>
        <w:t>Chawalit</w:t>
      </w:r>
      <w:proofErr w:type="spellEnd"/>
      <w:r w:rsidRPr="00A36102">
        <w:rPr>
          <w:rFonts w:ascii="Arial" w:hAnsi="Arial" w:cs="Arial"/>
          <w:color w:val="000000" w:themeColor="text1"/>
          <w:sz w:val="22"/>
          <w:szCs w:val="22"/>
        </w:rPr>
        <w:t xml:space="preserve"> </w:t>
      </w:r>
      <w:proofErr w:type="spellStart"/>
      <w:r w:rsidRPr="00A36102">
        <w:rPr>
          <w:rFonts w:ascii="Arial" w:hAnsi="Arial" w:cs="Arial"/>
          <w:color w:val="000000" w:themeColor="text1"/>
          <w:sz w:val="22"/>
          <w:szCs w:val="22"/>
        </w:rPr>
        <w:t>Jeenanunta</w:t>
      </w:r>
      <w:proofErr w:type="spellEnd"/>
      <w:r w:rsidRPr="00A36102">
        <w:rPr>
          <w:rFonts w:ascii="Arial" w:hAnsi="Arial" w:cs="Arial"/>
          <w:color w:val="000000" w:themeColor="text1"/>
          <w:sz w:val="22"/>
          <w:szCs w:val="22"/>
        </w:rPr>
        <w:t xml:space="preserve"> (2025). Sustainable Digital Transformation in Public Hospitals: Strategic Enablers for Smart Healthcare Systems. </w:t>
      </w:r>
      <w:r w:rsidRPr="00A36102">
        <w:rPr>
          <w:rFonts w:ascii="Arial" w:hAnsi="Arial" w:cs="Arial"/>
          <w:i/>
          <w:iCs/>
          <w:color w:val="000000" w:themeColor="text1"/>
          <w:sz w:val="22"/>
          <w:szCs w:val="22"/>
        </w:rPr>
        <w:t>Sustainability</w:t>
      </w:r>
      <w:r w:rsidRPr="00A36102">
        <w:rPr>
          <w:rFonts w:ascii="Arial" w:hAnsi="Arial" w:cs="Arial"/>
          <w:color w:val="000000" w:themeColor="text1"/>
          <w:sz w:val="22"/>
          <w:szCs w:val="22"/>
        </w:rPr>
        <w:t xml:space="preserve">, [online] 17(19), pp.8614–8614.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49" w:history="1">
        <w:r w:rsidRPr="00A36102">
          <w:rPr>
            <w:rStyle w:val="Hyperlink"/>
            <w:rFonts w:ascii="Arial" w:hAnsi="Arial" w:cs="Arial"/>
            <w:sz w:val="22"/>
            <w:szCs w:val="22"/>
          </w:rPr>
          <w:t>https://doi.org/10.3390/su17198614</w:t>
        </w:r>
      </w:hyperlink>
      <w:r w:rsidRPr="00A36102">
        <w:rPr>
          <w:rFonts w:ascii="Arial" w:hAnsi="Arial" w:cs="Arial"/>
          <w:color w:val="000000" w:themeColor="text1"/>
          <w:sz w:val="22"/>
          <w:szCs w:val="22"/>
        </w:rPr>
        <w:t xml:space="preserve">. </w:t>
      </w:r>
    </w:p>
    <w:p w14:paraId="0B583CB3"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Tsapnidou</w:t>
      </w:r>
      <w:proofErr w:type="spellEnd"/>
      <w:r w:rsidRPr="00A36102">
        <w:rPr>
          <w:rFonts w:ascii="Arial" w:hAnsi="Arial" w:cs="Arial"/>
          <w:color w:val="000000" w:themeColor="text1"/>
          <w:sz w:val="22"/>
          <w:szCs w:val="22"/>
        </w:rPr>
        <w:t xml:space="preserve">, E., Georgios Katharakis, Kelesi-Stavropoulou, M., </w:t>
      </w:r>
      <w:proofErr w:type="spellStart"/>
      <w:r w:rsidRPr="00A36102">
        <w:rPr>
          <w:rFonts w:ascii="Arial" w:hAnsi="Arial" w:cs="Arial"/>
          <w:color w:val="000000" w:themeColor="text1"/>
          <w:sz w:val="22"/>
          <w:szCs w:val="22"/>
        </w:rPr>
        <w:t>Rovithis</w:t>
      </w:r>
      <w:proofErr w:type="spellEnd"/>
      <w:r w:rsidRPr="00A36102">
        <w:rPr>
          <w:rFonts w:ascii="Arial" w:hAnsi="Arial" w:cs="Arial"/>
          <w:color w:val="000000" w:themeColor="text1"/>
          <w:sz w:val="22"/>
          <w:szCs w:val="22"/>
        </w:rPr>
        <w:t xml:space="preserve">, M., </w:t>
      </w:r>
      <w:proofErr w:type="spellStart"/>
      <w:r w:rsidRPr="00A36102">
        <w:rPr>
          <w:rFonts w:ascii="Arial" w:hAnsi="Arial" w:cs="Arial"/>
          <w:color w:val="000000" w:themeColor="text1"/>
          <w:sz w:val="22"/>
          <w:szCs w:val="22"/>
        </w:rPr>
        <w:t>Koukouli</w:t>
      </w:r>
      <w:proofErr w:type="spellEnd"/>
      <w:r w:rsidRPr="00A36102">
        <w:rPr>
          <w:rFonts w:ascii="Arial" w:hAnsi="Arial" w:cs="Arial"/>
          <w:color w:val="000000" w:themeColor="text1"/>
          <w:sz w:val="22"/>
          <w:szCs w:val="22"/>
        </w:rPr>
        <w:t xml:space="preserve">, S., Sigala, E., </w:t>
      </w:r>
      <w:proofErr w:type="spellStart"/>
      <w:r w:rsidRPr="00A36102">
        <w:rPr>
          <w:rFonts w:ascii="Arial" w:hAnsi="Arial" w:cs="Arial"/>
          <w:color w:val="000000" w:themeColor="text1"/>
          <w:sz w:val="22"/>
          <w:szCs w:val="22"/>
        </w:rPr>
        <w:t>Moudatsou</w:t>
      </w:r>
      <w:proofErr w:type="spellEnd"/>
      <w:r w:rsidRPr="00A36102">
        <w:rPr>
          <w:rFonts w:ascii="Arial" w:hAnsi="Arial" w:cs="Arial"/>
          <w:color w:val="000000" w:themeColor="text1"/>
          <w:sz w:val="22"/>
          <w:szCs w:val="22"/>
        </w:rPr>
        <w:t xml:space="preserve">, M., Papageorgiou, D. and Areti Stavropoulou (2025). Fostering Organizational and Professional Commitment Through Transformational Leadership in Nursing: A Systematic Review. </w:t>
      </w:r>
      <w:r w:rsidRPr="00A36102">
        <w:rPr>
          <w:rFonts w:ascii="Arial" w:hAnsi="Arial" w:cs="Arial"/>
          <w:i/>
          <w:iCs/>
          <w:color w:val="000000" w:themeColor="text1"/>
          <w:sz w:val="22"/>
          <w:szCs w:val="22"/>
        </w:rPr>
        <w:t>Hospitals</w:t>
      </w:r>
      <w:r w:rsidRPr="00A36102">
        <w:rPr>
          <w:rFonts w:ascii="Arial" w:hAnsi="Arial" w:cs="Arial"/>
          <w:color w:val="000000" w:themeColor="text1"/>
          <w:sz w:val="22"/>
          <w:szCs w:val="22"/>
        </w:rPr>
        <w:t xml:space="preserve">, [online] 2(2), pp.10–10.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50" w:history="1">
        <w:r w:rsidRPr="00A36102">
          <w:rPr>
            <w:rStyle w:val="Hyperlink"/>
            <w:rFonts w:ascii="Arial" w:hAnsi="Arial" w:cs="Arial"/>
            <w:sz w:val="22"/>
            <w:szCs w:val="22"/>
          </w:rPr>
          <w:t>https://doi.org/10.3390/hospitals2020010</w:t>
        </w:r>
      </w:hyperlink>
      <w:r w:rsidRPr="00A36102">
        <w:rPr>
          <w:rFonts w:ascii="Arial" w:hAnsi="Arial" w:cs="Arial"/>
          <w:color w:val="000000" w:themeColor="text1"/>
          <w:sz w:val="22"/>
          <w:szCs w:val="22"/>
        </w:rPr>
        <w:t xml:space="preserve">. </w:t>
      </w:r>
    </w:p>
    <w:p w14:paraId="531D6622"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Tsapnidou</w:t>
      </w:r>
      <w:proofErr w:type="spellEnd"/>
      <w:r w:rsidRPr="00A36102">
        <w:rPr>
          <w:rFonts w:ascii="Arial" w:hAnsi="Arial" w:cs="Arial"/>
          <w:color w:val="000000" w:themeColor="text1"/>
          <w:sz w:val="22"/>
          <w:szCs w:val="22"/>
        </w:rPr>
        <w:t xml:space="preserve">, E., Kelesi, M., </w:t>
      </w:r>
      <w:proofErr w:type="spellStart"/>
      <w:r w:rsidRPr="00A36102">
        <w:rPr>
          <w:rFonts w:ascii="Arial" w:hAnsi="Arial" w:cs="Arial"/>
          <w:color w:val="000000" w:themeColor="text1"/>
          <w:sz w:val="22"/>
          <w:szCs w:val="22"/>
        </w:rPr>
        <w:t>Rovithis</w:t>
      </w:r>
      <w:proofErr w:type="spellEnd"/>
      <w:r w:rsidRPr="00A36102">
        <w:rPr>
          <w:rFonts w:ascii="Arial" w:hAnsi="Arial" w:cs="Arial"/>
          <w:color w:val="000000" w:themeColor="text1"/>
          <w:sz w:val="22"/>
          <w:szCs w:val="22"/>
        </w:rPr>
        <w:t xml:space="preserve">, M., Katharakis, G., Gerogianni, G., Dafogianni, C., </w:t>
      </w:r>
      <w:proofErr w:type="spellStart"/>
      <w:r w:rsidRPr="00A36102">
        <w:rPr>
          <w:rFonts w:ascii="Arial" w:hAnsi="Arial" w:cs="Arial"/>
          <w:color w:val="000000" w:themeColor="text1"/>
          <w:sz w:val="22"/>
          <w:szCs w:val="22"/>
        </w:rPr>
        <w:t>Toylia</w:t>
      </w:r>
      <w:proofErr w:type="spellEnd"/>
      <w:r w:rsidRPr="00A36102">
        <w:rPr>
          <w:rFonts w:ascii="Arial" w:hAnsi="Arial" w:cs="Arial"/>
          <w:color w:val="000000" w:themeColor="text1"/>
          <w:sz w:val="22"/>
          <w:szCs w:val="22"/>
        </w:rPr>
        <w:t xml:space="preserve">, G., </w:t>
      </w:r>
      <w:proofErr w:type="spellStart"/>
      <w:r w:rsidRPr="00A36102">
        <w:rPr>
          <w:rFonts w:ascii="Arial" w:hAnsi="Arial" w:cs="Arial"/>
          <w:color w:val="000000" w:themeColor="text1"/>
          <w:sz w:val="22"/>
          <w:szCs w:val="22"/>
        </w:rPr>
        <w:t>Fasoi</w:t>
      </w:r>
      <w:proofErr w:type="spellEnd"/>
      <w:r w:rsidRPr="00A36102">
        <w:rPr>
          <w:rFonts w:ascii="Arial" w:hAnsi="Arial" w:cs="Arial"/>
          <w:color w:val="000000" w:themeColor="text1"/>
          <w:sz w:val="22"/>
          <w:szCs w:val="22"/>
        </w:rPr>
        <w:t xml:space="preserve">, G. and Stavropoulou, A. (2024). Transformational leadership—quality achievements and benefits for the healthcare organizations: A scoping review. </w:t>
      </w:r>
      <w:r w:rsidRPr="00A36102">
        <w:rPr>
          <w:rFonts w:ascii="Arial" w:hAnsi="Arial" w:cs="Arial"/>
          <w:i/>
          <w:iCs/>
          <w:color w:val="000000" w:themeColor="text1"/>
          <w:sz w:val="22"/>
          <w:szCs w:val="22"/>
        </w:rPr>
        <w:t>Hospitals</w:t>
      </w:r>
      <w:r w:rsidRPr="00A36102">
        <w:rPr>
          <w:rFonts w:ascii="Arial" w:hAnsi="Arial" w:cs="Arial"/>
          <w:color w:val="000000" w:themeColor="text1"/>
          <w:sz w:val="22"/>
          <w:szCs w:val="22"/>
        </w:rPr>
        <w:t xml:space="preserve">, [online] 1(1), pp.87–103.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51" w:history="1">
        <w:r w:rsidRPr="00A36102">
          <w:rPr>
            <w:rStyle w:val="Hyperlink"/>
            <w:rFonts w:ascii="Arial" w:hAnsi="Arial" w:cs="Arial"/>
            <w:sz w:val="22"/>
            <w:szCs w:val="22"/>
          </w:rPr>
          <w:t>https://doi.org/10.3390/hospitals1010008</w:t>
        </w:r>
      </w:hyperlink>
      <w:r w:rsidRPr="00A36102">
        <w:rPr>
          <w:rFonts w:ascii="Arial" w:hAnsi="Arial" w:cs="Arial"/>
          <w:color w:val="000000" w:themeColor="text1"/>
          <w:sz w:val="22"/>
          <w:szCs w:val="22"/>
        </w:rPr>
        <w:t xml:space="preserve">. </w:t>
      </w:r>
    </w:p>
    <w:p w14:paraId="29E40EA7"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Udod</w:t>
      </w:r>
      <w:proofErr w:type="spellEnd"/>
      <w:r w:rsidRPr="00A36102">
        <w:rPr>
          <w:rFonts w:ascii="Arial" w:hAnsi="Arial" w:cs="Arial"/>
          <w:color w:val="000000" w:themeColor="text1"/>
          <w:sz w:val="22"/>
          <w:szCs w:val="22"/>
        </w:rPr>
        <w:t xml:space="preserve">, S., Jahun, I., Baxter, P.E., Geerts, J.M., MacPhee, M., Halas, G.A., Cummings, G.G. and Gagnon, S.M. (2025). Health System Leadership for Psychological Health and Organizational Resilience During the COVID-19 Pandemic: Protocol for a Multimethod Study. </w:t>
      </w:r>
      <w:r w:rsidRPr="00A36102">
        <w:rPr>
          <w:rFonts w:ascii="Arial" w:hAnsi="Arial" w:cs="Arial"/>
          <w:i/>
          <w:iCs/>
          <w:color w:val="000000" w:themeColor="text1"/>
          <w:sz w:val="22"/>
          <w:szCs w:val="22"/>
        </w:rPr>
        <w:t>JMIR Research Protocols</w:t>
      </w:r>
      <w:r w:rsidRPr="00A36102">
        <w:rPr>
          <w:rFonts w:ascii="Arial" w:hAnsi="Arial" w:cs="Arial"/>
          <w:color w:val="000000" w:themeColor="text1"/>
          <w:sz w:val="22"/>
          <w:szCs w:val="22"/>
        </w:rPr>
        <w:t xml:space="preserve">, [online] 14, p.e66402.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52" w:history="1">
        <w:r w:rsidRPr="00A36102">
          <w:rPr>
            <w:rStyle w:val="Hyperlink"/>
            <w:rFonts w:ascii="Arial" w:hAnsi="Arial" w:cs="Arial"/>
            <w:sz w:val="22"/>
            <w:szCs w:val="22"/>
          </w:rPr>
          <w:t>https://doi.org/10.2196/66402</w:t>
        </w:r>
      </w:hyperlink>
      <w:r w:rsidRPr="00A36102">
        <w:rPr>
          <w:rFonts w:ascii="Arial" w:hAnsi="Arial" w:cs="Arial"/>
          <w:color w:val="000000" w:themeColor="text1"/>
          <w:sz w:val="22"/>
          <w:szCs w:val="22"/>
        </w:rPr>
        <w:t xml:space="preserve">. </w:t>
      </w:r>
    </w:p>
    <w:p w14:paraId="2D12F084"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lastRenderedPageBreak/>
        <w:t xml:space="preserve">Wu, Y., Fu, Q., Akbar, S., Samad, S., Comite, U., </w:t>
      </w:r>
      <w:proofErr w:type="spellStart"/>
      <w:r w:rsidRPr="00A36102">
        <w:rPr>
          <w:rFonts w:ascii="Arial" w:hAnsi="Arial" w:cs="Arial"/>
          <w:color w:val="000000" w:themeColor="text1"/>
          <w:sz w:val="22"/>
          <w:szCs w:val="22"/>
        </w:rPr>
        <w:t>Bucurean</w:t>
      </w:r>
      <w:proofErr w:type="spellEnd"/>
      <w:r w:rsidRPr="00A36102">
        <w:rPr>
          <w:rFonts w:ascii="Arial" w:hAnsi="Arial" w:cs="Arial"/>
          <w:color w:val="000000" w:themeColor="text1"/>
          <w:sz w:val="22"/>
          <w:szCs w:val="22"/>
        </w:rPr>
        <w:t xml:space="preserve">, M. and Badulescu, A. (2022). Reducing healthcare employees’ burnout through ethical leadership: The role of altruism and motivation. </w:t>
      </w:r>
      <w:r w:rsidRPr="00A36102">
        <w:rPr>
          <w:rFonts w:ascii="Arial" w:hAnsi="Arial" w:cs="Arial"/>
          <w:i/>
          <w:iCs/>
          <w:color w:val="000000" w:themeColor="text1"/>
          <w:sz w:val="22"/>
          <w:szCs w:val="22"/>
        </w:rPr>
        <w:t>International Journal of Environmental Research and Public Health</w:t>
      </w:r>
      <w:r w:rsidRPr="00A36102">
        <w:rPr>
          <w:rFonts w:ascii="Arial" w:hAnsi="Arial" w:cs="Arial"/>
          <w:color w:val="000000" w:themeColor="text1"/>
          <w:sz w:val="22"/>
          <w:szCs w:val="22"/>
        </w:rPr>
        <w:t xml:space="preserve">, [online] 19(20), p.13102.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53" w:history="1">
        <w:r w:rsidRPr="00A36102">
          <w:rPr>
            <w:rStyle w:val="Hyperlink"/>
            <w:rFonts w:ascii="Arial" w:hAnsi="Arial" w:cs="Arial"/>
            <w:sz w:val="22"/>
            <w:szCs w:val="22"/>
          </w:rPr>
          <w:t>https://doi.org/10.3390/ijerph192013102</w:t>
        </w:r>
      </w:hyperlink>
      <w:r w:rsidRPr="00A36102">
        <w:rPr>
          <w:rFonts w:ascii="Arial" w:hAnsi="Arial" w:cs="Arial"/>
          <w:color w:val="000000" w:themeColor="text1"/>
          <w:sz w:val="22"/>
          <w:szCs w:val="22"/>
        </w:rPr>
        <w:t xml:space="preserve">. </w:t>
      </w:r>
    </w:p>
    <w:p w14:paraId="4AA1B53F"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r w:rsidRPr="00A36102">
        <w:rPr>
          <w:rFonts w:ascii="Arial" w:hAnsi="Arial" w:cs="Arial"/>
          <w:color w:val="000000" w:themeColor="text1"/>
          <w:sz w:val="22"/>
          <w:szCs w:val="22"/>
        </w:rPr>
        <w:t xml:space="preserve">Yousaf, M., Khan, M.M. and Paracha, A.T. (2022). Effects of Inclusive Leadership on Quality of Care: The Mediating Role of Psychological Safety Climate and Perceived Workgroup Inclusion. </w:t>
      </w:r>
      <w:r w:rsidRPr="00A36102">
        <w:rPr>
          <w:rFonts w:ascii="Arial" w:hAnsi="Arial" w:cs="Arial"/>
          <w:i/>
          <w:iCs/>
          <w:color w:val="000000" w:themeColor="text1"/>
          <w:sz w:val="22"/>
          <w:szCs w:val="22"/>
        </w:rPr>
        <w:t>Healthcare</w:t>
      </w:r>
      <w:r w:rsidRPr="00A36102">
        <w:rPr>
          <w:rFonts w:ascii="Arial" w:hAnsi="Arial" w:cs="Arial"/>
          <w:color w:val="000000" w:themeColor="text1"/>
          <w:sz w:val="22"/>
          <w:szCs w:val="22"/>
        </w:rPr>
        <w:t xml:space="preserve">, [online] 10(11), p.2258.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54" w:history="1">
        <w:r w:rsidRPr="00A36102">
          <w:rPr>
            <w:rStyle w:val="Hyperlink"/>
            <w:rFonts w:ascii="Arial" w:hAnsi="Arial" w:cs="Arial"/>
            <w:sz w:val="22"/>
            <w:szCs w:val="22"/>
          </w:rPr>
          <w:t>https://doi.org/10.3390/healthcare10112258</w:t>
        </w:r>
      </w:hyperlink>
      <w:r w:rsidRPr="00A36102">
        <w:rPr>
          <w:rFonts w:ascii="Arial" w:hAnsi="Arial" w:cs="Arial"/>
          <w:color w:val="000000" w:themeColor="text1"/>
          <w:sz w:val="22"/>
          <w:szCs w:val="22"/>
        </w:rPr>
        <w:t xml:space="preserve">. </w:t>
      </w:r>
    </w:p>
    <w:p w14:paraId="38B2FBB1" w14:textId="77777777" w:rsidR="002D477C" w:rsidRPr="00A36102" w:rsidRDefault="002D477C" w:rsidP="00A36102">
      <w:pPr>
        <w:pBdr>
          <w:top w:val="nil"/>
          <w:left w:val="nil"/>
          <w:bottom w:val="nil"/>
          <w:right w:val="nil"/>
          <w:between w:val="nil"/>
        </w:pBdr>
        <w:spacing w:after="240"/>
        <w:rPr>
          <w:rFonts w:ascii="Arial" w:hAnsi="Arial" w:cs="Arial"/>
          <w:color w:val="000000" w:themeColor="text1"/>
          <w:sz w:val="22"/>
          <w:szCs w:val="22"/>
        </w:rPr>
      </w:pPr>
      <w:proofErr w:type="spellStart"/>
      <w:r w:rsidRPr="00A36102">
        <w:rPr>
          <w:rFonts w:ascii="Arial" w:hAnsi="Arial" w:cs="Arial"/>
          <w:color w:val="000000" w:themeColor="text1"/>
          <w:sz w:val="22"/>
          <w:szCs w:val="22"/>
        </w:rPr>
        <w:t>Ystaas</w:t>
      </w:r>
      <w:proofErr w:type="spellEnd"/>
      <w:r w:rsidRPr="00A36102">
        <w:rPr>
          <w:rFonts w:ascii="Arial" w:hAnsi="Arial" w:cs="Arial"/>
          <w:color w:val="000000" w:themeColor="text1"/>
          <w:sz w:val="22"/>
          <w:szCs w:val="22"/>
        </w:rPr>
        <w:t xml:space="preserve">, L.M.K., </w:t>
      </w:r>
      <w:proofErr w:type="spellStart"/>
      <w:r w:rsidRPr="00A36102">
        <w:rPr>
          <w:rFonts w:ascii="Arial" w:hAnsi="Arial" w:cs="Arial"/>
          <w:color w:val="000000" w:themeColor="text1"/>
          <w:sz w:val="22"/>
          <w:szCs w:val="22"/>
        </w:rPr>
        <w:t>Nikitara</w:t>
      </w:r>
      <w:proofErr w:type="spellEnd"/>
      <w:r w:rsidRPr="00A36102">
        <w:rPr>
          <w:rFonts w:ascii="Arial" w:hAnsi="Arial" w:cs="Arial"/>
          <w:color w:val="000000" w:themeColor="text1"/>
          <w:sz w:val="22"/>
          <w:szCs w:val="22"/>
        </w:rPr>
        <w:t xml:space="preserve">, M., Ghobrial, S., </w:t>
      </w:r>
      <w:proofErr w:type="spellStart"/>
      <w:r w:rsidRPr="00A36102">
        <w:rPr>
          <w:rFonts w:ascii="Arial" w:hAnsi="Arial" w:cs="Arial"/>
          <w:color w:val="000000" w:themeColor="text1"/>
          <w:sz w:val="22"/>
          <w:szCs w:val="22"/>
        </w:rPr>
        <w:t>Latzourakis</w:t>
      </w:r>
      <w:proofErr w:type="spellEnd"/>
      <w:r w:rsidRPr="00A36102">
        <w:rPr>
          <w:rFonts w:ascii="Arial" w:hAnsi="Arial" w:cs="Arial"/>
          <w:color w:val="000000" w:themeColor="text1"/>
          <w:sz w:val="22"/>
          <w:szCs w:val="22"/>
        </w:rPr>
        <w:t xml:space="preserve">, E., Polychronis, G. and Constantinou, C.S. (2023). The impact of transformational leadership in the nursing work environment and patients’ outcomes: A systematic review. </w:t>
      </w:r>
      <w:r w:rsidRPr="00A36102">
        <w:rPr>
          <w:rFonts w:ascii="Arial" w:hAnsi="Arial" w:cs="Arial"/>
          <w:i/>
          <w:iCs/>
          <w:color w:val="000000" w:themeColor="text1"/>
          <w:sz w:val="22"/>
          <w:szCs w:val="22"/>
        </w:rPr>
        <w:t>Nursing Reports</w:t>
      </w:r>
      <w:r w:rsidRPr="00A36102">
        <w:rPr>
          <w:rFonts w:ascii="Arial" w:hAnsi="Arial" w:cs="Arial"/>
          <w:color w:val="000000" w:themeColor="text1"/>
          <w:sz w:val="22"/>
          <w:szCs w:val="22"/>
        </w:rPr>
        <w:t xml:space="preserve">, [online] 13(3), pp.1271–1290. </w:t>
      </w:r>
      <w:proofErr w:type="spellStart"/>
      <w:r w:rsidRPr="00A36102">
        <w:rPr>
          <w:rFonts w:ascii="Arial" w:hAnsi="Arial" w:cs="Arial"/>
          <w:color w:val="000000" w:themeColor="text1"/>
          <w:sz w:val="22"/>
          <w:szCs w:val="22"/>
        </w:rPr>
        <w:t>doi</w:t>
      </w:r>
      <w:proofErr w:type="spellEnd"/>
      <w:r w:rsidRPr="00A36102">
        <w:rPr>
          <w:rFonts w:ascii="Arial" w:hAnsi="Arial" w:cs="Arial"/>
          <w:color w:val="000000" w:themeColor="text1"/>
          <w:sz w:val="22"/>
          <w:szCs w:val="22"/>
        </w:rPr>
        <w:t xml:space="preserve">: </w:t>
      </w:r>
      <w:hyperlink r:id="rId55" w:history="1">
        <w:r w:rsidRPr="00A36102">
          <w:rPr>
            <w:rStyle w:val="Hyperlink"/>
            <w:rFonts w:ascii="Arial" w:hAnsi="Arial" w:cs="Arial"/>
            <w:sz w:val="22"/>
            <w:szCs w:val="22"/>
          </w:rPr>
          <w:t>https://doi.org/10.3390/nursrep13030108</w:t>
        </w:r>
      </w:hyperlink>
      <w:r w:rsidRPr="00A36102">
        <w:rPr>
          <w:rFonts w:ascii="Arial" w:hAnsi="Arial" w:cs="Arial"/>
          <w:color w:val="000000" w:themeColor="text1"/>
          <w:sz w:val="22"/>
          <w:szCs w:val="22"/>
        </w:rPr>
        <w:t xml:space="preserve">.   </w:t>
      </w:r>
    </w:p>
    <w:p w14:paraId="6FA226A4" w14:textId="77777777" w:rsidR="00D06132" w:rsidRPr="00A36102" w:rsidRDefault="00D06132" w:rsidP="00A36102">
      <w:pPr>
        <w:pBdr>
          <w:top w:val="nil"/>
          <w:left w:val="nil"/>
          <w:bottom w:val="nil"/>
          <w:right w:val="nil"/>
          <w:between w:val="nil"/>
        </w:pBdr>
        <w:rPr>
          <w:rFonts w:ascii="Arial" w:hAnsi="Arial" w:cs="Arial"/>
          <w:color w:val="000000" w:themeColor="text1"/>
          <w:sz w:val="22"/>
          <w:szCs w:val="22"/>
        </w:rPr>
      </w:pPr>
    </w:p>
    <w:sectPr w:rsidR="00D06132" w:rsidRPr="00A36102" w:rsidSect="00FE44A8">
      <w:footerReference w:type="default" r:id="rId56"/>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AB065" w14:textId="77777777" w:rsidR="00314CE1" w:rsidRDefault="00314CE1">
      <w:pPr>
        <w:spacing w:line="240" w:lineRule="auto"/>
      </w:pPr>
      <w:r>
        <w:separator/>
      </w:r>
    </w:p>
  </w:endnote>
  <w:endnote w:type="continuationSeparator" w:id="0">
    <w:p w14:paraId="2B9D51CD" w14:textId="77777777" w:rsidR="00314CE1" w:rsidRDefault="00314C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97C69E-F8D8-445C-B00D-C118E1947515}"/>
  </w:font>
  <w:font w:name="Shruti">
    <w:panose1 w:val="02000500000000000000"/>
    <w:charset w:val="00"/>
    <w:family w:val="swiss"/>
    <w:pitch w:val="variable"/>
    <w:sig w:usb0="00040003" w:usb1="00000000" w:usb2="00000000" w:usb3="00000000" w:csb0="00000001" w:csb1="00000000"/>
    <w:embedRegular r:id="rId2" w:fontKey="{79D7392D-7BE5-4CB7-B612-BB9694F1B7CE}"/>
  </w:font>
  <w:font w:name="Cambria">
    <w:panose1 w:val="02040503050406030204"/>
    <w:charset w:val="00"/>
    <w:family w:val="roman"/>
    <w:pitch w:val="variable"/>
    <w:sig w:usb0="E00006FF" w:usb1="420024FF" w:usb2="02000000" w:usb3="00000000" w:csb0="0000019F" w:csb1="00000000"/>
    <w:embedRegular r:id="rId3" w:fontKey="{72F266C3-D6C7-412C-AEA2-D3512D13A0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C1F92" w14:textId="77777777" w:rsidR="00D06132" w:rsidRDefault="00B4551F">
    <w:pPr>
      <w:pBdr>
        <w:top w:val="nil"/>
        <w:left w:val="nil"/>
        <w:bottom w:val="nil"/>
        <w:right w:val="nil"/>
        <w:between w:val="nil"/>
      </w:pBdr>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36102">
      <w:rPr>
        <w:noProof/>
        <w:color w:val="000000"/>
        <w:sz w:val="20"/>
        <w:szCs w:val="20"/>
      </w:rPr>
      <w:t>1</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82AD9" w14:textId="77777777" w:rsidR="00314CE1" w:rsidRDefault="00314CE1">
      <w:pPr>
        <w:spacing w:line="240" w:lineRule="auto"/>
      </w:pPr>
      <w:r>
        <w:separator/>
      </w:r>
    </w:p>
  </w:footnote>
  <w:footnote w:type="continuationSeparator" w:id="0">
    <w:p w14:paraId="76EB95E6" w14:textId="77777777" w:rsidR="00314CE1" w:rsidRDefault="00314C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6132"/>
    <w:rsid w:val="000E09EA"/>
    <w:rsid w:val="00134863"/>
    <w:rsid w:val="001443B9"/>
    <w:rsid w:val="001B7D13"/>
    <w:rsid w:val="002D477C"/>
    <w:rsid w:val="002F6328"/>
    <w:rsid w:val="00314CE1"/>
    <w:rsid w:val="0032643D"/>
    <w:rsid w:val="0033341C"/>
    <w:rsid w:val="003E3031"/>
    <w:rsid w:val="00481F9A"/>
    <w:rsid w:val="004E1D18"/>
    <w:rsid w:val="004E5D10"/>
    <w:rsid w:val="005C2CAA"/>
    <w:rsid w:val="006123FD"/>
    <w:rsid w:val="008822D6"/>
    <w:rsid w:val="008D4F76"/>
    <w:rsid w:val="009A474B"/>
    <w:rsid w:val="00A36102"/>
    <w:rsid w:val="00A46E2F"/>
    <w:rsid w:val="00A852F9"/>
    <w:rsid w:val="00B21D29"/>
    <w:rsid w:val="00B319F3"/>
    <w:rsid w:val="00B4551F"/>
    <w:rsid w:val="00B80025"/>
    <w:rsid w:val="00B948ED"/>
    <w:rsid w:val="00BA37B9"/>
    <w:rsid w:val="00C440DA"/>
    <w:rsid w:val="00C95997"/>
    <w:rsid w:val="00D06132"/>
    <w:rsid w:val="00D17F71"/>
    <w:rsid w:val="00D24A4D"/>
    <w:rsid w:val="00D736E3"/>
    <w:rsid w:val="00E20F4D"/>
    <w:rsid w:val="00EC528B"/>
    <w:rsid w:val="00FE44A8"/>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578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rsid w:val="00A36102"/>
    <w:pPr>
      <w:keepNext/>
      <w:keepLines/>
      <w:pBdr>
        <w:top w:val="nil"/>
        <w:left w:val="nil"/>
        <w:bottom w:val="nil"/>
        <w:right w:val="nil"/>
        <w:between w:val="nil"/>
      </w:pBdr>
      <w:outlineLvl w:val="0"/>
    </w:pPr>
    <w:rPr>
      <w:rFonts w:ascii="Arial" w:hAnsi="Arial" w:cs="Arial"/>
      <w:b/>
      <w:bCs/>
      <w:color w:val="000000" w:themeColor="text1"/>
      <w:sz w:val="28"/>
      <w:szCs w:val="28"/>
    </w:rPr>
  </w:style>
  <w:style w:type="paragraph" w:styleId="Heading2">
    <w:name w:val="heading 2"/>
    <w:basedOn w:val="Normal"/>
    <w:next w:val="Normal"/>
    <w:autoRedefine/>
    <w:uiPriority w:val="9"/>
    <w:unhideWhenUsed/>
    <w:rsid w:val="00A36102"/>
    <w:pPr>
      <w:keepNext/>
      <w:keepLines/>
      <w:pBdr>
        <w:top w:val="nil"/>
        <w:left w:val="nil"/>
        <w:bottom w:val="nil"/>
        <w:right w:val="nil"/>
        <w:between w:val="nil"/>
      </w:pBdr>
      <w:outlineLvl w:val="1"/>
    </w:pPr>
    <w:rPr>
      <w:rFonts w:ascii="Arial" w:hAnsi="Arial" w:cs="Arial"/>
      <w:b/>
      <w:bCs/>
      <w:color w:val="000000" w:themeColor="text1"/>
      <w:sz w:val="26"/>
      <w:szCs w:val="2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A36102"/>
    <w:rPr>
      <w:color w:val="0000FF" w:themeColor="hyperlink"/>
      <w:u w:val="single"/>
    </w:rPr>
  </w:style>
  <w:style w:type="character" w:styleId="UnresolvedMention">
    <w:name w:val="Unresolved Mention"/>
    <w:basedOn w:val="DefaultParagraphFont"/>
    <w:uiPriority w:val="99"/>
    <w:semiHidden/>
    <w:unhideWhenUsed/>
    <w:rsid w:val="00A36102"/>
    <w:rPr>
      <w:color w:val="605E5C"/>
      <w:shd w:val="clear" w:color="auto" w:fill="E1DFDD"/>
    </w:rPr>
  </w:style>
  <w:style w:type="paragraph" w:styleId="TOC1">
    <w:name w:val="toc 1"/>
    <w:basedOn w:val="Normal"/>
    <w:next w:val="Normal"/>
    <w:autoRedefine/>
    <w:uiPriority w:val="39"/>
    <w:unhideWhenUsed/>
    <w:rsid w:val="00FE44A8"/>
    <w:pPr>
      <w:spacing w:after="100"/>
    </w:pPr>
  </w:style>
  <w:style w:type="paragraph" w:styleId="TOC2">
    <w:name w:val="toc 2"/>
    <w:basedOn w:val="Normal"/>
    <w:next w:val="Normal"/>
    <w:autoRedefine/>
    <w:uiPriority w:val="39"/>
    <w:unhideWhenUsed/>
    <w:rsid w:val="00FE44A8"/>
    <w:pPr>
      <w:spacing w:after="100"/>
      <w:ind w:left="240"/>
    </w:pPr>
  </w:style>
  <w:style w:type="paragraph" w:styleId="TOCHeading">
    <w:name w:val="TOC Heading"/>
    <w:basedOn w:val="Heading1"/>
    <w:next w:val="Normal"/>
    <w:uiPriority w:val="39"/>
    <w:unhideWhenUsed/>
    <w:qFormat/>
    <w:rsid w:val="001443B9"/>
    <w:pPr>
      <w:pBdr>
        <w:top w:val="none" w:sz="0" w:space="0" w:color="auto"/>
        <w:left w:val="none" w:sz="0" w:space="0" w:color="auto"/>
        <w:bottom w:val="none" w:sz="0" w:space="0" w:color="auto"/>
        <w:right w:val="none" w:sz="0" w:space="0" w:color="auto"/>
        <w:between w:val="none" w:sz="0" w:space="0" w:color="auto"/>
      </w:pBd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Header">
    <w:name w:val="header"/>
    <w:basedOn w:val="Normal"/>
    <w:link w:val="HeaderChar"/>
    <w:uiPriority w:val="99"/>
    <w:unhideWhenUsed/>
    <w:rsid w:val="00D17F71"/>
    <w:pPr>
      <w:tabs>
        <w:tab w:val="center" w:pos="4513"/>
        <w:tab w:val="right" w:pos="9026"/>
      </w:tabs>
      <w:spacing w:line="240" w:lineRule="auto"/>
    </w:pPr>
  </w:style>
  <w:style w:type="character" w:customStyle="1" w:styleId="HeaderChar">
    <w:name w:val="Header Char"/>
    <w:basedOn w:val="DefaultParagraphFont"/>
    <w:link w:val="Header"/>
    <w:uiPriority w:val="99"/>
    <w:rsid w:val="00D17F71"/>
  </w:style>
  <w:style w:type="paragraph" w:styleId="Footer">
    <w:name w:val="footer"/>
    <w:basedOn w:val="Normal"/>
    <w:link w:val="FooterChar"/>
    <w:uiPriority w:val="99"/>
    <w:unhideWhenUsed/>
    <w:rsid w:val="00D17F71"/>
    <w:pPr>
      <w:tabs>
        <w:tab w:val="center" w:pos="4513"/>
        <w:tab w:val="right" w:pos="9026"/>
      </w:tabs>
      <w:spacing w:line="240" w:lineRule="auto"/>
    </w:pPr>
  </w:style>
  <w:style w:type="character" w:customStyle="1" w:styleId="FooterChar">
    <w:name w:val="Footer Char"/>
    <w:basedOn w:val="DefaultParagraphFont"/>
    <w:link w:val="Footer"/>
    <w:uiPriority w:val="99"/>
    <w:rsid w:val="00D17F71"/>
  </w:style>
  <w:style w:type="paragraph" w:styleId="Revision">
    <w:name w:val="Revision"/>
    <w:hidden/>
    <w:uiPriority w:val="99"/>
    <w:semiHidden/>
    <w:rsid w:val="004E1D18"/>
    <w:pPr>
      <w:spacing w:line="240" w:lineRule="auto"/>
      <w:jc w:val="left"/>
    </w:pPr>
  </w:style>
  <w:style w:type="character" w:styleId="CommentReference">
    <w:name w:val="annotation reference"/>
    <w:basedOn w:val="DefaultParagraphFont"/>
    <w:uiPriority w:val="99"/>
    <w:semiHidden/>
    <w:unhideWhenUsed/>
    <w:rsid w:val="004E1D18"/>
    <w:rPr>
      <w:sz w:val="16"/>
      <w:szCs w:val="16"/>
    </w:rPr>
  </w:style>
  <w:style w:type="paragraph" w:styleId="CommentText">
    <w:name w:val="annotation text"/>
    <w:basedOn w:val="Normal"/>
    <w:link w:val="CommentTextChar"/>
    <w:uiPriority w:val="99"/>
    <w:semiHidden/>
    <w:unhideWhenUsed/>
    <w:rsid w:val="004E1D18"/>
    <w:pPr>
      <w:spacing w:line="240" w:lineRule="auto"/>
    </w:pPr>
    <w:rPr>
      <w:sz w:val="20"/>
      <w:szCs w:val="20"/>
    </w:rPr>
  </w:style>
  <w:style w:type="character" w:customStyle="1" w:styleId="CommentTextChar">
    <w:name w:val="Comment Text Char"/>
    <w:basedOn w:val="DefaultParagraphFont"/>
    <w:link w:val="CommentText"/>
    <w:uiPriority w:val="99"/>
    <w:semiHidden/>
    <w:rsid w:val="004E1D18"/>
    <w:rPr>
      <w:sz w:val="20"/>
      <w:szCs w:val="20"/>
    </w:rPr>
  </w:style>
  <w:style w:type="paragraph" w:styleId="CommentSubject">
    <w:name w:val="annotation subject"/>
    <w:basedOn w:val="CommentText"/>
    <w:next w:val="CommentText"/>
    <w:link w:val="CommentSubjectChar"/>
    <w:uiPriority w:val="99"/>
    <w:semiHidden/>
    <w:unhideWhenUsed/>
    <w:rsid w:val="004E1D18"/>
    <w:rPr>
      <w:b/>
      <w:bCs/>
    </w:rPr>
  </w:style>
  <w:style w:type="character" w:customStyle="1" w:styleId="CommentSubjectChar">
    <w:name w:val="Comment Subject Char"/>
    <w:basedOn w:val="CommentTextChar"/>
    <w:link w:val="CommentSubject"/>
    <w:uiPriority w:val="99"/>
    <w:semiHidden/>
    <w:rsid w:val="004E1D18"/>
    <w:rPr>
      <w:b/>
      <w:bCs/>
      <w:sz w:val="20"/>
      <w:szCs w:val="20"/>
    </w:rPr>
  </w:style>
  <w:style w:type="character" w:styleId="FollowedHyperlink">
    <w:name w:val="FollowedHyperlink"/>
    <w:basedOn w:val="DefaultParagraphFont"/>
    <w:uiPriority w:val="99"/>
    <w:semiHidden/>
    <w:unhideWhenUsed/>
    <w:rsid w:val="00A46E2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390/su17229953" TargetMode="External"/><Relationship Id="rId18" Type="http://schemas.openxmlformats.org/officeDocument/2006/relationships/hyperlink" Target="https://doi.org/10.3390/socsci14050286" TargetMode="External"/><Relationship Id="rId26" Type="http://schemas.openxmlformats.org/officeDocument/2006/relationships/hyperlink" Target="https://doi.org/10.3390/su17135690" TargetMode="External"/><Relationship Id="rId39" Type="http://schemas.openxmlformats.org/officeDocument/2006/relationships/hyperlink" Target="https://doi.org/10.3390/su172210345" TargetMode="External"/><Relationship Id="rId21" Type="http://schemas.openxmlformats.org/officeDocument/2006/relationships/hyperlink" Target="https://doi.org/10.3390/jcm12134425" TargetMode="External"/><Relationship Id="rId34" Type="http://schemas.openxmlformats.org/officeDocument/2006/relationships/hyperlink" Target="https://doi.org/10.3390/jrfm16020070" TargetMode="External"/><Relationship Id="rId42" Type="http://schemas.openxmlformats.org/officeDocument/2006/relationships/hyperlink" Target="https://doi.org/10.3390/healthcare11020169" TargetMode="External"/><Relationship Id="rId47" Type="http://schemas.openxmlformats.org/officeDocument/2006/relationships/hyperlink" Target="https://doi.org/10.3390/systems13111018" TargetMode="External"/><Relationship Id="rId50" Type="http://schemas.openxmlformats.org/officeDocument/2006/relationships/hyperlink" Target="https://doi.org/10.3390/hospitals2020010" TargetMode="External"/><Relationship Id="rId55" Type="http://schemas.openxmlformats.org/officeDocument/2006/relationships/hyperlink" Target="https://doi.org/10.3390/nursrep1303010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healthcare12040486" TargetMode="External"/><Relationship Id="rId25" Type="http://schemas.openxmlformats.org/officeDocument/2006/relationships/hyperlink" Target="https://doi.org/10.3390/healthcare9111508" TargetMode="External"/><Relationship Id="rId33" Type="http://schemas.openxmlformats.org/officeDocument/2006/relationships/hyperlink" Target="https://doi.org/10.3390/ijerph192315971" TargetMode="External"/><Relationship Id="rId38" Type="http://schemas.openxmlformats.org/officeDocument/2006/relationships/hyperlink" Target="https://doi.org/10.3390/ijerph192114388" TargetMode="External"/><Relationship Id="rId46" Type="http://schemas.openxmlformats.org/officeDocument/2006/relationships/hyperlink" Target="https://doi.org/10.3390/asi7030051" TargetMode="External"/><Relationship Id="rId2" Type="http://schemas.openxmlformats.org/officeDocument/2006/relationships/customXml" Target="../customXml/item2.xml"/><Relationship Id="rId16" Type="http://schemas.openxmlformats.org/officeDocument/2006/relationships/hyperlink" Target="https://doi.org/10.3390/su172411181" TargetMode="External"/><Relationship Id="rId20" Type="http://schemas.openxmlformats.org/officeDocument/2006/relationships/hyperlink" Target="https://doi.org/10.1177/00221465241268434" TargetMode="External"/><Relationship Id="rId29" Type="http://schemas.openxmlformats.org/officeDocument/2006/relationships/hyperlink" Target="https://doi.org/10.3390/safety11030091" TargetMode="External"/><Relationship Id="rId41" Type="http://schemas.openxmlformats.org/officeDocument/2006/relationships/hyperlink" Target="https://psmf.org/story/lewis-blackman" TargetMode="External"/><Relationship Id="rId54" Type="http://schemas.openxmlformats.org/officeDocument/2006/relationships/hyperlink" Target="https://doi.org/10.3390/healthcare101122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su16104165" TargetMode="External"/><Relationship Id="rId32" Type="http://schemas.openxmlformats.org/officeDocument/2006/relationships/hyperlink" Target="https://doi.org/10.3390/healthcare13202565" TargetMode="External"/><Relationship Id="rId37" Type="http://schemas.openxmlformats.org/officeDocument/2006/relationships/hyperlink" Target="https://doi.org/10.3390/nursrep14040260" TargetMode="External"/><Relationship Id="rId40" Type="http://schemas.openxmlformats.org/officeDocument/2006/relationships/hyperlink" Target="https://doi.org/10.3390/su15097337" TargetMode="External"/><Relationship Id="rId45" Type="http://schemas.openxmlformats.org/officeDocument/2006/relationships/hyperlink" Target="https://doi.org/10.3390/healthcare5040073" TargetMode="External"/><Relationship Id="rId53" Type="http://schemas.openxmlformats.org/officeDocument/2006/relationships/hyperlink" Target="https://doi.org/10.3390/ijerph192013102"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ultidisciplinaryfrontiers.com/uploads/archives/20250319115401_FMR-2025-1-012.1.pdf" TargetMode="External"/><Relationship Id="rId23" Type="http://schemas.openxmlformats.org/officeDocument/2006/relationships/hyperlink" Target="https://doi.org/10.3390/math11163520" TargetMode="External"/><Relationship Id="rId28" Type="http://schemas.openxmlformats.org/officeDocument/2006/relationships/hyperlink" Target="https://doi.org/10.3390/su17104474" TargetMode="External"/><Relationship Id="rId36" Type="http://schemas.openxmlformats.org/officeDocument/2006/relationships/hyperlink" Target="https://doi.org/10.3390/ijerph17238757" TargetMode="External"/><Relationship Id="rId49" Type="http://schemas.openxmlformats.org/officeDocument/2006/relationships/hyperlink" Target="https://doi.org/10.3390/su17198614" TargetMode="External"/><Relationship Id="rId57"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3390/healthcare12030326" TargetMode="External"/><Relationship Id="rId31" Type="http://schemas.openxmlformats.org/officeDocument/2006/relationships/hyperlink" Target="https://doi.org/10.3390/ijerph16040621" TargetMode="External"/><Relationship Id="rId44" Type="http://schemas.openxmlformats.org/officeDocument/2006/relationships/hyperlink" Target="https://doi.org/10.3390/su17125376" TargetMode="External"/><Relationship Id="rId52" Type="http://schemas.openxmlformats.org/officeDocument/2006/relationships/hyperlink" Target="https://doi.org/10.2196/664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healthcare12202013" TargetMode="External"/><Relationship Id="rId22" Type="http://schemas.openxmlformats.org/officeDocument/2006/relationships/hyperlink" Target="https://doi.org/10.1186/s41077-024-00298-z" TargetMode="External"/><Relationship Id="rId27" Type="http://schemas.openxmlformats.org/officeDocument/2006/relationships/hyperlink" Target="https://doi.org/10.3390/publications12030027" TargetMode="External"/><Relationship Id="rId30" Type="http://schemas.openxmlformats.org/officeDocument/2006/relationships/hyperlink" Target="https://www.diva-portal.org/smash/get/diva2:1964704/FULLTEXT01.%20pdf" TargetMode="External"/><Relationship Id="rId35" Type="http://schemas.openxmlformats.org/officeDocument/2006/relationships/hyperlink" Target="https://doi.org/10.3390/bs15010025" TargetMode="External"/><Relationship Id="rId43" Type="http://schemas.openxmlformats.org/officeDocument/2006/relationships/hyperlink" Target="https://doi.org/10.3390/ijerph191710995" TargetMode="External"/><Relationship Id="rId48" Type="http://schemas.openxmlformats.org/officeDocument/2006/relationships/hyperlink" Target="https://www.um.edu.mt/library/oar/bitstream/123456789/144132/1/2601HSCPOD600000002211%20%20_1.PDF"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3390/hospitals1010008"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8XtDQFajLM9/PGvENhg2+fhGVw==">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</go:docsCustomData>
</go:gDocsCustomXmlDataStorage>
</file>

<file path=customXml/itemProps1.xml><?xml version="1.0" encoding="utf-8"?>
<ds:datastoreItem xmlns:ds="http://schemas.openxmlformats.org/officeDocument/2006/customXml" ds:itemID="{89C98EB9-7EF1-47CB-8263-79EA965FC81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8162</Words>
  <Characters>46527</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2026-04-21T10:08:00Z</dcterms:created>
  <dcterms:modified xsi:type="dcterms:W3CDTF">2026-04-21T10:14:00Z</dcterms:modified>
</cp:coreProperties>
</file>