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F2E9A" w14:textId="38358339" w:rsidR="00CB151D" w:rsidRPr="00792FEC" w:rsidRDefault="00CB151D" w:rsidP="00792FEC">
      <w:pPr>
        <w:spacing w:line="276" w:lineRule="auto"/>
        <w:rPr>
          <w:sz w:val="32"/>
          <w:szCs w:val="32"/>
        </w:rPr>
      </w:pPr>
      <w:r w:rsidRPr="00792FEC">
        <w:rPr>
          <w:sz w:val="32"/>
          <w:szCs w:val="32"/>
        </w:rPr>
        <w:t>To What Extent Does Cultural Appropriation of the Plains Native American Headdress Continue the Damage Caused by Colonialism?</w:t>
      </w:r>
    </w:p>
    <w:p w14:paraId="2581AA1D" w14:textId="77777777" w:rsidR="006A5202" w:rsidRPr="00792FEC" w:rsidRDefault="006A5202" w:rsidP="00792FEC">
      <w:pPr>
        <w:spacing w:line="276" w:lineRule="auto"/>
        <w:rPr>
          <w:sz w:val="24"/>
          <w:szCs w:val="24"/>
        </w:rPr>
      </w:pPr>
      <w:r w:rsidRPr="00792FEC">
        <w:rPr>
          <w:sz w:val="24"/>
          <w:szCs w:val="24"/>
        </w:rPr>
        <w:t>The use of traditional Plains Native American outfits in popular culture has long been an issue for Native communities, because the spiritual significance of items such as the headdress are ignored, and instead they are used as a fashion statement or even a costume for the entertainment of predominantly white Americans. This essay will first examine the spiritual significance of the Plains Native American headdress and then address how the use of different items within popular culture causes harm to different communities, focusing on the impact on different groups of Plains Native Americans. The later part of the essay will then examine to what extent cultural appropriation in the 21</w:t>
      </w:r>
      <w:r w:rsidRPr="00792FEC">
        <w:rPr>
          <w:sz w:val="24"/>
          <w:szCs w:val="24"/>
          <w:vertAlign w:val="superscript"/>
        </w:rPr>
        <w:t>st</w:t>
      </w:r>
      <w:r w:rsidRPr="00792FEC">
        <w:rPr>
          <w:sz w:val="24"/>
          <w:szCs w:val="24"/>
        </w:rPr>
        <w:t xml:space="preserve"> century is an extension on the harm caused by colonialism in the 19</w:t>
      </w:r>
      <w:r w:rsidRPr="00792FEC">
        <w:rPr>
          <w:sz w:val="24"/>
          <w:szCs w:val="24"/>
          <w:vertAlign w:val="superscript"/>
        </w:rPr>
        <w:t>th</w:t>
      </w:r>
      <w:r w:rsidRPr="00792FEC">
        <w:rPr>
          <w:sz w:val="24"/>
          <w:szCs w:val="24"/>
        </w:rPr>
        <w:t xml:space="preserve"> century, comparing the impact that they have had, and continue to have on communities.  </w:t>
      </w:r>
    </w:p>
    <w:p w14:paraId="7A67DC18" w14:textId="77777777" w:rsidR="006A5202" w:rsidRPr="00792FEC" w:rsidRDefault="006A5202" w:rsidP="00792FEC">
      <w:pPr>
        <w:spacing w:line="276" w:lineRule="auto"/>
        <w:rPr>
          <w:sz w:val="24"/>
          <w:szCs w:val="24"/>
        </w:rPr>
      </w:pPr>
      <w:r w:rsidRPr="00792FEC">
        <w:rPr>
          <w:i/>
          <w:iCs/>
          <w:sz w:val="24"/>
          <w:szCs w:val="24"/>
        </w:rPr>
        <w:t>The Oxford Learners Dictionary</w:t>
      </w:r>
      <w:r w:rsidRPr="00792FEC">
        <w:rPr>
          <w:sz w:val="24"/>
          <w:szCs w:val="24"/>
        </w:rPr>
        <w:t xml:space="preserve"> defines cultural appropriation as “the act of copying or using the customs and traditions of a particular group or culture, by somebody from a more dominant (powerful) group in society”.</w:t>
      </w:r>
      <w:r w:rsidRPr="00792FEC">
        <w:rPr>
          <w:rStyle w:val="FootnoteReference"/>
          <w:sz w:val="24"/>
          <w:szCs w:val="24"/>
        </w:rPr>
        <w:footnoteReference w:id="1"/>
      </w:r>
      <w:r w:rsidRPr="00792FEC">
        <w:rPr>
          <w:sz w:val="24"/>
          <w:szCs w:val="24"/>
        </w:rPr>
        <w:t xml:space="preserve"> </w:t>
      </w:r>
      <w:r w:rsidRPr="00792FEC">
        <w:rPr>
          <w:i/>
          <w:iCs/>
          <w:sz w:val="24"/>
          <w:szCs w:val="24"/>
        </w:rPr>
        <w:t xml:space="preserve">The Concise Oxford Companion to English Literature </w:t>
      </w:r>
      <w:r w:rsidRPr="00792FEC">
        <w:rPr>
          <w:sz w:val="24"/>
          <w:szCs w:val="24"/>
        </w:rPr>
        <w:t>further develops this definition, stating that cultural appropriation “is in general used to describe Western appropriations of non‐Western or non‐white forms, and carries connotations of exploitation and dominance”,</w:t>
      </w:r>
      <w:r w:rsidRPr="00792FEC">
        <w:rPr>
          <w:rStyle w:val="FootnoteReference"/>
          <w:sz w:val="24"/>
          <w:szCs w:val="24"/>
        </w:rPr>
        <w:footnoteReference w:id="2"/>
      </w:r>
      <w:r w:rsidRPr="00792FEC">
        <w:rPr>
          <w:sz w:val="24"/>
          <w:szCs w:val="24"/>
        </w:rPr>
        <w:t xml:space="preserve"> thus highlighting that the term is often used in a disapproving manner. However, the issue of cultural appropriation only began to be considered a problem in the 1990s,</w:t>
      </w:r>
      <w:r w:rsidRPr="00792FEC">
        <w:rPr>
          <w:rStyle w:val="FootnoteReference"/>
          <w:sz w:val="24"/>
          <w:szCs w:val="24"/>
        </w:rPr>
        <w:footnoteReference w:id="3"/>
      </w:r>
      <w:r w:rsidRPr="00792FEC">
        <w:rPr>
          <w:sz w:val="24"/>
          <w:szCs w:val="24"/>
        </w:rPr>
        <w:t xml:space="preserve"> and consequently there remains a debate regarding to what extent it causes harm to different marginalised communities. The first side of the debate argues that cultural appropriation does cause harm to Native communities because it disregards the religious significance of items or practices, and can cause economic harm to the community.</w:t>
      </w:r>
      <w:r w:rsidRPr="00792FEC">
        <w:rPr>
          <w:rStyle w:val="FootnoteReference"/>
          <w:sz w:val="24"/>
          <w:szCs w:val="24"/>
        </w:rPr>
        <w:footnoteReference w:id="4"/>
      </w:r>
      <w:r w:rsidRPr="00792FEC">
        <w:rPr>
          <w:sz w:val="24"/>
          <w:szCs w:val="24"/>
        </w:rPr>
        <w:t xml:space="preserve"> In contrast, the other side of the debate argues that there is limited damage caused because by highlighting the various traditions of communities,, more awareness is brought to their practices and consequently their voices can be heard.</w:t>
      </w:r>
      <w:r w:rsidRPr="00792FEC">
        <w:rPr>
          <w:rStyle w:val="FootnoteReference"/>
          <w:sz w:val="24"/>
          <w:szCs w:val="24"/>
        </w:rPr>
        <w:footnoteReference w:id="5"/>
      </w:r>
      <w:r w:rsidRPr="00792FEC">
        <w:rPr>
          <w:sz w:val="24"/>
          <w:szCs w:val="24"/>
        </w:rPr>
        <w:t xml:space="preserve"> However, the second argument within this debate relies on there being an appreciation of different items that are being ‘borrowed’, which in turn requires there to be a good understanding of not only the item itself, but also necessitates an understanding of the beliefs and religion that relate to the item, something that is often missing when cultural items are used. When considering the debate on cultural appropriation, it is also vital to </w:t>
      </w:r>
      <w:r w:rsidRPr="00792FEC">
        <w:rPr>
          <w:sz w:val="24"/>
          <w:szCs w:val="24"/>
        </w:rPr>
        <w:lastRenderedPageBreak/>
        <w:t xml:space="preserve">consider the opinions of those in the marginalised community when evaluating the acceptability of using different , and as a result, when considering the different examples of cultural appropriation, where possible it is important to consider the responses from people within the Native American community. </w:t>
      </w:r>
    </w:p>
    <w:p w14:paraId="7D738272" w14:textId="77777777" w:rsidR="006A5202" w:rsidRPr="00792FEC" w:rsidRDefault="006A5202" w:rsidP="00792FEC">
      <w:pPr>
        <w:spacing w:line="276" w:lineRule="auto"/>
        <w:rPr>
          <w:sz w:val="24"/>
          <w:szCs w:val="24"/>
        </w:rPr>
      </w:pPr>
      <w:r w:rsidRPr="00792FEC">
        <w:rPr>
          <w:sz w:val="24"/>
          <w:szCs w:val="24"/>
        </w:rPr>
        <w:t>One of the most common Native American items that is appropriated by Western audiences is the Plains headdress or war bonnet. This is because the headdress is considered to be intrinsically entwined with the Native American identity,</w:t>
      </w:r>
      <w:r w:rsidRPr="00792FEC">
        <w:rPr>
          <w:rStyle w:val="FootnoteReference"/>
          <w:sz w:val="24"/>
          <w:szCs w:val="24"/>
        </w:rPr>
        <w:footnoteReference w:id="6"/>
      </w:r>
      <w:r w:rsidRPr="00792FEC">
        <w:rPr>
          <w:sz w:val="24"/>
          <w:szCs w:val="24"/>
        </w:rPr>
        <w:t xml:space="preserve"> something that was outlined by James Howard in the 1950s, and that the Western idea that the headdress highlights who was part of the Plains Native community caused there to be an increase in the frequency that Native Americans would wear a bonnet.</w:t>
      </w:r>
      <w:r w:rsidRPr="00792FEC">
        <w:rPr>
          <w:rStyle w:val="FootnoteReference"/>
          <w:sz w:val="24"/>
          <w:szCs w:val="24"/>
        </w:rPr>
        <w:footnoteReference w:id="7"/>
      </w:r>
      <w:r w:rsidRPr="00792FEC">
        <w:rPr>
          <w:sz w:val="24"/>
          <w:szCs w:val="24"/>
        </w:rPr>
        <w:t xml:space="preserve"> This provides an example of how Western culture has an influence on the actions of the Plains Native Americans, even if this impact was not forced, and consequently it highlights how actions that may be considered unimportant can have an impact on the community. </w:t>
      </w:r>
    </w:p>
    <w:p w14:paraId="536047D3" w14:textId="77777777" w:rsidR="006A5202" w:rsidRPr="00792FEC" w:rsidRDefault="006A5202" w:rsidP="00792FEC">
      <w:pPr>
        <w:spacing w:line="276" w:lineRule="auto"/>
        <w:rPr>
          <w:sz w:val="24"/>
          <w:szCs w:val="24"/>
        </w:rPr>
      </w:pPr>
      <w:r w:rsidRPr="00792FEC">
        <w:rPr>
          <w:sz w:val="24"/>
          <w:szCs w:val="24"/>
        </w:rPr>
        <w:t>The Plains headdress or war bonnet holds special significance for Native Americans, with it being considered to have provided protection during battle.</w:t>
      </w:r>
      <w:r w:rsidRPr="00792FEC">
        <w:rPr>
          <w:rStyle w:val="FootnoteReference"/>
          <w:sz w:val="24"/>
          <w:szCs w:val="24"/>
        </w:rPr>
        <w:footnoteReference w:id="8"/>
      </w:r>
      <w:r w:rsidRPr="00792FEC">
        <w:rPr>
          <w:sz w:val="24"/>
          <w:szCs w:val="24"/>
        </w:rPr>
        <w:t xml:space="preserve"> The importance of the headdress for protection in battles was highlighted by John </w:t>
      </w:r>
      <w:proofErr w:type="spellStart"/>
      <w:r w:rsidRPr="00792FEC">
        <w:rPr>
          <w:sz w:val="24"/>
          <w:szCs w:val="24"/>
        </w:rPr>
        <w:t>Monnett</w:t>
      </w:r>
      <w:proofErr w:type="spellEnd"/>
      <w:r w:rsidRPr="00792FEC">
        <w:rPr>
          <w:sz w:val="24"/>
          <w:szCs w:val="24"/>
        </w:rPr>
        <w:t xml:space="preserve"> in </w:t>
      </w:r>
      <w:bookmarkStart w:id="2" w:name="_Hlk104798144"/>
      <w:r w:rsidRPr="00792FEC">
        <w:rPr>
          <w:i/>
          <w:iCs/>
          <w:sz w:val="24"/>
          <w:szCs w:val="24"/>
        </w:rPr>
        <w:t>The Battle of Beecher Island and the Indian War of 1867-1869</w:t>
      </w:r>
      <w:bookmarkEnd w:id="2"/>
      <w:r w:rsidRPr="00792FEC">
        <w:rPr>
          <w:sz w:val="24"/>
          <w:szCs w:val="24"/>
        </w:rPr>
        <w:t>,</w:t>
      </w:r>
      <w:r w:rsidRPr="00792FEC">
        <w:rPr>
          <w:rStyle w:val="FootnoteReference"/>
          <w:sz w:val="24"/>
          <w:szCs w:val="24"/>
        </w:rPr>
        <w:footnoteReference w:id="9"/>
      </w:r>
      <w:r w:rsidRPr="00792FEC">
        <w:rPr>
          <w:sz w:val="24"/>
          <w:szCs w:val="24"/>
        </w:rPr>
        <w:t xml:space="preserve"> where one of the Cheyenne warriors, Roman Nose, was made “invulnerable in combat” by the war bonnet that he wore.</w:t>
      </w:r>
      <w:r w:rsidRPr="00792FEC">
        <w:rPr>
          <w:rStyle w:val="FootnoteReference"/>
          <w:sz w:val="24"/>
          <w:szCs w:val="24"/>
        </w:rPr>
        <w:footnoteReference w:id="10"/>
      </w:r>
      <w:r w:rsidRPr="00792FEC">
        <w:rPr>
          <w:sz w:val="24"/>
          <w:szCs w:val="24"/>
        </w:rPr>
        <w:t xml:space="preserve"> The report of significant Native American warriors being protected by the bonnets therefore highlights the spiritual power that the headdress is considered to hold, and therefore underlines the importance that the bonnets have in the history of Native communities, in addition to the religious importance. The traditional headdresses have also been described as the equivalent of the US Medal of Honour in an attempt to provide a comparison of the respect given to the bonnet.</w:t>
      </w:r>
      <w:r w:rsidRPr="00792FEC">
        <w:rPr>
          <w:rStyle w:val="FootnoteReference"/>
          <w:sz w:val="24"/>
          <w:szCs w:val="24"/>
        </w:rPr>
        <w:footnoteReference w:id="11"/>
      </w:r>
      <w:r w:rsidRPr="00792FEC">
        <w:rPr>
          <w:sz w:val="24"/>
          <w:szCs w:val="24"/>
        </w:rPr>
        <w:t xml:space="preserve">  This again highlights the military importance that the headdress holds for Native Americans, something that is not known to the majority of people outside of the Native community who put on a headdress as an accessory or costume. </w:t>
      </w:r>
    </w:p>
    <w:p w14:paraId="2FB03F99" w14:textId="77777777" w:rsidR="006A5202" w:rsidRPr="00792FEC" w:rsidRDefault="006A5202" w:rsidP="00792FEC">
      <w:pPr>
        <w:spacing w:line="276" w:lineRule="auto"/>
        <w:rPr>
          <w:sz w:val="24"/>
          <w:szCs w:val="24"/>
        </w:rPr>
      </w:pPr>
      <w:r w:rsidRPr="00792FEC">
        <w:rPr>
          <w:sz w:val="24"/>
          <w:szCs w:val="24"/>
        </w:rPr>
        <w:t>The significance of the war bonnet has not disappeared with the reduced need for protection during battles, but the headdress remains an important object in the 21</w:t>
      </w:r>
      <w:r w:rsidRPr="00792FEC">
        <w:rPr>
          <w:sz w:val="24"/>
          <w:szCs w:val="24"/>
          <w:vertAlign w:val="superscript"/>
        </w:rPr>
        <w:t>st</w:t>
      </w:r>
      <w:r w:rsidRPr="00792FEC">
        <w:rPr>
          <w:sz w:val="24"/>
          <w:szCs w:val="24"/>
        </w:rPr>
        <w:t xml:space="preserve"> century, for example during ceremonies. The headdress continues to serve as an item that highlights the status of someone within the community, for example the headdress is worn </w:t>
      </w:r>
      <w:r w:rsidRPr="00792FEC">
        <w:rPr>
          <w:sz w:val="24"/>
          <w:szCs w:val="24"/>
        </w:rPr>
        <w:lastRenderedPageBreak/>
        <w:t>by the Chief,</w:t>
      </w:r>
      <w:r w:rsidRPr="00792FEC">
        <w:rPr>
          <w:rStyle w:val="FootnoteReference"/>
          <w:sz w:val="24"/>
          <w:szCs w:val="24"/>
        </w:rPr>
        <w:footnoteReference w:id="12"/>
      </w:r>
      <w:r w:rsidRPr="00792FEC">
        <w:rPr>
          <w:sz w:val="24"/>
          <w:szCs w:val="24"/>
        </w:rPr>
        <w:t xml:space="preserve"> and is still seen as something that is earned and something that is given as a gift, and not something to be bought.</w:t>
      </w:r>
      <w:r w:rsidRPr="00792FEC">
        <w:rPr>
          <w:rStyle w:val="FootnoteReference"/>
          <w:sz w:val="24"/>
          <w:szCs w:val="24"/>
        </w:rPr>
        <w:footnoteReference w:id="13"/>
      </w:r>
      <w:r w:rsidRPr="00792FEC">
        <w:rPr>
          <w:sz w:val="24"/>
          <w:szCs w:val="24"/>
        </w:rPr>
        <w:t xml:space="preserve"> The use of the headdress has also developed within Native communities as historically the headdress was only wore by men, however there is beginning to be a change, albeit a slow one, where Native women are also being gifted headdresses.</w:t>
      </w:r>
      <w:r w:rsidRPr="00792FEC">
        <w:rPr>
          <w:rStyle w:val="FootnoteReference"/>
          <w:sz w:val="24"/>
          <w:szCs w:val="24"/>
        </w:rPr>
        <w:footnoteReference w:id="14"/>
      </w:r>
      <w:r w:rsidRPr="00792FEC">
        <w:rPr>
          <w:sz w:val="24"/>
          <w:szCs w:val="24"/>
        </w:rPr>
        <w:t xml:space="preserve"> The continued importance of the traditional headdress can also be seen through their use in gatherings and ceremonies such as the powwows, which serve as an expression of Native American culture, during which dancing and singing, along with other events such as naming ceremonies are performed.</w:t>
      </w:r>
      <w:r w:rsidRPr="00792FEC">
        <w:rPr>
          <w:rStyle w:val="FootnoteReference"/>
          <w:sz w:val="24"/>
          <w:szCs w:val="24"/>
        </w:rPr>
        <w:footnoteReference w:id="15"/>
      </w:r>
      <w:r w:rsidRPr="00792FEC">
        <w:rPr>
          <w:sz w:val="24"/>
          <w:szCs w:val="24"/>
        </w:rPr>
        <w:t xml:space="preserve"> The use of headdresses during an event which is focused on the maintenance and celebration of Native identity, therefore highlights the continued importance that the headdress holds.</w:t>
      </w:r>
    </w:p>
    <w:p w14:paraId="1784912C" w14:textId="77777777" w:rsidR="006A5202" w:rsidRPr="00792FEC" w:rsidRDefault="006A5202" w:rsidP="00792FEC">
      <w:pPr>
        <w:spacing w:line="276" w:lineRule="auto"/>
        <w:rPr>
          <w:sz w:val="24"/>
          <w:szCs w:val="24"/>
        </w:rPr>
      </w:pPr>
      <w:r w:rsidRPr="00792FEC">
        <w:rPr>
          <w:sz w:val="24"/>
          <w:szCs w:val="24"/>
        </w:rPr>
        <w:t>Despite the spiritual and practical significance placed on the war bonnet, there is a seemingly constant use of the headdress within western popular culture. The most common way that it is used is as a fashion statement that is predominantly utilised by younger white people who use the headdress to appear ‘worldly’ or ‘spiritual’ at events such as festivals.</w:t>
      </w:r>
      <w:r w:rsidRPr="00792FEC">
        <w:rPr>
          <w:rStyle w:val="FootnoteReference"/>
          <w:sz w:val="24"/>
          <w:szCs w:val="24"/>
        </w:rPr>
        <w:footnoteReference w:id="16"/>
      </w:r>
      <w:r w:rsidRPr="00792FEC">
        <w:rPr>
          <w:sz w:val="24"/>
          <w:szCs w:val="24"/>
        </w:rPr>
        <w:t xml:space="preserve"> The use of headdresses by this group highlights how there is an overwhelming lack of education that is connected to the importance of respecting different cultures, because although the USA is generally considered a modern and post-racial country, the continued and unquestioned use of Native American items undermines this idealistic view of the United States. The misuse of the Plains Native American headdress is not only linked to ‘alternative’ culture but can also be seen in mainstream popular culture. Two of the main examples of this is the use of headdresses as a fashion statement and the use of mascots that wear war bonnets in American Football teams. The use of headdresses as a fashion statement or ‘trend’ can most clearly be highlighted by the appearance in a Victoria’s Secret runway in 2012.</w:t>
      </w:r>
      <w:r w:rsidRPr="00792FEC">
        <w:rPr>
          <w:rStyle w:val="FootnoteReference"/>
          <w:sz w:val="24"/>
          <w:szCs w:val="24"/>
        </w:rPr>
        <w:footnoteReference w:id="17"/>
      </w:r>
      <w:r w:rsidRPr="00792FEC">
        <w:rPr>
          <w:sz w:val="24"/>
          <w:szCs w:val="24"/>
        </w:rPr>
        <w:t xml:space="preserve"> This was widely criticised at the time, with an apology being issued shortly after, however it highlighted a number of issues that develop as a result of cultural appropriation, some of which are continuations of stereotypes that were caused by racist depictions of Native Americans.</w:t>
      </w:r>
      <w:r w:rsidRPr="00792FEC">
        <w:rPr>
          <w:rStyle w:val="FootnoteReference"/>
          <w:sz w:val="24"/>
          <w:szCs w:val="24"/>
        </w:rPr>
        <w:footnoteReference w:id="18"/>
      </w:r>
      <w:r w:rsidRPr="00792FEC">
        <w:rPr>
          <w:sz w:val="24"/>
          <w:szCs w:val="24"/>
        </w:rPr>
        <w:t xml:space="preserve"> Despite the disapproval of the use of the Native American headdress in a catwalk in 2012, there continued to be the exploitation of Native American culture to make a fashion statement, with the singer Pharrell Williams wearing a headdress on the cover of a magazine in 2014.</w:t>
      </w:r>
      <w:r w:rsidRPr="00792FEC">
        <w:rPr>
          <w:rStyle w:val="FootnoteReference"/>
          <w:sz w:val="24"/>
          <w:szCs w:val="24"/>
        </w:rPr>
        <w:footnoteReference w:id="19"/>
      </w:r>
      <w:r w:rsidRPr="00792FEC">
        <w:rPr>
          <w:sz w:val="24"/>
          <w:szCs w:val="24"/>
        </w:rPr>
        <w:t xml:space="preserve"> This highlights the continued use of the Plains Native </w:t>
      </w:r>
      <w:r w:rsidRPr="00792FEC">
        <w:rPr>
          <w:sz w:val="24"/>
          <w:szCs w:val="24"/>
        </w:rPr>
        <w:lastRenderedPageBreak/>
        <w:t>American headdress as a fashion statement throughout the 2010s, with little being done (apart from small apologies) to correct the mistakes made. The use of the Plains headdress in popular culture is not only limited to being employed as a fashion statement, but it is also used by numerous American Football team mascots, for example the Cleveland Indians and the Kansas City Chiefs.</w:t>
      </w:r>
      <w:r w:rsidRPr="00792FEC">
        <w:rPr>
          <w:rStyle w:val="FootnoteReference"/>
          <w:sz w:val="24"/>
          <w:szCs w:val="24"/>
        </w:rPr>
        <w:footnoteReference w:id="20"/>
      </w:r>
      <w:r w:rsidRPr="00792FEC">
        <w:rPr>
          <w:sz w:val="24"/>
          <w:szCs w:val="24"/>
        </w:rPr>
        <w:t xml:space="preserve"> Such teams therefore use the headdress along with other aspects of traditional Native American outfits as a costume, which again ignores the spiritual significance of the headdress, or possibly exploits the spiritual significance of having the headdress to have victory. The use of Native Americans as mascots in sport is not limited to the professional teams as there currently remains over one thousand schools that use such mascots.</w:t>
      </w:r>
      <w:r w:rsidRPr="00792FEC">
        <w:rPr>
          <w:rStyle w:val="FootnoteReference"/>
          <w:sz w:val="24"/>
          <w:szCs w:val="24"/>
        </w:rPr>
        <w:footnoteReference w:id="21"/>
      </w:r>
      <w:r w:rsidRPr="00792FEC">
        <w:rPr>
          <w:sz w:val="24"/>
          <w:szCs w:val="24"/>
        </w:rPr>
        <w:t xml:space="preserve"> The widespread use of the headdress by mascots highlights how the appropriation of the headdress has become ingrained in American culture as it remains mostly unquestioned, and many people unconsciously take part in the appropriation, which in turn makes it more difficult for Plains Native American communities to challenge such uses. </w:t>
      </w:r>
    </w:p>
    <w:p w14:paraId="53C20E7D" w14:textId="77777777" w:rsidR="006A5202" w:rsidRPr="00792FEC" w:rsidRDefault="006A5202" w:rsidP="00792FEC">
      <w:pPr>
        <w:spacing w:line="276" w:lineRule="auto"/>
        <w:rPr>
          <w:sz w:val="24"/>
          <w:szCs w:val="24"/>
        </w:rPr>
      </w:pPr>
      <w:r w:rsidRPr="00792FEC">
        <w:rPr>
          <w:sz w:val="24"/>
          <w:szCs w:val="24"/>
        </w:rPr>
        <w:t>The cultural appropriation of the Plains Native American headdress has detrimental effects on the Native community as a whole, with there being a number of different angles to address the harm caused by the inappropriate use of headdresses. The first argument of why the cultural appropriation of the headdress causes harm to the community is because it pushes harmful stereotypes. This links with the more historic stereotypes that encourage racist ideas that were previously promoted by those in the West, for example the idea that Native Americans were ‘</w:t>
      </w:r>
      <w:proofErr w:type="gramStart"/>
      <w:r w:rsidRPr="00792FEC">
        <w:rPr>
          <w:sz w:val="24"/>
          <w:szCs w:val="24"/>
        </w:rPr>
        <w:t>savages’</w:t>
      </w:r>
      <w:proofErr w:type="gramEnd"/>
      <w:r w:rsidRPr="00792FEC">
        <w:rPr>
          <w:sz w:val="24"/>
          <w:szCs w:val="24"/>
        </w:rPr>
        <w:t>.</w:t>
      </w:r>
      <w:r w:rsidRPr="00792FEC">
        <w:rPr>
          <w:rStyle w:val="FootnoteReference"/>
          <w:sz w:val="24"/>
          <w:szCs w:val="24"/>
        </w:rPr>
        <w:footnoteReference w:id="22"/>
      </w:r>
      <w:r w:rsidRPr="00792FEC">
        <w:rPr>
          <w:sz w:val="24"/>
          <w:szCs w:val="24"/>
        </w:rPr>
        <w:t xml:space="preserve"> This idea was promoted during the 1800s when the United States invaded Native land, with this notion being continued to be pushed in more recent popular culture, for example in Disney’s </w:t>
      </w:r>
      <w:r w:rsidRPr="00792FEC">
        <w:rPr>
          <w:i/>
          <w:iCs/>
          <w:sz w:val="24"/>
          <w:szCs w:val="24"/>
        </w:rPr>
        <w:t>Pocahontas.</w:t>
      </w:r>
      <w:r w:rsidRPr="00792FEC">
        <w:rPr>
          <w:sz w:val="24"/>
          <w:szCs w:val="24"/>
        </w:rPr>
        <w:t xml:space="preserve"> Another way that the appropriation of the Plains Native headdress pushes harmful stereotypes is as its depiction as a sexualised object when it is used as a fashion statement. For example, in the Victoria’s Secret fashion show the model wore a floor length headdress and a bikini. This, as highlighted by Beck and </w:t>
      </w:r>
      <w:proofErr w:type="spellStart"/>
      <w:r w:rsidRPr="00792FEC">
        <w:rPr>
          <w:sz w:val="24"/>
          <w:szCs w:val="24"/>
        </w:rPr>
        <w:t>MacInnis</w:t>
      </w:r>
      <w:proofErr w:type="spellEnd"/>
      <w:r w:rsidRPr="00792FEC">
        <w:rPr>
          <w:sz w:val="24"/>
          <w:szCs w:val="24"/>
        </w:rPr>
        <w:t>, contributes to the oversexualisation of Native American women,</w:t>
      </w:r>
      <w:r w:rsidRPr="00792FEC">
        <w:rPr>
          <w:rStyle w:val="FootnoteReference"/>
          <w:sz w:val="24"/>
          <w:szCs w:val="24"/>
        </w:rPr>
        <w:footnoteReference w:id="23"/>
      </w:r>
      <w:r w:rsidRPr="00792FEC">
        <w:rPr>
          <w:sz w:val="24"/>
          <w:szCs w:val="24"/>
        </w:rPr>
        <w:t xml:space="preserve"> which along with the appropriation of other aspects of Native clothing through costumes such as those worn at Halloween, continues to push one type of stereotype associated with Native Americans. This connection between the headdress and the sexualisation of Native women can also be highlighted through the artwork of </w:t>
      </w:r>
      <w:proofErr w:type="spellStart"/>
      <w:r w:rsidRPr="00792FEC">
        <w:rPr>
          <w:sz w:val="24"/>
          <w:szCs w:val="24"/>
        </w:rPr>
        <w:t>Zah</w:t>
      </w:r>
      <w:proofErr w:type="spellEnd"/>
      <w:r w:rsidRPr="00792FEC">
        <w:rPr>
          <w:sz w:val="24"/>
          <w:szCs w:val="24"/>
        </w:rPr>
        <w:t xml:space="preserve">, through her ‘Unplugged’ art collection which explores how Native American women are represented </w:t>
      </w:r>
      <w:r w:rsidRPr="00792FEC">
        <w:rPr>
          <w:sz w:val="24"/>
          <w:szCs w:val="24"/>
        </w:rPr>
        <w:lastRenderedPageBreak/>
        <w:t>through the media.</w:t>
      </w:r>
      <w:r w:rsidRPr="00792FEC">
        <w:rPr>
          <w:rStyle w:val="FootnoteReference"/>
          <w:sz w:val="24"/>
          <w:szCs w:val="24"/>
        </w:rPr>
        <w:footnoteReference w:id="24"/>
      </w:r>
      <w:r w:rsidRPr="00792FEC">
        <w:rPr>
          <w:sz w:val="24"/>
          <w:szCs w:val="24"/>
        </w:rPr>
        <w:t xml:space="preserve"> For example, in one image she depicts a woman who meets the general beauty standards in a headdress, highlighting the media’s tendency to connect the idea of a Native princess and the headdress, a stereotype that can be seen through the character Tiger Lily in </w:t>
      </w:r>
      <w:r w:rsidRPr="00792FEC">
        <w:rPr>
          <w:i/>
          <w:iCs/>
          <w:sz w:val="24"/>
          <w:szCs w:val="24"/>
        </w:rPr>
        <w:t>Peter Pan</w:t>
      </w:r>
      <w:r w:rsidRPr="00792FEC">
        <w:rPr>
          <w:sz w:val="24"/>
          <w:szCs w:val="24"/>
        </w:rPr>
        <w:t>. The cultural appropriation of the headdresses therefore, although not as blatantly, continues to promote the harmful stereotypes that have been pushed historically, such as the Savage Reactionary or the Drunken Indian,</w:t>
      </w:r>
      <w:r w:rsidRPr="00792FEC">
        <w:rPr>
          <w:rStyle w:val="FootnoteReference"/>
          <w:sz w:val="24"/>
          <w:szCs w:val="24"/>
        </w:rPr>
        <w:footnoteReference w:id="25"/>
      </w:r>
      <w:r w:rsidRPr="00792FEC">
        <w:rPr>
          <w:sz w:val="24"/>
          <w:szCs w:val="24"/>
        </w:rPr>
        <w:t xml:space="preserve"> and consequently, continues to be dangerous to Native communities.</w:t>
      </w:r>
    </w:p>
    <w:p w14:paraId="56B2B284" w14:textId="77777777" w:rsidR="006A5202" w:rsidRPr="00792FEC" w:rsidRDefault="006A5202" w:rsidP="00792FEC">
      <w:pPr>
        <w:spacing w:line="276" w:lineRule="auto"/>
        <w:rPr>
          <w:sz w:val="24"/>
          <w:szCs w:val="24"/>
        </w:rPr>
      </w:pPr>
      <w:r w:rsidRPr="00792FEC">
        <w:rPr>
          <w:sz w:val="24"/>
          <w:szCs w:val="24"/>
        </w:rPr>
        <w:t>The cultural appropriation of the Plains Native American headdress is also problematic because it introduces ontological problems</w:t>
      </w:r>
      <w:r w:rsidRPr="00792FEC">
        <w:rPr>
          <w:rStyle w:val="FootnoteReference"/>
          <w:sz w:val="24"/>
          <w:szCs w:val="24"/>
        </w:rPr>
        <w:footnoteReference w:id="26"/>
      </w:r>
      <w:r w:rsidRPr="00792FEC">
        <w:rPr>
          <w:sz w:val="24"/>
          <w:szCs w:val="24"/>
        </w:rPr>
        <w:t xml:space="preserve"> connected to the issue of Native identity. This is because the headdress has increasingly become part of the Native American identity, with it being a key item that is associated with and aiding in reclaiming the Native community. This ontological challenge then, according to Thomas </w:t>
      </w:r>
      <w:proofErr w:type="spellStart"/>
      <w:r w:rsidRPr="00792FEC">
        <w:rPr>
          <w:sz w:val="24"/>
          <w:szCs w:val="24"/>
        </w:rPr>
        <w:t>Heyd</w:t>
      </w:r>
      <w:proofErr w:type="spellEnd"/>
      <w:r w:rsidRPr="00792FEC">
        <w:rPr>
          <w:sz w:val="24"/>
          <w:szCs w:val="24"/>
        </w:rPr>
        <w:t>, introduces moral concerns because the continued use of items such as the headdress contributes to undermining the culture that is associated with it.</w:t>
      </w:r>
      <w:r w:rsidRPr="00792FEC">
        <w:rPr>
          <w:rStyle w:val="FootnoteReference"/>
          <w:sz w:val="24"/>
          <w:szCs w:val="24"/>
        </w:rPr>
        <w:footnoteReference w:id="27"/>
      </w:r>
      <w:r w:rsidRPr="00792FEC">
        <w:rPr>
          <w:sz w:val="24"/>
          <w:szCs w:val="24"/>
        </w:rPr>
        <w:t xml:space="preserve"> The moral implications can most clearly be seen to occur because the appropriation of Native items by those outside of the community can result in misunderstanding of traditions,</w:t>
      </w:r>
      <w:r w:rsidRPr="00792FEC">
        <w:rPr>
          <w:rStyle w:val="FootnoteReference"/>
          <w:sz w:val="24"/>
          <w:szCs w:val="24"/>
        </w:rPr>
        <w:footnoteReference w:id="28"/>
      </w:r>
      <w:r w:rsidRPr="00792FEC">
        <w:rPr>
          <w:sz w:val="24"/>
          <w:szCs w:val="24"/>
        </w:rPr>
        <w:t xml:space="preserve"> which in turn leads to stereotypes being preserved or even made worse. The other way that cultural appropriation can result in ontological issues is that the incorrect use of Native objects can result in the object developing a different meaning or function to the majority of the global community, that could possible reflect poorly on the Native community itself.</w:t>
      </w:r>
      <w:r w:rsidRPr="00792FEC">
        <w:rPr>
          <w:rStyle w:val="FootnoteReference"/>
          <w:sz w:val="24"/>
          <w:szCs w:val="24"/>
        </w:rPr>
        <w:footnoteReference w:id="29"/>
      </w:r>
      <w:r w:rsidRPr="00792FEC">
        <w:rPr>
          <w:sz w:val="24"/>
          <w:szCs w:val="24"/>
        </w:rPr>
        <w:t xml:space="preserve"> Although this problem builds on the original issue, there remains the threat of items such as the headdress losing its spiritual value and respect because of the continued use of it by Western culture. This could therefore introduce ethical implications in Native communities where those who wear the headdress are no longer respected, specifically by those outside of the immediate community. The issues that arise as a result of cultural appropriation are therefore not only limited to causing short term offence to a community, but there are also long-term moral consequences that are often ignored in an attempt to reduce the problems that appropriation of items such as the headdress causes.  </w:t>
      </w:r>
    </w:p>
    <w:p w14:paraId="20775B61" w14:textId="77777777" w:rsidR="006A5202" w:rsidRPr="00792FEC" w:rsidRDefault="006A5202" w:rsidP="00792FEC">
      <w:pPr>
        <w:spacing w:line="276" w:lineRule="auto"/>
        <w:rPr>
          <w:sz w:val="24"/>
          <w:szCs w:val="24"/>
        </w:rPr>
      </w:pPr>
      <w:r w:rsidRPr="00792FEC">
        <w:rPr>
          <w:sz w:val="24"/>
          <w:szCs w:val="24"/>
        </w:rPr>
        <w:t>These issues surrounding cultural appropriation are also raised by other scholars, for example Ziff and Rao highlight four main arguments that demonstrate the damage that cultural appropriation can cause.</w:t>
      </w:r>
      <w:r w:rsidRPr="00792FEC">
        <w:rPr>
          <w:rStyle w:val="FootnoteReference"/>
          <w:sz w:val="24"/>
          <w:szCs w:val="24"/>
        </w:rPr>
        <w:footnoteReference w:id="30"/>
      </w:r>
      <w:r w:rsidRPr="00792FEC">
        <w:rPr>
          <w:sz w:val="24"/>
          <w:szCs w:val="24"/>
        </w:rPr>
        <w:t xml:space="preserve"> The first, and possible most significant, issue is that cultural appropriation affects the community’s ability to define and establish their identity,</w:t>
      </w:r>
      <w:r w:rsidRPr="00792FEC">
        <w:rPr>
          <w:rStyle w:val="FootnoteReference"/>
          <w:sz w:val="24"/>
          <w:szCs w:val="24"/>
        </w:rPr>
        <w:footnoteReference w:id="31"/>
      </w:r>
      <w:r w:rsidRPr="00792FEC">
        <w:rPr>
          <w:sz w:val="24"/>
          <w:szCs w:val="24"/>
        </w:rPr>
        <w:t xml:space="preserve"> which already is an identity that is strained as a result of colonisation and the attempted </w:t>
      </w:r>
      <w:r w:rsidRPr="00792FEC">
        <w:rPr>
          <w:sz w:val="24"/>
          <w:szCs w:val="24"/>
        </w:rPr>
        <w:lastRenderedPageBreak/>
        <w:t xml:space="preserve">cultural genocide. This builds on the ontological issues that were highlighted by </w:t>
      </w:r>
      <w:proofErr w:type="spellStart"/>
      <w:r w:rsidRPr="00792FEC">
        <w:rPr>
          <w:sz w:val="24"/>
          <w:szCs w:val="24"/>
        </w:rPr>
        <w:t>Heyd</w:t>
      </w:r>
      <w:proofErr w:type="spellEnd"/>
      <w:r w:rsidRPr="00792FEC">
        <w:rPr>
          <w:sz w:val="24"/>
          <w:szCs w:val="24"/>
        </w:rPr>
        <w:t xml:space="preserve"> and introduces further philosophical questions related to identity. This is because it raises the question of what it means to be part of a community and how one may label their identity. If an identity also relies on the use of traditional items, such as the headdress, the use of such items by those outside of the community may in turn result in that object losing some of its significance in relation to how it shapes identity. </w:t>
      </w:r>
    </w:p>
    <w:p w14:paraId="1DF96185" w14:textId="77777777" w:rsidR="006A5202" w:rsidRPr="00792FEC" w:rsidRDefault="006A5202" w:rsidP="00792FEC">
      <w:pPr>
        <w:spacing w:line="276" w:lineRule="auto"/>
        <w:rPr>
          <w:sz w:val="24"/>
          <w:szCs w:val="24"/>
        </w:rPr>
      </w:pPr>
      <w:r w:rsidRPr="00792FEC">
        <w:rPr>
          <w:sz w:val="24"/>
          <w:szCs w:val="24"/>
        </w:rPr>
        <w:t>The second argument for the detriment that cultural appropriation causes is that it can lead to damage or transformation of different cultural practices.</w:t>
      </w:r>
      <w:r w:rsidRPr="00792FEC">
        <w:rPr>
          <w:rStyle w:val="FootnoteReference"/>
          <w:sz w:val="24"/>
          <w:szCs w:val="24"/>
        </w:rPr>
        <w:footnoteReference w:id="32"/>
      </w:r>
      <w:r w:rsidRPr="00792FEC">
        <w:rPr>
          <w:sz w:val="24"/>
          <w:szCs w:val="24"/>
        </w:rPr>
        <w:t xml:space="preserve"> This can cause issues because, although different traditions can develop and change to better fit with more modern ideas or for convenience, the forced transformation of practices can again cause issues connected with identity. For example, although the use of the headdress has changed over time, with the feathers no longer being won during battles,</w:t>
      </w:r>
      <w:r w:rsidRPr="00792FEC">
        <w:rPr>
          <w:rStyle w:val="FootnoteReference"/>
          <w:sz w:val="24"/>
          <w:szCs w:val="24"/>
        </w:rPr>
        <w:footnoteReference w:id="33"/>
      </w:r>
      <w:r w:rsidRPr="00792FEC">
        <w:rPr>
          <w:sz w:val="24"/>
          <w:szCs w:val="24"/>
        </w:rPr>
        <w:t xml:space="preserve"> the main purpose of demonstrating who should be treated with extra respect remains a key role for the headdress. However, if the headdress had its importance reduced because of continued inappropriate use by those outside of the community, this could result in concepts of social structure and independent identity being damaged, in addition to overall Plains Native American identity being undermined. </w:t>
      </w:r>
    </w:p>
    <w:p w14:paraId="031EF786" w14:textId="77777777" w:rsidR="006A5202" w:rsidRPr="00792FEC" w:rsidRDefault="006A5202" w:rsidP="00792FEC">
      <w:pPr>
        <w:spacing w:line="276" w:lineRule="auto"/>
        <w:rPr>
          <w:sz w:val="24"/>
          <w:szCs w:val="24"/>
        </w:rPr>
      </w:pPr>
      <w:r w:rsidRPr="00792FEC">
        <w:rPr>
          <w:sz w:val="24"/>
          <w:szCs w:val="24"/>
        </w:rPr>
        <w:t xml:space="preserve">The third argument that Ziff and </w:t>
      </w:r>
      <w:proofErr w:type="spellStart"/>
      <w:r w:rsidRPr="00792FEC">
        <w:rPr>
          <w:sz w:val="24"/>
          <w:szCs w:val="24"/>
        </w:rPr>
        <w:t>Roa</w:t>
      </w:r>
      <w:proofErr w:type="spellEnd"/>
      <w:r w:rsidRPr="00792FEC">
        <w:rPr>
          <w:sz w:val="24"/>
          <w:szCs w:val="24"/>
        </w:rPr>
        <w:t xml:space="preserve"> make in explaining the damage that cultural appropriation can cause is that it allows those outside of the community to benefit over those who are a part of the community.</w:t>
      </w:r>
      <w:r w:rsidRPr="00792FEC">
        <w:rPr>
          <w:rStyle w:val="FootnoteReference"/>
          <w:sz w:val="24"/>
          <w:szCs w:val="24"/>
        </w:rPr>
        <w:footnoteReference w:id="34"/>
      </w:r>
      <w:r w:rsidRPr="00792FEC">
        <w:rPr>
          <w:sz w:val="24"/>
          <w:szCs w:val="24"/>
        </w:rPr>
        <w:t xml:space="preserve"> This argument is usually developed by considering the economic implication that results from cultural appropriation, because different brands profit from the sale of replicas of Native items, with no compensation being provided to those in the community. For example, items inspired by the Plains headdresses have been sold in high street shops such as H&amp;M.</w:t>
      </w:r>
      <w:r w:rsidRPr="00792FEC">
        <w:rPr>
          <w:rStyle w:val="FootnoteReference"/>
          <w:sz w:val="24"/>
          <w:szCs w:val="24"/>
        </w:rPr>
        <w:footnoteReference w:id="35"/>
      </w:r>
      <w:r w:rsidRPr="00792FEC">
        <w:rPr>
          <w:sz w:val="24"/>
          <w:szCs w:val="24"/>
        </w:rPr>
        <w:t xml:space="preserve"> The economic implication of cultural appropriation is one of the most debated arguments surrounding the acceptability of cultural appropriation, as some oppose the argument provided by Ziff and </w:t>
      </w:r>
      <w:proofErr w:type="spellStart"/>
      <w:r w:rsidRPr="00792FEC">
        <w:rPr>
          <w:sz w:val="24"/>
          <w:szCs w:val="24"/>
        </w:rPr>
        <w:t>Roa</w:t>
      </w:r>
      <w:proofErr w:type="spellEnd"/>
      <w:r w:rsidRPr="00792FEC">
        <w:rPr>
          <w:sz w:val="24"/>
          <w:szCs w:val="24"/>
        </w:rPr>
        <w:t>, instead suggesting that the use and sale of cultural items by those outside of the community leads to there being increased awareness of traditions and items.</w:t>
      </w:r>
      <w:r w:rsidRPr="00792FEC">
        <w:rPr>
          <w:rStyle w:val="FootnoteReference"/>
          <w:sz w:val="24"/>
          <w:szCs w:val="24"/>
        </w:rPr>
        <w:footnoteReference w:id="36"/>
      </w:r>
      <w:r w:rsidRPr="00792FEC">
        <w:rPr>
          <w:sz w:val="24"/>
          <w:szCs w:val="24"/>
        </w:rPr>
        <w:t xml:space="preserve"> However, this argument in itself highlights one reason that cultural appropriation is problematic. This is because Western culture often ignores the original purpose of the item that is being sold. For example, the Plains Native American headdress is considered by that community as something that is earned, and not to be bought. As a result, the sale of such items does not raise awareness of Native traditions, but rather disregards the importance of such items in place of being able to make a profit. The economic benefit that goes only to those who are appropriating Native American culture therefore highlights a further issue with the cultural appropriation, </w:t>
      </w:r>
      <w:r w:rsidRPr="00792FEC">
        <w:rPr>
          <w:sz w:val="24"/>
          <w:szCs w:val="24"/>
        </w:rPr>
        <w:lastRenderedPageBreak/>
        <w:t xml:space="preserve">because it results in those outside of the community profiting while disregarding the community that they are profiting off. </w:t>
      </w:r>
    </w:p>
    <w:p w14:paraId="560A78BD" w14:textId="77777777" w:rsidR="006A5202" w:rsidRPr="00792FEC" w:rsidRDefault="006A5202" w:rsidP="00792FEC">
      <w:pPr>
        <w:spacing w:line="276" w:lineRule="auto"/>
        <w:rPr>
          <w:sz w:val="24"/>
          <w:szCs w:val="24"/>
        </w:rPr>
      </w:pPr>
      <w:r w:rsidRPr="00792FEC">
        <w:rPr>
          <w:sz w:val="24"/>
          <w:szCs w:val="24"/>
        </w:rPr>
        <w:t xml:space="preserve">The final argument that Ziff and </w:t>
      </w:r>
      <w:proofErr w:type="spellStart"/>
      <w:r w:rsidRPr="00792FEC">
        <w:rPr>
          <w:sz w:val="24"/>
          <w:szCs w:val="24"/>
        </w:rPr>
        <w:t>Roa</w:t>
      </w:r>
      <w:proofErr w:type="spellEnd"/>
      <w:r w:rsidRPr="00792FEC">
        <w:rPr>
          <w:sz w:val="24"/>
          <w:szCs w:val="24"/>
        </w:rPr>
        <w:t xml:space="preserve"> present when considering the issues surrounding cultural appropriation is that it results in there being an problem with what should be treated as property and what should be considered ownership of goods.</w:t>
      </w:r>
      <w:r w:rsidRPr="00792FEC">
        <w:rPr>
          <w:rStyle w:val="FootnoteReference"/>
          <w:sz w:val="24"/>
          <w:szCs w:val="24"/>
        </w:rPr>
        <w:footnoteReference w:id="37"/>
      </w:r>
      <w:r w:rsidRPr="00792FEC">
        <w:rPr>
          <w:sz w:val="24"/>
          <w:szCs w:val="24"/>
        </w:rPr>
        <w:t xml:space="preserve"> This arises from US laws allowing private companies to use and appropriate Native cultural items, because they are considered to be property.</w:t>
      </w:r>
      <w:r w:rsidRPr="00792FEC">
        <w:rPr>
          <w:rStyle w:val="FootnoteReference"/>
          <w:sz w:val="24"/>
          <w:szCs w:val="24"/>
        </w:rPr>
        <w:footnoteReference w:id="38"/>
      </w:r>
      <w:r w:rsidRPr="00792FEC">
        <w:rPr>
          <w:sz w:val="24"/>
          <w:szCs w:val="24"/>
        </w:rPr>
        <w:t xml:space="preserve"> This causes issues because it combines both the western ideas with Native culture, however because the western culture is the dominant one, it works more in reducing the independence of Native practices and culture rather than connecting them. This reduction of Native cultural practices in favour of western ideals then mimics some of the damage that colonisation caused, with there being a forced assimilation of Native Americans with the western ideals of those who settled in America.</w:t>
      </w:r>
      <w:r w:rsidRPr="00792FEC">
        <w:rPr>
          <w:rStyle w:val="FootnoteReference"/>
          <w:sz w:val="24"/>
          <w:szCs w:val="24"/>
        </w:rPr>
        <w:footnoteReference w:id="39"/>
      </w:r>
      <w:r w:rsidRPr="00792FEC">
        <w:rPr>
          <w:sz w:val="24"/>
          <w:szCs w:val="24"/>
        </w:rPr>
        <w:t xml:space="preserve"> </w:t>
      </w:r>
    </w:p>
    <w:p w14:paraId="6AC6D92E" w14:textId="77777777" w:rsidR="006A5202" w:rsidRPr="00792FEC" w:rsidRDefault="006A5202" w:rsidP="00792FEC">
      <w:pPr>
        <w:spacing w:line="276" w:lineRule="auto"/>
        <w:rPr>
          <w:sz w:val="24"/>
          <w:szCs w:val="24"/>
        </w:rPr>
      </w:pPr>
      <w:r w:rsidRPr="00792FEC">
        <w:rPr>
          <w:sz w:val="24"/>
          <w:szCs w:val="24"/>
        </w:rPr>
        <w:t xml:space="preserve">The harm that is caused to Native Communities as a result of cultural appropriation can therefore be linked to the harm caused by colonialism from the 1800s. For example, </w:t>
      </w:r>
      <w:proofErr w:type="spellStart"/>
      <w:r w:rsidRPr="00792FEC">
        <w:rPr>
          <w:sz w:val="24"/>
          <w:szCs w:val="24"/>
        </w:rPr>
        <w:t>Hundorf</w:t>
      </w:r>
      <w:proofErr w:type="spellEnd"/>
      <w:r w:rsidRPr="00792FEC">
        <w:rPr>
          <w:sz w:val="24"/>
          <w:szCs w:val="24"/>
        </w:rPr>
        <w:t xml:space="preserve"> suggests that the attempted conquest of Native American culture did not end with the military action, but rather that there was a continued attempt throughout the 20</w:t>
      </w:r>
      <w:r w:rsidRPr="00792FEC">
        <w:rPr>
          <w:sz w:val="24"/>
          <w:szCs w:val="24"/>
          <w:vertAlign w:val="superscript"/>
        </w:rPr>
        <w:t>th</w:t>
      </w:r>
      <w:r w:rsidRPr="00792FEC">
        <w:rPr>
          <w:sz w:val="24"/>
          <w:szCs w:val="24"/>
        </w:rPr>
        <w:t xml:space="preserve"> century,</w:t>
      </w:r>
      <w:r w:rsidRPr="00792FEC">
        <w:rPr>
          <w:rStyle w:val="FootnoteReference"/>
          <w:sz w:val="24"/>
          <w:szCs w:val="24"/>
        </w:rPr>
        <w:footnoteReference w:id="40"/>
      </w:r>
      <w:r w:rsidRPr="00792FEC">
        <w:rPr>
          <w:sz w:val="24"/>
          <w:szCs w:val="24"/>
        </w:rPr>
        <w:t xml:space="preserve"> which has continued into the 21</w:t>
      </w:r>
      <w:r w:rsidRPr="00792FEC">
        <w:rPr>
          <w:sz w:val="24"/>
          <w:szCs w:val="24"/>
          <w:vertAlign w:val="superscript"/>
        </w:rPr>
        <w:t>st</w:t>
      </w:r>
      <w:r w:rsidRPr="00792FEC">
        <w:rPr>
          <w:sz w:val="24"/>
          <w:szCs w:val="24"/>
        </w:rPr>
        <w:t xml:space="preserve"> century. The attempted ‘conquest’ of Native Americans throughout colonisation was more active and intentional than cultural appropriation, through the massacres of Native American communities such as the Sand Creek Massacre in 1864;</w:t>
      </w:r>
      <w:r w:rsidRPr="00792FEC">
        <w:rPr>
          <w:rStyle w:val="FootnoteReference"/>
          <w:sz w:val="24"/>
          <w:szCs w:val="24"/>
        </w:rPr>
        <w:footnoteReference w:id="41"/>
      </w:r>
      <w:r w:rsidRPr="00792FEC">
        <w:rPr>
          <w:sz w:val="24"/>
          <w:szCs w:val="24"/>
        </w:rPr>
        <w:t xml:space="preserve"> in addition to military action, laws were also passed in an attempt to kill Native American culture. For example, there were a number of Federal laws that specifically discriminated against Native Americans, including legislation that allowed the government to withhold services and funds, some of which were still law until the RESPECT Act was passed in 2019.</w:t>
      </w:r>
      <w:r w:rsidRPr="00792FEC">
        <w:rPr>
          <w:rStyle w:val="FootnoteReference"/>
          <w:sz w:val="24"/>
          <w:szCs w:val="24"/>
        </w:rPr>
        <w:footnoteReference w:id="42"/>
      </w:r>
      <w:r w:rsidRPr="00792FEC">
        <w:rPr>
          <w:sz w:val="24"/>
          <w:szCs w:val="24"/>
        </w:rPr>
        <w:t xml:space="preserve"> The massacres that took place throughout the 1800s, and the federal laws that were still in place up to the 21</w:t>
      </w:r>
      <w:r w:rsidRPr="00792FEC">
        <w:rPr>
          <w:sz w:val="24"/>
          <w:szCs w:val="24"/>
          <w:vertAlign w:val="superscript"/>
        </w:rPr>
        <w:t>st</w:t>
      </w:r>
      <w:r w:rsidRPr="00792FEC">
        <w:rPr>
          <w:sz w:val="24"/>
          <w:szCs w:val="24"/>
        </w:rPr>
        <w:t xml:space="preserve"> century, highlights the direct attempts of cultural genocide against Native American communities. </w:t>
      </w:r>
    </w:p>
    <w:p w14:paraId="6986A77B" w14:textId="77777777" w:rsidR="006A5202" w:rsidRPr="00792FEC" w:rsidRDefault="006A5202" w:rsidP="00792FEC">
      <w:pPr>
        <w:spacing w:line="276" w:lineRule="auto"/>
        <w:rPr>
          <w:sz w:val="24"/>
          <w:szCs w:val="24"/>
        </w:rPr>
      </w:pPr>
      <w:r w:rsidRPr="00792FEC">
        <w:rPr>
          <w:sz w:val="24"/>
          <w:szCs w:val="24"/>
        </w:rPr>
        <w:t xml:space="preserve">In contrast to the direct attacks against the rights of Native Americans as a result of colonisation, cultural appropriation does not have the direct intent of destroying Native American culture. However, despite the intent being drastically different, there are comparisons to be made between some of the consequences of colonisation and cultural appropriation to Native American practices. One similarity between colonisation and </w:t>
      </w:r>
      <w:r w:rsidRPr="00792FEC">
        <w:rPr>
          <w:sz w:val="24"/>
          <w:szCs w:val="24"/>
        </w:rPr>
        <w:lastRenderedPageBreak/>
        <w:t xml:space="preserve">cultural appropriation is that they both result in Native American culture being changed, at times to a point where the practices are no longer recognisable. The significance of practices being changed as a result of cultural appropriation can be highlighted through Engle </w:t>
      </w:r>
      <w:proofErr w:type="spellStart"/>
      <w:r w:rsidRPr="00792FEC">
        <w:rPr>
          <w:sz w:val="24"/>
          <w:szCs w:val="24"/>
        </w:rPr>
        <w:t>Merry’s</w:t>
      </w:r>
      <w:proofErr w:type="spellEnd"/>
      <w:r w:rsidRPr="00792FEC">
        <w:rPr>
          <w:sz w:val="24"/>
          <w:szCs w:val="24"/>
        </w:rPr>
        <w:t xml:space="preserve"> definition of cultural appropriation being “when one group takes an existing cultural form from one social group and incorporates it into another social group with a different set of meanings and practices”.</w:t>
      </w:r>
      <w:r w:rsidRPr="00792FEC">
        <w:rPr>
          <w:rStyle w:val="FootnoteReference"/>
          <w:sz w:val="24"/>
          <w:szCs w:val="24"/>
        </w:rPr>
        <w:footnoteReference w:id="43"/>
      </w:r>
      <w:r w:rsidRPr="00792FEC">
        <w:rPr>
          <w:sz w:val="24"/>
          <w:szCs w:val="24"/>
        </w:rPr>
        <w:t xml:space="preserve"> This change in the meanings and performance of cultural traditions highlights the similarities between the results of colonialism and the results of cultural appropriation, because despite the actions themselves being different, the result of practices being changed remains a consequence of both. For example, when considering the use of the Plains’ headdress as a fashion accessory by western audiences, it changes the meaning and significance of the item to a certain extent, because the headdress transforms from being a sign of respect towards an individual to then being an item that can be sold and bought, and no longer acts as an object of showing respect. </w:t>
      </w:r>
    </w:p>
    <w:p w14:paraId="6DD3F791" w14:textId="77777777" w:rsidR="006A5202" w:rsidRPr="00792FEC" w:rsidRDefault="006A5202" w:rsidP="00792FEC">
      <w:pPr>
        <w:spacing w:line="276" w:lineRule="auto"/>
        <w:rPr>
          <w:sz w:val="24"/>
          <w:szCs w:val="24"/>
        </w:rPr>
      </w:pPr>
      <w:r w:rsidRPr="00792FEC">
        <w:rPr>
          <w:sz w:val="24"/>
          <w:szCs w:val="24"/>
        </w:rPr>
        <w:t xml:space="preserve">However, one of the key differences between the effects of colonisation compared to cultural appropriation is that the community is still able to perform their practices if they are appropriated by those outside of the community. In contrast, under colonialism, laws were introduced to prevent practices from taking place, and consequently there remains an important difference between the effects of colonisation compared to cultural appropriation. Although this is an important difference to acknowledge, there does remain the underlying issue of the dominant western power wanting to demonstrate a form of control over Native communities, a theme that was demonstrated by </w:t>
      </w:r>
      <w:proofErr w:type="spellStart"/>
      <w:r w:rsidRPr="00792FEC">
        <w:rPr>
          <w:sz w:val="24"/>
          <w:szCs w:val="24"/>
        </w:rPr>
        <w:t>Huhndorf</w:t>
      </w:r>
      <w:proofErr w:type="spellEnd"/>
      <w:r w:rsidRPr="00792FEC">
        <w:rPr>
          <w:sz w:val="24"/>
          <w:szCs w:val="24"/>
        </w:rPr>
        <w:t>.</w:t>
      </w:r>
      <w:r w:rsidRPr="00792FEC">
        <w:rPr>
          <w:rStyle w:val="FootnoteReference"/>
          <w:sz w:val="24"/>
          <w:szCs w:val="24"/>
        </w:rPr>
        <w:footnoteReference w:id="44"/>
      </w:r>
      <w:r w:rsidRPr="00792FEC">
        <w:rPr>
          <w:sz w:val="24"/>
          <w:szCs w:val="24"/>
        </w:rPr>
        <w:t xml:space="preserve"> It is then this power that Anglo-Americans have over Native Americans that impacts how Native culture is viewed as a whole, which in turn has an impact on the survival of traditional Native American culture and practices.</w:t>
      </w:r>
      <w:r w:rsidRPr="00792FEC">
        <w:rPr>
          <w:rStyle w:val="FootnoteReference"/>
          <w:sz w:val="24"/>
          <w:szCs w:val="24"/>
        </w:rPr>
        <w:footnoteReference w:id="45"/>
      </w:r>
      <w:r w:rsidRPr="00792FEC">
        <w:rPr>
          <w:sz w:val="24"/>
          <w:szCs w:val="24"/>
        </w:rPr>
        <w:t xml:space="preserve"> This is because the different practices are at the heart of Native communities, for example the importance that the headdress has both in terms of helping to remind them of their history, in addition to helping to display the social significance of certain people. Traditional practices are therefore an important aspect of Native life, and it is the continued survival of such traditions that enables Native communities to thrive and survive,</w:t>
      </w:r>
      <w:r w:rsidRPr="00792FEC">
        <w:rPr>
          <w:rStyle w:val="FootnoteReference"/>
          <w:sz w:val="24"/>
          <w:szCs w:val="24"/>
        </w:rPr>
        <w:footnoteReference w:id="46"/>
      </w:r>
      <w:r w:rsidRPr="00792FEC">
        <w:rPr>
          <w:sz w:val="24"/>
          <w:szCs w:val="24"/>
        </w:rPr>
        <w:t xml:space="preserve"> which is why cultural appropriation is problematic.</w:t>
      </w:r>
    </w:p>
    <w:p w14:paraId="77CD665D" w14:textId="77777777" w:rsidR="006A5202" w:rsidRPr="00792FEC" w:rsidRDefault="006A5202" w:rsidP="00792FEC">
      <w:pPr>
        <w:spacing w:line="276" w:lineRule="auto"/>
        <w:rPr>
          <w:sz w:val="24"/>
          <w:szCs w:val="24"/>
        </w:rPr>
      </w:pPr>
      <w:r w:rsidRPr="00792FEC">
        <w:rPr>
          <w:sz w:val="24"/>
          <w:szCs w:val="24"/>
        </w:rPr>
        <w:t xml:space="preserve">The cultural appropriation of Native American objects, such as the Plains headdress, can therefore be used to highlight how this practice is damaging to Native communities because it has an impact on how Native Americans are able to perform their traditional customs. This issue can be highlighted when considering Native communities’ responses to cultural appropriation, with many groups wanting to raise awareness of the problems caused by cultural appropriation. Consequently, there remains similarities between the effects of cultural appropriation and </w:t>
      </w:r>
      <w:proofErr w:type="gramStart"/>
      <w:r w:rsidRPr="00792FEC">
        <w:rPr>
          <w:sz w:val="24"/>
          <w:szCs w:val="24"/>
        </w:rPr>
        <w:t>colonialism, because</w:t>
      </w:r>
      <w:proofErr w:type="gramEnd"/>
      <w:r w:rsidRPr="00792FEC">
        <w:rPr>
          <w:sz w:val="24"/>
          <w:szCs w:val="24"/>
        </w:rPr>
        <w:t xml:space="preserve"> there is the result of Native communities </w:t>
      </w:r>
      <w:r w:rsidRPr="00792FEC">
        <w:rPr>
          <w:sz w:val="24"/>
          <w:szCs w:val="24"/>
        </w:rPr>
        <w:lastRenderedPageBreak/>
        <w:t xml:space="preserve">being harmed by those in the West. Although it remains important to recognise the differences that are at the core of cultural appropriation compared to colonialism, with a substantial difference being the intent of those in the West, the outcome of the damage of different practices connects the two issues together. It is therefore important for the West to acknowledge the harm that was caused not only from colonialism, but also to recognise the ongoing oppression and harm caused to Native communities through the continued appropriation of practices, such as the misuse of the headdress. This is because although it may seem inconsequential to those who participate in the inappropriate use of Native objects, the appropriation often continues to promote dangerous stereotypes that were pushed during the colonialist period. These stereotypes then continue to be spread through popular culture today, for example the use of the Plains headdress to continue to promote the oversexualisation of Native women, and it is these stereotypes that impact how Native Americans are viewed. </w:t>
      </w:r>
    </w:p>
    <w:p w14:paraId="7EDF864B" w14:textId="10E4684A" w:rsidR="00632A6F" w:rsidRPr="00FA184C" w:rsidRDefault="00632A6F" w:rsidP="00FA184C">
      <w:r>
        <w:rPr>
          <w:sz w:val="24"/>
          <w:szCs w:val="24"/>
        </w:rPr>
        <w:br w:type="page"/>
      </w:r>
    </w:p>
    <w:p w14:paraId="7EBCF55F" w14:textId="218ED073" w:rsidR="007D3CB2" w:rsidRPr="00792FEC" w:rsidRDefault="00CB151D">
      <w:pPr>
        <w:rPr>
          <w:sz w:val="24"/>
          <w:szCs w:val="24"/>
        </w:rPr>
      </w:pPr>
      <w:r w:rsidRPr="00792FEC">
        <w:rPr>
          <w:sz w:val="24"/>
          <w:szCs w:val="24"/>
        </w:rPr>
        <w:lastRenderedPageBreak/>
        <w:t>Bibliography</w:t>
      </w:r>
    </w:p>
    <w:p w14:paraId="7C0331DF" w14:textId="77777777" w:rsidR="00632A6F" w:rsidRPr="00792FEC" w:rsidRDefault="00632A6F" w:rsidP="00CB151D">
      <w:pPr>
        <w:rPr>
          <w:sz w:val="24"/>
          <w:szCs w:val="24"/>
        </w:rPr>
      </w:pPr>
      <w:r w:rsidRPr="00792FEC">
        <w:rPr>
          <w:sz w:val="24"/>
          <w:szCs w:val="24"/>
        </w:rPr>
        <w:t xml:space="preserve">‘Cultural Appropriation’ in </w:t>
      </w:r>
      <w:r w:rsidRPr="00792FEC">
        <w:rPr>
          <w:i/>
          <w:iCs/>
          <w:sz w:val="24"/>
          <w:szCs w:val="24"/>
        </w:rPr>
        <w:t>The Concise Oxford Companion to English Literature</w:t>
      </w:r>
      <w:r w:rsidRPr="00792FEC">
        <w:rPr>
          <w:sz w:val="24"/>
          <w:szCs w:val="24"/>
        </w:rPr>
        <w:t>. Edited by. Drabble et al. (Oxford University Press, 2007) [Accessed 29 May 2022] &lt;https://www.oxfordreference.com/view/10.1093/acref/9780199214921.001.0001/acref-9780199214921-e-1528&gt;</w:t>
      </w:r>
    </w:p>
    <w:p w14:paraId="219D3059" w14:textId="77777777" w:rsidR="00632A6F" w:rsidRPr="00792FEC" w:rsidRDefault="00632A6F" w:rsidP="000E031A">
      <w:pPr>
        <w:pStyle w:val="FootnoteText"/>
        <w:spacing w:after="240"/>
        <w:rPr>
          <w:sz w:val="24"/>
          <w:szCs w:val="24"/>
        </w:rPr>
      </w:pPr>
      <w:r w:rsidRPr="00792FEC">
        <w:rPr>
          <w:sz w:val="24"/>
          <w:szCs w:val="24"/>
        </w:rPr>
        <w:t>Engle,</w:t>
      </w:r>
      <w:r w:rsidRPr="00792FEC">
        <w:rPr>
          <w:sz w:val="24"/>
          <w:szCs w:val="24"/>
        </w:rPr>
        <w:t xml:space="preserve"> J.</w:t>
      </w:r>
      <w:r w:rsidRPr="00792FEC">
        <w:rPr>
          <w:sz w:val="24"/>
          <w:szCs w:val="24"/>
        </w:rPr>
        <w:t xml:space="preserve"> “Is It Offensive for Sports Teams and Their Fans to Use Native American Names, Imagery and Gestures?” </w:t>
      </w:r>
      <w:r w:rsidRPr="00792FEC">
        <w:rPr>
          <w:i/>
          <w:iCs/>
          <w:sz w:val="24"/>
          <w:szCs w:val="24"/>
        </w:rPr>
        <w:t xml:space="preserve">New York Times, </w:t>
      </w:r>
      <w:r w:rsidRPr="00792FEC">
        <w:rPr>
          <w:sz w:val="24"/>
          <w:szCs w:val="24"/>
        </w:rPr>
        <w:t>31 January 2020, &lt;</w:t>
      </w:r>
      <w:hyperlink r:id="rId6" w:history="1">
        <w:r w:rsidRPr="00792FEC">
          <w:rPr>
            <w:rStyle w:val="Hyperlink"/>
            <w:sz w:val="24"/>
            <w:szCs w:val="24"/>
          </w:rPr>
          <w:t>https://www.nytimes.com/2020/01/31/learning/is-it-offensive-for-sports-teams-and-their-fans-to-use-native-american-names-imagery-and-gestures.html</w:t>
        </w:r>
      </w:hyperlink>
      <w:r w:rsidRPr="00792FEC">
        <w:rPr>
          <w:sz w:val="24"/>
          <w:szCs w:val="24"/>
        </w:rPr>
        <w:t>&gt; [accessed 27</w:t>
      </w:r>
      <w:r w:rsidRPr="00792FEC">
        <w:rPr>
          <w:sz w:val="24"/>
          <w:szCs w:val="24"/>
          <w:vertAlign w:val="superscript"/>
        </w:rPr>
        <w:t>th</w:t>
      </w:r>
      <w:r w:rsidRPr="00792FEC">
        <w:rPr>
          <w:sz w:val="24"/>
          <w:szCs w:val="24"/>
        </w:rPr>
        <w:t xml:space="preserve"> May 2022]</w:t>
      </w:r>
    </w:p>
    <w:p w14:paraId="26549562" w14:textId="6EF27157" w:rsidR="00632A6F" w:rsidRPr="00792FEC" w:rsidRDefault="00632A6F" w:rsidP="00CB151D">
      <w:pPr>
        <w:rPr>
          <w:sz w:val="24"/>
          <w:szCs w:val="24"/>
        </w:rPr>
      </w:pPr>
      <w:proofErr w:type="spellStart"/>
      <w:r w:rsidRPr="00792FEC">
        <w:rPr>
          <w:sz w:val="24"/>
          <w:szCs w:val="24"/>
        </w:rPr>
        <w:t>Heyd</w:t>
      </w:r>
      <w:proofErr w:type="spellEnd"/>
      <w:r w:rsidRPr="00792FEC">
        <w:rPr>
          <w:sz w:val="24"/>
          <w:szCs w:val="24"/>
        </w:rPr>
        <w:t>,</w:t>
      </w:r>
      <w:r w:rsidRPr="00792FEC">
        <w:rPr>
          <w:sz w:val="24"/>
          <w:szCs w:val="24"/>
        </w:rPr>
        <w:t xml:space="preserve"> T.</w:t>
      </w:r>
      <w:r w:rsidRPr="00792FEC">
        <w:rPr>
          <w:sz w:val="24"/>
          <w:szCs w:val="24"/>
        </w:rPr>
        <w:t xml:space="preserve"> ‘Rock Art Aesthetics and Cultural Appropriation’, </w:t>
      </w:r>
      <w:r w:rsidRPr="00792FEC">
        <w:rPr>
          <w:i/>
          <w:iCs/>
          <w:sz w:val="24"/>
          <w:szCs w:val="24"/>
        </w:rPr>
        <w:t>The Journal of Aesthetics and Art Criticism</w:t>
      </w:r>
      <w:r w:rsidRPr="00792FEC">
        <w:rPr>
          <w:sz w:val="24"/>
          <w:szCs w:val="24"/>
        </w:rPr>
        <w:t>, 61(1), (2003) pp.37-46</w:t>
      </w:r>
      <w:r w:rsidRPr="00792FEC">
        <w:rPr>
          <w:sz w:val="24"/>
          <w:szCs w:val="24"/>
        </w:rPr>
        <w:t>.</w:t>
      </w:r>
    </w:p>
    <w:p w14:paraId="15F39C48" w14:textId="77777777" w:rsidR="00632A6F" w:rsidRPr="00792FEC" w:rsidRDefault="00632A6F" w:rsidP="00632A6F">
      <w:pPr>
        <w:pStyle w:val="FootnoteText"/>
        <w:spacing w:after="240"/>
        <w:rPr>
          <w:sz w:val="24"/>
          <w:szCs w:val="24"/>
        </w:rPr>
      </w:pPr>
      <w:r w:rsidRPr="00792FEC">
        <w:rPr>
          <w:sz w:val="24"/>
          <w:szCs w:val="24"/>
        </w:rPr>
        <w:t xml:space="preserve">Horwitz, </w:t>
      </w:r>
      <w:r w:rsidRPr="00792FEC">
        <w:rPr>
          <w:sz w:val="24"/>
          <w:szCs w:val="24"/>
        </w:rPr>
        <w:t xml:space="preserve">T. </w:t>
      </w:r>
      <w:r w:rsidRPr="00792FEC">
        <w:rPr>
          <w:sz w:val="24"/>
          <w:szCs w:val="24"/>
        </w:rPr>
        <w:t xml:space="preserve">‘The Horrific Sand Creek Massacre Will Be Forgotten No More’, </w:t>
      </w:r>
      <w:r w:rsidRPr="00792FEC">
        <w:rPr>
          <w:i/>
          <w:iCs/>
          <w:sz w:val="24"/>
          <w:szCs w:val="24"/>
        </w:rPr>
        <w:t xml:space="preserve">Smithsonian Magazine, </w:t>
      </w:r>
      <w:r w:rsidRPr="00792FEC">
        <w:rPr>
          <w:sz w:val="24"/>
          <w:szCs w:val="24"/>
        </w:rPr>
        <w:t>December 2014, &lt;</w:t>
      </w:r>
      <w:hyperlink r:id="rId7" w:history="1">
        <w:r w:rsidRPr="00792FEC">
          <w:rPr>
            <w:rStyle w:val="Hyperlink"/>
            <w:sz w:val="24"/>
            <w:szCs w:val="24"/>
          </w:rPr>
          <w:t>https://www.smithsonianmag.com/history/horrific-sand-creek-massacre-will-be-forgotten-no-more-180953403/</w:t>
        </w:r>
      </w:hyperlink>
      <w:r w:rsidRPr="00792FEC">
        <w:rPr>
          <w:sz w:val="24"/>
          <w:szCs w:val="24"/>
        </w:rPr>
        <w:t>&gt; [accessed 30</w:t>
      </w:r>
      <w:r w:rsidRPr="00792FEC">
        <w:rPr>
          <w:sz w:val="24"/>
          <w:szCs w:val="24"/>
          <w:vertAlign w:val="superscript"/>
        </w:rPr>
        <w:t>th</w:t>
      </w:r>
      <w:r w:rsidRPr="00792FEC">
        <w:rPr>
          <w:sz w:val="24"/>
          <w:szCs w:val="24"/>
        </w:rPr>
        <w:t xml:space="preserve"> May 2022] </w:t>
      </w:r>
    </w:p>
    <w:p w14:paraId="3DBF3B2A" w14:textId="77777777" w:rsidR="00632A6F" w:rsidRPr="00792FEC" w:rsidRDefault="00632A6F" w:rsidP="00CB151D">
      <w:pPr>
        <w:rPr>
          <w:sz w:val="24"/>
          <w:szCs w:val="24"/>
        </w:rPr>
      </w:pPr>
      <w:r w:rsidRPr="00792FEC">
        <w:rPr>
          <w:sz w:val="24"/>
          <w:szCs w:val="24"/>
        </w:rPr>
        <w:t xml:space="preserve">Howard, </w:t>
      </w:r>
      <w:r w:rsidRPr="00792FEC">
        <w:rPr>
          <w:sz w:val="24"/>
          <w:szCs w:val="24"/>
        </w:rPr>
        <w:t xml:space="preserve">J. </w:t>
      </w:r>
      <w:r w:rsidRPr="00792FEC">
        <w:rPr>
          <w:sz w:val="24"/>
          <w:szCs w:val="24"/>
        </w:rPr>
        <w:t>‘Plains Indian Feathered Bonnets’</w:t>
      </w:r>
      <w:r w:rsidRPr="00792FEC">
        <w:rPr>
          <w:i/>
          <w:iCs/>
          <w:sz w:val="24"/>
          <w:szCs w:val="24"/>
        </w:rPr>
        <w:t>, Plains Anthropologist</w:t>
      </w:r>
      <w:r w:rsidRPr="00792FEC">
        <w:rPr>
          <w:sz w:val="24"/>
          <w:szCs w:val="24"/>
        </w:rPr>
        <w:t>, 2 (1954) pp.23-26</w:t>
      </w:r>
    </w:p>
    <w:p w14:paraId="6C4D9F42" w14:textId="77777777" w:rsidR="00632A6F" w:rsidRPr="00792FEC" w:rsidRDefault="00632A6F" w:rsidP="00632A6F">
      <w:pPr>
        <w:pStyle w:val="FootnoteText"/>
        <w:spacing w:after="240"/>
        <w:rPr>
          <w:sz w:val="24"/>
          <w:szCs w:val="24"/>
        </w:rPr>
      </w:pPr>
      <w:proofErr w:type="spellStart"/>
      <w:r w:rsidRPr="00792FEC">
        <w:rPr>
          <w:sz w:val="24"/>
          <w:szCs w:val="24"/>
        </w:rPr>
        <w:t>Huhndorf</w:t>
      </w:r>
      <w:proofErr w:type="spellEnd"/>
      <w:r w:rsidRPr="00792FEC">
        <w:rPr>
          <w:sz w:val="24"/>
          <w:szCs w:val="24"/>
        </w:rPr>
        <w:t>,</w:t>
      </w:r>
      <w:r w:rsidRPr="00792FEC">
        <w:rPr>
          <w:sz w:val="24"/>
          <w:szCs w:val="24"/>
        </w:rPr>
        <w:t xml:space="preserve"> S.</w:t>
      </w:r>
      <w:r w:rsidRPr="00792FEC">
        <w:rPr>
          <w:sz w:val="24"/>
          <w:szCs w:val="24"/>
        </w:rPr>
        <w:t xml:space="preserve"> </w:t>
      </w:r>
      <w:r w:rsidRPr="00792FEC">
        <w:rPr>
          <w:i/>
          <w:iCs/>
          <w:sz w:val="24"/>
          <w:szCs w:val="24"/>
        </w:rPr>
        <w:t>Going Native: Indians in the American Cultural Imagination</w:t>
      </w:r>
      <w:r w:rsidRPr="00792FEC">
        <w:rPr>
          <w:sz w:val="24"/>
          <w:szCs w:val="24"/>
        </w:rPr>
        <w:t>, (New York: Cornell University Press, 2001)</w:t>
      </w:r>
    </w:p>
    <w:p w14:paraId="78E3A17B" w14:textId="77777777" w:rsidR="00632A6F" w:rsidRPr="00792FEC" w:rsidRDefault="00632A6F" w:rsidP="00CB151D">
      <w:pPr>
        <w:rPr>
          <w:sz w:val="24"/>
          <w:szCs w:val="24"/>
        </w:rPr>
      </w:pPr>
      <w:r w:rsidRPr="00792FEC">
        <w:rPr>
          <w:sz w:val="24"/>
          <w:szCs w:val="24"/>
        </w:rPr>
        <w:t>Indians.org, Indian Headdress, date unknown, &lt;http://indians.org/articles/indian-headdress.html&gt; [accessed 20</w:t>
      </w:r>
      <w:r w:rsidRPr="00792FEC">
        <w:rPr>
          <w:sz w:val="24"/>
          <w:szCs w:val="24"/>
          <w:vertAlign w:val="superscript"/>
        </w:rPr>
        <w:t>th</w:t>
      </w:r>
      <w:r w:rsidRPr="00792FEC">
        <w:rPr>
          <w:sz w:val="24"/>
          <w:szCs w:val="24"/>
        </w:rPr>
        <w:t xml:space="preserve"> May 2022]</w:t>
      </w:r>
    </w:p>
    <w:p w14:paraId="4FB6EB49" w14:textId="77777777" w:rsidR="00632A6F" w:rsidRPr="00792FEC" w:rsidRDefault="00632A6F" w:rsidP="000E031A">
      <w:pPr>
        <w:pStyle w:val="FootnoteText"/>
        <w:spacing w:after="240"/>
        <w:rPr>
          <w:sz w:val="24"/>
          <w:szCs w:val="24"/>
        </w:rPr>
      </w:pPr>
      <w:r w:rsidRPr="00792FEC">
        <w:rPr>
          <w:sz w:val="24"/>
          <w:szCs w:val="24"/>
        </w:rPr>
        <w:t>Lynskey,</w:t>
      </w:r>
      <w:r w:rsidRPr="00792FEC">
        <w:rPr>
          <w:sz w:val="24"/>
          <w:szCs w:val="24"/>
        </w:rPr>
        <w:t xml:space="preserve"> D.</w:t>
      </w:r>
      <w:r w:rsidRPr="00792FEC">
        <w:rPr>
          <w:sz w:val="24"/>
          <w:szCs w:val="24"/>
        </w:rPr>
        <w:t xml:space="preserve"> ‘This means war: why the fashion headdress must be stopped’, </w:t>
      </w:r>
      <w:r w:rsidRPr="00792FEC">
        <w:rPr>
          <w:i/>
          <w:iCs/>
          <w:sz w:val="24"/>
          <w:szCs w:val="24"/>
        </w:rPr>
        <w:t xml:space="preserve">The Guardian, </w:t>
      </w:r>
      <w:r w:rsidRPr="00792FEC">
        <w:rPr>
          <w:sz w:val="24"/>
          <w:szCs w:val="24"/>
        </w:rPr>
        <w:t>30 July 2014.  &lt;</w:t>
      </w:r>
      <w:hyperlink r:id="rId8" w:history="1">
        <w:r w:rsidRPr="00792FEC">
          <w:rPr>
            <w:rStyle w:val="Hyperlink"/>
            <w:sz w:val="24"/>
            <w:szCs w:val="24"/>
          </w:rPr>
          <w:t>https://www.theguardian.com/fashion/2014/jul/30/why-the-fashion-headdress-must-be-stopped</w:t>
        </w:r>
      </w:hyperlink>
      <w:r w:rsidRPr="00792FEC">
        <w:rPr>
          <w:sz w:val="24"/>
          <w:szCs w:val="24"/>
        </w:rPr>
        <w:t xml:space="preserve">&gt; [accessed 27 May 2022] </w:t>
      </w:r>
    </w:p>
    <w:p w14:paraId="376D363F" w14:textId="77777777" w:rsidR="00632A6F" w:rsidRPr="00792FEC" w:rsidRDefault="00632A6F" w:rsidP="00CB151D">
      <w:pPr>
        <w:rPr>
          <w:sz w:val="24"/>
          <w:szCs w:val="24"/>
        </w:rPr>
      </w:pPr>
      <w:proofErr w:type="spellStart"/>
      <w:r w:rsidRPr="00792FEC">
        <w:rPr>
          <w:sz w:val="24"/>
          <w:szCs w:val="24"/>
        </w:rPr>
        <w:t>Misener</w:t>
      </w:r>
      <w:proofErr w:type="spellEnd"/>
      <w:r w:rsidRPr="00792FEC">
        <w:rPr>
          <w:sz w:val="24"/>
          <w:szCs w:val="24"/>
        </w:rPr>
        <w:t xml:space="preserve">, </w:t>
      </w:r>
      <w:r w:rsidRPr="00792FEC">
        <w:rPr>
          <w:sz w:val="24"/>
          <w:szCs w:val="24"/>
        </w:rPr>
        <w:t xml:space="preserve">J. </w:t>
      </w:r>
      <w:r w:rsidRPr="00792FEC">
        <w:rPr>
          <w:sz w:val="24"/>
          <w:szCs w:val="24"/>
        </w:rPr>
        <w:t xml:space="preserve">“Karlie Kloss Wears Native American Headdress at Victoria’s Secret Fashion Show” </w:t>
      </w:r>
      <w:proofErr w:type="spellStart"/>
      <w:r w:rsidRPr="00792FEC">
        <w:rPr>
          <w:i/>
          <w:iCs/>
          <w:sz w:val="24"/>
          <w:szCs w:val="24"/>
        </w:rPr>
        <w:t>Huffpost</w:t>
      </w:r>
      <w:proofErr w:type="spellEnd"/>
      <w:r w:rsidRPr="00792FEC">
        <w:rPr>
          <w:i/>
          <w:iCs/>
          <w:sz w:val="24"/>
          <w:szCs w:val="24"/>
        </w:rPr>
        <w:t xml:space="preserve">, </w:t>
      </w:r>
      <w:r w:rsidRPr="00792FEC">
        <w:rPr>
          <w:sz w:val="24"/>
          <w:szCs w:val="24"/>
        </w:rPr>
        <w:t xml:space="preserve">7 December 2017, &lt; </w:t>
      </w:r>
      <w:hyperlink r:id="rId9" w:history="1">
        <w:r w:rsidRPr="00792FEC">
          <w:rPr>
            <w:rStyle w:val="Hyperlink"/>
            <w:sz w:val="24"/>
            <w:szCs w:val="24"/>
          </w:rPr>
          <w:t>https://www.huffingtonpost.co.uk/entry/karlie-kloss-victorias-secret-headdress-fashion-show_n_2091958</w:t>
        </w:r>
      </w:hyperlink>
      <w:r w:rsidRPr="00792FEC">
        <w:rPr>
          <w:sz w:val="24"/>
          <w:szCs w:val="24"/>
        </w:rPr>
        <w:t>&gt; [accessed 27the May 2022]</w:t>
      </w:r>
    </w:p>
    <w:p w14:paraId="73C6E9D9" w14:textId="77777777" w:rsidR="00632A6F" w:rsidRPr="00792FEC" w:rsidRDefault="00632A6F" w:rsidP="000E031A">
      <w:pPr>
        <w:pStyle w:val="FootnoteText"/>
        <w:spacing w:after="240"/>
        <w:rPr>
          <w:sz w:val="24"/>
          <w:szCs w:val="24"/>
        </w:rPr>
      </w:pPr>
      <w:r w:rsidRPr="00792FEC">
        <w:rPr>
          <w:sz w:val="24"/>
          <w:szCs w:val="24"/>
        </w:rPr>
        <w:t>Monkman,</w:t>
      </w:r>
      <w:r w:rsidRPr="00792FEC">
        <w:rPr>
          <w:sz w:val="24"/>
          <w:szCs w:val="24"/>
        </w:rPr>
        <w:t xml:space="preserve"> L.</w:t>
      </w:r>
      <w:r w:rsidRPr="00792FEC">
        <w:rPr>
          <w:sz w:val="24"/>
          <w:szCs w:val="24"/>
        </w:rPr>
        <w:t xml:space="preserve"> ‘Behind First Nations headdresses: What you should know’ (2016) &lt;</w:t>
      </w:r>
      <w:hyperlink r:id="rId10" w:history="1">
        <w:r w:rsidRPr="00792FEC">
          <w:rPr>
            <w:rStyle w:val="Hyperlink"/>
            <w:sz w:val="24"/>
            <w:szCs w:val="24"/>
          </w:rPr>
          <w:t>https://www.cbc.ca/news/indigenous/behind-first-nations-headdresses-1.3506224</w:t>
        </w:r>
      </w:hyperlink>
      <w:r w:rsidRPr="00792FEC">
        <w:rPr>
          <w:sz w:val="24"/>
          <w:szCs w:val="24"/>
        </w:rPr>
        <w:t xml:space="preserve">&gt; [Accessed 27 May 2022] </w:t>
      </w:r>
    </w:p>
    <w:p w14:paraId="3106174E" w14:textId="77777777" w:rsidR="00632A6F" w:rsidRPr="00792FEC" w:rsidRDefault="00632A6F" w:rsidP="00CB151D">
      <w:pPr>
        <w:rPr>
          <w:sz w:val="24"/>
          <w:szCs w:val="24"/>
        </w:rPr>
      </w:pPr>
      <w:proofErr w:type="spellStart"/>
      <w:r w:rsidRPr="00792FEC">
        <w:rPr>
          <w:sz w:val="24"/>
          <w:szCs w:val="24"/>
        </w:rPr>
        <w:t>Monnett</w:t>
      </w:r>
      <w:proofErr w:type="spellEnd"/>
      <w:r w:rsidRPr="00792FEC">
        <w:rPr>
          <w:sz w:val="24"/>
          <w:szCs w:val="24"/>
        </w:rPr>
        <w:t>,</w:t>
      </w:r>
      <w:r w:rsidRPr="00792FEC">
        <w:rPr>
          <w:sz w:val="24"/>
          <w:szCs w:val="24"/>
        </w:rPr>
        <w:t xml:space="preserve"> J.</w:t>
      </w:r>
      <w:r w:rsidRPr="00792FEC">
        <w:rPr>
          <w:sz w:val="24"/>
          <w:szCs w:val="24"/>
        </w:rPr>
        <w:t xml:space="preserve"> </w:t>
      </w:r>
      <w:r w:rsidRPr="00792FEC">
        <w:rPr>
          <w:i/>
          <w:iCs/>
          <w:sz w:val="24"/>
          <w:szCs w:val="24"/>
        </w:rPr>
        <w:t xml:space="preserve">The Battle of Beecher Island and the Indian War of 1867-1869, </w:t>
      </w:r>
      <w:r w:rsidRPr="00792FEC">
        <w:rPr>
          <w:sz w:val="24"/>
          <w:szCs w:val="24"/>
        </w:rPr>
        <w:t>(Colorado: University Press of Colorado, 1992</w:t>
      </w:r>
      <w:r w:rsidRPr="00792FEC">
        <w:rPr>
          <w:sz w:val="24"/>
          <w:szCs w:val="24"/>
        </w:rPr>
        <w:t>)</w:t>
      </w:r>
    </w:p>
    <w:p w14:paraId="51B8CD59" w14:textId="77777777" w:rsidR="00632A6F" w:rsidRPr="00792FEC" w:rsidRDefault="00632A6F" w:rsidP="00CB151D">
      <w:pPr>
        <w:rPr>
          <w:sz w:val="24"/>
          <w:szCs w:val="24"/>
        </w:rPr>
      </w:pPr>
      <w:r w:rsidRPr="00792FEC">
        <w:rPr>
          <w:sz w:val="24"/>
          <w:szCs w:val="24"/>
        </w:rPr>
        <w:t xml:space="preserve">Oxford Learners Dictionary (2022) Cultural Appropriation. Available at: https://www.oxfordlearnersdictionaries.com/definition/english/cultural-appropriation </w:t>
      </w:r>
    </w:p>
    <w:p w14:paraId="39AAAA25" w14:textId="77777777" w:rsidR="00632A6F" w:rsidRPr="00792FEC" w:rsidRDefault="00632A6F" w:rsidP="000E031A">
      <w:pPr>
        <w:pStyle w:val="FootnoteText"/>
        <w:spacing w:after="240"/>
        <w:rPr>
          <w:sz w:val="24"/>
          <w:szCs w:val="24"/>
        </w:rPr>
      </w:pPr>
      <w:r w:rsidRPr="00792FEC">
        <w:rPr>
          <w:sz w:val="24"/>
          <w:szCs w:val="24"/>
        </w:rPr>
        <w:t>Reyes,</w:t>
      </w:r>
      <w:r w:rsidRPr="00792FEC">
        <w:rPr>
          <w:sz w:val="24"/>
          <w:szCs w:val="24"/>
        </w:rPr>
        <w:t xml:space="preserve"> L.</w:t>
      </w:r>
      <w:r w:rsidRPr="00792FEC">
        <w:rPr>
          <w:sz w:val="24"/>
          <w:szCs w:val="24"/>
        </w:rPr>
        <w:t xml:space="preserve"> (December 29, 2020). "Maine remains only state to fully ban Native American mascots. Why haven't others followed?". USA TODAY. [Accessed 27</w:t>
      </w:r>
      <w:r w:rsidRPr="00792FEC">
        <w:rPr>
          <w:sz w:val="24"/>
          <w:szCs w:val="24"/>
          <w:vertAlign w:val="superscript"/>
        </w:rPr>
        <w:t>th</w:t>
      </w:r>
      <w:r w:rsidRPr="00792FEC">
        <w:rPr>
          <w:sz w:val="24"/>
          <w:szCs w:val="24"/>
        </w:rPr>
        <w:t xml:space="preserve"> May 2022)</w:t>
      </w:r>
    </w:p>
    <w:p w14:paraId="634E2CF9" w14:textId="77777777" w:rsidR="00632A6F" w:rsidRPr="00792FEC" w:rsidRDefault="00632A6F" w:rsidP="000E031A">
      <w:pPr>
        <w:pStyle w:val="FootnoteText"/>
        <w:spacing w:after="240"/>
        <w:rPr>
          <w:sz w:val="24"/>
          <w:szCs w:val="24"/>
        </w:rPr>
      </w:pPr>
      <w:r w:rsidRPr="00792FEC">
        <w:rPr>
          <w:sz w:val="24"/>
          <w:szCs w:val="24"/>
        </w:rPr>
        <w:t>Schwarz,</w:t>
      </w:r>
      <w:r w:rsidRPr="00792FEC">
        <w:rPr>
          <w:sz w:val="24"/>
          <w:szCs w:val="24"/>
        </w:rPr>
        <w:t xml:space="preserve"> M.</w:t>
      </w:r>
      <w:r w:rsidRPr="00792FEC">
        <w:rPr>
          <w:sz w:val="24"/>
          <w:szCs w:val="24"/>
        </w:rPr>
        <w:t xml:space="preserve"> </w:t>
      </w:r>
      <w:r w:rsidRPr="00792FEC">
        <w:rPr>
          <w:i/>
          <w:iCs/>
          <w:sz w:val="24"/>
          <w:szCs w:val="24"/>
        </w:rPr>
        <w:t xml:space="preserve">Fighting Colonialism with Hegemonic Culture: Native American Appropriation of Indian Stereotypes, </w:t>
      </w:r>
      <w:r w:rsidRPr="00792FEC">
        <w:rPr>
          <w:sz w:val="24"/>
          <w:szCs w:val="24"/>
        </w:rPr>
        <w:t>(New York: State University of New York, 2013)</w:t>
      </w:r>
    </w:p>
    <w:p w14:paraId="49203D00" w14:textId="77777777" w:rsidR="00632A6F" w:rsidRPr="00792FEC" w:rsidRDefault="00632A6F" w:rsidP="00CB151D">
      <w:pPr>
        <w:rPr>
          <w:sz w:val="24"/>
          <w:szCs w:val="24"/>
        </w:rPr>
      </w:pPr>
      <w:r w:rsidRPr="00792FEC">
        <w:rPr>
          <w:sz w:val="24"/>
          <w:szCs w:val="24"/>
        </w:rPr>
        <w:lastRenderedPageBreak/>
        <w:t xml:space="preserve">The Pluralism Project, </w:t>
      </w:r>
      <w:r w:rsidRPr="00792FEC">
        <w:rPr>
          <w:i/>
          <w:iCs/>
          <w:sz w:val="24"/>
          <w:szCs w:val="24"/>
        </w:rPr>
        <w:t xml:space="preserve">The Powwow: Sacred and Secular Meet. </w:t>
      </w:r>
      <w:r w:rsidRPr="00792FEC">
        <w:rPr>
          <w:sz w:val="24"/>
          <w:szCs w:val="24"/>
        </w:rPr>
        <w:t>(</w:t>
      </w:r>
      <w:proofErr w:type="gramStart"/>
      <w:r w:rsidRPr="00792FEC">
        <w:rPr>
          <w:sz w:val="24"/>
          <w:szCs w:val="24"/>
        </w:rPr>
        <w:t>date</w:t>
      </w:r>
      <w:proofErr w:type="gramEnd"/>
      <w:r w:rsidRPr="00792FEC">
        <w:rPr>
          <w:sz w:val="24"/>
          <w:szCs w:val="24"/>
        </w:rPr>
        <w:t xml:space="preserve"> unknown) </w:t>
      </w:r>
      <w:hyperlink r:id="rId11" w:history="1">
        <w:r w:rsidRPr="00792FEC">
          <w:rPr>
            <w:rStyle w:val="Hyperlink"/>
            <w:sz w:val="24"/>
            <w:szCs w:val="24"/>
          </w:rPr>
          <w:t>https://pluralism.org/files/pluralism/files/the_powwow-_sacred_and_secular_meet.pdf</w:t>
        </w:r>
      </w:hyperlink>
    </w:p>
    <w:p w14:paraId="74D0FC18" w14:textId="4DC1DED8" w:rsidR="00632A6F" w:rsidRPr="00792FEC" w:rsidRDefault="00632A6F" w:rsidP="00CB151D">
      <w:pPr>
        <w:rPr>
          <w:sz w:val="24"/>
          <w:szCs w:val="24"/>
        </w:rPr>
      </w:pPr>
      <w:r w:rsidRPr="00792FEC">
        <w:rPr>
          <w:sz w:val="24"/>
          <w:szCs w:val="24"/>
        </w:rPr>
        <w:t>Tsosie,</w:t>
      </w:r>
      <w:r w:rsidRPr="00792FEC">
        <w:rPr>
          <w:sz w:val="24"/>
          <w:szCs w:val="24"/>
        </w:rPr>
        <w:t xml:space="preserve"> R.</w:t>
      </w:r>
      <w:r w:rsidRPr="00792FEC">
        <w:rPr>
          <w:sz w:val="24"/>
          <w:szCs w:val="24"/>
        </w:rPr>
        <w:t xml:space="preserve"> ‘Reclaiming Native Stories: An Essay on Cultural Appropriation and Cultural Rights’, </w:t>
      </w:r>
      <w:r w:rsidRPr="00792FEC">
        <w:rPr>
          <w:i/>
          <w:iCs/>
          <w:sz w:val="24"/>
          <w:szCs w:val="24"/>
        </w:rPr>
        <w:t xml:space="preserve">Arizona State Law Journal, </w:t>
      </w:r>
      <w:r w:rsidRPr="00792FEC">
        <w:rPr>
          <w:sz w:val="24"/>
          <w:szCs w:val="24"/>
        </w:rPr>
        <w:t>34 (2002) pp.299-359</w:t>
      </w:r>
      <w:r w:rsidRPr="00792FEC">
        <w:rPr>
          <w:sz w:val="24"/>
          <w:szCs w:val="24"/>
        </w:rPr>
        <w:t>.</w:t>
      </w:r>
    </w:p>
    <w:p w14:paraId="10640F6B" w14:textId="77777777" w:rsidR="00632A6F" w:rsidRPr="00792FEC" w:rsidRDefault="00632A6F" w:rsidP="00CB151D">
      <w:pPr>
        <w:rPr>
          <w:sz w:val="24"/>
          <w:szCs w:val="24"/>
        </w:rPr>
      </w:pPr>
      <w:r w:rsidRPr="00792FEC">
        <w:rPr>
          <w:sz w:val="24"/>
          <w:szCs w:val="24"/>
        </w:rPr>
        <w:t>Wood,</w:t>
      </w:r>
      <w:r w:rsidRPr="00792FEC">
        <w:rPr>
          <w:sz w:val="24"/>
          <w:szCs w:val="24"/>
        </w:rPr>
        <w:t xml:space="preserve"> M.</w:t>
      </w:r>
      <w:r w:rsidRPr="00792FEC">
        <w:rPr>
          <w:sz w:val="24"/>
          <w:szCs w:val="24"/>
        </w:rPr>
        <w:t xml:space="preserve"> ‘Cultural Appropriation and the Plains’ Indian Headdress’, </w:t>
      </w:r>
      <w:r w:rsidRPr="00792FEC">
        <w:rPr>
          <w:i/>
          <w:iCs/>
          <w:sz w:val="24"/>
          <w:szCs w:val="24"/>
        </w:rPr>
        <w:t xml:space="preserve">The Journal of Undergraduate Research and Creative Scholarship </w:t>
      </w:r>
      <w:r w:rsidRPr="00792FEC">
        <w:rPr>
          <w:sz w:val="24"/>
          <w:szCs w:val="24"/>
        </w:rPr>
        <w:t>(2017) pp.1-11</w:t>
      </w:r>
      <w:r w:rsidRPr="00792FEC">
        <w:rPr>
          <w:sz w:val="24"/>
          <w:szCs w:val="24"/>
        </w:rPr>
        <w:t>.</w:t>
      </w:r>
    </w:p>
    <w:p w14:paraId="59B54FA8" w14:textId="77777777" w:rsidR="000E031A" w:rsidRPr="00CB151D" w:rsidRDefault="000E031A" w:rsidP="00CB151D"/>
    <w:sectPr w:rsidR="000E031A" w:rsidRPr="00CB151D">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ECF54" w14:textId="77777777" w:rsidR="00C75371" w:rsidRDefault="00C75371">
      <w:pPr>
        <w:spacing w:after="0"/>
      </w:pPr>
      <w:r>
        <w:separator/>
      </w:r>
    </w:p>
  </w:endnote>
  <w:endnote w:type="continuationSeparator" w:id="0">
    <w:p w14:paraId="1D346AA1" w14:textId="77777777" w:rsidR="00C75371" w:rsidRDefault="00C7537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0F5CC" w14:textId="77777777" w:rsidR="00C75371" w:rsidRDefault="00C75371">
      <w:pPr>
        <w:spacing w:after="0"/>
      </w:pPr>
      <w:r>
        <w:rPr>
          <w:color w:val="000000"/>
        </w:rPr>
        <w:separator/>
      </w:r>
    </w:p>
  </w:footnote>
  <w:footnote w:type="continuationSeparator" w:id="0">
    <w:p w14:paraId="26326546" w14:textId="77777777" w:rsidR="00C75371" w:rsidRDefault="00C75371">
      <w:pPr>
        <w:spacing w:after="0"/>
      </w:pPr>
      <w:r>
        <w:continuationSeparator/>
      </w:r>
    </w:p>
  </w:footnote>
  <w:footnote w:id="1">
    <w:p w14:paraId="1DDD052F" w14:textId="77777777" w:rsidR="006A5202" w:rsidRDefault="006A5202" w:rsidP="006A5202">
      <w:pPr>
        <w:pStyle w:val="FootnoteText"/>
      </w:pPr>
      <w:r>
        <w:rPr>
          <w:rStyle w:val="FootnoteReference"/>
        </w:rPr>
        <w:footnoteRef/>
      </w:r>
      <w:r>
        <w:t xml:space="preserve"> Oxford Learners Dictionary (2022) </w:t>
      </w:r>
      <w:r>
        <w:rPr>
          <w:i/>
          <w:iCs/>
        </w:rPr>
        <w:t xml:space="preserve">Cultural Appropriation. </w:t>
      </w:r>
      <w:r>
        <w:t xml:space="preserve">Available at: </w:t>
      </w:r>
      <w:hyperlink r:id="rId1" w:history="1">
        <w:r>
          <w:rPr>
            <w:rStyle w:val="Hyperlink"/>
          </w:rPr>
          <w:t>https://www.oxfordlearnersdictionaries.com/definition/english/cultural-app</w:t>
        </w:r>
        <w:bookmarkStart w:id="0" w:name="_Hlt104759189"/>
        <w:bookmarkStart w:id="1" w:name="_Hlt104759188"/>
        <w:r>
          <w:rPr>
            <w:rStyle w:val="Hyperlink"/>
          </w:rPr>
          <w:t>r</w:t>
        </w:r>
        <w:bookmarkEnd w:id="0"/>
        <w:bookmarkEnd w:id="1"/>
        <w:r>
          <w:rPr>
            <w:rStyle w:val="Hyperlink"/>
          </w:rPr>
          <w:t>opriation</w:t>
        </w:r>
      </w:hyperlink>
      <w:r>
        <w:t xml:space="preserve"> </w:t>
      </w:r>
    </w:p>
  </w:footnote>
  <w:footnote w:id="2">
    <w:p w14:paraId="431C983E" w14:textId="77777777" w:rsidR="006A5202" w:rsidRDefault="006A5202" w:rsidP="006A5202">
      <w:pPr>
        <w:spacing w:after="0"/>
      </w:pPr>
      <w:r>
        <w:rPr>
          <w:rStyle w:val="FootnoteReference"/>
        </w:rPr>
        <w:footnoteRef/>
      </w:r>
      <w:r>
        <w:t xml:space="preserve"> ‘</w:t>
      </w:r>
      <w:r>
        <w:rPr>
          <w:sz w:val="20"/>
          <w:szCs w:val="20"/>
        </w:rPr>
        <w:t xml:space="preserve">Cultural Appropriation’ in </w:t>
      </w:r>
      <w:r>
        <w:rPr>
          <w:i/>
          <w:iCs/>
          <w:sz w:val="20"/>
          <w:szCs w:val="20"/>
        </w:rPr>
        <w:t>The Concise Oxford Companion to English Literature.</w:t>
      </w:r>
      <w:r>
        <w:rPr>
          <w:sz w:val="20"/>
          <w:szCs w:val="20"/>
        </w:rPr>
        <w:t xml:space="preserve"> Edited by. Drabble et al. (Oxford University Press, 2007) [Accessed 29 May 2022] &lt;https://www.oxfordreference.com/view/10.1093/acref/9780199214921.001.0001/acref-9780199214921-e-1528&gt;</w:t>
      </w:r>
    </w:p>
  </w:footnote>
  <w:footnote w:id="3">
    <w:p w14:paraId="3B0956E5" w14:textId="77777777" w:rsidR="006A5202" w:rsidRDefault="006A5202" w:rsidP="006A5202">
      <w:pPr>
        <w:pStyle w:val="FootnoteText"/>
      </w:pPr>
      <w:r>
        <w:rPr>
          <w:rStyle w:val="FootnoteReference"/>
        </w:rPr>
        <w:footnoteRef/>
      </w:r>
      <w:r>
        <w:t xml:space="preserve"> T. </w:t>
      </w:r>
      <w:proofErr w:type="spellStart"/>
      <w:r>
        <w:t>Heyd</w:t>
      </w:r>
      <w:proofErr w:type="spellEnd"/>
      <w:r>
        <w:t xml:space="preserve">, ‘Rock Art Aesthetics and Cultural Appropriation’, </w:t>
      </w:r>
      <w:r>
        <w:rPr>
          <w:i/>
          <w:iCs/>
        </w:rPr>
        <w:t xml:space="preserve">The Journal of Aesthetics and Art Criticism, </w:t>
      </w:r>
      <w:r>
        <w:t>61(1), (2003) pp.37-46 (p.37).</w:t>
      </w:r>
    </w:p>
  </w:footnote>
  <w:footnote w:id="4">
    <w:p w14:paraId="705756E5" w14:textId="77777777" w:rsidR="006A5202" w:rsidRDefault="006A5202" w:rsidP="006A5202">
      <w:pPr>
        <w:pStyle w:val="FootnoteText"/>
      </w:pPr>
      <w:r>
        <w:rPr>
          <w:rStyle w:val="FootnoteReference"/>
        </w:rPr>
        <w:footnoteRef/>
      </w:r>
      <w:r>
        <w:t xml:space="preserve"> </w:t>
      </w:r>
      <w:proofErr w:type="spellStart"/>
      <w:r>
        <w:t>Heyd</w:t>
      </w:r>
      <w:proofErr w:type="spellEnd"/>
      <w:r>
        <w:t>, ‘Rock Art Aesthetics and Cultural Appropriation’, p. 37.</w:t>
      </w:r>
    </w:p>
  </w:footnote>
  <w:footnote w:id="5">
    <w:p w14:paraId="61AD88E0" w14:textId="77777777" w:rsidR="006A5202" w:rsidRDefault="006A5202" w:rsidP="006A5202">
      <w:pPr>
        <w:pStyle w:val="FootnoteText"/>
      </w:pPr>
      <w:r>
        <w:rPr>
          <w:rStyle w:val="FootnoteReference"/>
        </w:rPr>
        <w:footnoteRef/>
      </w:r>
      <w:r>
        <w:t xml:space="preserve"> </w:t>
      </w:r>
      <w:proofErr w:type="spellStart"/>
      <w:r>
        <w:t>Heyd</w:t>
      </w:r>
      <w:proofErr w:type="spellEnd"/>
      <w:r>
        <w:t>, ‘Rock Art Aesthetics and Cultural Appropriation’, p. 38.</w:t>
      </w:r>
    </w:p>
  </w:footnote>
  <w:footnote w:id="6">
    <w:p w14:paraId="5968D29D" w14:textId="77777777" w:rsidR="006A5202" w:rsidRDefault="006A5202" w:rsidP="006A5202">
      <w:pPr>
        <w:pStyle w:val="FootnoteText"/>
      </w:pPr>
      <w:r>
        <w:rPr>
          <w:rStyle w:val="FootnoteReference"/>
        </w:rPr>
        <w:footnoteRef/>
      </w:r>
      <w:r>
        <w:t xml:space="preserve"> J. Howard, ‘Plains Indian Feathered Bonnets’, </w:t>
      </w:r>
      <w:r>
        <w:rPr>
          <w:i/>
          <w:iCs/>
        </w:rPr>
        <w:t xml:space="preserve">Plains Anthropologist, </w:t>
      </w:r>
      <w:r>
        <w:t>2 (1954) pp.23-26 (p.23).</w:t>
      </w:r>
    </w:p>
  </w:footnote>
  <w:footnote w:id="7">
    <w:p w14:paraId="2564B7B0" w14:textId="77777777" w:rsidR="006A5202" w:rsidRDefault="006A5202" w:rsidP="006A5202">
      <w:pPr>
        <w:pStyle w:val="FootnoteText"/>
      </w:pPr>
      <w:r>
        <w:rPr>
          <w:rStyle w:val="FootnoteReference"/>
        </w:rPr>
        <w:footnoteRef/>
      </w:r>
      <w:r>
        <w:t xml:space="preserve"> Howard, ‘Plains Indian Feathered Bonnets’, p. 23.</w:t>
      </w:r>
    </w:p>
  </w:footnote>
  <w:footnote w:id="8">
    <w:p w14:paraId="23E7AEEF" w14:textId="77777777" w:rsidR="006A5202" w:rsidRDefault="006A5202" w:rsidP="006A5202">
      <w:pPr>
        <w:pStyle w:val="FootnoteText"/>
      </w:pPr>
      <w:r>
        <w:rPr>
          <w:rStyle w:val="FootnoteReference"/>
        </w:rPr>
        <w:footnoteRef/>
      </w:r>
      <w:r>
        <w:t xml:space="preserve"> J. </w:t>
      </w:r>
      <w:proofErr w:type="spellStart"/>
      <w:r>
        <w:t>Monnett</w:t>
      </w:r>
      <w:proofErr w:type="spellEnd"/>
      <w:r>
        <w:t xml:space="preserve">, </w:t>
      </w:r>
      <w:r>
        <w:rPr>
          <w:i/>
          <w:iCs/>
        </w:rPr>
        <w:t xml:space="preserve">The Battle of Beecher Island and the Indian War of 1867-1869, </w:t>
      </w:r>
      <w:r>
        <w:t>(Colorado: University Press of Colorado, 1992) p. 45.</w:t>
      </w:r>
    </w:p>
  </w:footnote>
  <w:footnote w:id="9">
    <w:p w14:paraId="0A2ED20E" w14:textId="77777777" w:rsidR="006A5202" w:rsidRDefault="006A5202" w:rsidP="006A5202">
      <w:pPr>
        <w:pStyle w:val="FootnoteText"/>
      </w:pPr>
      <w:r>
        <w:rPr>
          <w:rStyle w:val="FootnoteReference"/>
        </w:rPr>
        <w:footnoteRef/>
      </w:r>
      <w:r>
        <w:t xml:space="preserve"> </w:t>
      </w:r>
      <w:proofErr w:type="spellStart"/>
      <w:r>
        <w:t>Monnett</w:t>
      </w:r>
      <w:proofErr w:type="spellEnd"/>
      <w:r>
        <w:t xml:space="preserve">, </w:t>
      </w:r>
      <w:r>
        <w:rPr>
          <w:i/>
          <w:iCs/>
        </w:rPr>
        <w:t>The Battle of Beecher Island and the Indian War of 1867-1869.</w:t>
      </w:r>
    </w:p>
  </w:footnote>
  <w:footnote w:id="10">
    <w:p w14:paraId="413D24A6" w14:textId="77777777" w:rsidR="006A5202" w:rsidRDefault="006A5202" w:rsidP="006A5202">
      <w:pPr>
        <w:pStyle w:val="FootnoteText"/>
      </w:pPr>
      <w:r>
        <w:rPr>
          <w:rStyle w:val="FootnoteReference"/>
        </w:rPr>
        <w:footnoteRef/>
      </w:r>
      <w:proofErr w:type="spellStart"/>
      <w:r>
        <w:t>Monnett</w:t>
      </w:r>
      <w:proofErr w:type="spellEnd"/>
      <w:r>
        <w:t xml:space="preserve">, </w:t>
      </w:r>
      <w:r>
        <w:rPr>
          <w:i/>
          <w:iCs/>
        </w:rPr>
        <w:t>The Battle of Beecher Island and the Indian War of 1867-1869.</w:t>
      </w:r>
      <w:r>
        <w:t xml:space="preserve"> p. 47.</w:t>
      </w:r>
    </w:p>
  </w:footnote>
  <w:footnote w:id="11">
    <w:p w14:paraId="61B3CBAB" w14:textId="77777777" w:rsidR="006A5202" w:rsidRDefault="006A5202" w:rsidP="006A5202">
      <w:pPr>
        <w:pStyle w:val="FootnoteText"/>
      </w:pPr>
      <w:r>
        <w:rPr>
          <w:rStyle w:val="FootnoteReference"/>
        </w:rPr>
        <w:footnoteRef/>
      </w:r>
      <w:r>
        <w:t xml:space="preserve"> M. Wood, ‘Cultural Appropriation and the Plains’ Indian Headdress’, </w:t>
      </w:r>
      <w:r>
        <w:rPr>
          <w:i/>
          <w:iCs/>
        </w:rPr>
        <w:t xml:space="preserve">The Journal of Undergraduate Research and Creative Scholarship </w:t>
      </w:r>
      <w:r>
        <w:t>(2017) pp.1-11 (p. 2).</w:t>
      </w:r>
    </w:p>
  </w:footnote>
  <w:footnote w:id="12">
    <w:p w14:paraId="49995761" w14:textId="77777777" w:rsidR="006A5202" w:rsidRDefault="006A5202" w:rsidP="006A5202">
      <w:pPr>
        <w:pStyle w:val="FootnoteText"/>
      </w:pPr>
      <w:r>
        <w:rPr>
          <w:rStyle w:val="FootnoteReference"/>
        </w:rPr>
        <w:footnoteRef/>
      </w:r>
      <w:r>
        <w:t xml:space="preserve"> D. Lynskey, ‘This means war: why the fashion headdress must be stopped’, </w:t>
      </w:r>
      <w:r>
        <w:rPr>
          <w:i/>
          <w:iCs/>
        </w:rPr>
        <w:t xml:space="preserve">The Guardian, </w:t>
      </w:r>
      <w:r>
        <w:t>30 July 2014.  &lt;</w:t>
      </w:r>
      <w:hyperlink r:id="rId2" w:history="1">
        <w:r>
          <w:rPr>
            <w:rStyle w:val="Hyperlink"/>
          </w:rPr>
          <w:t>https://www.theguardian.com/fashion/2014/jul/30/why-the-fashion-headdress-must-be-stop</w:t>
        </w:r>
        <w:bookmarkStart w:id="3" w:name="_Hlt104798595"/>
        <w:bookmarkStart w:id="4" w:name="_Hlt104798594"/>
        <w:r>
          <w:rPr>
            <w:rStyle w:val="Hyperlink"/>
          </w:rPr>
          <w:t>p</w:t>
        </w:r>
        <w:bookmarkEnd w:id="3"/>
        <w:bookmarkEnd w:id="4"/>
        <w:r>
          <w:rPr>
            <w:rStyle w:val="Hyperlink"/>
          </w:rPr>
          <w:t>ed</w:t>
        </w:r>
      </w:hyperlink>
      <w:r>
        <w:t xml:space="preserve">&gt; [accessed 27 May 2022] </w:t>
      </w:r>
    </w:p>
  </w:footnote>
  <w:footnote w:id="13">
    <w:p w14:paraId="1ABA1289" w14:textId="77777777" w:rsidR="006A5202" w:rsidRDefault="006A5202" w:rsidP="006A5202">
      <w:pPr>
        <w:pStyle w:val="FootnoteText"/>
      </w:pPr>
      <w:r>
        <w:rPr>
          <w:rStyle w:val="FootnoteReference"/>
        </w:rPr>
        <w:footnoteRef/>
      </w:r>
      <w:r>
        <w:t>L. Monkman, ‘Behind First Nations headdresses: What you should know’ (2016) &lt;</w:t>
      </w:r>
      <w:hyperlink r:id="rId3" w:history="1">
        <w:r>
          <w:rPr>
            <w:rStyle w:val="Hyperlink"/>
          </w:rPr>
          <w:t>https://www.cbc.ca/news/indigenous/behind-first-nations-headdress</w:t>
        </w:r>
        <w:bookmarkStart w:id="5" w:name="_Hlt104798796"/>
        <w:bookmarkStart w:id="6" w:name="_Hlt104798795"/>
        <w:r>
          <w:rPr>
            <w:rStyle w:val="Hyperlink"/>
          </w:rPr>
          <w:t>e</w:t>
        </w:r>
        <w:bookmarkEnd w:id="5"/>
        <w:bookmarkEnd w:id="6"/>
        <w:r>
          <w:rPr>
            <w:rStyle w:val="Hyperlink"/>
          </w:rPr>
          <w:t>s-1.3506224</w:t>
        </w:r>
      </w:hyperlink>
      <w:r>
        <w:t xml:space="preserve">&gt; [Accessed 27 May 2022] </w:t>
      </w:r>
    </w:p>
  </w:footnote>
  <w:footnote w:id="14">
    <w:p w14:paraId="6F65D3A1" w14:textId="77777777" w:rsidR="006A5202" w:rsidRDefault="006A5202" w:rsidP="006A5202">
      <w:pPr>
        <w:pStyle w:val="FootnoteText"/>
      </w:pPr>
      <w:r>
        <w:rPr>
          <w:rStyle w:val="FootnoteReference"/>
        </w:rPr>
        <w:footnoteRef/>
      </w:r>
      <w:r>
        <w:t xml:space="preserve"> Monkman, ‘Behind First Nations headdresses: What you should know’</w:t>
      </w:r>
    </w:p>
  </w:footnote>
  <w:footnote w:id="15">
    <w:p w14:paraId="3074BABB" w14:textId="77777777" w:rsidR="006A5202" w:rsidRDefault="006A5202" w:rsidP="006A5202">
      <w:pPr>
        <w:pStyle w:val="FootnoteText"/>
      </w:pPr>
      <w:r>
        <w:rPr>
          <w:rStyle w:val="FootnoteReference"/>
        </w:rPr>
        <w:footnoteRef/>
      </w:r>
      <w:r>
        <w:t xml:space="preserve"> The Pluralism Project, </w:t>
      </w:r>
      <w:r>
        <w:rPr>
          <w:i/>
          <w:iCs/>
        </w:rPr>
        <w:t xml:space="preserve">The Powwow: Sacred and Secular Meet. </w:t>
      </w:r>
      <w:hyperlink r:id="rId4" w:history="1">
        <w:r>
          <w:rPr>
            <w:rStyle w:val="Hyperlink"/>
          </w:rPr>
          <w:t>https://pluralism.org/files/plurali</w:t>
        </w:r>
        <w:bookmarkStart w:id="7" w:name="_Hlt104798977"/>
        <w:bookmarkStart w:id="8" w:name="_Hlt104798976"/>
        <w:r>
          <w:rPr>
            <w:rStyle w:val="Hyperlink"/>
          </w:rPr>
          <w:t>s</w:t>
        </w:r>
        <w:bookmarkEnd w:id="7"/>
        <w:bookmarkEnd w:id="8"/>
        <w:r>
          <w:rPr>
            <w:rStyle w:val="Hyperlink"/>
          </w:rPr>
          <w:t>m/files/the_powwow-_sacred_and_secular_meet.pdf</w:t>
        </w:r>
      </w:hyperlink>
      <w:r>
        <w:t xml:space="preserve"> </w:t>
      </w:r>
    </w:p>
  </w:footnote>
  <w:footnote w:id="16">
    <w:p w14:paraId="092C5980" w14:textId="77777777" w:rsidR="006A5202" w:rsidRDefault="006A5202" w:rsidP="006A5202">
      <w:pPr>
        <w:pStyle w:val="FootnoteText"/>
      </w:pPr>
      <w:r>
        <w:rPr>
          <w:rStyle w:val="FootnoteReference"/>
        </w:rPr>
        <w:footnoteRef/>
      </w:r>
      <w:r>
        <w:t xml:space="preserve"> Wood, ‘Cultural Appropriation and the Plains’ Indian Headdress’ p. 2.</w:t>
      </w:r>
    </w:p>
  </w:footnote>
  <w:footnote w:id="17">
    <w:p w14:paraId="05723482" w14:textId="77777777" w:rsidR="006A5202" w:rsidRDefault="006A5202" w:rsidP="006A5202">
      <w:pPr>
        <w:pStyle w:val="FootnoteText"/>
      </w:pPr>
      <w:r>
        <w:rPr>
          <w:rStyle w:val="FootnoteReference"/>
        </w:rPr>
        <w:footnoteRef/>
      </w:r>
      <w:r>
        <w:t xml:space="preserve"> J. </w:t>
      </w:r>
      <w:proofErr w:type="spellStart"/>
      <w:r>
        <w:t>Misener</w:t>
      </w:r>
      <w:proofErr w:type="spellEnd"/>
      <w:r>
        <w:t xml:space="preserve">, “Karlie Kloss Wears Native American Headdress at Victoria’s Secret Fashion Show” </w:t>
      </w:r>
      <w:proofErr w:type="spellStart"/>
      <w:r>
        <w:rPr>
          <w:i/>
          <w:iCs/>
        </w:rPr>
        <w:t>Huffpost</w:t>
      </w:r>
      <w:proofErr w:type="spellEnd"/>
      <w:r>
        <w:rPr>
          <w:i/>
          <w:iCs/>
        </w:rPr>
        <w:t xml:space="preserve">, </w:t>
      </w:r>
      <w:r>
        <w:t xml:space="preserve">7 December 2017, &lt; </w:t>
      </w:r>
      <w:hyperlink r:id="rId5" w:history="1">
        <w:r>
          <w:rPr>
            <w:rStyle w:val="Hyperlink"/>
          </w:rPr>
          <w:t>https://www.huffingtonpost.co.uk/entry/karlie-kloss-victorias-secret-headdress-fashion-show_n_2</w:t>
        </w:r>
        <w:bookmarkStart w:id="9" w:name="_Hlt104889300"/>
        <w:bookmarkStart w:id="10" w:name="_Hlt104889299"/>
        <w:r>
          <w:rPr>
            <w:rStyle w:val="Hyperlink"/>
          </w:rPr>
          <w:t>0</w:t>
        </w:r>
        <w:bookmarkEnd w:id="9"/>
        <w:bookmarkEnd w:id="10"/>
        <w:r>
          <w:rPr>
            <w:rStyle w:val="Hyperlink"/>
          </w:rPr>
          <w:t>91958</w:t>
        </w:r>
      </w:hyperlink>
      <w:r>
        <w:t xml:space="preserve">&gt; [accessed 27the May 2022] </w:t>
      </w:r>
    </w:p>
  </w:footnote>
  <w:footnote w:id="18">
    <w:p w14:paraId="09550AC3" w14:textId="77777777" w:rsidR="006A5202" w:rsidRDefault="006A5202" w:rsidP="006A5202">
      <w:pPr>
        <w:pStyle w:val="FootnoteText"/>
      </w:pPr>
      <w:r>
        <w:rPr>
          <w:rStyle w:val="FootnoteReference"/>
        </w:rPr>
        <w:footnoteRef/>
      </w:r>
      <w:r>
        <w:t xml:space="preserve"> This point will be further developed. </w:t>
      </w:r>
    </w:p>
  </w:footnote>
  <w:footnote w:id="19">
    <w:p w14:paraId="1E8AA2C6" w14:textId="77777777" w:rsidR="006A5202" w:rsidRDefault="006A5202" w:rsidP="006A5202">
      <w:pPr>
        <w:pStyle w:val="FootnoteText"/>
      </w:pPr>
      <w:r>
        <w:rPr>
          <w:rStyle w:val="FootnoteReference"/>
        </w:rPr>
        <w:footnoteRef/>
      </w:r>
      <w:r>
        <w:t xml:space="preserve"> </w:t>
      </w:r>
      <w:bookmarkStart w:id="11" w:name="_Hlk104889285"/>
      <w:r>
        <w:t xml:space="preserve">Wood, ‘Cultural Appropriation and the Plains’ Indian Headdress’ </w:t>
      </w:r>
      <w:bookmarkEnd w:id="11"/>
      <w:r>
        <w:t>p. 4.</w:t>
      </w:r>
    </w:p>
  </w:footnote>
  <w:footnote w:id="20">
    <w:p w14:paraId="479347CB" w14:textId="77777777" w:rsidR="006A5202" w:rsidRDefault="006A5202" w:rsidP="006A5202">
      <w:pPr>
        <w:pStyle w:val="FootnoteText"/>
      </w:pPr>
      <w:r>
        <w:rPr>
          <w:rStyle w:val="FootnoteReference"/>
        </w:rPr>
        <w:footnoteRef/>
      </w:r>
      <w:r>
        <w:t xml:space="preserve"> J. Engle, “Is It Offensive for Sports Teams and Their Fans to Use Native American Names, Imagery and Gestures?” </w:t>
      </w:r>
      <w:r>
        <w:rPr>
          <w:i/>
          <w:iCs/>
        </w:rPr>
        <w:t xml:space="preserve">New York Times, </w:t>
      </w:r>
      <w:r>
        <w:t>31 January 2020, &lt;</w:t>
      </w:r>
      <w:hyperlink r:id="rId6" w:history="1">
        <w:r>
          <w:rPr>
            <w:rStyle w:val="Hyperlink"/>
          </w:rPr>
          <w:t>https://www.nytimes.com/2020/01/31/learning/is-it-offensive-for-sports-teams-and-their-fans-to-use-native-american-names-imagery-and-gest</w:t>
        </w:r>
        <w:bookmarkStart w:id="12" w:name="_Hlt104816561"/>
        <w:bookmarkStart w:id="13" w:name="_Hlt104816560"/>
        <w:r>
          <w:rPr>
            <w:rStyle w:val="Hyperlink"/>
          </w:rPr>
          <w:t>u</w:t>
        </w:r>
        <w:bookmarkEnd w:id="12"/>
        <w:bookmarkEnd w:id="13"/>
        <w:r>
          <w:rPr>
            <w:rStyle w:val="Hyperlink"/>
          </w:rPr>
          <w:t>res.html</w:t>
        </w:r>
      </w:hyperlink>
      <w:r>
        <w:t>&gt; [accessed 27</w:t>
      </w:r>
      <w:r>
        <w:rPr>
          <w:vertAlign w:val="superscript"/>
        </w:rPr>
        <w:t>th</w:t>
      </w:r>
      <w:r>
        <w:t xml:space="preserve"> May 2022]</w:t>
      </w:r>
    </w:p>
  </w:footnote>
  <w:footnote w:id="21">
    <w:p w14:paraId="7836039F" w14:textId="77777777" w:rsidR="006A5202" w:rsidRDefault="006A5202" w:rsidP="006A5202">
      <w:pPr>
        <w:pStyle w:val="FootnoteText"/>
      </w:pPr>
      <w:r>
        <w:rPr>
          <w:rStyle w:val="FootnoteReference"/>
        </w:rPr>
        <w:footnoteRef/>
      </w:r>
      <w:r>
        <w:t xml:space="preserve"> L. Reyes, (December 29, 2020). "Maine remains only state to fully ban Native American mascots. Why haven't others followed?". USA TODAY. [Accessed 27</w:t>
      </w:r>
      <w:r>
        <w:rPr>
          <w:vertAlign w:val="superscript"/>
        </w:rPr>
        <w:t>th</w:t>
      </w:r>
      <w:r>
        <w:t xml:space="preserve"> May 2022)</w:t>
      </w:r>
    </w:p>
  </w:footnote>
  <w:footnote w:id="22">
    <w:p w14:paraId="4B35D289" w14:textId="77777777" w:rsidR="006A5202" w:rsidRDefault="006A5202" w:rsidP="006A5202">
      <w:pPr>
        <w:pStyle w:val="FootnoteText"/>
      </w:pPr>
      <w:r>
        <w:rPr>
          <w:rStyle w:val="FootnoteReference"/>
        </w:rPr>
        <w:footnoteRef/>
      </w:r>
      <w:r>
        <w:t xml:space="preserve"> M. Schwarz, </w:t>
      </w:r>
      <w:r>
        <w:rPr>
          <w:i/>
          <w:iCs/>
        </w:rPr>
        <w:t xml:space="preserve">Fighting Colonialism with Hegemonic Culture: Native American Appropriation of Indian Stereotypes, </w:t>
      </w:r>
      <w:r>
        <w:t>(New York: State University of New York, 2013) p. 9.</w:t>
      </w:r>
    </w:p>
  </w:footnote>
  <w:footnote w:id="23">
    <w:p w14:paraId="6ADAC1A3" w14:textId="77777777" w:rsidR="006A5202" w:rsidRDefault="006A5202" w:rsidP="006A5202">
      <w:pPr>
        <w:pStyle w:val="FootnoteText"/>
      </w:pPr>
      <w:r>
        <w:rPr>
          <w:rStyle w:val="FootnoteReference"/>
        </w:rPr>
        <w:footnoteRef/>
      </w:r>
      <w:r>
        <w:t xml:space="preserve"> Wood, ‘Cultural Appropriation and the Plains’ Indian Headdress’ p. 3 </w:t>
      </w:r>
    </w:p>
  </w:footnote>
  <w:footnote w:id="24">
    <w:p w14:paraId="65436B52" w14:textId="77777777" w:rsidR="006A5202" w:rsidRDefault="006A5202" w:rsidP="006A5202">
      <w:pPr>
        <w:pStyle w:val="FootnoteText"/>
      </w:pPr>
      <w:r>
        <w:rPr>
          <w:rStyle w:val="FootnoteReference"/>
        </w:rPr>
        <w:footnoteRef/>
      </w:r>
      <w:r>
        <w:t xml:space="preserve"> S. </w:t>
      </w:r>
      <w:proofErr w:type="spellStart"/>
      <w:r>
        <w:t>Zah</w:t>
      </w:r>
      <w:proofErr w:type="spellEnd"/>
      <w:r>
        <w:t xml:space="preserve">, </w:t>
      </w:r>
      <w:r>
        <w:rPr>
          <w:i/>
          <w:iCs/>
        </w:rPr>
        <w:t xml:space="preserve">Unplugged, </w:t>
      </w:r>
      <w:r>
        <w:t xml:space="preserve">2014, &lt; </w:t>
      </w:r>
      <w:hyperlink r:id="rId7" w:history="1">
        <w:r>
          <w:rPr>
            <w:rStyle w:val="Hyperlink"/>
          </w:rPr>
          <w:t>https://summerzah.com/zah-unplugged</w:t>
        </w:r>
      </w:hyperlink>
      <w:r>
        <w:t>&gt; [accessed 28</w:t>
      </w:r>
      <w:r>
        <w:rPr>
          <w:vertAlign w:val="superscript"/>
        </w:rPr>
        <w:t>th</w:t>
      </w:r>
      <w:r>
        <w:t xml:space="preserve"> May 2022] </w:t>
      </w:r>
    </w:p>
  </w:footnote>
  <w:footnote w:id="25">
    <w:p w14:paraId="66791236" w14:textId="77777777" w:rsidR="006A5202" w:rsidRDefault="006A5202" w:rsidP="006A5202">
      <w:pPr>
        <w:pStyle w:val="FootnoteText"/>
      </w:pPr>
      <w:r>
        <w:rPr>
          <w:rStyle w:val="FootnoteReference"/>
        </w:rPr>
        <w:footnoteRef/>
      </w:r>
      <w:r>
        <w:t xml:space="preserve"> Schwarz, </w:t>
      </w:r>
      <w:r>
        <w:rPr>
          <w:i/>
          <w:iCs/>
        </w:rPr>
        <w:t xml:space="preserve">Fighting Colonialism with Hegemonic Culture, </w:t>
      </w:r>
      <w:r>
        <w:t>p.9</w:t>
      </w:r>
    </w:p>
  </w:footnote>
  <w:footnote w:id="26">
    <w:p w14:paraId="4DBC9143" w14:textId="77777777" w:rsidR="006A5202" w:rsidRDefault="006A5202" w:rsidP="006A5202">
      <w:pPr>
        <w:pStyle w:val="FootnoteText"/>
      </w:pPr>
      <w:r>
        <w:rPr>
          <w:rStyle w:val="FootnoteReference"/>
        </w:rPr>
        <w:footnoteRef/>
      </w:r>
      <w:r>
        <w:t xml:space="preserve"> </w:t>
      </w:r>
      <w:proofErr w:type="spellStart"/>
      <w:r>
        <w:t>Heyd</w:t>
      </w:r>
      <w:proofErr w:type="spellEnd"/>
      <w:r>
        <w:t>, ‘Rock Art Aesthetics and Cultural Appropriation’ p.38</w:t>
      </w:r>
    </w:p>
  </w:footnote>
  <w:footnote w:id="27">
    <w:p w14:paraId="561D838A" w14:textId="77777777" w:rsidR="006A5202" w:rsidRDefault="006A5202" w:rsidP="006A5202">
      <w:pPr>
        <w:pStyle w:val="FootnoteText"/>
      </w:pPr>
      <w:r>
        <w:rPr>
          <w:rStyle w:val="FootnoteReference"/>
        </w:rPr>
        <w:footnoteRef/>
      </w:r>
      <w:r>
        <w:t xml:space="preserve"> </w:t>
      </w:r>
      <w:proofErr w:type="spellStart"/>
      <w:r>
        <w:t>Heyd</w:t>
      </w:r>
      <w:proofErr w:type="spellEnd"/>
      <w:r>
        <w:t>, ‘Rock Art Aesthetics and Cultural Appropriation’ p.38</w:t>
      </w:r>
    </w:p>
  </w:footnote>
  <w:footnote w:id="28">
    <w:p w14:paraId="454C3AEC" w14:textId="77777777" w:rsidR="006A5202" w:rsidRDefault="006A5202" w:rsidP="006A5202">
      <w:pPr>
        <w:pStyle w:val="FootnoteText"/>
      </w:pPr>
      <w:r>
        <w:rPr>
          <w:rStyle w:val="FootnoteReference"/>
        </w:rPr>
        <w:footnoteRef/>
      </w:r>
      <w:r>
        <w:t xml:space="preserve"> </w:t>
      </w:r>
      <w:proofErr w:type="spellStart"/>
      <w:r>
        <w:t>Heyd</w:t>
      </w:r>
      <w:proofErr w:type="spellEnd"/>
      <w:r>
        <w:t>, ‘Rock Art Aesthetics and Cultural Appropriation’ p.38</w:t>
      </w:r>
    </w:p>
  </w:footnote>
  <w:footnote w:id="29">
    <w:p w14:paraId="187D37E5" w14:textId="77777777" w:rsidR="006A5202" w:rsidRDefault="006A5202" w:rsidP="006A5202">
      <w:pPr>
        <w:pStyle w:val="FootnoteText"/>
      </w:pPr>
      <w:r>
        <w:rPr>
          <w:rStyle w:val="FootnoteReference"/>
        </w:rPr>
        <w:footnoteRef/>
      </w:r>
      <w:r>
        <w:t xml:space="preserve"> </w:t>
      </w:r>
      <w:proofErr w:type="spellStart"/>
      <w:r>
        <w:t>Heyd</w:t>
      </w:r>
      <w:proofErr w:type="spellEnd"/>
      <w:r>
        <w:t>, ‘Rock Art Aesthetics and Cultural Appropriation’ p.38</w:t>
      </w:r>
    </w:p>
  </w:footnote>
  <w:footnote w:id="30">
    <w:p w14:paraId="16D5FC99" w14:textId="77777777" w:rsidR="006A5202" w:rsidRDefault="006A5202" w:rsidP="006A5202">
      <w:pPr>
        <w:pStyle w:val="FootnoteText"/>
      </w:pPr>
      <w:r>
        <w:rPr>
          <w:rStyle w:val="FootnoteReference"/>
        </w:rPr>
        <w:footnoteRef/>
      </w:r>
      <w:r>
        <w:t xml:space="preserve"> Wood, ‘Cultural Appropriation and the Plains’ Indian Headdress’,</w:t>
      </w:r>
    </w:p>
  </w:footnote>
  <w:footnote w:id="31">
    <w:p w14:paraId="2A483A19" w14:textId="77777777" w:rsidR="006A5202" w:rsidRDefault="006A5202" w:rsidP="006A5202">
      <w:pPr>
        <w:pStyle w:val="FootnoteText"/>
      </w:pPr>
      <w:r>
        <w:rPr>
          <w:rStyle w:val="FootnoteReference"/>
        </w:rPr>
        <w:footnoteRef/>
      </w:r>
      <w:r>
        <w:t xml:space="preserve"> Wood, ‘Cultural Appropriation and the Plains’ Indian Headdress’,</w:t>
      </w:r>
    </w:p>
  </w:footnote>
  <w:footnote w:id="32">
    <w:p w14:paraId="2FE9939F" w14:textId="77777777" w:rsidR="006A5202" w:rsidRDefault="006A5202" w:rsidP="006A5202">
      <w:pPr>
        <w:pStyle w:val="FootnoteText"/>
      </w:pPr>
      <w:r>
        <w:rPr>
          <w:rStyle w:val="FootnoteReference"/>
        </w:rPr>
        <w:footnoteRef/>
      </w:r>
      <w:r>
        <w:t xml:space="preserve"> Wood, ‘Cultural Appropriation and the Plains’ Indian Headdress’, p. 3</w:t>
      </w:r>
    </w:p>
  </w:footnote>
  <w:footnote w:id="33">
    <w:p w14:paraId="2ED0F9A1" w14:textId="77777777" w:rsidR="006A5202" w:rsidRDefault="006A5202" w:rsidP="006A5202">
      <w:pPr>
        <w:pStyle w:val="FootnoteText"/>
      </w:pPr>
      <w:r>
        <w:rPr>
          <w:rStyle w:val="FootnoteReference"/>
        </w:rPr>
        <w:footnoteRef/>
      </w:r>
      <w:r>
        <w:t xml:space="preserve"> Indians.org, Indian Headdress, date unknown, &lt;http://indians.org/articles/indian-headdress.html&gt; [accessed 20</w:t>
      </w:r>
      <w:r>
        <w:rPr>
          <w:vertAlign w:val="superscript"/>
        </w:rPr>
        <w:t>th</w:t>
      </w:r>
      <w:r>
        <w:t xml:space="preserve"> May 2022]</w:t>
      </w:r>
    </w:p>
  </w:footnote>
  <w:footnote w:id="34">
    <w:p w14:paraId="2205582D" w14:textId="77777777" w:rsidR="006A5202" w:rsidRDefault="006A5202" w:rsidP="006A5202">
      <w:pPr>
        <w:pStyle w:val="FootnoteText"/>
      </w:pPr>
      <w:r>
        <w:rPr>
          <w:rStyle w:val="FootnoteReference"/>
        </w:rPr>
        <w:footnoteRef/>
      </w:r>
      <w:r>
        <w:t xml:space="preserve"> Wood, ‘Cultural Appropriation and the Plains’ Indian Headdress’, p.3</w:t>
      </w:r>
    </w:p>
  </w:footnote>
  <w:footnote w:id="35">
    <w:p w14:paraId="42148326" w14:textId="77777777" w:rsidR="006A5202" w:rsidRDefault="006A5202" w:rsidP="006A5202">
      <w:pPr>
        <w:pStyle w:val="FootnoteText"/>
      </w:pPr>
      <w:r>
        <w:rPr>
          <w:rStyle w:val="FootnoteReference"/>
        </w:rPr>
        <w:footnoteRef/>
      </w:r>
      <w:r>
        <w:t xml:space="preserve"> Wood, ‘Cultural Appropriation and the Plains’ Indian Headdress’, p.3</w:t>
      </w:r>
    </w:p>
  </w:footnote>
  <w:footnote w:id="36">
    <w:p w14:paraId="27F8299D" w14:textId="77777777" w:rsidR="006A5202" w:rsidRDefault="006A5202" w:rsidP="006A5202">
      <w:pPr>
        <w:pStyle w:val="FootnoteText"/>
      </w:pPr>
      <w:r>
        <w:rPr>
          <w:rStyle w:val="FootnoteReference"/>
        </w:rPr>
        <w:footnoteRef/>
      </w:r>
      <w:r>
        <w:t xml:space="preserve"> Wood, ‘Cultural Appropriation and the Plains’ Indian Headdress’, p.3</w:t>
      </w:r>
    </w:p>
  </w:footnote>
  <w:footnote w:id="37">
    <w:p w14:paraId="76613995" w14:textId="77777777" w:rsidR="006A5202" w:rsidRDefault="006A5202" w:rsidP="006A5202">
      <w:pPr>
        <w:pStyle w:val="FootnoteText"/>
      </w:pPr>
      <w:r>
        <w:rPr>
          <w:rStyle w:val="FootnoteReference"/>
        </w:rPr>
        <w:footnoteRef/>
      </w:r>
      <w:r>
        <w:t xml:space="preserve"> Wood, ‘Cultural Appropriation and the Plains’ Indian Headdress’, p.4</w:t>
      </w:r>
    </w:p>
  </w:footnote>
  <w:footnote w:id="38">
    <w:p w14:paraId="0AEB0943" w14:textId="77777777" w:rsidR="006A5202" w:rsidRDefault="006A5202" w:rsidP="006A5202">
      <w:pPr>
        <w:pStyle w:val="FootnoteText"/>
      </w:pPr>
      <w:r>
        <w:rPr>
          <w:rStyle w:val="FootnoteReference"/>
        </w:rPr>
        <w:footnoteRef/>
      </w:r>
      <w:r>
        <w:t xml:space="preserve"> Wood, ‘Cultural Appropriation and the Plains’ Indian Headdress’ p. 4</w:t>
      </w:r>
    </w:p>
  </w:footnote>
  <w:footnote w:id="39">
    <w:p w14:paraId="75CEF3D4" w14:textId="77777777" w:rsidR="006A5202" w:rsidRDefault="006A5202" w:rsidP="006A5202">
      <w:pPr>
        <w:pStyle w:val="FootnoteText"/>
      </w:pPr>
      <w:r>
        <w:rPr>
          <w:rStyle w:val="FootnoteReference"/>
        </w:rPr>
        <w:footnoteRef/>
      </w:r>
      <w:r>
        <w:t xml:space="preserve"> Wood, ‘Cultural Appropriation and the Plains’ Indian Headdress’ p. 4</w:t>
      </w:r>
    </w:p>
  </w:footnote>
  <w:footnote w:id="40">
    <w:p w14:paraId="1F6CF777" w14:textId="77777777" w:rsidR="006A5202" w:rsidRDefault="006A5202" w:rsidP="006A5202">
      <w:pPr>
        <w:pStyle w:val="FootnoteText"/>
      </w:pPr>
      <w:r>
        <w:rPr>
          <w:rStyle w:val="FootnoteReference"/>
        </w:rPr>
        <w:footnoteRef/>
      </w:r>
      <w:r>
        <w:t xml:space="preserve"> R. </w:t>
      </w:r>
      <w:bookmarkStart w:id="14" w:name="_Hlk104804502"/>
      <w:r>
        <w:t>Tsosie, ‘Reclaiming Native Stories: An Essay on Cultural Appropriation and Cultural Rights’</w:t>
      </w:r>
      <w:bookmarkEnd w:id="14"/>
      <w:r>
        <w:t xml:space="preserve">, </w:t>
      </w:r>
      <w:r>
        <w:rPr>
          <w:i/>
          <w:iCs/>
        </w:rPr>
        <w:t xml:space="preserve">Arizona State Law Journal, </w:t>
      </w:r>
      <w:r>
        <w:t>34 (2002) pp.299-359</w:t>
      </w:r>
      <w:r>
        <w:rPr>
          <w:i/>
          <w:iCs/>
        </w:rPr>
        <w:t xml:space="preserve"> </w:t>
      </w:r>
      <w:r>
        <w:t>(p.299-300).</w:t>
      </w:r>
    </w:p>
  </w:footnote>
  <w:footnote w:id="41">
    <w:p w14:paraId="325E55FD" w14:textId="77777777" w:rsidR="006A5202" w:rsidRDefault="006A5202" w:rsidP="006A5202">
      <w:pPr>
        <w:pStyle w:val="FootnoteText"/>
      </w:pPr>
      <w:r>
        <w:rPr>
          <w:rStyle w:val="FootnoteReference"/>
        </w:rPr>
        <w:footnoteRef/>
      </w:r>
      <w:r>
        <w:t xml:space="preserve"> T. Horwitz, ‘The Horrific Sand Creek Massacre Will Be Forgotten No More’, </w:t>
      </w:r>
      <w:r>
        <w:rPr>
          <w:i/>
          <w:iCs/>
        </w:rPr>
        <w:t xml:space="preserve">Smithsonian Magazine, </w:t>
      </w:r>
      <w:r>
        <w:t>December 2014, &lt;</w:t>
      </w:r>
      <w:hyperlink r:id="rId8" w:history="1">
        <w:r>
          <w:rPr>
            <w:rStyle w:val="Hyperlink"/>
          </w:rPr>
          <w:t>https://www.smithsonianmag.com/history/horrific-sand-creek-massacre-will-be-forgotten-no-more-180953403/</w:t>
        </w:r>
      </w:hyperlink>
      <w:r>
        <w:t>&gt; [accessed 30</w:t>
      </w:r>
      <w:r>
        <w:rPr>
          <w:vertAlign w:val="superscript"/>
        </w:rPr>
        <w:t>th</w:t>
      </w:r>
      <w:r>
        <w:t xml:space="preserve"> May 2022] </w:t>
      </w:r>
    </w:p>
  </w:footnote>
  <w:footnote w:id="42">
    <w:p w14:paraId="6815A8DE" w14:textId="77777777" w:rsidR="006A5202" w:rsidRDefault="006A5202" w:rsidP="006A5202">
      <w:pPr>
        <w:pStyle w:val="FootnoteText"/>
      </w:pPr>
      <w:r>
        <w:rPr>
          <w:rStyle w:val="FootnoteReference"/>
        </w:rPr>
        <w:footnoteRef/>
      </w:r>
      <w:r>
        <w:t xml:space="preserve"> T. Horwitz, ‘The Horrific Sand Creek Massacre Will Be Forgotten No More’, </w:t>
      </w:r>
      <w:r>
        <w:rPr>
          <w:i/>
          <w:iCs/>
        </w:rPr>
        <w:t xml:space="preserve">Smithsonian Magazine, </w:t>
      </w:r>
      <w:r>
        <w:t>December 2014, &lt;</w:t>
      </w:r>
      <w:hyperlink r:id="rId9" w:history="1">
        <w:r>
          <w:rPr>
            <w:rStyle w:val="Hyperlink"/>
          </w:rPr>
          <w:t>https://www.smithsonianmag.com/history/horrific-sand-creek-massacre-will-be-forgotten-no-more-180953403/</w:t>
        </w:r>
      </w:hyperlink>
      <w:r>
        <w:t>&gt; [accessed 30</w:t>
      </w:r>
      <w:r>
        <w:rPr>
          <w:vertAlign w:val="superscript"/>
        </w:rPr>
        <w:t>th</w:t>
      </w:r>
      <w:r>
        <w:t xml:space="preserve"> May 2022]</w:t>
      </w:r>
    </w:p>
  </w:footnote>
  <w:footnote w:id="43">
    <w:p w14:paraId="21FC4450" w14:textId="77777777" w:rsidR="006A5202" w:rsidRDefault="006A5202" w:rsidP="006A5202">
      <w:pPr>
        <w:pStyle w:val="FootnoteText"/>
      </w:pPr>
      <w:r>
        <w:rPr>
          <w:rStyle w:val="FootnoteReference"/>
        </w:rPr>
        <w:footnoteRef/>
      </w:r>
      <w:r>
        <w:t xml:space="preserve"> S. </w:t>
      </w:r>
      <w:proofErr w:type="spellStart"/>
      <w:r>
        <w:t>Huhndorf</w:t>
      </w:r>
      <w:proofErr w:type="spellEnd"/>
      <w:r>
        <w:t xml:space="preserve">, </w:t>
      </w:r>
      <w:r>
        <w:rPr>
          <w:i/>
          <w:iCs/>
        </w:rPr>
        <w:t>Going Native: Indians in the American Cultural Imagination</w:t>
      </w:r>
      <w:r>
        <w:t>, (New York: Cornell University Press, 2001) p. 15</w:t>
      </w:r>
    </w:p>
  </w:footnote>
  <w:footnote w:id="44">
    <w:p w14:paraId="65D5679C" w14:textId="77777777" w:rsidR="006A5202" w:rsidRDefault="006A5202" w:rsidP="006A5202">
      <w:pPr>
        <w:pStyle w:val="FootnoteText"/>
      </w:pPr>
      <w:r>
        <w:rPr>
          <w:rStyle w:val="FootnoteReference"/>
        </w:rPr>
        <w:footnoteRef/>
      </w:r>
      <w:r>
        <w:t xml:space="preserve"> </w:t>
      </w:r>
      <w:proofErr w:type="spellStart"/>
      <w:r>
        <w:t>Huhndorf</w:t>
      </w:r>
      <w:proofErr w:type="spellEnd"/>
      <w:r>
        <w:t xml:space="preserve">, </w:t>
      </w:r>
      <w:r>
        <w:rPr>
          <w:i/>
          <w:iCs/>
        </w:rPr>
        <w:t xml:space="preserve">Going Native: Indians in the American Cultural Imagination, </w:t>
      </w:r>
      <w:r>
        <w:t>p.15</w:t>
      </w:r>
    </w:p>
  </w:footnote>
  <w:footnote w:id="45">
    <w:p w14:paraId="46F4AE81" w14:textId="77777777" w:rsidR="006A5202" w:rsidRDefault="006A5202" w:rsidP="006A5202">
      <w:pPr>
        <w:pStyle w:val="FootnoteText"/>
      </w:pPr>
      <w:r>
        <w:rPr>
          <w:rStyle w:val="FootnoteReference"/>
        </w:rPr>
        <w:footnoteRef/>
      </w:r>
      <w:r>
        <w:t xml:space="preserve"> Tsosie, ‘Reclaiming Native Stories: An Essay on Cultural Appropriation and Cultural Rights’ p. 300</w:t>
      </w:r>
    </w:p>
  </w:footnote>
  <w:footnote w:id="46">
    <w:p w14:paraId="33D754BE" w14:textId="77777777" w:rsidR="006A5202" w:rsidRDefault="006A5202" w:rsidP="006A5202">
      <w:pPr>
        <w:pStyle w:val="FootnoteText"/>
      </w:pPr>
      <w:r>
        <w:rPr>
          <w:rStyle w:val="FootnoteReference"/>
        </w:rPr>
        <w:footnoteRef/>
      </w:r>
      <w:r>
        <w:t xml:space="preserve"> Tsosie, ‘Reclaiming Native Stories: An Essay on Cultural Appropriation and Cultural Rights’ p. 300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7D3CB2"/>
    <w:rsid w:val="00022B7E"/>
    <w:rsid w:val="000E031A"/>
    <w:rsid w:val="001906B6"/>
    <w:rsid w:val="00204EAB"/>
    <w:rsid w:val="005E7A7B"/>
    <w:rsid w:val="00600802"/>
    <w:rsid w:val="00632A6F"/>
    <w:rsid w:val="006A5202"/>
    <w:rsid w:val="00792FEC"/>
    <w:rsid w:val="007D3CB2"/>
    <w:rsid w:val="00927F8B"/>
    <w:rsid w:val="009376FF"/>
    <w:rsid w:val="00AF1E21"/>
    <w:rsid w:val="00B33D8B"/>
    <w:rsid w:val="00C75371"/>
    <w:rsid w:val="00CB151D"/>
    <w:rsid w:val="00DE6FB6"/>
    <w:rsid w:val="00FA18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63E288"/>
  <w15:docId w15:val="{C34C8C66-CFDB-48CD-9598-E1DD3F079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3E762A"/>
      <w:sz w:val="32"/>
      <w:szCs w:val="32"/>
    </w:rPr>
  </w:style>
  <w:style w:type="paragraph" w:styleId="Heading2">
    <w:name w:val="heading 2"/>
    <w:basedOn w:val="Normal"/>
    <w:next w:val="Normal"/>
    <w:uiPriority w:val="9"/>
    <w:semiHidden/>
    <w:unhideWhenUsed/>
    <w:qFormat/>
    <w:pPr>
      <w:keepNext/>
      <w:keepLines/>
      <w:spacing w:before="40" w:after="0"/>
      <w:outlineLvl w:val="1"/>
    </w:pPr>
    <w:rPr>
      <w:rFonts w:ascii="Calibri Light" w:eastAsia="Times New Roman" w:hAnsi="Calibri Light"/>
      <w:color w:val="3E762A"/>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olor w:val="3E762A"/>
      <w:sz w:val="32"/>
      <w:szCs w:val="32"/>
    </w:rPr>
  </w:style>
  <w:style w:type="character" w:customStyle="1" w:styleId="Heading2Char">
    <w:name w:val="Heading 2 Char"/>
    <w:basedOn w:val="DefaultParagraphFont"/>
    <w:rPr>
      <w:rFonts w:ascii="Calibri Light" w:eastAsia="Times New Roman" w:hAnsi="Calibri Light"/>
      <w:color w:val="3E762A"/>
      <w:sz w:val="26"/>
      <w:szCs w:val="26"/>
    </w:rPr>
  </w:style>
  <w:style w:type="paragraph" w:styleId="Subtitle">
    <w:name w:val="Subtitle"/>
    <w:basedOn w:val="Normal"/>
    <w:next w:val="Normal"/>
    <w:uiPriority w:val="11"/>
    <w:qFormat/>
    <w:rPr>
      <w:rFonts w:eastAsia="Times New Roman"/>
      <w:color w:val="5A5A5A"/>
      <w:spacing w:val="15"/>
    </w:rPr>
  </w:style>
  <w:style w:type="character" w:customStyle="1" w:styleId="SubtitleChar">
    <w:name w:val="Subtitle Char"/>
    <w:basedOn w:val="DefaultParagraphFont"/>
    <w:rPr>
      <w:rFonts w:eastAsia="Times New Roman"/>
      <w:color w:val="5A5A5A"/>
      <w:spacing w:val="15"/>
    </w:rPr>
  </w:style>
  <w:style w:type="paragraph" w:styleId="FootnoteText">
    <w:name w:val="footnote text"/>
    <w:basedOn w:val="Normal"/>
    <w:pPr>
      <w:spacing w:after="0"/>
    </w:pPr>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character" w:styleId="FollowedHyperlink">
    <w:name w:val="FollowedHyperlink"/>
    <w:basedOn w:val="DefaultParagraphFont"/>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3155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fashion/2014/jul/30/why-the-fashion-headdress-must-be-stopped"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smithsonianmag.com/history/horrific-sand-creek-massacre-will-be-forgotten-no-more-180953403/"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ytimes.com/2020/01/31/learning/is-it-offensive-for-sports-teams-and-their-fans-to-use-native-american-names-imagery-and-gestures.html" TargetMode="External"/><Relationship Id="rId11" Type="http://schemas.openxmlformats.org/officeDocument/2006/relationships/hyperlink" Target="https://pluralism.org/files/pluralism/files/the_powwow-_sacred_and_secular_meet.pdf" TargetMode="External"/><Relationship Id="rId5" Type="http://schemas.openxmlformats.org/officeDocument/2006/relationships/endnotes" Target="endnotes.xml"/><Relationship Id="rId10" Type="http://schemas.openxmlformats.org/officeDocument/2006/relationships/hyperlink" Target="https://www.cbc.ca/news/indigenous/behind-first-nations-headdresses-1.3506224" TargetMode="External"/><Relationship Id="rId4" Type="http://schemas.openxmlformats.org/officeDocument/2006/relationships/footnotes" Target="footnotes.xml"/><Relationship Id="rId9" Type="http://schemas.openxmlformats.org/officeDocument/2006/relationships/hyperlink" Target="https://www.huffingtonpost.co.uk/entry/karlie-kloss-victorias-secret-headdress-fashion-show_n_2091958"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smithsonianmag.com/history/horrific-sand-creek-massacre-will-be-forgotten-no-more-180953403/" TargetMode="External"/><Relationship Id="rId3" Type="http://schemas.openxmlformats.org/officeDocument/2006/relationships/hyperlink" Target="https://www.cbc.ca/news/indigenous/behind-first-nations-headdresses-1.3506224" TargetMode="External"/><Relationship Id="rId7" Type="http://schemas.openxmlformats.org/officeDocument/2006/relationships/hyperlink" Target="https://summerzah.com/zah-unplugged" TargetMode="External"/><Relationship Id="rId2" Type="http://schemas.openxmlformats.org/officeDocument/2006/relationships/hyperlink" Target="https://www.theguardian.com/fashion/2014/jul/30/why-the-fashion-headdress-must-be-stopped" TargetMode="External"/><Relationship Id="rId1" Type="http://schemas.openxmlformats.org/officeDocument/2006/relationships/hyperlink" Target="https://www.oxfordlearnersdictionaries.com/definition/english/cultural-appropriation" TargetMode="External"/><Relationship Id="rId6" Type="http://schemas.openxmlformats.org/officeDocument/2006/relationships/hyperlink" Target="https://www.nytimes.com/2020/01/31/learning/is-it-offensive-for-sports-teams-and-their-fans-to-use-native-american-names-imagery-and-gestures.html" TargetMode="External"/><Relationship Id="rId5" Type="http://schemas.openxmlformats.org/officeDocument/2006/relationships/hyperlink" Target="https://www.huffingtonpost.co.uk/entry/karlie-kloss-victorias-secret-headdress-fashion-show_n_2091958" TargetMode="External"/><Relationship Id="rId4" Type="http://schemas.openxmlformats.org/officeDocument/2006/relationships/hyperlink" Target="https://pluralism.org/files/pluralism/files/the_powwow-_sacred_and_secular_meet.pdf" TargetMode="External"/><Relationship Id="rId9" Type="http://schemas.openxmlformats.org/officeDocument/2006/relationships/hyperlink" Target="https://www.smithsonianmag.com/history/horrific-sand-creek-massacre-will-be-forgotten-no-more-18095340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4246</Words>
  <Characters>22805</Characters>
  <Application>Microsoft Office Word</Application>
  <DocSecurity>0</DocSecurity>
  <Lines>292</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Watts (1901401)</dc:creator>
  <dc:description/>
  <cp:lastModifiedBy>Caitlin Watts (1901401)</cp:lastModifiedBy>
  <cp:revision>3</cp:revision>
  <dcterms:created xsi:type="dcterms:W3CDTF">2022-05-31T14:13:00Z</dcterms:created>
  <dcterms:modified xsi:type="dcterms:W3CDTF">2022-05-31T14:14:00Z</dcterms:modified>
</cp:coreProperties>
</file>