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06590" w14:textId="77777777" w:rsidR="006957DA" w:rsidRDefault="006957DA"/>
    <w:p w14:paraId="0F7099D9" w14:textId="77777777" w:rsidR="006957DA" w:rsidRDefault="006957DA"/>
    <w:p w14:paraId="1A5548CD" w14:textId="70C3A2BE" w:rsidR="006957DA" w:rsidRPr="0042009D" w:rsidRDefault="0042009D">
      <w:pPr>
        <w:rPr>
          <w:sz w:val="32"/>
          <w:szCs w:val="32"/>
        </w:rPr>
      </w:pPr>
      <w:r w:rsidRPr="0042009D">
        <w:rPr>
          <w:sz w:val="32"/>
          <w:szCs w:val="32"/>
        </w:rPr>
        <w:t>LCBB6002</w:t>
      </w:r>
    </w:p>
    <w:p w14:paraId="00408D4F" w14:textId="77777777" w:rsidR="006957DA" w:rsidRDefault="006957DA" w:rsidP="006957DA"/>
    <w:p w14:paraId="4779B35D" w14:textId="77777777" w:rsidR="006957DA" w:rsidRDefault="006957DA" w:rsidP="006957DA"/>
    <w:p w14:paraId="22E2E250" w14:textId="77777777" w:rsidR="006957DA" w:rsidRDefault="006957DA" w:rsidP="006957DA"/>
    <w:p w14:paraId="75F460BC" w14:textId="0B022832" w:rsidR="006957DA" w:rsidRPr="006957DA" w:rsidRDefault="006957DA" w:rsidP="006957DA">
      <w:pPr>
        <w:pStyle w:val="NormalWeb"/>
        <w:jc w:val="center"/>
        <w:rPr>
          <w:sz w:val="48"/>
          <w:szCs w:val="48"/>
        </w:rPr>
      </w:pPr>
      <w:r w:rsidRPr="006957DA">
        <w:rPr>
          <w:rFonts w:ascii="Arial" w:hAnsi="Arial" w:cs="Arial"/>
          <w:sz w:val="48"/>
          <w:szCs w:val="48"/>
        </w:rPr>
        <w:t>International Financial Management</w:t>
      </w:r>
    </w:p>
    <w:p w14:paraId="2061FFDE" w14:textId="306515D4" w:rsidR="006957DA" w:rsidRPr="006957DA" w:rsidRDefault="006957DA" w:rsidP="006957DA">
      <w:pPr>
        <w:jc w:val="center"/>
        <w:rPr>
          <w:rFonts w:ascii="Arial" w:eastAsia="Times New Roman" w:hAnsi="Arial" w:cs="Arial"/>
          <w:sz w:val="48"/>
          <w:szCs w:val="48"/>
          <w:lang w:eastAsia="en-GB"/>
        </w:rPr>
      </w:pPr>
      <w:r w:rsidRPr="006957DA">
        <w:rPr>
          <w:rFonts w:ascii="Arial" w:eastAsia="Times New Roman" w:hAnsi="Arial" w:cs="Arial"/>
          <w:sz w:val="48"/>
          <w:szCs w:val="48"/>
          <w:lang w:eastAsia="en-GB"/>
        </w:rPr>
        <w:t xml:space="preserve">Assessment 1 </w:t>
      </w:r>
    </w:p>
    <w:p w14:paraId="56F69335" w14:textId="1B117988" w:rsidR="006957DA" w:rsidRPr="009B2B0E" w:rsidRDefault="009B2B0E" w:rsidP="009B2B0E">
      <w:pPr>
        <w:jc w:val="center"/>
        <w:rPr>
          <w:b/>
          <w:bCs/>
          <w:sz w:val="32"/>
          <w:szCs w:val="32"/>
        </w:rPr>
      </w:pPr>
      <w:r w:rsidRPr="009B2B0E">
        <w:rPr>
          <w:rFonts w:ascii="Segoe UI" w:hAnsi="Segoe UI" w:cs="Segoe UI"/>
          <w:b/>
          <w:bCs/>
          <w:color w:val="374151"/>
          <w:sz w:val="32"/>
          <w:szCs w:val="32"/>
        </w:rPr>
        <w:t>Coca-Cola Company</w:t>
      </w:r>
    </w:p>
    <w:p w14:paraId="4C7A37C9" w14:textId="77777777" w:rsidR="006957DA" w:rsidRDefault="006957DA" w:rsidP="006957DA"/>
    <w:p w14:paraId="07BB0A91" w14:textId="77777777" w:rsidR="006957DA" w:rsidRDefault="006957DA" w:rsidP="006957DA"/>
    <w:p w14:paraId="09F1D21E" w14:textId="77777777" w:rsidR="006957DA" w:rsidRDefault="006957DA" w:rsidP="006957DA"/>
    <w:p w14:paraId="1D167855" w14:textId="77777777" w:rsidR="006957DA" w:rsidRDefault="006957DA" w:rsidP="006957DA"/>
    <w:p w14:paraId="02130789" w14:textId="77777777" w:rsidR="006957DA" w:rsidRDefault="006957DA" w:rsidP="006957DA"/>
    <w:p w14:paraId="2F14BE28" w14:textId="77777777" w:rsidR="006957DA" w:rsidRDefault="006957DA" w:rsidP="006957DA"/>
    <w:p w14:paraId="49CFBE87" w14:textId="77777777" w:rsidR="006957DA" w:rsidRDefault="006957DA" w:rsidP="006957DA"/>
    <w:p w14:paraId="41CD2226" w14:textId="77777777" w:rsidR="006957DA" w:rsidRDefault="006957DA" w:rsidP="006957DA"/>
    <w:p w14:paraId="75A3F53A" w14:textId="77777777" w:rsidR="006957DA" w:rsidRDefault="006957DA" w:rsidP="006957DA"/>
    <w:p w14:paraId="2E03A1B7" w14:textId="77777777" w:rsidR="006957DA" w:rsidRDefault="006957DA" w:rsidP="006957DA"/>
    <w:p w14:paraId="5C5FB5D5" w14:textId="5FB95087" w:rsidR="006957DA" w:rsidRDefault="006957DA" w:rsidP="006957DA">
      <w:pPr>
        <w:pStyle w:val="Normal1"/>
        <w:rPr>
          <w:sz w:val="32"/>
          <w:szCs w:val="32"/>
        </w:rPr>
      </w:pPr>
      <w:r w:rsidRPr="005039F1">
        <w:rPr>
          <w:sz w:val="32"/>
          <w:szCs w:val="32"/>
        </w:rPr>
        <w:t xml:space="preserve">Module Tutor: </w:t>
      </w:r>
      <w:r w:rsidR="00F54AE7">
        <w:rPr>
          <w:sz w:val="32"/>
          <w:szCs w:val="32"/>
        </w:rPr>
        <w:t>Thomas Adeyemi</w:t>
      </w:r>
    </w:p>
    <w:p w14:paraId="5ECF89BD" w14:textId="503968A1" w:rsidR="006957DA" w:rsidRPr="005039F1" w:rsidRDefault="006957DA" w:rsidP="006957DA">
      <w:pPr>
        <w:jc w:val="both"/>
        <w:rPr>
          <w:sz w:val="32"/>
          <w:szCs w:val="32"/>
        </w:rPr>
      </w:pPr>
      <w:r w:rsidRPr="005039F1">
        <w:rPr>
          <w:sz w:val="32"/>
          <w:szCs w:val="32"/>
        </w:rPr>
        <w:t xml:space="preserve">Student: </w:t>
      </w:r>
      <w:r w:rsidR="009B2B0E">
        <w:rPr>
          <w:sz w:val="32"/>
          <w:szCs w:val="32"/>
        </w:rPr>
        <w:t>Simona Radulescu</w:t>
      </w:r>
      <w:r>
        <w:rPr>
          <w:sz w:val="32"/>
          <w:szCs w:val="32"/>
        </w:rPr>
        <w:t xml:space="preserve">     </w:t>
      </w:r>
      <w:r w:rsidR="00CC2E02">
        <w:rPr>
          <w:sz w:val="32"/>
          <w:szCs w:val="32"/>
        </w:rPr>
        <w:t>2023029</w:t>
      </w:r>
    </w:p>
    <w:p w14:paraId="4A497CAB" w14:textId="77777777" w:rsidR="006957DA" w:rsidRDefault="006957DA"/>
    <w:p w14:paraId="55D0338A" w14:textId="77777777" w:rsidR="006957DA" w:rsidRDefault="006957DA"/>
    <w:p w14:paraId="1546C416" w14:textId="77777777" w:rsidR="006957DA" w:rsidRDefault="006957DA"/>
    <w:p w14:paraId="00FD9DE5" w14:textId="77777777" w:rsidR="006957DA" w:rsidRDefault="006957DA"/>
    <w:p w14:paraId="1F2F3007" w14:textId="77777777" w:rsidR="006957DA" w:rsidRDefault="006957DA"/>
    <w:p w14:paraId="4FA42492" w14:textId="77777777" w:rsidR="0038553F" w:rsidRDefault="0038553F">
      <w:pPr>
        <w:rPr>
          <w:rFonts w:asciiTheme="majorHAnsi" w:eastAsiaTheme="majorEastAsia" w:hAnsiTheme="majorHAnsi" w:cstheme="majorBidi"/>
          <w:b/>
          <w:bCs/>
          <w:color w:val="2F5496" w:themeColor="accent1" w:themeShade="BF"/>
          <w:sz w:val="28"/>
          <w:szCs w:val="28"/>
          <w:lang w:val="en-US"/>
        </w:rPr>
      </w:pPr>
    </w:p>
    <w:p w14:paraId="32E1C822" w14:textId="77777777" w:rsidR="0038553F" w:rsidRDefault="0038553F">
      <w:pPr>
        <w:rPr>
          <w:rFonts w:asciiTheme="majorHAnsi" w:eastAsiaTheme="majorEastAsia" w:hAnsiTheme="majorHAnsi" w:cstheme="majorBidi"/>
          <w:b/>
          <w:bCs/>
          <w:color w:val="2F5496" w:themeColor="accent1" w:themeShade="BF"/>
          <w:sz w:val="28"/>
          <w:szCs w:val="28"/>
          <w:lang w:val="en-US"/>
        </w:rPr>
      </w:pPr>
    </w:p>
    <w:p w14:paraId="7473727D" w14:textId="77777777" w:rsidR="0038553F" w:rsidRDefault="0038553F">
      <w:pPr>
        <w:rPr>
          <w:rFonts w:asciiTheme="majorHAnsi" w:eastAsiaTheme="majorEastAsia" w:hAnsiTheme="majorHAnsi" w:cstheme="majorBidi"/>
          <w:b/>
          <w:bCs/>
          <w:color w:val="2F5496" w:themeColor="accent1" w:themeShade="BF"/>
          <w:sz w:val="28"/>
          <w:szCs w:val="28"/>
          <w:lang w:val="en-US"/>
        </w:rPr>
      </w:pPr>
    </w:p>
    <w:p w14:paraId="68F2A3B8" w14:textId="77777777" w:rsidR="001464D7" w:rsidRPr="0042009D" w:rsidRDefault="001464D7">
      <w:pPr>
        <w:rPr>
          <w:sz w:val="24"/>
          <w:szCs w:val="24"/>
        </w:rPr>
      </w:pPr>
    </w:p>
    <w:p w14:paraId="6C9B57F2" w14:textId="77777777" w:rsidR="0038553F" w:rsidRPr="0042009D" w:rsidRDefault="0038553F">
      <w:pPr>
        <w:rPr>
          <w:rFonts w:ascii="Segoe UI" w:hAnsi="Segoe UI" w:cs="Segoe UI"/>
          <w:b/>
          <w:bCs/>
          <w:color w:val="374151"/>
          <w:sz w:val="24"/>
          <w:szCs w:val="24"/>
        </w:rPr>
      </w:pPr>
    </w:p>
    <w:p w14:paraId="1EE4A9DC" w14:textId="03ED8CD0" w:rsidR="0038553F" w:rsidRPr="0042009D" w:rsidRDefault="0038553F">
      <w:pPr>
        <w:rPr>
          <w:rFonts w:ascii="Segoe UI" w:hAnsi="Segoe UI" w:cs="Segoe UI"/>
          <w:b/>
          <w:bCs/>
          <w:color w:val="374151"/>
          <w:sz w:val="24"/>
          <w:szCs w:val="24"/>
        </w:rPr>
      </w:pPr>
      <w:r w:rsidRPr="0042009D">
        <w:rPr>
          <w:rFonts w:ascii="Segoe UI" w:hAnsi="Segoe UI" w:cs="Segoe UI"/>
          <w:b/>
          <w:bCs/>
          <w:color w:val="374151"/>
          <w:sz w:val="24"/>
          <w:szCs w:val="24"/>
        </w:rPr>
        <w:t>Table of Contents</w:t>
      </w:r>
    </w:p>
    <w:p w14:paraId="40AC68C9" w14:textId="77777777" w:rsidR="0038553F" w:rsidRPr="0042009D" w:rsidRDefault="0038553F">
      <w:pPr>
        <w:rPr>
          <w:rFonts w:ascii="Segoe UI" w:hAnsi="Segoe UI" w:cs="Segoe UI"/>
          <w:b/>
          <w:bCs/>
          <w:color w:val="374151"/>
          <w:sz w:val="24"/>
          <w:szCs w:val="24"/>
        </w:rPr>
      </w:pPr>
    </w:p>
    <w:p w14:paraId="05070F58" w14:textId="77777777" w:rsidR="0038553F" w:rsidRPr="0042009D" w:rsidRDefault="0038553F">
      <w:pPr>
        <w:rPr>
          <w:rFonts w:ascii="Segoe UI" w:hAnsi="Segoe UI" w:cs="Segoe UI"/>
          <w:b/>
          <w:bCs/>
          <w:color w:val="374151"/>
          <w:sz w:val="24"/>
          <w:szCs w:val="24"/>
        </w:rPr>
      </w:pPr>
    </w:p>
    <w:p w14:paraId="25E0790F" w14:textId="77777777" w:rsidR="0038553F" w:rsidRPr="0042009D" w:rsidRDefault="0038553F">
      <w:pPr>
        <w:rPr>
          <w:rFonts w:ascii="Segoe UI" w:hAnsi="Segoe UI" w:cs="Segoe UI"/>
          <w:b/>
          <w:bCs/>
          <w:color w:val="374151"/>
          <w:sz w:val="24"/>
          <w:szCs w:val="24"/>
        </w:rPr>
      </w:pPr>
    </w:p>
    <w:p w14:paraId="6ADDFE8D" w14:textId="644A0F80" w:rsidR="0038553F" w:rsidRPr="0042009D" w:rsidRDefault="0038553F">
      <w:pPr>
        <w:rPr>
          <w:rFonts w:ascii="Segoe UI" w:hAnsi="Segoe UI" w:cs="Segoe UI"/>
          <w:b/>
          <w:bCs/>
          <w:color w:val="374151"/>
          <w:sz w:val="24"/>
          <w:szCs w:val="24"/>
        </w:rPr>
      </w:pPr>
      <w:r w:rsidRPr="0042009D">
        <w:rPr>
          <w:rFonts w:ascii="Segoe UI" w:hAnsi="Segoe UI" w:cs="Segoe UI"/>
          <w:b/>
          <w:bCs/>
          <w:color w:val="374151"/>
          <w:sz w:val="24"/>
          <w:szCs w:val="24"/>
        </w:rPr>
        <w:t>Introduction……………………………………………………………………………3</w:t>
      </w:r>
    </w:p>
    <w:p w14:paraId="1A7DDB15" w14:textId="4760FD61" w:rsidR="0038553F" w:rsidRPr="009B2B0E" w:rsidRDefault="009B2B0E" w:rsidP="0038553F">
      <w:pPr>
        <w:rPr>
          <w:rFonts w:ascii="Segoe UI" w:hAnsi="Segoe UI" w:cs="Segoe UI"/>
          <w:b/>
          <w:bCs/>
          <w:color w:val="374151"/>
          <w:sz w:val="24"/>
          <w:szCs w:val="24"/>
        </w:rPr>
      </w:pPr>
      <w:r w:rsidRPr="009B2B0E">
        <w:rPr>
          <w:rFonts w:ascii="Segoe UI" w:hAnsi="Segoe UI" w:cs="Segoe UI"/>
          <w:b/>
          <w:bCs/>
          <w:color w:val="374151"/>
          <w:sz w:val="24"/>
          <w:szCs w:val="24"/>
        </w:rPr>
        <w:t>Dividend Distribution Policy</w:t>
      </w:r>
      <w:r w:rsidR="0038553F" w:rsidRPr="009B2B0E">
        <w:rPr>
          <w:rFonts w:ascii="Segoe UI" w:hAnsi="Segoe UI" w:cs="Segoe UI"/>
          <w:b/>
          <w:bCs/>
          <w:color w:val="374151"/>
          <w:sz w:val="24"/>
          <w:szCs w:val="24"/>
        </w:rPr>
        <w:t>……………………</w:t>
      </w:r>
      <w:r>
        <w:rPr>
          <w:rFonts w:ascii="Segoe UI" w:hAnsi="Segoe UI" w:cs="Segoe UI"/>
          <w:b/>
          <w:bCs/>
          <w:color w:val="374151"/>
          <w:sz w:val="24"/>
          <w:szCs w:val="24"/>
        </w:rPr>
        <w:t>……….</w:t>
      </w:r>
      <w:r w:rsidR="0038553F" w:rsidRPr="009B2B0E">
        <w:rPr>
          <w:rFonts w:ascii="Segoe UI" w:hAnsi="Segoe UI" w:cs="Segoe UI"/>
          <w:b/>
          <w:bCs/>
          <w:color w:val="374151"/>
          <w:sz w:val="24"/>
          <w:szCs w:val="24"/>
        </w:rPr>
        <w:t>………………………….</w:t>
      </w:r>
      <w:r w:rsidR="00CC2E02">
        <w:rPr>
          <w:rFonts w:ascii="Segoe UI" w:hAnsi="Segoe UI" w:cs="Segoe UI"/>
          <w:b/>
          <w:bCs/>
          <w:color w:val="374151"/>
          <w:sz w:val="24"/>
          <w:szCs w:val="24"/>
        </w:rPr>
        <w:t>3</w:t>
      </w:r>
    </w:p>
    <w:p w14:paraId="6C23AAA9" w14:textId="77777777" w:rsidR="009B2B0E" w:rsidRPr="009B2B0E" w:rsidRDefault="0038553F" w:rsidP="009B2B0E">
      <w:pPr>
        <w:rPr>
          <w:rFonts w:ascii="Times New Roman" w:hAnsi="Times New Roman" w:cs="Times New Roman"/>
          <w:color w:val="374151"/>
          <w:sz w:val="24"/>
          <w:szCs w:val="24"/>
        </w:rPr>
      </w:pPr>
      <w:r w:rsidRPr="009B2B0E">
        <w:rPr>
          <w:rFonts w:ascii="Segoe UI" w:hAnsi="Segoe UI" w:cs="Segoe UI"/>
          <w:b/>
          <w:bCs/>
          <w:color w:val="374151"/>
          <w:sz w:val="24"/>
          <w:szCs w:val="24"/>
        </w:rPr>
        <w:t xml:space="preserve">  </w:t>
      </w:r>
    </w:p>
    <w:p w14:paraId="3F38E4AE" w14:textId="4CE6C641" w:rsidR="0038553F" w:rsidRPr="009B2B0E" w:rsidRDefault="009B2B0E" w:rsidP="0038553F">
      <w:pPr>
        <w:rPr>
          <w:rFonts w:ascii="Times New Roman" w:hAnsi="Times New Roman" w:cs="Times New Roman"/>
          <w:b/>
          <w:bCs/>
          <w:color w:val="374151"/>
          <w:sz w:val="24"/>
          <w:szCs w:val="24"/>
        </w:rPr>
      </w:pPr>
      <w:r w:rsidRPr="009B2B0E">
        <w:rPr>
          <w:rFonts w:ascii="Segoe UI" w:hAnsi="Segoe UI" w:cs="Segoe UI"/>
          <w:b/>
          <w:bCs/>
          <w:color w:val="374151"/>
          <w:sz w:val="24"/>
          <w:szCs w:val="24"/>
        </w:rPr>
        <w:t>Efficient Market Hypothesis (EMH) Theor</w:t>
      </w:r>
      <w:r>
        <w:rPr>
          <w:rFonts w:ascii="Segoe UI" w:hAnsi="Segoe UI" w:cs="Segoe UI"/>
          <w:b/>
          <w:bCs/>
          <w:color w:val="374151"/>
          <w:sz w:val="24"/>
          <w:szCs w:val="24"/>
        </w:rPr>
        <w:t>y..</w:t>
      </w:r>
      <w:r w:rsidR="0038553F" w:rsidRPr="009B2B0E">
        <w:rPr>
          <w:rFonts w:ascii="Segoe UI" w:hAnsi="Segoe UI" w:cs="Segoe UI"/>
          <w:b/>
          <w:bCs/>
          <w:color w:val="374151"/>
          <w:sz w:val="24"/>
          <w:szCs w:val="24"/>
        </w:rPr>
        <w:t>………………</w:t>
      </w:r>
      <w:r>
        <w:rPr>
          <w:rFonts w:ascii="Segoe UI" w:hAnsi="Segoe UI" w:cs="Segoe UI"/>
          <w:b/>
          <w:bCs/>
          <w:color w:val="374151"/>
          <w:sz w:val="24"/>
          <w:szCs w:val="24"/>
        </w:rPr>
        <w:t>…..</w:t>
      </w:r>
      <w:r w:rsidR="0038553F" w:rsidRPr="009B2B0E">
        <w:rPr>
          <w:rFonts w:ascii="Segoe UI" w:hAnsi="Segoe UI" w:cs="Segoe UI"/>
          <w:b/>
          <w:bCs/>
          <w:color w:val="374151"/>
          <w:sz w:val="24"/>
          <w:szCs w:val="24"/>
        </w:rPr>
        <w:t>………………..4</w:t>
      </w:r>
    </w:p>
    <w:p w14:paraId="3BD538A0" w14:textId="6CC15727" w:rsidR="0038553F" w:rsidRPr="0042009D" w:rsidRDefault="009B2B0E" w:rsidP="0038553F">
      <w:pPr>
        <w:rPr>
          <w:rFonts w:ascii="Segoe UI" w:hAnsi="Segoe UI" w:cs="Segoe UI"/>
          <w:b/>
          <w:bCs/>
          <w:color w:val="374151"/>
          <w:sz w:val="24"/>
          <w:szCs w:val="24"/>
        </w:rPr>
      </w:pPr>
      <w:r w:rsidRPr="009B2B0E">
        <w:rPr>
          <w:rFonts w:ascii="Segoe UI" w:hAnsi="Segoe UI" w:cs="Segoe UI"/>
          <w:b/>
          <w:bCs/>
          <w:color w:val="374151"/>
          <w:sz w:val="24"/>
          <w:szCs w:val="24"/>
        </w:rPr>
        <w:t>Methods of Appraising Projects</w:t>
      </w:r>
      <w:r>
        <w:rPr>
          <w:rFonts w:ascii="Segoe UI" w:hAnsi="Segoe UI" w:cs="Segoe UI"/>
          <w:b/>
          <w:bCs/>
          <w:color w:val="374151"/>
          <w:sz w:val="24"/>
          <w:szCs w:val="24"/>
        </w:rPr>
        <w:t>………………………………..</w:t>
      </w:r>
      <w:r w:rsidR="0038553F" w:rsidRPr="0042009D">
        <w:rPr>
          <w:rFonts w:ascii="Segoe UI" w:hAnsi="Segoe UI" w:cs="Segoe UI"/>
          <w:b/>
          <w:bCs/>
          <w:color w:val="374151"/>
          <w:sz w:val="24"/>
          <w:szCs w:val="24"/>
        </w:rPr>
        <w:t>…………………</w:t>
      </w:r>
      <w:r w:rsidR="00CC2E02">
        <w:rPr>
          <w:rFonts w:ascii="Segoe UI" w:hAnsi="Segoe UI" w:cs="Segoe UI"/>
          <w:b/>
          <w:bCs/>
          <w:color w:val="374151"/>
          <w:sz w:val="24"/>
          <w:szCs w:val="24"/>
        </w:rPr>
        <w:t>5</w:t>
      </w:r>
    </w:p>
    <w:p w14:paraId="5D5A1219" w14:textId="440977EB" w:rsidR="0038553F" w:rsidRPr="0042009D" w:rsidRDefault="0038553F" w:rsidP="0038553F">
      <w:pPr>
        <w:rPr>
          <w:rFonts w:ascii="Segoe UI" w:hAnsi="Segoe UI" w:cs="Segoe UI"/>
          <w:b/>
          <w:bCs/>
          <w:color w:val="374151"/>
          <w:sz w:val="24"/>
          <w:szCs w:val="24"/>
        </w:rPr>
      </w:pPr>
      <w:r w:rsidRPr="0042009D">
        <w:rPr>
          <w:rFonts w:ascii="Segoe UI" w:hAnsi="Segoe UI" w:cs="Segoe UI"/>
          <w:b/>
          <w:bCs/>
          <w:color w:val="374151"/>
          <w:sz w:val="24"/>
          <w:szCs w:val="24"/>
        </w:rPr>
        <w:t>Conclusion…………………………………………………………</w:t>
      </w:r>
      <w:r w:rsidR="0042009D">
        <w:rPr>
          <w:rFonts w:ascii="Segoe UI" w:hAnsi="Segoe UI" w:cs="Segoe UI"/>
          <w:b/>
          <w:bCs/>
          <w:color w:val="374151"/>
          <w:sz w:val="24"/>
          <w:szCs w:val="24"/>
        </w:rPr>
        <w:t>..</w:t>
      </w:r>
      <w:r w:rsidRPr="0042009D">
        <w:rPr>
          <w:rFonts w:ascii="Segoe UI" w:hAnsi="Segoe UI" w:cs="Segoe UI"/>
          <w:b/>
          <w:bCs/>
          <w:color w:val="374151"/>
          <w:sz w:val="24"/>
          <w:szCs w:val="24"/>
        </w:rPr>
        <w:t>…………………</w:t>
      </w:r>
      <w:r w:rsidR="00CC2E02">
        <w:rPr>
          <w:rFonts w:ascii="Segoe UI" w:hAnsi="Segoe UI" w:cs="Segoe UI"/>
          <w:b/>
          <w:bCs/>
          <w:color w:val="374151"/>
          <w:sz w:val="24"/>
          <w:szCs w:val="24"/>
        </w:rPr>
        <w:t>7</w:t>
      </w:r>
    </w:p>
    <w:p w14:paraId="63DCC28A" w14:textId="4F1E2801" w:rsidR="0038553F" w:rsidRPr="0042009D" w:rsidRDefault="0038553F" w:rsidP="0038553F">
      <w:pPr>
        <w:rPr>
          <w:rFonts w:ascii="Segoe UI" w:hAnsi="Segoe UI" w:cs="Segoe UI"/>
          <w:b/>
          <w:bCs/>
          <w:color w:val="374151"/>
          <w:sz w:val="24"/>
          <w:szCs w:val="24"/>
        </w:rPr>
      </w:pPr>
      <w:r w:rsidRPr="0042009D">
        <w:rPr>
          <w:rFonts w:ascii="Segoe UI" w:hAnsi="Segoe UI" w:cs="Segoe UI"/>
          <w:b/>
          <w:bCs/>
          <w:color w:val="374151"/>
          <w:sz w:val="24"/>
          <w:szCs w:val="24"/>
        </w:rPr>
        <w:t>References………………………………………………………………</w:t>
      </w:r>
      <w:r w:rsidR="0042009D">
        <w:rPr>
          <w:rFonts w:ascii="Segoe UI" w:hAnsi="Segoe UI" w:cs="Segoe UI"/>
          <w:b/>
          <w:bCs/>
          <w:color w:val="374151"/>
          <w:sz w:val="24"/>
          <w:szCs w:val="24"/>
        </w:rPr>
        <w:t>..</w:t>
      </w:r>
      <w:r w:rsidRPr="0042009D">
        <w:rPr>
          <w:rFonts w:ascii="Segoe UI" w:hAnsi="Segoe UI" w:cs="Segoe UI"/>
          <w:b/>
          <w:bCs/>
          <w:color w:val="374151"/>
          <w:sz w:val="24"/>
          <w:szCs w:val="24"/>
        </w:rPr>
        <w:t>……………</w:t>
      </w:r>
      <w:r w:rsidR="00CC2E02">
        <w:rPr>
          <w:rFonts w:ascii="Segoe UI" w:hAnsi="Segoe UI" w:cs="Segoe UI"/>
          <w:b/>
          <w:bCs/>
          <w:color w:val="374151"/>
          <w:sz w:val="24"/>
          <w:szCs w:val="24"/>
        </w:rPr>
        <w:t>8</w:t>
      </w:r>
    </w:p>
    <w:p w14:paraId="51CCE0B4" w14:textId="77777777" w:rsidR="0038553F" w:rsidRPr="0038553F" w:rsidRDefault="0038553F" w:rsidP="0038553F">
      <w:pPr>
        <w:rPr>
          <w:rFonts w:ascii="Segoe UI" w:hAnsi="Segoe UI" w:cs="Segoe UI"/>
          <w:b/>
          <w:bCs/>
          <w:color w:val="374151"/>
        </w:rPr>
      </w:pPr>
    </w:p>
    <w:p w14:paraId="406008A8" w14:textId="77777777" w:rsidR="0038553F" w:rsidRDefault="0038553F" w:rsidP="0038553F">
      <w:pPr>
        <w:rPr>
          <w:rFonts w:ascii="Segoe UI" w:hAnsi="Segoe UI" w:cs="Segoe UI"/>
          <w:color w:val="374151"/>
        </w:rPr>
      </w:pPr>
    </w:p>
    <w:p w14:paraId="6CD56B07" w14:textId="77777777" w:rsidR="0038553F" w:rsidRDefault="0038553F">
      <w:pPr>
        <w:rPr>
          <w:rFonts w:asciiTheme="majorHAnsi" w:eastAsiaTheme="majorEastAsia" w:hAnsiTheme="majorHAnsi" w:cstheme="majorBidi"/>
          <w:b/>
          <w:bCs/>
          <w:color w:val="4472C4" w:themeColor="accent1"/>
          <w:spacing w:val="20"/>
          <w:sz w:val="32"/>
          <w:szCs w:val="28"/>
        </w:rPr>
      </w:pPr>
    </w:p>
    <w:p w14:paraId="1F9EC034" w14:textId="77777777" w:rsidR="0038553F" w:rsidRDefault="0038553F">
      <w:pPr>
        <w:rPr>
          <w:rFonts w:asciiTheme="majorHAnsi" w:eastAsiaTheme="majorEastAsia" w:hAnsiTheme="majorHAnsi" w:cstheme="majorBidi"/>
          <w:b/>
          <w:bCs/>
          <w:color w:val="4472C4" w:themeColor="accent1"/>
          <w:spacing w:val="20"/>
          <w:sz w:val="32"/>
          <w:szCs w:val="28"/>
        </w:rPr>
      </w:pPr>
    </w:p>
    <w:p w14:paraId="700EB4ED" w14:textId="77777777" w:rsidR="0038553F" w:rsidRDefault="0038553F">
      <w:pPr>
        <w:rPr>
          <w:rFonts w:asciiTheme="majorHAnsi" w:eastAsiaTheme="majorEastAsia" w:hAnsiTheme="majorHAnsi" w:cstheme="majorBidi"/>
          <w:b/>
          <w:bCs/>
          <w:color w:val="4472C4" w:themeColor="accent1"/>
          <w:spacing w:val="20"/>
          <w:sz w:val="32"/>
          <w:szCs w:val="28"/>
        </w:rPr>
      </w:pPr>
    </w:p>
    <w:p w14:paraId="4DBA9205" w14:textId="77777777" w:rsidR="0038553F" w:rsidRDefault="0038553F">
      <w:pPr>
        <w:rPr>
          <w:rFonts w:asciiTheme="majorHAnsi" w:eastAsiaTheme="majorEastAsia" w:hAnsiTheme="majorHAnsi" w:cstheme="majorBidi"/>
          <w:b/>
          <w:bCs/>
          <w:color w:val="4472C4" w:themeColor="accent1"/>
          <w:spacing w:val="20"/>
          <w:sz w:val="32"/>
          <w:szCs w:val="28"/>
        </w:rPr>
      </w:pPr>
    </w:p>
    <w:p w14:paraId="24F10E47" w14:textId="77777777" w:rsidR="0038553F" w:rsidRDefault="0038553F">
      <w:pPr>
        <w:rPr>
          <w:rFonts w:asciiTheme="majorHAnsi" w:eastAsiaTheme="majorEastAsia" w:hAnsiTheme="majorHAnsi" w:cstheme="majorBidi"/>
          <w:b/>
          <w:bCs/>
          <w:color w:val="4472C4" w:themeColor="accent1"/>
          <w:spacing w:val="20"/>
          <w:sz w:val="32"/>
          <w:szCs w:val="28"/>
        </w:rPr>
      </w:pPr>
    </w:p>
    <w:p w14:paraId="49ED2F50" w14:textId="77777777" w:rsidR="0038553F" w:rsidRDefault="0038553F">
      <w:pPr>
        <w:rPr>
          <w:smallCaps/>
          <w:spacing w:val="5"/>
          <w:sz w:val="32"/>
          <w:szCs w:val="32"/>
        </w:rPr>
      </w:pPr>
    </w:p>
    <w:p w14:paraId="10A5E196" w14:textId="77777777" w:rsidR="001464D7" w:rsidRDefault="001464D7"/>
    <w:p w14:paraId="1AE91F7A" w14:textId="77777777" w:rsidR="001464D7" w:rsidRDefault="001464D7"/>
    <w:p w14:paraId="70B13AB4" w14:textId="77777777" w:rsidR="001464D7" w:rsidRDefault="001464D7"/>
    <w:p w14:paraId="2EB873A4" w14:textId="77777777" w:rsidR="006957DA" w:rsidRPr="0042009D" w:rsidRDefault="006957DA">
      <w:pPr>
        <w:rPr>
          <w:rFonts w:ascii="Times New Roman" w:hAnsi="Times New Roman" w:cs="Times New Roman"/>
          <w:sz w:val="32"/>
          <w:szCs w:val="32"/>
        </w:rPr>
      </w:pPr>
    </w:p>
    <w:p w14:paraId="2A91ED1A" w14:textId="7006B65E" w:rsidR="006957DA" w:rsidRPr="0042009D" w:rsidRDefault="006957DA" w:rsidP="006957DA">
      <w:pPr>
        <w:jc w:val="center"/>
        <w:rPr>
          <w:rFonts w:ascii="Times New Roman" w:hAnsi="Times New Roman" w:cs="Times New Roman"/>
          <w:color w:val="374151"/>
          <w:sz w:val="32"/>
          <w:szCs w:val="32"/>
        </w:rPr>
      </w:pPr>
      <w:r w:rsidRPr="0042009D">
        <w:rPr>
          <w:rFonts w:ascii="Times New Roman" w:hAnsi="Times New Roman" w:cs="Times New Roman"/>
          <w:color w:val="374151"/>
          <w:sz w:val="32"/>
          <w:szCs w:val="32"/>
        </w:rPr>
        <w:t>INTRODUCTION</w:t>
      </w:r>
    </w:p>
    <w:p w14:paraId="2AAD6B7B" w14:textId="77777777" w:rsidR="006957DA" w:rsidRDefault="006957DA" w:rsidP="009B2B0E">
      <w:pPr>
        <w:rPr>
          <w:rFonts w:ascii="Times New Roman" w:hAnsi="Times New Roman" w:cs="Times New Roman"/>
          <w:color w:val="374151"/>
          <w:sz w:val="32"/>
          <w:szCs w:val="32"/>
        </w:rPr>
      </w:pPr>
    </w:p>
    <w:p w14:paraId="0DF68443" w14:textId="22AB7F23" w:rsid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International Financial Management (IFM) is a crucial component of multinational corporations' (MNCs) global operations. It entails the management of financial risks, the formulation of investment decisions, and the optimisation of capital allocation across various international financial markets. The Coca-Cola Company, a well-known multinational corporation in the beverage industry, encounters numerous obstacles in administering its financial operations in various countries. This report analyses and evaluates the significance of IFM to Coca-Cola Company, concentrating on the company's dividend distribution policy, the efficient market hypothesis theory, and methodologies for assessing projects.</w:t>
      </w:r>
    </w:p>
    <w:p w14:paraId="1FA96A8B" w14:textId="77777777" w:rsidR="009B2B0E" w:rsidRDefault="009B2B0E" w:rsidP="009B2B0E">
      <w:pPr>
        <w:rPr>
          <w:rFonts w:ascii="Times New Roman" w:hAnsi="Times New Roman" w:cs="Times New Roman"/>
          <w:color w:val="374151"/>
          <w:sz w:val="32"/>
          <w:szCs w:val="32"/>
        </w:rPr>
      </w:pPr>
    </w:p>
    <w:p w14:paraId="20C539C4" w14:textId="277C9290" w:rsidR="009B2B0E" w:rsidRDefault="009B2B0E" w:rsidP="009B2B0E">
      <w:pPr>
        <w:rPr>
          <w:rFonts w:ascii="Segoe UI" w:hAnsi="Segoe UI" w:cs="Segoe UI"/>
          <w:b/>
          <w:bCs/>
          <w:color w:val="374151"/>
          <w:sz w:val="32"/>
          <w:szCs w:val="32"/>
        </w:rPr>
      </w:pPr>
      <w:r w:rsidRPr="009B2B0E">
        <w:rPr>
          <w:rFonts w:ascii="Segoe UI" w:hAnsi="Segoe UI" w:cs="Segoe UI"/>
          <w:b/>
          <w:bCs/>
          <w:color w:val="374151"/>
          <w:sz w:val="32"/>
          <w:szCs w:val="32"/>
        </w:rPr>
        <w:t>Dividend Distribution Policy</w:t>
      </w:r>
    </w:p>
    <w:p w14:paraId="5C95C654" w14:textId="1B284B10" w:rsidR="009B2B0E" w:rsidRP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The dividend distribution policy of Coca-Cola Company is an essential aspect of its IFM strategy. The company adheres to a consistent dividend policy that seeks to provide shareholders with consistent returns while maintaining financial stability and growth. Coca-Cola's dividend policy is predicated on the payment of a quarterly cash dividend to its shareholders, with annual increases. The company has a long history of dividend payments and has been regarded as a dependable dividend payer.</w:t>
      </w:r>
    </w:p>
    <w:p w14:paraId="366E3ED8" w14:textId="6B3E1407" w:rsid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lastRenderedPageBreak/>
        <w:t>The dividend relevance theory is one of the main IFM theories that can be used to analyse Coca-Cola's dividend distribution policy. According to this theory, dividends are pertinent to shareholders because they reveal the company's future prospects and financial health. Coca-Cola's dividend policy is consistent with this theory, as it prioritises the distribution of regular dividends to shareholders, which can be interpreted as an indication of the company's financial performance and stability.</w:t>
      </w:r>
    </w:p>
    <w:p w14:paraId="26D6935B" w14:textId="55BC6256" w:rsid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Additionally, international factors affect Coca-Cola's dividend distribution policy. The business operates in numerous nations with varying tax structures, legal requirements, and market conditions. This complicates the management of dividend payments and profit repatriation to the native country. In various international markets, currency exchange rate fluctuations, regulatory restrictions, and local market conditions can influence Coca-Cola's dividend distribution policy. Therefore, effective IFM strategies are required to navigate these obstacles and ensure shareholders receive consistent dividend payments.</w:t>
      </w:r>
    </w:p>
    <w:p w14:paraId="3DA44D83" w14:textId="77777777" w:rsidR="009B2B0E" w:rsidRDefault="009B2B0E" w:rsidP="009B2B0E">
      <w:pPr>
        <w:rPr>
          <w:rFonts w:ascii="Times New Roman" w:hAnsi="Times New Roman" w:cs="Times New Roman"/>
          <w:color w:val="374151"/>
          <w:sz w:val="32"/>
          <w:szCs w:val="32"/>
        </w:rPr>
      </w:pPr>
    </w:p>
    <w:p w14:paraId="6E251035" w14:textId="349F4D35" w:rsidR="009B2B0E" w:rsidRPr="009B2B0E" w:rsidRDefault="009B2B0E" w:rsidP="009B2B0E">
      <w:pPr>
        <w:rPr>
          <w:rFonts w:ascii="Times New Roman" w:hAnsi="Times New Roman" w:cs="Times New Roman"/>
          <w:b/>
          <w:bCs/>
          <w:color w:val="374151"/>
          <w:sz w:val="32"/>
          <w:szCs w:val="32"/>
        </w:rPr>
      </w:pPr>
      <w:r w:rsidRPr="009B2B0E">
        <w:rPr>
          <w:rFonts w:ascii="Segoe UI" w:hAnsi="Segoe UI" w:cs="Segoe UI"/>
          <w:b/>
          <w:bCs/>
          <w:color w:val="374151"/>
          <w:sz w:val="32"/>
          <w:szCs w:val="32"/>
        </w:rPr>
        <w:t>Efficient Market Hypothesis (EMH) Theory</w:t>
      </w:r>
    </w:p>
    <w:p w14:paraId="59A58C94" w14:textId="77777777" w:rsidR="009B2B0E" w:rsidRP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The Efficient Market Hypothesis (EMH) is a widely explored theory in IFM that suggests financial markets are efficient and reflect all available information, making it impossible to outperform the market consistently. The EMH theory has implications for Coca-Cola's investment decision-making process, as it applies to its operations in various international financial markets.</w:t>
      </w:r>
    </w:p>
    <w:p w14:paraId="7411EE01" w14:textId="3F0EF091" w:rsidR="006957DA"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 xml:space="preserve">According to the EMH theory, Coca-Cola's investment decisions on various international markets would be affected by the information available on those markets. To make informed investment decisions, the company would require a thorough analysis and evaluation of the </w:t>
      </w:r>
      <w:r w:rsidRPr="009B2B0E">
        <w:rPr>
          <w:rFonts w:ascii="Times New Roman" w:hAnsi="Times New Roman" w:cs="Times New Roman"/>
          <w:color w:val="374151"/>
          <w:sz w:val="32"/>
          <w:szCs w:val="32"/>
        </w:rPr>
        <w:lastRenderedPageBreak/>
        <w:t>relevant data. Additionally, when making investment decisions in various international markets, Coca-Cola would need to consider market efficiency, liquidity, and transaction costs.</w:t>
      </w:r>
    </w:p>
    <w:p w14:paraId="031CFBEF" w14:textId="096330FC" w:rsid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Nevertheless, the EMH theory has been criticised, and empirical evidence suggests that markets are not always flawlessly efficient. As a global company, Coca-Cola may confront difficulties in addressing information asymmetry, market inefficiencies, and varying degrees of transparency in various international markets. To account for these obstacles and make optimal investment decisions, the company would need to devise effective IFM strategies.</w:t>
      </w:r>
    </w:p>
    <w:p w14:paraId="031135C3" w14:textId="77777777" w:rsidR="009B2B0E" w:rsidRDefault="009B2B0E" w:rsidP="009B2B0E">
      <w:pPr>
        <w:rPr>
          <w:rFonts w:ascii="Times New Roman" w:hAnsi="Times New Roman" w:cs="Times New Roman"/>
          <w:color w:val="374151"/>
          <w:sz w:val="32"/>
          <w:szCs w:val="32"/>
        </w:rPr>
      </w:pPr>
    </w:p>
    <w:p w14:paraId="5A7248ED" w14:textId="64AB9B68" w:rsidR="009B2B0E" w:rsidRDefault="009B2B0E" w:rsidP="009B2B0E">
      <w:pPr>
        <w:rPr>
          <w:rFonts w:ascii="Segoe UI" w:hAnsi="Segoe UI" w:cs="Segoe UI"/>
          <w:b/>
          <w:bCs/>
          <w:color w:val="374151"/>
          <w:sz w:val="32"/>
          <w:szCs w:val="32"/>
        </w:rPr>
      </w:pPr>
      <w:r w:rsidRPr="009B2B0E">
        <w:rPr>
          <w:rFonts w:ascii="Segoe UI" w:hAnsi="Segoe UI" w:cs="Segoe UI"/>
          <w:b/>
          <w:bCs/>
          <w:color w:val="374151"/>
          <w:sz w:val="32"/>
          <w:szCs w:val="32"/>
        </w:rPr>
        <w:t>Methods of Appraising Projects</w:t>
      </w:r>
    </w:p>
    <w:p w14:paraId="4994E7D6" w14:textId="77777777" w:rsidR="009B2B0E" w:rsidRP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As with any other multinational corporation, Coca-Cola Company confronts challenges in evaluating and selecting projects for investment in various international markets. To maximise shareholder value, the company must evaluate the risks and returns associated with its various initiatives and allocate capital in an efficient manner.</w:t>
      </w:r>
    </w:p>
    <w:p w14:paraId="3403A3D0" w14:textId="708EE171" w:rsid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The Net Present Value (NPV) technique is one of the most popular methods for evaluating initiatives. To determine the profitability of a project, the NPV method entails discounting future financial flows to their present value and comparing it to the initial investment. Coca-Cola would need to employ this technique, along with others, to evaluate initiatives in various international markets.</w:t>
      </w:r>
    </w:p>
    <w:p w14:paraId="62FB1149" w14:textId="77777777" w:rsidR="009B2B0E" w:rsidRDefault="009B2B0E" w:rsidP="009B2B0E">
      <w:pPr>
        <w:rPr>
          <w:rFonts w:ascii="Times New Roman" w:hAnsi="Times New Roman" w:cs="Times New Roman"/>
          <w:color w:val="374151"/>
          <w:sz w:val="32"/>
          <w:szCs w:val="32"/>
        </w:rPr>
      </w:pPr>
    </w:p>
    <w:p w14:paraId="45CA939D" w14:textId="77777777" w:rsidR="009B2B0E" w:rsidRP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 xml:space="preserve">Capital Budgeting Theory is another essential IFM theory that can be applied to Coca-Cola's project evaluation process. Capital budgeting entails the evaluation and selection of investment projects that are anticipated to generate positive returns and add value to the organisation. In its project evaluation process, Coca-Cola would need </w:t>
      </w:r>
      <w:r w:rsidRPr="009B2B0E">
        <w:rPr>
          <w:rFonts w:ascii="Times New Roman" w:hAnsi="Times New Roman" w:cs="Times New Roman"/>
          <w:color w:val="374151"/>
          <w:sz w:val="32"/>
          <w:szCs w:val="32"/>
        </w:rPr>
        <w:lastRenderedPageBreak/>
        <w:t>to implement capital budgeting principles, taking into account factors such as the cost of capital, risk-adjusted discount rates, and cash flow projections in various international markets.</w:t>
      </w:r>
    </w:p>
    <w:p w14:paraId="3F98B15E" w14:textId="078DD178" w:rsid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In addition, disparities in economic, regulatory, and market conditions may make it difficult for Coca-Cola to estimate cash flows, discount rates, and other project parameters across international markets. For instance, varying inflation rates, exchange rate fluctuations, and differences in tax regulations may have an impact on the cash flow projections and discount rates used in the project evaluation process. Therefore, Coca-Cola would need to analyse and evaluate these factors thoroughly to ensure accurate project evaluations and effective capital allocation choices.</w:t>
      </w:r>
    </w:p>
    <w:p w14:paraId="1A2D5E6D" w14:textId="77777777" w:rsidR="009B2B0E" w:rsidRDefault="009B2B0E" w:rsidP="009B2B0E">
      <w:pPr>
        <w:rPr>
          <w:rFonts w:ascii="Times New Roman" w:hAnsi="Times New Roman" w:cs="Times New Roman"/>
          <w:color w:val="374151"/>
          <w:sz w:val="32"/>
          <w:szCs w:val="32"/>
        </w:rPr>
      </w:pPr>
    </w:p>
    <w:p w14:paraId="7130667F" w14:textId="050F750E" w:rsid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The significance of IFM to Coca-Cola can be further supported by evidence derived from the company's operations. The financial statements and annual reports of Coca-Cola, for example, provide insight into the company's dividend distribution policy, investment decisions, and project evaluation methods in various international markets. By analysing these documents, one can gather empirical evidence regarding how Coca-Cola manages its financial operations in various countries, the obstacles it encounters, and the strategies it employs to surmount those obstacles.</w:t>
      </w:r>
    </w:p>
    <w:p w14:paraId="06E6CE87" w14:textId="77777777" w:rsidR="009B2B0E" w:rsidRDefault="009B2B0E" w:rsidP="009B2B0E">
      <w:pPr>
        <w:rPr>
          <w:rFonts w:ascii="Times New Roman" w:hAnsi="Times New Roman" w:cs="Times New Roman"/>
          <w:color w:val="374151"/>
          <w:sz w:val="32"/>
          <w:szCs w:val="32"/>
        </w:rPr>
      </w:pPr>
    </w:p>
    <w:p w14:paraId="5CD2D2D3" w14:textId="33EAD49A" w:rsidR="009B2B0E" w:rsidRPr="009B2B0E" w:rsidRDefault="009B2B0E" w:rsidP="009B2B0E">
      <w:pPr>
        <w:rPr>
          <w:rFonts w:ascii="Times New Roman" w:hAnsi="Times New Roman" w:cs="Times New Roman"/>
          <w:color w:val="374151"/>
          <w:sz w:val="32"/>
          <w:szCs w:val="32"/>
        </w:rPr>
      </w:pPr>
      <w:r w:rsidRPr="009B2B0E">
        <w:rPr>
          <w:rFonts w:ascii="Times New Roman" w:hAnsi="Times New Roman" w:cs="Times New Roman"/>
          <w:color w:val="374151"/>
          <w:sz w:val="32"/>
          <w:szCs w:val="32"/>
        </w:rPr>
        <w:t>Furthermore, research articles, industry reports, and case studies pertaining to Coca-Cola and the beverage industry can provide additional empirical evidence for the significance of IFM to the company. These sources can cast light on Coca-Cola's financial management practises, the application of IFM theories to its operations, and the influence of international financial markets on the company's financial decision-making.</w:t>
      </w:r>
    </w:p>
    <w:p w14:paraId="722C5EAD" w14:textId="77777777" w:rsidR="006957DA" w:rsidRPr="0042009D" w:rsidRDefault="006957DA" w:rsidP="006957DA">
      <w:pPr>
        <w:jc w:val="center"/>
        <w:rPr>
          <w:rFonts w:ascii="Times New Roman" w:hAnsi="Times New Roman" w:cs="Times New Roman"/>
          <w:color w:val="374151"/>
          <w:sz w:val="32"/>
          <w:szCs w:val="32"/>
        </w:rPr>
      </w:pPr>
    </w:p>
    <w:p w14:paraId="44F08A40" w14:textId="77777777" w:rsidR="006957DA" w:rsidRPr="0042009D" w:rsidRDefault="006957DA" w:rsidP="006957DA">
      <w:pPr>
        <w:jc w:val="center"/>
        <w:rPr>
          <w:rFonts w:ascii="Times New Roman" w:hAnsi="Times New Roman" w:cs="Times New Roman"/>
          <w:color w:val="374151"/>
          <w:sz w:val="32"/>
          <w:szCs w:val="32"/>
        </w:rPr>
      </w:pPr>
    </w:p>
    <w:p w14:paraId="72379C7C" w14:textId="77777777" w:rsidR="006957DA" w:rsidRPr="0042009D" w:rsidRDefault="006957DA" w:rsidP="006957DA">
      <w:pPr>
        <w:jc w:val="center"/>
        <w:rPr>
          <w:rFonts w:ascii="Times New Roman" w:hAnsi="Times New Roman" w:cs="Times New Roman"/>
          <w:sz w:val="32"/>
          <w:szCs w:val="32"/>
        </w:rPr>
      </w:pPr>
    </w:p>
    <w:p w14:paraId="0B9E2FCE" w14:textId="3FFD1565" w:rsidR="0016314C" w:rsidRPr="0042009D" w:rsidRDefault="0016314C" w:rsidP="006957DA">
      <w:pPr>
        <w:jc w:val="center"/>
        <w:rPr>
          <w:rFonts w:ascii="Times New Roman" w:hAnsi="Times New Roman" w:cs="Times New Roman"/>
          <w:sz w:val="32"/>
          <w:szCs w:val="32"/>
        </w:rPr>
      </w:pPr>
      <w:r w:rsidRPr="0042009D">
        <w:rPr>
          <w:rFonts w:ascii="Times New Roman" w:hAnsi="Times New Roman" w:cs="Times New Roman"/>
          <w:sz w:val="32"/>
          <w:szCs w:val="32"/>
        </w:rPr>
        <w:t>CONCLUSION</w:t>
      </w:r>
    </w:p>
    <w:p w14:paraId="5A2CDBA2" w14:textId="1931BF93" w:rsidR="0016314C" w:rsidRPr="0042009D" w:rsidRDefault="009B2B0E" w:rsidP="0016314C">
      <w:pPr>
        <w:rPr>
          <w:rFonts w:ascii="Times New Roman" w:hAnsi="Times New Roman" w:cs="Times New Roman"/>
          <w:sz w:val="32"/>
          <w:szCs w:val="32"/>
        </w:rPr>
      </w:pPr>
      <w:r w:rsidRPr="009B2B0E">
        <w:rPr>
          <w:rFonts w:ascii="Times New Roman" w:hAnsi="Times New Roman" w:cs="Times New Roman"/>
          <w:sz w:val="32"/>
          <w:szCs w:val="32"/>
        </w:rPr>
        <w:t>International financial management (IFM) is crucial to the operations of multinational corporations such as Coca-Cola. The company's dividend distribution policy, the efficient market hypothesis theory, and the methods for appraising projects are all influenced by IFM theories, which are essential for administering its financial operations across various international markets. Coca-Cola's IFM practises face significant obstacles from varying tax administrations, legal requirements, currency exchange rate fluctuations, information asymmetry, and market inefficiencies. However, empirical evidence based on Coca-Cola's operations and industry research supports the significance of IFM for the company. Therefore, effective IFM strategies are required for Coca-Cola to navigate these obstacles and optimise its financial decision-making process, thereby creating value for its shareholders and other stakeholders.</w:t>
      </w:r>
    </w:p>
    <w:p w14:paraId="5A5C1ACC" w14:textId="77777777" w:rsidR="0038553F" w:rsidRPr="0042009D" w:rsidRDefault="0038553F" w:rsidP="0016314C">
      <w:pPr>
        <w:rPr>
          <w:rFonts w:ascii="Times New Roman" w:hAnsi="Times New Roman" w:cs="Times New Roman"/>
          <w:sz w:val="32"/>
          <w:szCs w:val="32"/>
        </w:rPr>
      </w:pPr>
    </w:p>
    <w:p w14:paraId="44303B61" w14:textId="77777777" w:rsidR="0038553F" w:rsidRDefault="0038553F" w:rsidP="0016314C">
      <w:pPr>
        <w:rPr>
          <w:rFonts w:ascii="Times New Roman" w:hAnsi="Times New Roman" w:cs="Times New Roman"/>
          <w:sz w:val="32"/>
          <w:szCs w:val="32"/>
        </w:rPr>
      </w:pPr>
    </w:p>
    <w:p w14:paraId="444755F1" w14:textId="77777777" w:rsidR="00CC2E02" w:rsidRDefault="00CC2E02" w:rsidP="0016314C">
      <w:pPr>
        <w:rPr>
          <w:rFonts w:ascii="Times New Roman" w:hAnsi="Times New Roman" w:cs="Times New Roman"/>
          <w:sz w:val="32"/>
          <w:szCs w:val="32"/>
        </w:rPr>
      </w:pPr>
    </w:p>
    <w:p w14:paraId="70697079" w14:textId="77777777" w:rsidR="00CC2E02" w:rsidRDefault="00CC2E02" w:rsidP="0016314C">
      <w:pPr>
        <w:rPr>
          <w:rFonts w:ascii="Times New Roman" w:hAnsi="Times New Roman" w:cs="Times New Roman"/>
          <w:sz w:val="32"/>
          <w:szCs w:val="32"/>
        </w:rPr>
      </w:pPr>
    </w:p>
    <w:p w14:paraId="3D211513" w14:textId="77777777" w:rsidR="00CC2E02" w:rsidRDefault="00CC2E02" w:rsidP="0016314C">
      <w:pPr>
        <w:rPr>
          <w:rFonts w:ascii="Times New Roman" w:hAnsi="Times New Roman" w:cs="Times New Roman"/>
          <w:sz w:val="32"/>
          <w:szCs w:val="32"/>
        </w:rPr>
      </w:pPr>
    </w:p>
    <w:p w14:paraId="5B954841" w14:textId="77777777" w:rsidR="00CC2E02" w:rsidRDefault="00CC2E02" w:rsidP="0016314C">
      <w:pPr>
        <w:rPr>
          <w:rFonts w:ascii="Times New Roman" w:hAnsi="Times New Roman" w:cs="Times New Roman"/>
          <w:sz w:val="32"/>
          <w:szCs w:val="32"/>
        </w:rPr>
      </w:pPr>
    </w:p>
    <w:p w14:paraId="23F22D1D" w14:textId="77777777" w:rsidR="00CC2E02" w:rsidRDefault="00CC2E02" w:rsidP="0016314C">
      <w:pPr>
        <w:rPr>
          <w:rFonts w:ascii="Times New Roman" w:hAnsi="Times New Roman" w:cs="Times New Roman"/>
          <w:sz w:val="32"/>
          <w:szCs w:val="32"/>
        </w:rPr>
      </w:pPr>
    </w:p>
    <w:p w14:paraId="14C01814" w14:textId="77777777" w:rsidR="00CC2E02" w:rsidRPr="0042009D" w:rsidRDefault="00CC2E02" w:rsidP="0016314C">
      <w:pPr>
        <w:rPr>
          <w:rFonts w:ascii="Times New Roman" w:hAnsi="Times New Roman" w:cs="Times New Roman"/>
          <w:sz w:val="32"/>
          <w:szCs w:val="32"/>
        </w:rPr>
      </w:pPr>
    </w:p>
    <w:p w14:paraId="27C2494D" w14:textId="77777777" w:rsidR="0016314C" w:rsidRPr="0042009D" w:rsidRDefault="0016314C" w:rsidP="009B2B0E">
      <w:pPr>
        <w:rPr>
          <w:rFonts w:ascii="Times New Roman" w:hAnsi="Times New Roman" w:cs="Times New Roman"/>
          <w:sz w:val="32"/>
          <w:szCs w:val="32"/>
        </w:rPr>
      </w:pPr>
    </w:p>
    <w:p w14:paraId="008F825C" w14:textId="351D9937" w:rsidR="00CC2E02" w:rsidRPr="00CC2E02" w:rsidRDefault="0016314C" w:rsidP="00CC2E02">
      <w:pPr>
        <w:jc w:val="center"/>
        <w:rPr>
          <w:rFonts w:ascii="Times New Roman" w:hAnsi="Times New Roman" w:cs="Times New Roman"/>
          <w:sz w:val="32"/>
          <w:szCs w:val="32"/>
        </w:rPr>
      </w:pPr>
      <w:r w:rsidRPr="0042009D">
        <w:rPr>
          <w:rFonts w:ascii="Times New Roman" w:hAnsi="Times New Roman" w:cs="Times New Roman"/>
          <w:sz w:val="32"/>
          <w:szCs w:val="32"/>
        </w:rPr>
        <w:t>References</w:t>
      </w:r>
    </w:p>
    <w:p w14:paraId="1C88C5E3" w14:textId="77777777" w:rsidR="00CC2E02" w:rsidRPr="00CC2E02" w:rsidRDefault="00CC2E02" w:rsidP="00CC2E02">
      <w:pPr>
        <w:rPr>
          <w:rFonts w:ascii="Times New Roman" w:hAnsi="Times New Roman" w:cs="Times New Roman"/>
          <w:sz w:val="32"/>
          <w:szCs w:val="32"/>
        </w:rPr>
      </w:pPr>
    </w:p>
    <w:p w14:paraId="461C4D5D" w14:textId="77777777" w:rsidR="00CC2E02" w:rsidRPr="00CC2E02" w:rsidRDefault="00CC2E02" w:rsidP="00CC2E02">
      <w:pPr>
        <w:rPr>
          <w:rFonts w:ascii="Times New Roman" w:hAnsi="Times New Roman" w:cs="Times New Roman"/>
          <w:sz w:val="32"/>
          <w:szCs w:val="32"/>
        </w:rPr>
      </w:pPr>
    </w:p>
    <w:p w14:paraId="46D0BB18"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Akamavi, R. K., &amp; Malm, A. (2018). International Financial Management Strategies for MNCs: A Review of Literature. International Journal of Economics, Commerce and Management, 6(3), 65-79.</w:t>
      </w:r>
    </w:p>
    <w:p w14:paraId="50A662D5"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Baker, H. K., &amp; Martin, G. S. (2011). Capital structure and dividend policy: evidence from emerging markets. Applied Financial Economics, 21(1), 47-57.</w:t>
      </w:r>
    </w:p>
    <w:p w14:paraId="1A2A5A6D"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Baker, H. K., &amp; Martin, G. S. (2011). Capital structure and dividend policy: evidence from emerging markets. Applied Financial Economics, 21(1), 47-57.</w:t>
      </w:r>
    </w:p>
    <w:p w14:paraId="65DBC14A"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Brealey, R. A., Myers, S. C., &amp; Allen, F. (2017). Principles of corporate finance. McGraw-Hill Education.</w:t>
      </w:r>
    </w:p>
    <w:p w14:paraId="3A932ED7"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Brealey, R. A., Myers, S. C., &amp; Allen, F. (2017). Principles of corporate finance. McGraw-Hill Education.</w:t>
      </w:r>
    </w:p>
    <w:p w14:paraId="3B78CAB8"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Coca Cola Company. (2021). Our Company. Retrieved from https://www.coca-colacompany.com/our-company</w:t>
      </w:r>
    </w:p>
    <w:p w14:paraId="2405BBCE"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Coca Cola Company. (2021). Our Company. Retrieved from https://www.coca-colacompany.com/our-company</w:t>
      </w:r>
    </w:p>
    <w:p w14:paraId="0B0281D7"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Dornbusch, R., Fischer, S., &amp; Startz, R. (2015). Macroeconomics. McGraw-Hill Education.</w:t>
      </w:r>
    </w:p>
    <w:p w14:paraId="7A3BCAD3"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Dornbusch, R., Fischer, S., &amp; Startz, R. (2015). Macroeconomics. McGraw-Hill Education.</w:t>
      </w:r>
    </w:p>
    <w:p w14:paraId="62E109EB"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lastRenderedPageBreak/>
        <w:t>Hill, C. W. L., &amp; Hult, G. T. M. (2019). International business: Competing in the global marketplace. McGraw-Hill Education.</w:t>
      </w:r>
    </w:p>
    <w:p w14:paraId="6E467394"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Hill, C. W. L., &amp; Hult, G. T. M. (2019). International business: Competing in the global marketplace. McGraw-Hill Education.</w:t>
      </w:r>
    </w:p>
    <w:p w14:paraId="1FCCF498"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Kumar, R., &amp; Singh, J. P. (2019). International financial management: a review of literature. International Journal of Management, Technology, and Social Sciences (IJMTS), 4(1), 1-12.</w:t>
      </w:r>
    </w:p>
    <w:p w14:paraId="14D04091"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Kumar, R., &amp; Singh, J. P. (2019). International financial management: a review of literature. International Journal of Management, Technology, and Social Sciences (IJMTS), 4(1), 1-12.</w:t>
      </w:r>
    </w:p>
    <w:p w14:paraId="1449A9E2"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Pike, R., Neale, B., &amp; Linsley, P. (2015). Corporate finance and investment: decisions and strategies. Pearson Higher Ed.</w:t>
      </w:r>
    </w:p>
    <w:p w14:paraId="69070736"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Pike, R., Neale, B., &amp; Linsley, P. (2015). Corporate finance and investment: decisions and strategies. Pearson Higher Ed.</w:t>
      </w:r>
    </w:p>
    <w:p w14:paraId="4DAC80BA"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Ross, S. A., Westerfield, R. W., &amp; Jaffe, J. F. (2019). Corporate finance. McGraw-Hill Education.</w:t>
      </w:r>
    </w:p>
    <w:p w14:paraId="6DD33ECD"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Ross, S. A., Westerfield, R. W., &amp; Jaffe, J. F. (2019). Corporate finance. McGraw-Hill Education.</w:t>
      </w:r>
    </w:p>
    <w:p w14:paraId="5C1D3981"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Securities and Exchange Commission. (2021). Coca-Cola Company Form 10-K. Retrieved from https://www.sec.gov/ix?doc=/Archives/edgar/data/21344/000002134421000052/ko-20201231.htm</w:t>
      </w:r>
    </w:p>
    <w:p w14:paraId="6833ED97"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Securities and Exchange Commission. (2021). Coca-Cola Company Form 10-K. Retrieved from https://www.sec.gov/ix?doc=/Archives/edgar/data/21344/000002134421000052/ko-20201231.htm</w:t>
      </w:r>
    </w:p>
    <w:p w14:paraId="2B2EB0FE" w14:textId="77777777" w:rsidR="00CC2E02" w:rsidRPr="00CC2E02"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 xml:space="preserve">Wharton University of Pennsylvania. (2020). Dividend Policy: Does It Matter? Retrieved from </w:t>
      </w:r>
      <w:r w:rsidRPr="00CC2E02">
        <w:rPr>
          <w:rFonts w:ascii="Times New Roman" w:hAnsi="Times New Roman" w:cs="Times New Roman"/>
          <w:sz w:val="32"/>
          <w:szCs w:val="32"/>
        </w:rPr>
        <w:lastRenderedPageBreak/>
        <w:t>https://knowledge.wharton.upenn.edu/article/dividend-policy-does-it-matter/Akamavi, R. K., &amp; Malm, A. (2018). International Financial Management Strategies for MNCs: A Review of Literature. International Journal of Economics, Commerce and Management, 6(3), 65-79.</w:t>
      </w:r>
    </w:p>
    <w:p w14:paraId="3948D2C5" w14:textId="77777777" w:rsidR="00CC2E02" w:rsidRPr="0042009D" w:rsidRDefault="00CC2E02" w:rsidP="00CC2E02">
      <w:pPr>
        <w:rPr>
          <w:rFonts w:ascii="Times New Roman" w:hAnsi="Times New Roman" w:cs="Times New Roman"/>
          <w:sz w:val="32"/>
          <w:szCs w:val="32"/>
        </w:rPr>
      </w:pPr>
      <w:r w:rsidRPr="00CC2E02">
        <w:rPr>
          <w:rFonts w:ascii="Times New Roman" w:hAnsi="Times New Roman" w:cs="Times New Roman"/>
          <w:sz w:val="32"/>
          <w:szCs w:val="32"/>
        </w:rPr>
        <w:t>Wharton University of Pennsylvania. (2020). Dividend Policy: Does It Matter? Retrieved from https://knowledge.wharton.upenn.edu/article/dividend-policy-does-it-matter/</w:t>
      </w:r>
    </w:p>
    <w:sectPr w:rsidR="00CC2E02" w:rsidRPr="0042009D" w:rsidSect="009B2B0E">
      <w:headerReference w:type="default" r:id="rId7"/>
      <w:footerReference w:type="even" r:id="rId8"/>
      <w:footerReference w:type="default" r:id="rId9"/>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AFE4D" w14:textId="77777777" w:rsidR="00300439" w:rsidRDefault="00300439" w:rsidP="006957DA">
      <w:pPr>
        <w:spacing w:after="0" w:line="240" w:lineRule="auto"/>
      </w:pPr>
      <w:r>
        <w:separator/>
      </w:r>
    </w:p>
  </w:endnote>
  <w:endnote w:type="continuationSeparator" w:id="0">
    <w:p w14:paraId="27F78366" w14:textId="77777777" w:rsidR="00300439" w:rsidRDefault="00300439" w:rsidP="00695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3293880"/>
      <w:docPartObj>
        <w:docPartGallery w:val="Page Numbers (Bottom of Page)"/>
        <w:docPartUnique/>
      </w:docPartObj>
    </w:sdtPr>
    <w:sdtContent>
      <w:p w14:paraId="2F237D3E" w14:textId="312EA24A" w:rsidR="006957DA" w:rsidRDefault="006957DA" w:rsidP="008E10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A702CE" w14:textId="77777777" w:rsidR="006957DA" w:rsidRDefault="006957DA" w:rsidP="006957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7526146"/>
      <w:docPartObj>
        <w:docPartGallery w:val="Page Numbers (Bottom of Page)"/>
        <w:docPartUnique/>
      </w:docPartObj>
    </w:sdtPr>
    <w:sdtContent>
      <w:p w14:paraId="189FE57F" w14:textId="4B75F3F6" w:rsidR="006957DA" w:rsidRDefault="006957DA" w:rsidP="008E10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5D4153" w14:textId="77777777" w:rsidR="006957DA" w:rsidRDefault="006957DA" w:rsidP="006957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CCC0A" w14:textId="77777777" w:rsidR="00300439" w:rsidRDefault="00300439" w:rsidP="006957DA">
      <w:pPr>
        <w:spacing w:after="0" w:line="240" w:lineRule="auto"/>
      </w:pPr>
      <w:r>
        <w:separator/>
      </w:r>
    </w:p>
  </w:footnote>
  <w:footnote w:type="continuationSeparator" w:id="0">
    <w:p w14:paraId="712AD504" w14:textId="77777777" w:rsidR="00300439" w:rsidRDefault="00300439" w:rsidP="00695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F2060" w14:textId="384BD71C" w:rsidR="006957DA" w:rsidRDefault="006957DA">
    <w:pPr>
      <w:pStyle w:val="Header"/>
    </w:pPr>
    <w:r w:rsidRPr="007B5AC3">
      <w:rPr>
        <w:noProof/>
      </w:rPr>
      <w:drawing>
        <wp:inline distT="0" distB="0" distL="0" distR="0" wp14:anchorId="50880EF5" wp14:editId="0EB2B947">
          <wp:extent cx="1809750" cy="600075"/>
          <wp:effectExtent l="0" t="0" r="0" b="0"/>
          <wp:docPr id="6"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DA"/>
    <w:rsid w:val="001464D7"/>
    <w:rsid w:val="0016314C"/>
    <w:rsid w:val="00300439"/>
    <w:rsid w:val="0038553F"/>
    <w:rsid w:val="0042009D"/>
    <w:rsid w:val="004D4C62"/>
    <w:rsid w:val="005643C3"/>
    <w:rsid w:val="006957DA"/>
    <w:rsid w:val="007F3E73"/>
    <w:rsid w:val="008200F1"/>
    <w:rsid w:val="00850109"/>
    <w:rsid w:val="00883BF7"/>
    <w:rsid w:val="009B2B0E"/>
    <w:rsid w:val="00B24FDE"/>
    <w:rsid w:val="00CC2E02"/>
    <w:rsid w:val="00DC7C03"/>
    <w:rsid w:val="00F54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94B6F"/>
  <w15:chartTrackingRefBased/>
  <w15:docId w15:val="{9D4657A8-546C-FA46-A78D-2C42C17EA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53F"/>
    <w:pPr>
      <w:spacing w:after="180" w:line="274" w:lineRule="auto"/>
    </w:pPr>
    <w:rPr>
      <w:sz w:val="21"/>
    </w:rPr>
  </w:style>
  <w:style w:type="paragraph" w:styleId="Heading1">
    <w:name w:val="heading 1"/>
    <w:basedOn w:val="Normal"/>
    <w:next w:val="Normal"/>
    <w:link w:val="Heading1Char"/>
    <w:uiPriority w:val="9"/>
    <w:qFormat/>
    <w:rsid w:val="0038553F"/>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8553F"/>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8553F"/>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8553F"/>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38553F"/>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38553F"/>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8553F"/>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855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855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957DA"/>
    <w:pPr>
      <w:tabs>
        <w:tab w:val="center" w:pos="4513"/>
        <w:tab w:val="right" w:pos="9026"/>
      </w:tabs>
    </w:pPr>
  </w:style>
  <w:style w:type="character" w:customStyle="1" w:styleId="FooterChar">
    <w:name w:val="Footer Char"/>
    <w:basedOn w:val="DefaultParagraphFont"/>
    <w:link w:val="Footer"/>
    <w:uiPriority w:val="99"/>
    <w:rsid w:val="006957DA"/>
  </w:style>
  <w:style w:type="character" w:styleId="PageNumber">
    <w:name w:val="page number"/>
    <w:basedOn w:val="DefaultParagraphFont"/>
    <w:uiPriority w:val="99"/>
    <w:semiHidden/>
    <w:unhideWhenUsed/>
    <w:rsid w:val="006957DA"/>
  </w:style>
  <w:style w:type="paragraph" w:styleId="Header">
    <w:name w:val="header"/>
    <w:basedOn w:val="Normal"/>
    <w:link w:val="HeaderChar"/>
    <w:uiPriority w:val="99"/>
    <w:unhideWhenUsed/>
    <w:rsid w:val="006957DA"/>
    <w:pPr>
      <w:tabs>
        <w:tab w:val="center" w:pos="4513"/>
        <w:tab w:val="right" w:pos="9026"/>
      </w:tabs>
    </w:pPr>
  </w:style>
  <w:style w:type="character" w:customStyle="1" w:styleId="HeaderChar">
    <w:name w:val="Header Char"/>
    <w:basedOn w:val="DefaultParagraphFont"/>
    <w:link w:val="Header"/>
    <w:uiPriority w:val="99"/>
    <w:rsid w:val="006957DA"/>
  </w:style>
  <w:style w:type="paragraph" w:customStyle="1" w:styleId="Normal1">
    <w:name w:val="Normal1"/>
    <w:rsid w:val="006957DA"/>
    <w:rPr>
      <w:rFonts w:ascii="Arial" w:eastAsia="Arial" w:hAnsi="Arial" w:cs="Arial"/>
      <w:lang w:val="ro-RO"/>
    </w:rPr>
  </w:style>
  <w:style w:type="paragraph" w:styleId="NormalWeb">
    <w:name w:val="Normal (Web)"/>
    <w:basedOn w:val="Normal"/>
    <w:uiPriority w:val="99"/>
    <w:semiHidden/>
    <w:unhideWhenUsed/>
    <w:rsid w:val="006957D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8553F"/>
    <w:rPr>
      <w:rFonts w:asciiTheme="majorHAnsi" w:eastAsiaTheme="majorEastAsia" w:hAnsiTheme="majorHAnsi" w:cstheme="majorBidi"/>
      <w:bCs/>
      <w:color w:val="4472C4" w:themeColor="accent1"/>
      <w:spacing w:val="20"/>
      <w:sz w:val="32"/>
      <w:szCs w:val="28"/>
    </w:rPr>
  </w:style>
  <w:style w:type="paragraph" w:styleId="TOCHeading">
    <w:name w:val="TOC Heading"/>
    <w:basedOn w:val="Heading1"/>
    <w:next w:val="Normal"/>
    <w:uiPriority w:val="39"/>
    <w:unhideWhenUsed/>
    <w:qFormat/>
    <w:rsid w:val="0038553F"/>
    <w:pPr>
      <w:spacing w:before="480" w:line="264" w:lineRule="auto"/>
      <w:outlineLvl w:val="9"/>
    </w:pPr>
    <w:rPr>
      <w:b/>
    </w:rPr>
  </w:style>
  <w:style w:type="paragraph" w:styleId="TOC1">
    <w:name w:val="toc 1"/>
    <w:basedOn w:val="Normal"/>
    <w:next w:val="Normal"/>
    <w:autoRedefine/>
    <w:uiPriority w:val="39"/>
    <w:semiHidden/>
    <w:unhideWhenUsed/>
    <w:rsid w:val="001464D7"/>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1464D7"/>
    <w:pPr>
      <w:spacing w:before="120" w:after="0"/>
      <w:ind w:left="210"/>
    </w:pPr>
    <w:rPr>
      <w:rFonts w:cstheme="minorHAnsi"/>
      <w:b/>
      <w:bCs/>
      <w:sz w:val="22"/>
    </w:rPr>
  </w:style>
  <w:style w:type="paragraph" w:styleId="TOC3">
    <w:name w:val="toc 3"/>
    <w:basedOn w:val="Normal"/>
    <w:next w:val="Normal"/>
    <w:autoRedefine/>
    <w:uiPriority w:val="39"/>
    <w:semiHidden/>
    <w:unhideWhenUsed/>
    <w:rsid w:val="001464D7"/>
    <w:pPr>
      <w:spacing w:after="0"/>
      <w:ind w:left="420"/>
    </w:pPr>
    <w:rPr>
      <w:rFonts w:cstheme="minorHAnsi"/>
      <w:sz w:val="20"/>
      <w:szCs w:val="20"/>
    </w:rPr>
  </w:style>
  <w:style w:type="paragraph" w:styleId="TOC4">
    <w:name w:val="toc 4"/>
    <w:basedOn w:val="Normal"/>
    <w:next w:val="Normal"/>
    <w:autoRedefine/>
    <w:uiPriority w:val="39"/>
    <w:semiHidden/>
    <w:unhideWhenUsed/>
    <w:rsid w:val="001464D7"/>
    <w:pPr>
      <w:spacing w:after="0"/>
      <w:ind w:left="630"/>
    </w:pPr>
    <w:rPr>
      <w:rFonts w:cstheme="minorHAnsi"/>
      <w:sz w:val="20"/>
      <w:szCs w:val="20"/>
    </w:rPr>
  </w:style>
  <w:style w:type="paragraph" w:styleId="TOC5">
    <w:name w:val="toc 5"/>
    <w:basedOn w:val="Normal"/>
    <w:next w:val="Normal"/>
    <w:autoRedefine/>
    <w:uiPriority w:val="39"/>
    <w:semiHidden/>
    <w:unhideWhenUsed/>
    <w:rsid w:val="001464D7"/>
    <w:pPr>
      <w:spacing w:after="0"/>
      <w:ind w:left="840"/>
    </w:pPr>
    <w:rPr>
      <w:rFonts w:cstheme="minorHAnsi"/>
      <w:sz w:val="20"/>
      <w:szCs w:val="20"/>
    </w:rPr>
  </w:style>
  <w:style w:type="paragraph" w:styleId="TOC6">
    <w:name w:val="toc 6"/>
    <w:basedOn w:val="Normal"/>
    <w:next w:val="Normal"/>
    <w:autoRedefine/>
    <w:uiPriority w:val="39"/>
    <w:semiHidden/>
    <w:unhideWhenUsed/>
    <w:rsid w:val="001464D7"/>
    <w:pPr>
      <w:spacing w:after="0"/>
      <w:ind w:left="1050"/>
    </w:pPr>
    <w:rPr>
      <w:rFonts w:cstheme="minorHAnsi"/>
      <w:sz w:val="20"/>
      <w:szCs w:val="20"/>
    </w:rPr>
  </w:style>
  <w:style w:type="paragraph" w:styleId="TOC7">
    <w:name w:val="toc 7"/>
    <w:basedOn w:val="Normal"/>
    <w:next w:val="Normal"/>
    <w:autoRedefine/>
    <w:uiPriority w:val="39"/>
    <w:semiHidden/>
    <w:unhideWhenUsed/>
    <w:rsid w:val="001464D7"/>
    <w:pPr>
      <w:spacing w:after="0"/>
      <w:ind w:left="1260"/>
    </w:pPr>
    <w:rPr>
      <w:rFonts w:cstheme="minorHAnsi"/>
      <w:sz w:val="20"/>
      <w:szCs w:val="20"/>
    </w:rPr>
  </w:style>
  <w:style w:type="paragraph" w:styleId="TOC8">
    <w:name w:val="toc 8"/>
    <w:basedOn w:val="Normal"/>
    <w:next w:val="Normal"/>
    <w:autoRedefine/>
    <w:uiPriority w:val="39"/>
    <w:semiHidden/>
    <w:unhideWhenUsed/>
    <w:rsid w:val="001464D7"/>
    <w:pPr>
      <w:spacing w:after="0"/>
      <w:ind w:left="1470"/>
    </w:pPr>
    <w:rPr>
      <w:rFonts w:cstheme="minorHAnsi"/>
      <w:sz w:val="20"/>
      <w:szCs w:val="20"/>
    </w:rPr>
  </w:style>
  <w:style w:type="paragraph" w:styleId="TOC9">
    <w:name w:val="toc 9"/>
    <w:basedOn w:val="Normal"/>
    <w:next w:val="Normal"/>
    <w:autoRedefine/>
    <w:uiPriority w:val="39"/>
    <w:semiHidden/>
    <w:unhideWhenUsed/>
    <w:rsid w:val="001464D7"/>
    <w:pPr>
      <w:spacing w:after="0"/>
      <w:ind w:left="1680"/>
    </w:pPr>
    <w:rPr>
      <w:rFonts w:cstheme="minorHAnsi"/>
      <w:sz w:val="20"/>
      <w:szCs w:val="20"/>
    </w:rPr>
  </w:style>
  <w:style w:type="character" w:customStyle="1" w:styleId="Heading2Char">
    <w:name w:val="Heading 2 Char"/>
    <w:basedOn w:val="DefaultParagraphFont"/>
    <w:link w:val="Heading2"/>
    <w:uiPriority w:val="9"/>
    <w:semiHidden/>
    <w:rsid w:val="0038553F"/>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38553F"/>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38553F"/>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3855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38553F"/>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855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855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855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8553F"/>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38553F"/>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8553F"/>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38553F"/>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8553F"/>
    <w:rPr>
      <w:rFonts w:eastAsiaTheme="majorEastAsia" w:cstheme="majorBidi"/>
      <w:iCs/>
      <w:color w:val="44546A" w:themeColor="text2"/>
      <w:sz w:val="40"/>
      <w:szCs w:val="24"/>
    </w:rPr>
  </w:style>
  <w:style w:type="character" w:styleId="Strong">
    <w:name w:val="Strong"/>
    <w:basedOn w:val="DefaultParagraphFont"/>
    <w:uiPriority w:val="22"/>
    <w:qFormat/>
    <w:rsid w:val="0038553F"/>
    <w:rPr>
      <w:b w:val="0"/>
      <w:bCs/>
      <w:i/>
      <w:color w:val="44546A" w:themeColor="text2"/>
    </w:rPr>
  </w:style>
  <w:style w:type="character" w:styleId="Emphasis">
    <w:name w:val="Emphasis"/>
    <w:basedOn w:val="DefaultParagraphFont"/>
    <w:uiPriority w:val="20"/>
    <w:qFormat/>
    <w:rsid w:val="0038553F"/>
    <w:rPr>
      <w:b/>
      <w:i/>
      <w:iCs/>
    </w:rPr>
  </w:style>
  <w:style w:type="paragraph" w:styleId="NoSpacing">
    <w:name w:val="No Spacing"/>
    <w:link w:val="NoSpacingChar"/>
    <w:uiPriority w:val="1"/>
    <w:qFormat/>
    <w:rsid w:val="0038553F"/>
    <w:pPr>
      <w:spacing w:after="0" w:line="240" w:lineRule="auto"/>
    </w:pPr>
  </w:style>
  <w:style w:type="character" w:customStyle="1" w:styleId="NoSpacingChar">
    <w:name w:val="No Spacing Char"/>
    <w:basedOn w:val="DefaultParagraphFont"/>
    <w:link w:val="NoSpacing"/>
    <w:uiPriority w:val="1"/>
    <w:rsid w:val="0038553F"/>
  </w:style>
  <w:style w:type="paragraph" w:styleId="ListParagraph">
    <w:name w:val="List Paragraph"/>
    <w:basedOn w:val="Normal"/>
    <w:uiPriority w:val="34"/>
    <w:qFormat/>
    <w:rsid w:val="0038553F"/>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38553F"/>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8553F"/>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8553F"/>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8553F"/>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8553F"/>
    <w:rPr>
      <w:i/>
      <w:iCs/>
      <w:color w:val="000000"/>
    </w:rPr>
  </w:style>
  <w:style w:type="character" w:styleId="IntenseEmphasis">
    <w:name w:val="Intense Emphasis"/>
    <w:basedOn w:val="DefaultParagraphFont"/>
    <w:uiPriority w:val="21"/>
    <w:qFormat/>
    <w:rsid w:val="0038553F"/>
    <w:rPr>
      <w:b/>
      <w:bCs/>
      <w:i/>
      <w:iCs/>
      <w:color w:val="4472C4" w:themeColor="accent1"/>
    </w:rPr>
  </w:style>
  <w:style w:type="character" w:styleId="SubtleReference">
    <w:name w:val="Subtle Reference"/>
    <w:basedOn w:val="DefaultParagraphFont"/>
    <w:uiPriority w:val="31"/>
    <w:qFormat/>
    <w:rsid w:val="0038553F"/>
    <w:rPr>
      <w:smallCaps/>
      <w:color w:val="000000"/>
      <w:u w:val="single"/>
    </w:rPr>
  </w:style>
  <w:style w:type="character" w:styleId="IntenseReference">
    <w:name w:val="Intense Reference"/>
    <w:basedOn w:val="DefaultParagraphFont"/>
    <w:uiPriority w:val="32"/>
    <w:qFormat/>
    <w:rsid w:val="0038553F"/>
    <w:rPr>
      <w:b w:val="0"/>
      <w:bCs/>
      <w:smallCaps/>
      <w:color w:val="4472C4" w:themeColor="accent1"/>
      <w:spacing w:val="5"/>
      <w:u w:val="single"/>
    </w:rPr>
  </w:style>
  <w:style w:type="character" w:styleId="BookTitle">
    <w:name w:val="Book Title"/>
    <w:basedOn w:val="DefaultParagraphFont"/>
    <w:uiPriority w:val="33"/>
    <w:qFormat/>
    <w:rsid w:val="0038553F"/>
    <w:rPr>
      <w:b/>
      <w:bCs/>
      <w:caps/>
      <w:smallCaps w:val="0"/>
      <w:color w:val="44546A" w:themeColor="text2"/>
      <w:spacing w:val="10"/>
    </w:rPr>
  </w:style>
  <w:style w:type="paragraph" w:customStyle="1" w:styleId="PersonalName">
    <w:name w:val="Personal Name"/>
    <w:basedOn w:val="Title"/>
    <w:qFormat/>
    <w:rsid w:val="0038553F"/>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164493">
      <w:bodyDiv w:val="1"/>
      <w:marLeft w:val="0"/>
      <w:marRight w:val="0"/>
      <w:marTop w:val="0"/>
      <w:marBottom w:val="0"/>
      <w:divBdr>
        <w:top w:val="none" w:sz="0" w:space="0" w:color="auto"/>
        <w:left w:val="none" w:sz="0" w:space="0" w:color="auto"/>
        <w:bottom w:val="none" w:sz="0" w:space="0" w:color="auto"/>
        <w:right w:val="none" w:sz="0" w:space="0" w:color="auto"/>
      </w:divBdr>
      <w:divsChild>
        <w:div w:id="1614440906">
          <w:marLeft w:val="0"/>
          <w:marRight w:val="0"/>
          <w:marTop w:val="0"/>
          <w:marBottom w:val="0"/>
          <w:divBdr>
            <w:top w:val="none" w:sz="0" w:space="0" w:color="auto"/>
            <w:left w:val="none" w:sz="0" w:space="0" w:color="auto"/>
            <w:bottom w:val="none" w:sz="0" w:space="0" w:color="auto"/>
            <w:right w:val="none" w:sz="0" w:space="0" w:color="auto"/>
          </w:divBdr>
          <w:divsChild>
            <w:div w:id="252664257">
              <w:marLeft w:val="0"/>
              <w:marRight w:val="0"/>
              <w:marTop w:val="0"/>
              <w:marBottom w:val="0"/>
              <w:divBdr>
                <w:top w:val="none" w:sz="0" w:space="0" w:color="auto"/>
                <w:left w:val="none" w:sz="0" w:space="0" w:color="auto"/>
                <w:bottom w:val="none" w:sz="0" w:space="0" w:color="auto"/>
                <w:right w:val="none" w:sz="0" w:space="0" w:color="auto"/>
              </w:divBdr>
              <w:divsChild>
                <w:div w:id="212002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8C8E-7827-1F4F-BB53-BB56BD4A1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Adrian Radulescu (2022697)</dc:creator>
  <cp:keywords/>
  <dc:description/>
  <cp:lastModifiedBy>Simona Radulescu (2023029)</cp:lastModifiedBy>
  <cp:revision>2</cp:revision>
  <dcterms:created xsi:type="dcterms:W3CDTF">2023-05-02T19:27:00Z</dcterms:created>
  <dcterms:modified xsi:type="dcterms:W3CDTF">2023-05-02T19:27:00Z</dcterms:modified>
</cp:coreProperties>
</file>