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76B1AB" w14:textId="0B9628A9" w:rsidR="007C37FF" w:rsidRPr="009501CD" w:rsidRDefault="007C37FF" w:rsidP="009501CD">
      <w:pPr>
        <w:jc w:val="both"/>
        <w:rPr>
          <w:rFonts w:ascii="Times New Roman" w:hAnsi="Times New Roman" w:cs="Times New Roman"/>
          <w:b/>
          <w:bCs/>
          <w:sz w:val="24"/>
          <w:szCs w:val="24"/>
        </w:rPr>
      </w:pPr>
      <w:r w:rsidRPr="009501CD">
        <w:rPr>
          <w:rFonts w:ascii="Times New Roman" w:hAnsi="Times New Roman" w:cs="Times New Roman"/>
          <w:b/>
          <w:bCs/>
          <w:sz w:val="24"/>
          <w:szCs w:val="24"/>
        </w:rPr>
        <w:t xml:space="preserve">Why are terrorist organisations often involved in other forms of criminality (e.g. acquisitive crime), and how can this inform counter-terrorism policing? </w:t>
      </w:r>
    </w:p>
    <w:p w14:paraId="746BC741" w14:textId="5A71BD44" w:rsidR="00FF711A" w:rsidRPr="009501CD" w:rsidRDefault="00164623" w:rsidP="009501CD">
      <w:pPr>
        <w:jc w:val="both"/>
        <w:rPr>
          <w:rFonts w:ascii="Times New Roman" w:hAnsi="Times New Roman" w:cs="Times New Roman"/>
          <w:sz w:val="24"/>
          <w:szCs w:val="24"/>
        </w:rPr>
      </w:pPr>
      <w:r w:rsidRPr="009501CD">
        <w:rPr>
          <w:rFonts w:ascii="Times New Roman" w:hAnsi="Times New Roman" w:cs="Times New Roman"/>
          <w:sz w:val="24"/>
          <w:szCs w:val="24"/>
        </w:rPr>
        <w:t xml:space="preserve">Terrorism organisations and criminal enterprises have historically operated with separate motives, terrorist seek political or ideological change, while criminals pursue profit. Yet, in recent decades it has been revealed that there is an increasing overlap between the two, giving rise to what scholars call the crime-terror nexus. This term reflects how terrorist groups engage in criminal acts , either to fund operations, sustain their networks, or even blue the ideological lines altogether. The convergence of terrorism and organised crime poses significant challenges to traditional policing and security strategies. </w:t>
      </w:r>
      <w:r w:rsidR="00EA4890" w:rsidRPr="009501CD">
        <w:rPr>
          <w:rFonts w:ascii="Times New Roman" w:hAnsi="Times New Roman" w:cs="Times New Roman"/>
          <w:sz w:val="24"/>
          <w:szCs w:val="24"/>
        </w:rPr>
        <w:t xml:space="preserve"> </w:t>
      </w:r>
      <w:r w:rsidRPr="009501CD">
        <w:rPr>
          <w:rFonts w:ascii="Times New Roman" w:hAnsi="Times New Roman" w:cs="Times New Roman"/>
          <w:sz w:val="24"/>
          <w:szCs w:val="24"/>
        </w:rPr>
        <w:t>This essay critically examines why terrorist organisations often participate in criminal activities and discus how insight can inform modern counter-terrorism policing. Using academic literature and real-world case studies, it explores financial motivations, operational dependencies and the implications of these for policy and law enforcement.</w:t>
      </w:r>
    </w:p>
    <w:p w14:paraId="0CC3688A" w14:textId="0DF056A2" w:rsidR="00710675" w:rsidRPr="009501CD" w:rsidRDefault="00710675" w:rsidP="009501CD">
      <w:pPr>
        <w:jc w:val="both"/>
        <w:rPr>
          <w:rFonts w:ascii="Times New Roman" w:hAnsi="Times New Roman" w:cs="Times New Roman"/>
          <w:sz w:val="24"/>
          <w:szCs w:val="24"/>
        </w:rPr>
      </w:pPr>
      <w:r w:rsidRPr="009501CD">
        <w:rPr>
          <w:rFonts w:ascii="Times New Roman" w:hAnsi="Times New Roman" w:cs="Times New Roman"/>
          <w:sz w:val="24"/>
          <w:szCs w:val="24"/>
        </w:rPr>
        <w:t>Terrorism and organized crime have often been conceptualized as distinct threats; however, they can converge in complex ways. According to Makarenko</w:t>
      </w:r>
      <w:r w:rsidR="00977E0F" w:rsidRPr="009501CD">
        <w:rPr>
          <w:rFonts w:ascii="Times New Roman" w:hAnsi="Times New Roman" w:cs="Times New Roman"/>
          <w:sz w:val="24"/>
          <w:szCs w:val="24"/>
        </w:rPr>
        <w:t xml:space="preserve"> 2004</w:t>
      </w:r>
      <w:r w:rsidRPr="009501CD">
        <w:rPr>
          <w:rFonts w:ascii="Times New Roman" w:hAnsi="Times New Roman" w:cs="Times New Roman"/>
          <w:sz w:val="24"/>
          <w:szCs w:val="24"/>
        </w:rPr>
        <w:t>, this relationship lies along a continuum. At one end, criminal organizations may adopt ideological motives, while at the other, terrorist groups may engage in organized crime purely for funding. The grey area in between represents hybrid entities that merge both purposes</w:t>
      </w:r>
      <w:r w:rsidR="00977E0F" w:rsidRPr="009501CD">
        <w:rPr>
          <w:rFonts w:ascii="Times New Roman" w:hAnsi="Times New Roman" w:cs="Times New Roman"/>
          <w:sz w:val="24"/>
          <w:szCs w:val="24"/>
        </w:rPr>
        <w:t xml:space="preserve"> (Makarenko, 2004, P- 132)</w:t>
      </w:r>
      <w:r w:rsidRPr="009501CD">
        <w:rPr>
          <w:rFonts w:ascii="Times New Roman" w:hAnsi="Times New Roman" w:cs="Times New Roman"/>
          <w:sz w:val="24"/>
          <w:szCs w:val="24"/>
        </w:rPr>
        <w:t>.</w:t>
      </w:r>
    </w:p>
    <w:p w14:paraId="4D072A06" w14:textId="24109CF2" w:rsidR="00710675" w:rsidRPr="009501CD" w:rsidRDefault="00710675" w:rsidP="009501CD">
      <w:pPr>
        <w:jc w:val="both"/>
        <w:rPr>
          <w:rFonts w:ascii="Times New Roman" w:hAnsi="Times New Roman" w:cs="Times New Roman"/>
          <w:sz w:val="24"/>
          <w:szCs w:val="24"/>
        </w:rPr>
      </w:pPr>
      <w:r w:rsidRPr="009501CD">
        <w:rPr>
          <w:rFonts w:ascii="Times New Roman" w:hAnsi="Times New Roman" w:cs="Times New Roman"/>
          <w:sz w:val="24"/>
          <w:szCs w:val="24"/>
        </w:rPr>
        <w:t>Phil Williams 2009 reinforces this, arguing that globalization, porous borders, and technological advancement have contributed to this merger. He identifies that both terrorists and criminals exploit weak state structures, access illicit markets, and rely on clandestine networks. Understanding these overlaps is essential for effective counter-terrorism efforts</w:t>
      </w:r>
      <w:r w:rsidR="00977E0F" w:rsidRPr="009501CD">
        <w:rPr>
          <w:rFonts w:ascii="Times New Roman" w:hAnsi="Times New Roman" w:cs="Times New Roman"/>
          <w:sz w:val="24"/>
          <w:szCs w:val="24"/>
        </w:rPr>
        <w:t xml:space="preserve"> (Williams, 2009)</w:t>
      </w:r>
      <w:r w:rsidRPr="009501CD">
        <w:rPr>
          <w:rFonts w:ascii="Times New Roman" w:hAnsi="Times New Roman" w:cs="Times New Roman"/>
          <w:sz w:val="24"/>
          <w:szCs w:val="24"/>
        </w:rPr>
        <w:t>.</w:t>
      </w:r>
    </w:p>
    <w:p w14:paraId="2AB1507D" w14:textId="2F0AABB1" w:rsidR="00710675" w:rsidRPr="009501CD" w:rsidRDefault="00710675" w:rsidP="009501CD">
      <w:pPr>
        <w:jc w:val="both"/>
        <w:rPr>
          <w:rFonts w:ascii="Times New Roman" w:hAnsi="Times New Roman" w:cs="Times New Roman"/>
          <w:sz w:val="24"/>
          <w:szCs w:val="24"/>
        </w:rPr>
      </w:pPr>
      <w:r w:rsidRPr="009501CD">
        <w:rPr>
          <w:rFonts w:ascii="Times New Roman" w:hAnsi="Times New Roman" w:cs="Times New Roman"/>
          <w:sz w:val="24"/>
          <w:szCs w:val="24"/>
        </w:rPr>
        <w:t>Terrorist groups require substantial financial resources to operate funding recruitment, weapons, logistics, propaganda, and sometimes, governance. Without state sponsorship or external donors, many groups turn to illicit activities. These include drug trafficking (e.g., Taliban’s involvement in Afghanistan’s opium trade), kidnapping for ransom (e.g., Boko Haram, Abu Sayyaf), illegal oil smuggling (e.g., ISIS in Iraq and Syria) and human trafficking and extortion</w:t>
      </w:r>
      <w:r w:rsidR="00977E0F" w:rsidRPr="009501CD">
        <w:rPr>
          <w:rFonts w:ascii="Times New Roman" w:hAnsi="Times New Roman" w:cs="Times New Roman"/>
          <w:sz w:val="24"/>
          <w:szCs w:val="24"/>
        </w:rPr>
        <w:t xml:space="preserve">. Some </w:t>
      </w:r>
      <w:r w:rsidRPr="009501CD">
        <w:rPr>
          <w:rFonts w:ascii="Times New Roman" w:hAnsi="Times New Roman" w:cs="Times New Roman"/>
          <w:sz w:val="24"/>
          <w:szCs w:val="24"/>
        </w:rPr>
        <w:t>argue that terrorist groups increasingly rely on such criminal activities, especially when isolated from legitimate financing. For example, ISIS reportedly earned over $1 million daily from oil smuggling alone in 2015 (Center for Security Studies, 2025).</w:t>
      </w:r>
    </w:p>
    <w:p w14:paraId="440B6063" w14:textId="3510BADA" w:rsidR="00710675" w:rsidRPr="009501CD" w:rsidRDefault="00710675" w:rsidP="009501CD">
      <w:pPr>
        <w:jc w:val="both"/>
        <w:rPr>
          <w:rFonts w:ascii="Times New Roman" w:hAnsi="Times New Roman" w:cs="Times New Roman"/>
          <w:sz w:val="24"/>
          <w:szCs w:val="24"/>
        </w:rPr>
      </w:pPr>
      <w:r w:rsidRPr="009501CD">
        <w:rPr>
          <w:rFonts w:ascii="Times New Roman" w:hAnsi="Times New Roman" w:cs="Times New Roman"/>
          <w:sz w:val="24"/>
          <w:szCs w:val="24"/>
        </w:rPr>
        <w:t xml:space="preserve">Criminal activities also provide logistical support. Smuggling routes used by drug cartels often double as arms trafficking corridors for terrorists. These shared resources create operational synergies between criminal and terrorist networks. According to Dishman (2005), cooperation may evolve from temporary </w:t>
      </w:r>
      <w:r w:rsidRPr="009501CD">
        <w:rPr>
          <w:rFonts w:ascii="Times New Roman" w:hAnsi="Times New Roman" w:cs="Times New Roman"/>
          <w:sz w:val="24"/>
          <w:szCs w:val="24"/>
        </w:rPr>
        <w:lastRenderedPageBreak/>
        <w:t>alliances into more integrated partnerships.</w:t>
      </w:r>
      <w:r w:rsidR="00C54813" w:rsidRPr="009501CD">
        <w:rPr>
          <w:rFonts w:ascii="Times New Roman" w:hAnsi="Times New Roman" w:cs="Times New Roman"/>
          <w:sz w:val="24"/>
          <w:szCs w:val="24"/>
        </w:rPr>
        <w:t xml:space="preserve"> </w:t>
      </w:r>
      <w:r w:rsidRPr="009501CD">
        <w:rPr>
          <w:rFonts w:ascii="Times New Roman" w:hAnsi="Times New Roman" w:cs="Times New Roman"/>
          <w:sz w:val="24"/>
          <w:szCs w:val="24"/>
        </w:rPr>
        <w:t>In areas with weak governance, terrorist groups may assume criminal roles to maintain control. For instance, Al-Shabaab in Somalia taxed local businesses and controlled trade routes to reinforce its authority, using extortion as a strategic tool (Center for Security Studies, 2025).</w:t>
      </w:r>
    </w:p>
    <w:p w14:paraId="0D76D054" w14:textId="0E39374E" w:rsidR="00710675" w:rsidRPr="009501CD" w:rsidRDefault="00710675" w:rsidP="009501CD">
      <w:pPr>
        <w:jc w:val="both"/>
        <w:rPr>
          <w:rFonts w:ascii="Times New Roman" w:hAnsi="Times New Roman" w:cs="Times New Roman"/>
          <w:sz w:val="24"/>
          <w:szCs w:val="24"/>
        </w:rPr>
      </w:pPr>
      <w:r w:rsidRPr="009501CD">
        <w:rPr>
          <w:rFonts w:ascii="Times New Roman" w:hAnsi="Times New Roman" w:cs="Times New Roman"/>
          <w:sz w:val="24"/>
          <w:szCs w:val="24"/>
        </w:rPr>
        <w:t>ISIS serves as a textbook example of a hybrid terrorist-criminal organization. Though ideologically motivated, it relied heavily on oil smuggling, kidnapping, and extortion to finance its operations. According to The Guardian (2024), even large companies such as Lafarge made payments to ISIS to continue operations in conflict zones, indirectly funding terrorism.</w:t>
      </w:r>
    </w:p>
    <w:p w14:paraId="3D75D0C7" w14:textId="676BB168" w:rsidR="00710675" w:rsidRPr="009501CD" w:rsidRDefault="00710675" w:rsidP="009501CD">
      <w:pPr>
        <w:jc w:val="both"/>
        <w:rPr>
          <w:rFonts w:ascii="Times New Roman" w:hAnsi="Times New Roman" w:cs="Times New Roman"/>
          <w:sz w:val="24"/>
          <w:szCs w:val="24"/>
        </w:rPr>
      </w:pPr>
      <w:r w:rsidRPr="009501CD">
        <w:rPr>
          <w:rFonts w:ascii="Times New Roman" w:hAnsi="Times New Roman" w:cs="Times New Roman"/>
          <w:sz w:val="24"/>
          <w:szCs w:val="24"/>
        </w:rPr>
        <w:t xml:space="preserve">Abu Sayyaf Group (ASG) Operating in the Philippines, ASG blends ideological goals with criminal endeavours. The group gained international notoriety for high-profile kidnappings. In the 2000 </w:t>
      </w:r>
      <w:proofErr w:type="spellStart"/>
      <w:r w:rsidRPr="009501CD">
        <w:rPr>
          <w:rFonts w:ascii="Times New Roman" w:hAnsi="Times New Roman" w:cs="Times New Roman"/>
          <w:sz w:val="24"/>
          <w:szCs w:val="24"/>
        </w:rPr>
        <w:t>Sipadan</w:t>
      </w:r>
      <w:proofErr w:type="spellEnd"/>
      <w:r w:rsidRPr="009501CD">
        <w:rPr>
          <w:rFonts w:ascii="Times New Roman" w:hAnsi="Times New Roman" w:cs="Times New Roman"/>
          <w:sz w:val="24"/>
          <w:szCs w:val="24"/>
        </w:rPr>
        <w:t xml:space="preserve"> and 2001 Dos Palmas incidents, tourists were abducted and released for ransom</w:t>
      </w:r>
      <w:r w:rsidR="00C54813" w:rsidRPr="009501CD">
        <w:rPr>
          <w:rFonts w:ascii="Times New Roman" w:hAnsi="Times New Roman" w:cs="Times New Roman"/>
          <w:sz w:val="24"/>
          <w:szCs w:val="24"/>
        </w:rPr>
        <w:t xml:space="preserve">. </w:t>
      </w:r>
      <w:r w:rsidRPr="009501CD">
        <w:rPr>
          <w:rFonts w:ascii="Times New Roman" w:hAnsi="Times New Roman" w:cs="Times New Roman"/>
          <w:sz w:val="24"/>
          <w:szCs w:val="24"/>
        </w:rPr>
        <w:t>These actions generated millions of dollars and prolonged ASG's operational capacity.</w:t>
      </w:r>
    </w:p>
    <w:p w14:paraId="05A76C66" w14:textId="0FC5D2AF" w:rsidR="00710675" w:rsidRPr="009501CD" w:rsidRDefault="00710675" w:rsidP="009501CD">
      <w:pPr>
        <w:jc w:val="both"/>
        <w:rPr>
          <w:rFonts w:ascii="Times New Roman" w:hAnsi="Times New Roman" w:cs="Times New Roman"/>
          <w:sz w:val="24"/>
          <w:szCs w:val="24"/>
        </w:rPr>
      </w:pPr>
      <w:r w:rsidRPr="009501CD">
        <w:rPr>
          <w:rFonts w:ascii="Times New Roman" w:hAnsi="Times New Roman" w:cs="Times New Roman"/>
          <w:sz w:val="24"/>
          <w:szCs w:val="24"/>
        </w:rPr>
        <w:t>Al-Shabaab. Beyond ideological aspirations, Al-Shabaab has engaged in illegal charcoal exports despite international bans. Between 2012–2017, this trade allegedly earned them $400 million (Center for Security Studies, 2025). These profits funded operations, recruitment, and internal governance, making Al-Shabaab both a criminal cartel and an insurgent force.</w:t>
      </w:r>
    </w:p>
    <w:p w14:paraId="186EC3E6" w14:textId="2FDE0323" w:rsidR="00710675" w:rsidRPr="009501CD" w:rsidRDefault="00710675" w:rsidP="009501CD">
      <w:pPr>
        <w:jc w:val="both"/>
        <w:rPr>
          <w:rFonts w:ascii="Times New Roman" w:hAnsi="Times New Roman" w:cs="Times New Roman"/>
          <w:sz w:val="24"/>
          <w:szCs w:val="24"/>
        </w:rPr>
      </w:pPr>
      <w:r w:rsidRPr="009501CD">
        <w:rPr>
          <w:rFonts w:ascii="Times New Roman" w:hAnsi="Times New Roman" w:cs="Times New Roman"/>
          <w:sz w:val="24"/>
          <w:szCs w:val="24"/>
        </w:rPr>
        <w:t>Tren de Aragua (</w:t>
      </w:r>
      <w:proofErr w:type="spellStart"/>
      <w:r w:rsidRPr="009501CD">
        <w:rPr>
          <w:rFonts w:ascii="Times New Roman" w:hAnsi="Times New Roman" w:cs="Times New Roman"/>
          <w:sz w:val="24"/>
          <w:szCs w:val="24"/>
        </w:rPr>
        <w:t>TdA</w:t>
      </w:r>
      <w:proofErr w:type="spellEnd"/>
      <w:r w:rsidRPr="009501CD">
        <w:rPr>
          <w:rFonts w:ascii="Times New Roman" w:hAnsi="Times New Roman" w:cs="Times New Roman"/>
          <w:sz w:val="24"/>
          <w:szCs w:val="24"/>
        </w:rPr>
        <w:t>)</w:t>
      </w:r>
      <w:r w:rsidR="00C54813" w:rsidRPr="009501CD">
        <w:rPr>
          <w:rFonts w:ascii="Times New Roman" w:hAnsi="Times New Roman" w:cs="Times New Roman"/>
          <w:sz w:val="24"/>
          <w:szCs w:val="24"/>
        </w:rPr>
        <w:t xml:space="preserve">. </w:t>
      </w:r>
      <w:r w:rsidRPr="009501CD">
        <w:rPr>
          <w:rFonts w:ascii="Times New Roman" w:hAnsi="Times New Roman" w:cs="Times New Roman"/>
          <w:sz w:val="24"/>
          <w:szCs w:val="24"/>
        </w:rPr>
        <w:t xml:space="preserve">Though originally a prison gang in Venezuela, </w:t>
      </w:r>
      <w:proofErr w:type="spellStart"/>
      <w:r w:rsidRPr="009501CD">
        <w:rPr>
          <w:rFonts w:ascii="Times New Roman" w:hAnsi="Times New Roman" w:cs="Times New Roman"/>
          <w:sz w:val="24"/>
          <w:szCs w:val="24"/>
        </w:rPr>
        <w:t>TdA</w:t>
      </w:r>
      <w:proofErr w:type="spellEnd"/>
      <w:r w:rsidRPr="009501CD">
        <w:rPr>
          <w:rFonts w:ascii="Times New Roman" w:hAnsi="Times New Roman" w:cs="Times New Roman"/>
          <w:sz w:val="24"/>
          <w:szCs w:val="24"/>
        </w:rPr>
        <w:t xml:space="preserve"> has evolved into a transnational group engaged in drug trafficking and extortion. In 2025, the U.S. Justice Department filed its first terrorism case against a </w:t>
      </w:r>
      <w:proofErr w:type="spellStart"/>
      <w:r w:rsidRPr="009501CD">
        <w:rPr>
          <w:rFonts w:ascii="Times New Roman" w:hAnsi="Times New Roman" w:cs="Times New Roman"/>
          <w:sz w:val="24"/>
          <w:szCs w:val="24"/>
        </w:rPr>
        <w:t>TdA</w:t>
      </w:r>
      <w:proofErr w:type="spellEnd"/>
      <w:r w:rsidRPr="009501CD">
        <w:rPr>
          <w:rFonts w:ascii="Times New Roman" w:hAnsi="Times New Roman" w:cs="Times New Roman"/>
          <w:sz w:val="24"/>
          <w:szCs w:val="24"/>
        </w:rPr>
        <w:t xml:space="preserve"> leader, recognizing the blurred lines between organized crime and terrorism (AP News, 2025). This case signifies how modern terrorist entities increasingly resemble sophisticated criminal syndicates.</w:t>
      </w:r>
    </w:p>
    <w:p w14:paraId="6E35D66E" w14:textId="5FC8DCEF" w:rsidR="00710675" w:rsidRPr="009501CD" w:rsidRDefault="00710675" w:rsidP="009501CD">
      <w:pPr>
        <w:jc w:val="both"/>
        <w:rPr>
          <w:rFonts w:ascii="Times New Roman" w:hAnsi="Times New Roman" w:cs="Times New Roman"/>
          <w:sz w:val="24"/>
          <w:szCs w:val="24"/>
        </w:rPr>
      </w:pPr>
      <w:r w:rsidRPr="009501CD">
        <w:rPr>
          <w:rFonts w:ascii="Times New Roman" w:hAnsi="Times New Roman" w:cs="Times New Roman"/>
          <w:sz w:val="24"/>
          <w:szCs w:val="24"/>
        </w:rPr>
        <w:t>Implications for Counter-Terrorism Policing</w:t>
      </w:r>
    </w:p>
    <w:p w14:paraId="69876339" w14:textId="46892396" w:rsidR="00710675" w:rsidRPr="009501CD" w:rsidRDefault="00710675" w:rsidP="009501CD">
      <w:pPr>
        <w:jc w:val="both"/>
        <w:rPr>
          <w:rFonts w:ascii="Times New Roman" w:hAnsi="Times New Roman" w:cs="Times New Roman"/>
          <w:sz w:val="24"/>
          <w:szCs w:val="24"/>
        </w:rPr>
      </w:pPr>
      <w:r w:rsidRPr="009501CD">
        <w:rPr>
          <w:rFonts w:ascii="Times New Roman" w:hAnsi="Times New Roman" w:cs="Times New Roman"/>
          <w:sz w:val="24"/>
          <w:szCs w:val="24"/>
        </w:rPr>
        <w:t>Understanding the crime-terror nexus has practical and strategic implications for policing.</w:t>
      </w:r>
      <w:r w:rsidR="00C54813" w:rsidRPr="009501CD">
        <w:rPr>
          <w:rFonts w:ascii="Times New Roman" w:hAnsi="Times New Roman" w:cs="Times New Roman"/>
          <w:sz w:val="24"/>
          <w:szCs w:val="24"/>
        </w:rPr>
        <w:t xml:space="preserve"> </w:t>
      </w:r>
      <w:r w:rsidRPr="009501CD">
        <w:rPr>
          <w:rFonts w:ascii="Times New Roman" w:hAnsi="Times New Roman" w:cs="Times New Roman"/>
          <w:sz w:val="24"/>
          <w:szCs w:val="24"/>
        </w:rPr>
        <w:t>Traditional policing separates organized crime units from counter-terrorism divisions. However, the hybrid nature of threats necessitates inter-agency collaboration. Police must integrate data on financial transactions, trafficking routes, and ideological threats. Europol and Interpol already provide frameworks for this, but national implementation varies.</w:t>
      </w:r>
      <w:r w:rsidR="00C54813" w:rsidRPr="009501CD">
        <w:rPr>
          <w:rFonts w:ascii="Times New Roman" w:hAnsi="Times New Roman" w:cs="Times New Roman"/>
          <w:sz w:val="24"/>
          <w:szCs w:val="24"/>
        </w:rPr>
        <w:t xml:space="preserve"> </w:t>
      </w:r>
      <w:r w:rsidRPr="009501CD">
        <w:rPr>
          <w:rFonts w:ascii="Times New Roman" w:hAnsi="Times New Roman" w:cs="Times New Roman"/>
          <w:sz w:val="24"/>
          <w:szCs w:val="24"/>
        </w:rPr>
        <w:t>Counter-terrorism should focus not only on the ideological aspect but also on the financial mechanisms of terror groups. This includes tracking suspicious bank transactions, dismantling money laundering networks, and seizing illicit assets. According to Levitt (2013), financial disruption has proven effective in weakening groups like Hezbollah.</w:t>
      </w:r>
    </w:p>
    <w:p w14:paraId="1F6ED9AE" w14:textId="4DCA183E" w:rsidR="00710675" w:rsidRPr="009501CD" w:rsidRDefault="00710675" w:rsidP="009501CD">
      <w:pPr>
        <w:jc w:val="both"/>
        <w:rPr>
          <w:rFonts w:ascii="Times New Roman" w:hAnsi="Times New Roman" w:cs="Times New Roman"/>
          <w:sz w:val="24"/>
          <w:szCs w:val="24"/>
        </w:rPr>
      </w:pPr>
      <w:r w:rsidRPr="009501CD">
        <w:rPr>
          <w:rFonts w:ascii="Times New Roman" w:hAnsi="Times New Roman" w:cs="Times New Roman"/>
          <w:sz w:val="24"/>
          <w:szCs w:val="24"/>
        </w:rPr>
        <w:lastRenderedPageBreak/>
        <w:t>Countries must adapt legal tools to address dual-purpose organizations. Laws that address terrorism separately from organized crime may fail to prosecute hybrid groups effectively. UNODC (2021) suggests a harmonized legal framework where criminal association and terrorist intent are jointly considered.</w:t>
      </w:r>
      <w:r w:rsidR="00C54813" w:rsidRPr="009501CD">
        <w:rPr>
          <w:rFonts w:ascii="Times New Roman" w:hAnsi="Times New Roman" w:cs="Times New Roman"/>
          <w:sz w:val="24"/>
          <w:szCs w:val="24"/>
        </w:rPr>
        <w:t xml:space="preserve"> </w:t>
      </w:r>
      <w:r w:rsidRPr="009501CD">
        <w:rPr>
          <w:rFonts w:ascii="Times New Roman" w:hAnsi="Times New Roman" w:cs="Times New Roman"/>
          <w:sz w:val="24"/>
          <w:szCs w:val="24"/>
        </w:rPr>
        <w:t>Preventive strategies are vital. Community policing, education programs, and deradicalization efforts must be emphasized. If communities are economically and socially resilient, they are less likely to be exploited by terrorists or criminals. Lum, Kennedy, and Sherley (2006) found that community-based approaches enhance intelligence gathering and public trust.</w:t>
      </w:r>
    </w:p>
    <w:p w14:paraId="0D2F0C83" w14:textId="7E4F9312" w:rsidR="00710675" w:rsidRPr="009501CD" w:rsidRDefault="00710675" w:rsidP="009501CD">
      <w:pPr>
        <w:jc w:val="both"/>
        <w:rPr>
          <w:rFonts w:ascii="Times New Roman" w:hAnsi="Times New Roman" w:cs="Times New Roman"/>
          <w:sz w:val="24"/>
          <w:szCs w:val="24"/>
        </w:rPr>
      </w:pPr>
      <w:r w:rsidRPr="009501CD">
        <w:rPr>
          <w:rFonts w:ascii="Times New Roman" w:hAnsi="Times New Roman" w:cs="Times New Roman"/>
          <w:sz w:val="24"/>
          <w:szCs w:val="24"/>
        </w:rPr>
        <w:t>Despite theoretical clarity, several barriers hinder effective policy execution such as jurisdictional conflicts between law enforcement bodies, resource constraints in developing nations, corruption within institutions and rapid technological change, including encrypted messaging and cryptocurrencies used by criminals.</w:t>
      </w:r>
      <w:r w:rsidR="00C54813" w:rsidRPr="009501CD">
        <w:rPr>
          <w:rFonts w:ascii="Times New Roman" w:hAnsi="Times New Roman" w:cs="Times New Roman"/>
          <w:sz w:val="24"/>
          <w:szCs w:val="24"/>
        </w:rPr>
        <w:t xml:space="preserve"> </w:t>
      </w:r>
      <w:r w:rsidRPr="009501CD">
        <w:rPr>
          <w:rFonts w:ascii="Times New Roman" w:hAnsi="Times New Roman" w:cs="Times New Roman"/>
          <w:sz w:val="24"/>
          <w:szCs w:val="24"/>
        </w:rPr>
        <w:t>Furthermore, the global nature of terrorism makes unilateral policing insufficient. Effective counter-terrorism policing must involve multilateral cooperation, such as international treaties, joint task forces, and intelligence sharing.</w:t>
      </w:r>
    </w:p>
    <w:p w14:paraId="537AD213" w14:textId="37835962" w:rsidR="00710675" w:rsidRPr="009501CD" w:rsidRDefault="00710675" w:rsidP="009501CD">
      <w:pPr>
        <w:jc w:val="both"/>
        <w:rPr>
          <w:rFonts w:ascii="Times New Roman" w:hAnsi="Times New Roman" w:cs="Times New Roman"/>
          <w:sz w:val="24"/>
          <w:szCs w:val="24"/>
        </w:rPr>
      </w:pPr>
      <w:r w:rsidRPr="009501CD">
        <w:rPr>
          <w:rFonts w:ascii="Times New Roman" w:hAnsi="Times New Roman" w:cs="Times New Roman"/>
          <w:sz w:val="24"/>
          <w:szCs w:val="24"/>
        </w:rPr>
        <w:t>The convergence of terrorism and criminality represents one of the most pressing security challenges of the 21st century. As terrorist groups increasingly rely on criminal activities for survival, the lines between ideology and profit are becoming blurred. This crime-terror nexus complicates traditional policing methods and requires adaptive, integrated, and informed counter-terrorism strategies.</w:t>
      </w:r>
    </w:p>
    <w:p w14:paraId="2C31C625" w14:textId="77777777" w:rsidR="00710675" w:rsidRPr="009501CD" w:rsidRDefault="00710675" w:rsidP="009501CD">
      <w:pPr>
        <w:jc w:val="both"/>
        <w:rPr>
          <w:rFonts w:ascii="Times New Roman" w:hAnsi="Times New Roman" w:cs="Times New Roman"/>
          <w:sz w:val="24"/>
          <w:szCs w:val="24"/>
        </w:rPr>
      </w:pPr>
      <w:r w:rsidRPr="009501CD">
        <w:rPr>
          <w:rFonts w:ascii="Times New Roman" w:hAnsi="Times New Roman" w:cs="Times New Roman"/>
          <w:sz w:val="24"/>
          <w:szCs w:val="24"/>
        </w:rPr>
        <w:t>Policing must evolve from a narrow focus on ideology to a broader analysis of the economic and operational infrastructure of terrorist groups. By integrating financial tracking, intelligence collaboration, legal innovation, and community engagement, counter-terrorism policing can effectively combat the dual threat posed by modern hybrid organizations.</w:t>
      </w:r>
    </w:p>
    <w:p w14:paraId="53A5B544" w14:textId="77777777" w:rsidR="00710675" w:rsidRPr="009501CD" w:rsidRDefault="00710675" w:rsidP="009501CD">
      <w:pPr>
        <w:jc w:val="both"/>
        <w:rPr>
          <w:rFonts w:ascii="Times New Roman" w:hAnsi="Times New Roman" w:cs="Times New Roman"/>
          <w:sz w:val="24"/>
          <w:szCs w:val="24"/>
        </w:rPr>
      </w:pPr>
      <w:r w:rsidRPr="009501CD">
        <w:rPr>
          <w:rFonts w:ascii="Times New Roman" w:hAnsi="Times New Roman" w:cs="Times New Roman"/>
          <w:sz w:val="24"/>
          <w:szCs w:val="24"/>
        </w:rPr>
        <w:t>The case studies of ISIS, Al-Shabaab, Abu Sayyaf, and Tren de Aragua demonstrate that criminality is no longer incidental to terrorism—it is often central. Recognizing and responding to this reality is not only prudent but essential to safeguarding national and global security.</w:t>
      </w:r>
    </w:p>
    <w:p w14:paraId="0D0EBB89" w14:textId="77777777" w:rsidR="009501CD" w:rsidRDefault="009501CD" w:rsidP="009501CD">
      <w:pPr>
        <w:jc w:val="both"/>
        <w:rPr>
          <w:rFonts w:ascii="Times New Roman" w:hAnsi="Times New Roman" w:cs="Times New Roman"/>
          <w:sz w:val="24"/>
          <w:szCs w:val="24"/>
        </w:rPr>
      </w:pPr>
    </w:p>
    <w:p w14:paraId="08851BD7" w14:textId="77777777" w:rsidR="009501CD" w:rsidRDefault="009501CD" w:rsidP="009501CD">
      <w:pPr>
        <w:jc w:val="both"/>
        <w:rPr>
          <w:rFonts w:ascii="Times New Roman" w:hAnsi="Times New Roman" w:cs="Times New Roman"/>
          <w:sz w:val="24"/>
          <w:szCs w:val="24"/>
        </w:rPr>
      </w:pPr>
    </w:p>
    <w:p w14:paraId="41A4E255" w14:textId="77777777" w:rsidR="009501CD" w:rsidRDefault="009501CD" w:rsidP="009501CD">
      <w:pPr>
        <w:jc w:val="both"/>
        <w:rPr>
          <w:rFonts w:ascii="Times New Roman" w:hAnsi="Times New Roman" w:cs="Times New Roman"/>
          <w:sz w:val="24"/>
          <w:szCs w:val="24"/>
        </w:rPr>
      </w:pPr>
    </w:p>
    <w:p w14:paraId="23ED4A2C" w14:textId="77777777" w:rsidR="009501CD" w:rsidRDefault="009501CD" w:rsidP="009501CD">
      <w:pPr>
        <w:jc w:val="both"/>
        <w:rPr>
          <w:rFonts w:ascii="Times New Roman" w:hAnsi="Times New Roman" w:cs="Times New Roman"/>
          <w:sz w:val="24"/>
          <w:szCs w:val="24"/>
        </w:rPr>
      </w:pPr>
    </w:p>
    <w:p w14:paraId="6B7E3F27" w14:textId="77777777" w:rsidR="009501CD" w:rsidRDefault="009501CD" w:rsidP="009501CD">
      <w:pPr>
        <w:jc w:val="both"/>
        <w:rPr>
          <w:rFonts w:ascii="Times New Roman" w:hAnsi="Times New Roman" w:cs="Times New Roman"/>
          <w:sz w:val="24"/>
          <w:szCs w:val="24"/>
        </w:rPr>
      </w:pPr>
    </w:p>
    <w:p w14:paraId="59133858" w14:textId="77777777" w:rsidR="009501CD" w:rsidRDefault="009501CD" w:rsidP="009501CD">
      <w:pPr>
        <w:jc w:val="both"/>
        <w:rPr>
          <w:rFonts w:ascii="Times New Roman" w:hAnsi="Times New Roman" w:cs="Times New Roman"/>
          <w:sz w:val="24"/>
          <w:szCs w:val="24"/>
        </w:rPr>
      </w:pPr>
    </w:p>
    <w:p w14:paraId="39E76E0D" w14:textId="77777777" w:rsidR="009501CD" w:rsidRDefault="009501CD" w:rsidP="009501CD">
      <w:pPr>
        <w:jc w:val="both"/>
        <w:rPr>
          <w:rFonts w:ascii="Times New Roman" w:hAnsi="Times New Roman" w:cs="Times New Roman"/>
          <w:sz w:val="24"/>
          <w:szCs w:val="24"/>
        </w:rPr>
      </w:pPr>
    </w:p>
    <w:p w14:paraId="0798F5C5" w14:textId="77777777" w:rsidR="009501CD" w:rsidRDefault="009501CD" w:rsidP="009501CD">
      <w:pPr>
        <w:jc w:val="both"/>
        <w:rPr>
          <w:rFonts w:ascii="Times New Roman" w:hAnsi="Times New Roman" w:cs="Times New Roman"/>
          <w:sz w:val="24"/>
          <w:szCs w:val="24"/>
        </w:rPr>
      </w:pPr>
    </w:p>
    <w:p w14:paraId="6FBA284D" w14:textId="77777777" w:rsidR="009501CD" w:rsidRDefault="009501CD" w:rsidP="009501CD">
      <w:pPr>
        <w:jc w:val="both"/>
        <w:rPr>
          <w:rFonts w:ascii="Times New Roman" w:hAnsi="Times New Roman" w:cs="Times New Roman"/>
          <w:sz w:val="24"/>
          <w:szCs w:val="24"/>
        </w:rPr>
      </w:pPr>
    </w:p>
    <w:p w14:paraId="13FDCA35" w14:textId="77777777" w:rsidR="009501CD" w:rsidRDefault="009501CD" w:rsidP="009501CD">
      <w:pPr>
        <w:jc w:val="both"/>
        <w:rPr>
          <w:rFonts w:ascii="Times New Roman" w:hAnsi="Times New Roman" w:cs="Times New Roman"/>
          <w:sz w:val="24"/>
          <w:szCs w:val="24"/>
        </w:rPr>
      </w:pPr>
    </w:p>
    <w:p w14:paraId="49269CF1" w14:textId="77777777" w:rsidR="009501CD" w:rsidRDefault="009501CD" w:rsidP="009501CD">
      <w:pPr>
        <w:jc w:val="both"/>
        <w:rPr>
          <w:rFonts w:ascii="Times New Roman" w:hAnsi="Times New Roman" w:cs="Times New Roman"/>
          <w:sz w:val="24"/>
          <w:szCs w:val="24"/>
        </w:rPr>
      </w:pPr>
    </w:p>
    <w:p w14:paraId="13D872D7" w14:textId="77777777" w:rsidR="009501CD" w:rsidRDefault="009501CD" w:rsidP="009501CD">
      <w:pPr>
        <w:jc w:val="both"/>
        <w:rPr>
          <w:rFonts w:ascii="Times New Roman" w:hAnsi="Times New Roman" w:cs="Times New Roman"/>
          <w:sz w:val="24"/>
          <w:szCs w:val="24"/>
        </w:rPr>
      </w:pPr>
    </w:p>
    <w:p w14:paraId="173806DC" w14:textId="77777777" w:rsidR="009501CD" w:rsidRDefault="009501CD" w:rsidP="009501CD">
      <w:pPr>
        <w:jc w:val="both"/>
        <w:rPr>
          <w:rFonts w:ascii="Times New Roman" w:hAnsi="Times New Roman" w:cs="Times New Roman"/>
          <w:sz w:val="24"/>
          <w:szCs w:val="24"/>
        </w:rPr>
      </w:pPr>
    </w:p>
    <w:p w14:paraId="56209177" w14:textId="77777777" w:rsidR="009501CD" w:rsidRDefault="009501CD" w:rsidP="009501CD">
      <w:pPr>
        <w:jc w:val="both"/>
        <w:rPr>
          <w:rFonts w:ascii="Times New Roman" w:hAnsi="Times New Roman" w:cs="Times New Roman"/>
          <w:sz w:val="24"/>
          <w:szCs w:val="24"/>
        </w:rPr>
      </w:pPr>
    </w:p>
    <w:p w14:paraId="5BF37A0A" w14:textId="77777777" w:rsidR="009501CD" w:rsidRDefault="009501CD" w:rsidP="009501CD">
      <w:pPr>
        <w:jc w:val="both"/>
        <w:rPr>
          <w:rFonts w:ascii="Times New Roman" w:hAnsi="Times New Roman" w:cs="Times New Roman"/>
          <w:sz w:val="24"/>
          <w:szCs w:val="24"/>
        </w:rPr>
      </w:pPr>
    </w:p>
    <w:p w14:paraId="0AA8488C" w14:textId="77777777" w:rsidR="009501CD" w:rsidRDefault="009501CD" w:rsidP="009501CD">
      <w:pPr>
        <w:jc w:val="both"/>
        <w:rPr>
          <w:rFonts w:ascii="Times New Roman" w:hAnsi="Times New Roman" w:cs="Times New Roman"/>
          <w:sz w:val="24"/>
          <w:szCs w:val="24"/>
        </w:rPr>
      </w:pPr>
    </w:p>
    <w:p w14:paraId="47338CC7" w14:textId="77777777" w:rsidR="009501CD" w:rsidRDefault="009501CD" w:rsidP="009501CD">
      <w:pPr>
        <w:jc w:val="both"/>
        <w:rPr>
          <w:rFonts w:ascii="Times New Roman" w:hAnsi="Times New Roman" w:cs="Times New Roman"/>
          <w:sz w:val="24"/>
          <w:szCs w:val="24"/>
        </w:rPr>
      </w:pPr>
    </w:p>
    <w:p w14:paraId="3BACB278" w14:textId="77777777" w:rsidR="009501CD" w:rsidRDefault="009501CD" w:rsidP="009501CD">
      <w:pPr>
        <w:jc w:val="both"/>
        <w:rPr>
          <w:rFonts w:ascii="Times New Roman" w:hAnsi="Times New Roman" w:cs="Times New Roman"/>
          <w:sz w:val="24"/>
          <w:szCs w:val="24"/>
        </w:rPr>
      </w:pPr>
    </w:p>
    <w:p w14:paraId="2FA8E5BE" w14:textId="77777777" w:rsidR="009501CD" w:rsidRDefault="009501CD" w:rsidP="009501CD">
      <w:pPr>
        <w:jc w:val="both"/>
        <w:rPr>
          <w:rFonts w:ascii="Times New Roman" w:hAnsi="Times New Roman" w:cs="Times New Roman"/>
          <w:sz w:val="24"/>
          <w:szCs w:val="24"/>
        </w:rPr>
      </w:pPr>
    </w:p>
    <w:p w14:paraId="0EA2B9A8" w14:textId="77777777" w:rsidR="009501CD" w:rsidRDefault="009501CD" w:rsidP="009501CD">
      <w:pPr>
        <w:jc w:val="both"/>
        <w:rPr>
          <w:rFonts w:ascii="Times New Roman" w:hAnsi="Times New Roman" w:cs="Times New Roman"/>
          <w:sz w:val="24"/>
          <w:szCs w:val="24"/>
        </w:rPr>
      </w:pPr>
    </w:p>
    <w:p w14:paraId="3F10672D" w14:textId="77777777" w:rsidR="009501CD" w:rsidRDefault="009501CD" w:rsidP="009501CD">
      <w:pPr>
        <w:jc w:val="both"/>
        <w:rPr>
          <w:rFonts w:ascii="Times New Roman" w:hAnsi="Times New Roman" w:cs="Times New Roman"/>
          <w:sz w:val="24"/>
          <w:szCs w:val="24"/>
        </w:rPr>
      </w:pPr>
    </w:p>
    <w:p w14:paraId="4F3E81AF" w14:textId="77777777" w:rsidR="009501CD" w:rsidRDefault="009501CD" w:rsidP="009501CD">
      <w:pPr>
        <w:jc w:val="both"/>
        <w:rPr>
          <w:rFonts w:ascii="Times New Roman" w:hAnsi="Times New Roman" w:cs="Times New Roman"/>
          <w:sz w:val="24"/>
          <w:szCs w:val="24"/>
        </w:rPr>
      </w:pPr>
    </w:p>
    <w:p w14:paraId="60A1ED7D" w14:textId="77777777" w:rsidR="009501CD" w:rsidRDefault="009501CD" w:rsidP="009501CD">
      <w:pPr>
        <w:jc w:val="both"/>
        <w:rPr>
          <w:rFonts w:ascii="Times New Roman" w:hAnsi="Times New Roman" w:cs="Times New Roman"/>
          <w:sz w:val="24"/>
          <w:szCs w:val="24"/>
        </w:rPr>
      </w:pPr>
    </w:p>
    <w:p w14:paraId="67F12F12" w14:textId="77777777" w:rsidR="009501CD" w:rsidRDefault="009501CD" w:rsidP="009501CD">
      <w:pPr>
        <w:jc w:val="both"/>
        <w:rPr>
          <w:rFonts w:ascii="Times New Roman" w:hAnsi="Times New Roman" w:cs="Times New Roman"/>
          <w:sz w:val="24"/>
          <w:szCs w:val="24"/>
        </w:rPr>
      </w:pPr>
    </w:p>
    <w:p w14:paraId="4397D6E5" w14:textId="3F20C9F9" w:rsidR="007C37FF" w:rsidRPr="009501CD" w:rsidRDefault="007C37FF" w:rsidP="009501CD">
      <w:pPr>
        <w:jc w:val="both"/>
        <w:rPr>
          <w:rFonts w:ascii="Times New Roman" w:hAnsi="Times New Roman" w:cs="Times New Roman"/>
          <w:b/>
          <w:bCs/>
          <w:sz w:val="24"/>
          <w:szCs w:val="24"/>
        </w:rPr>
      </w:pPr>
      <w:r w:rsidRPr="009501CD">
        <w:rPr>
          <w:rFonts w:ascii="Times New Roman" w:hAnsi="Times New Roman" w:cs="Times New Roman"/>
          <w:b/>
          <w:bCs/>
          <w:sz w:val="24"/>
          <w:szCs w:val="24"/>
        </w:rPr>
        <w:t xml:space="preserve">Why </w:t>
      </w:r>
      <w:proofErr w:type="gramStart"/>
      <w:r w:rsidRPr="009501CD">
        <w:rPr>
          <w:rFonts w:ascii="Times New Roman" w:hAnsi="Times New Roman" w:cs="Times New Roman"/>
          <w:b/>
          <w:bCs/>
          <w:sz w:val="24"/>
          <w:szCs w:val="24"/>
        </w:rPr>
        <w:t>is</w:t>
      </w:r>
      <w:proofErr w:type="gramEnd"/>
      <w:r w:rsidRPr="009501CD">
        <w:rPr>
          <w:rFonts w:ascii="Times New Roman" w:hAnsi="Times New Roman" w:cs="Times New Roman"/>
          <w:b/>
          <w:bCs/>
          <w:sz w:val="24"/>
          <w:szCs w:val="24"/>
        </w:rPr>
        <w:t xml:space="preserve"> a partnership approach the most effective way to reach groups or communities who are less willing to engage with police? You should consider why certain groups are reluctant to engage with police, and the ways engagement can be achieved.</w:t>
      </w:r>
    </w:p>
    <w:p w14:paraId="2F717445" w14:textId="331BF911" w:rsidR="007C37FF" w:rsidRPr="009501CD" w:rsidRDefault="007C37FF" w:rsidP="009501CD">
      <w:pPr>
        <w:jc w:val="both"/>
        <w:rPr>
          <w:rFonts w:ascii="Times New Roman" w:hAnsi="Times New Roman" w:cs="Times New Roman"/>
          <w:sz w:val="24"/>
          <w:szCs w:val="24"/>
        </w:rPr>
      </w:pPr>
      <w:r w:rsidRPr="009501CD">
        <w:rPr>
          <w:rFonts w:ascii="Times New Roman" w:hAnsi="Times New Roman" w:cs="Times New Roman"/>
          <w:sz w:val="24"/>
          <w:szCs w:val="24"/>
        </w:rPr>
        <w:lastRenderedPageBreak/>
        <w:t>Trust and engagement between the police and the communities they serve are foundational to effective policing. However, certain communities are historically less willing to engage with the police due to a complex interplay of sociopolitical, cultural, and historical factors. This essay examines why some groups are reluctant to engage with law enforcement and explores why a partnership approach is the most effective strategy for enhancing police-community relationships. Drawing upon academic research and real-world case studies, the essay will demonstrate how collaborative models lead to improved outcomes in community safety, trust, and participation.</w:t>
      </w:r>
    </w:p>
    <w:p w14:paraId="7C07CBED" w14:textId="23D2D63C" w:rsidR="007C37FF" w:rsidRPr="009501CD" w:rsidRDefault="007C37FF" w:rsidP="009501CD">
      <w:pPr>
        <w:jc w:val="both"/>
        <w:rPr>
          <w:rFonts w:ascii="Times New Roman" w:hAnsi="Times New Roman" w:cs="Times New Roman"/>
          <w:sz w:val="24"/>
          <w:szCs w:val="24"/>
        </w:rPr>
      </w:pPr>
      <w:r w:rsidRPr="009501CD">
        <w:rPr>
          <w:rFonts w:ascii="Times New Roman" w:hAnsi="Times New Roman" w:cs="Times New Roman"/>
          <w:sz w:val="24"/>
          <w:szCs w:val="24"/>
        </w:rPr>
        <w:t>Research shows that marginalized communities, particularly ethnic minorities, immigrants, LGBTQ+ individuals, and economically disadvantaged populations, are less likely to trust or cooperate with police (Tyler, 2005). The reasons for this reluctance include historical abuses, perceived or actual discrimination, over-policing, under-protection, and cultural misunderstandings.</w:t>
      </w:r>
    </w:p>
    <w:p w14:paraId="48D1C156" w14:textId="5FED74F0" w:rsidR="007C37FF" w:rsidRPr="009501CD" w:rsidRDefault="007C37FF" w:rsidP="009501CD">
      <w:pPr>
        <w:jc w:val="both"/>
        <w:rPr>
          <w:rFonts w:ascii="Times New Roman" w:hAnsi="Times New Roman" w:cs="Times New Roman"/>
          <w:sz w:val="24"/>
          <w:szCs w:val="24"/>
        </w:rPr>
      </w:pPr>
      <w:r w:rsidRPr="009501CD">
        <w:rPr>
          <w:rFonts w:ascii="Times New Roman" w:hAnsi="Times New Roman" w:cs="Times New Roman"/>
          <w:sz w:val="24"/>
          <w:szCs w:val="24"/>
        </w:rPr>
        <w:t>The Macpherson Report (1999) following the Stephen Lawrence Inquiry was a landmark in identifying institutional racism within UK policing, contributing to the mistrust particularly felt by Black and Minority Ethnic (BME) communities. Such institutional issues have led many to view the police not as protectors, but as potential sources of harm. This alienation is not restricted to the UK. In the United States, the killing of George Floyd in 2020 catalysed global protests and highlighted ongoing tensions between police and communities of colour (Chaney &amp; Robertson, 2013).</w:t>
      </w:r>
    </w:p>
    <w:p w14:paraId="3BDB26A7" w14:textId="020CAF79" w:rsidR="007C37FF" w:rsidRPr="009501CD" w:rsidRDefault="007C37FF" w:rsidP="009501CD">
      <w:pPr>
        <w:jc w:val="both"/>
        <w:rPr>
          <w:rFonts w:ascii="Times New Roman" w:hAnsi="Times New Roman" w:cs="Times New Roman"/>
          <w:sz w:val="24"/>
          <w:szCs w:val="24"/>
        </w:rPr>
      </w:pPr>
      <w:r w:rsidRPr="009501CD">
        <w:rPr>
          <w:rFonts w:ascii="Times New Roman" w:hAnsi="Times New Roman" w:cs="Times New Roman"/>
          <w:sz w:val="24"/>
          <w:szCs w:val="24"/>
        </w:rPr>
        <w:t>Similarly, LGBTQ+ communities often report discrimination, particularly trans individuals who have documented higher levels of victimization and less willingness to seek police support (Stotzer, 2014). For immigrant communities, fear of deportation or language barriers can further inhibit interaction with law enforcement (Vera Institute of Justice, 2008). These factors contribute to a cycle of mutual suspicion and disengagement, undermining the legitimacy of policing and leaving communities vulnerable to crime.</w:t>
      </w:r>
    </w:p>
    <w:p w14:paraId="37F1890D" w14:textId="77777777" w:rsidR="007C37FF" w:rsidRPr="009501CD" w:rsidRDefault="007C37FF" w:rsidP="009501CD">
      <w:pPr>
        <w:jc w:val="both"/>
        <w:rPr>
          <w:rFonts w:ascii="Times New Roman" w:hAnsi="Times New Roman" w:cs="Times New Roman"/>
          <w:sz w:val="24"/>
          <w:szCs w:val="24"/>
        </w:rPr>
      </w:pPr>
      <w:r w:rsidRPr="009501CD">
        <w:rPr>
          <w:rFonts w:ascii="Times New Roman" w:hAnsi="Times New Roman" w:cs="Times New Roman"/>
          <w:sz w:val="24"/>
          <w:szCs w:val="24"/>
        </w:rPr>
        <w:t>A partnership approach involves collaboration between police and other agencies, such as local government, education providers, health services, and community-based organisations, to identify and solve problems. It moves policing from a top-down, enforcement-centric model to one based on dialogue, shared goals, and mutual accountability.</w:t>
      </w:r>
    </w:p>
    <w:p w14:paraId="09444561" w14:textId="0756B36E" w:rsidR="007C37FF" w:rsidRPr="009501CD" w:rsidRDefault="007C37FF" w:rsidP="009501CD">
      <w:pPr>
        <w:jc w:val="both"/>
        <w:rPr>
          <w:rFonts w:ascii="Times New Roman" w:hAnsi="Times New Roman" w:cs="Times New Roman"/>
          <w:sz w:val="24"/>
          <w:szCs w:val="24"/>
        </w:rPr>
      </w:pPr>
      <w:r w:rsidRPr="009501CD">
        <w:rPr>
          <w:rFonts w:ascii="Times New Roman" w:hAnsi="Times New Roman" w:cs="Times New Roman"/>
          <w:sz w:val="24"/>
          <w:szCs w:val="24"/>
        </w:rPr>
        <w:t>Partnership approaches align with community policing philosophies that emphasize building long-term relationships and working jointly to address underlying causes of crime and disorder (</w:t>
      </w:r>
      <w:proofErr w:type="spellStart"/>
      <w:r w:rsidRPr="009501CD">
        <w:rPr>
          <w:rFonts w:ascii="Times New Roman" w:hAnsi="Times New Roman" w:cs="Times New Roman"/>
          <w:sz w:val="24"/>
          <w:szCs w:val="24"/>
        </w:rPr>
        <w:t>Skogan</w:t>
      </w:r>
      <w:proofErr w:type="spellEnd"/>
      <w:r w:rsidRPr="009501CD">
        <w:rPr>
          <w:rFonts w:ascii="Times New Roman" w:hAnsi="Times New Roman" w:cs="Times New Roman"/>
          <w:sz w:val="24"/>
          <w:szCs w:val="24"/>
        </w:rPr>
        <w:t>, 2006). Academic literature supports this model</w:t>
      </w:r>
      <w:r w:rsidR="00547DB6" w:rsidRPr="009501CD">
        <w:rPr>
          <w:rFonts w:ascii="Times New Roman" w:hAnsi="Times New Roman" w:cs="Times New Roman"/>
          <w:sz w:val="24"/>
          <w:szCs w:val="24"/>
        </w:rPr>
        <w:t>,</w:t>
      </w:r>
      <w:r w:rsidRPr="009501CD">
        <w:rPr>
          <w:rFonts w:ascii="Times New Roman" w:hAnsi="Times New Roman" w:cs="Times New Roman"/>
          <w:sz w:val="24"/>
          <w:szCs w:val="24"/>
        </w:rPr>
        <w:t xml:space="preserve"> Goldstein (1990) argues that problem-oriented policing</w:t>
      </w:r>
      <w:r w:rsidR="00547DB6" w:rsidRPr="009501CD">
        <w:rPr>
          <w:rFonts w:ascii="Times New Roman" w:hAnsi="Times New Roman" w:cs="Times New Roman"/>
          <w:sz w:val="24"/>
          <w:szCs w:val="24"/>
        </w:rPr>
        <w:t xml:space="preserve">, </w:t>
      </w:r>
      <w:r w:rsidRPr="009501CD">
        <w:rPr>
          <w:rFonts w:ascii="Times New Roman" w:hAnsi="Times New Roman" w:cs="Times New Roman"/>
          <w:sz w:val="24"/>
          <w:szCs w:val="24"/>
        </w:rPr>
        <w:t>where police work collaboratively with stakeholders to diagnose and</w:t>
      </w:r>
      <w:r w:rsidR="00547DB6" w:rsidRPr="009501CD">
        <w:rPr>
          <w:rFonts w:ascii="Times New Roman" w:hAnsi="Times New Roman" w:cs="Times New Roman"/>
          <w:sz w:val="24"/>
          <w:szCs w:val="24"/>
        </w:rPr>
        <w:t xml:space="preserve"> </w:t>
      </w:r>
      <w:r w:rsidRPr="009501CD">
        <w:rPr>
          <w:rFonts w:ascii="Times New Roman" w:hAnsi="Times New Roman" w:cs="Times New Roman"/>
          <w:sz w:val="24"/>
          <w:szCs w:val="24"/>
        </w:rPr>
        <w:t>address</w:t>
      </w:r>
      <w:r w:rsidR="00547DB6" w:rsidRPr="009501CD">
        <w:rPr>
          <w:rFonts w:ascii="Times New Roman" w:hAnsi="Times New Roman" w:cs="Times New Roman"/>
          <w:sz w:val="24"/>
          <w:szCs w:val="24"/>
        </w:rPr>
        <w:t xml:space="preserve"> the</w:t>
      </w:r>
      <w:r w:rsidRPr="009501CD">
        <w:rPr>
          <w:rFonts w:ascii="Times New Roman" w:hAnsi="Times New Roman" w:cs="Times New Roman"/>
          <w:sz w:val="24"/>
          <w:szCs w:val="24"/>
        </w:rPr>
        <w:t xml:space="preserve"> root causes of crime</w:t>
      </w:r>
      <w:r w:rsidR="00547DB6" w:rsidRPr="009501CD">
        <w:rPr>
          <w:rFonts w:ascii="Times New Roman" w:hAnsi="Times New Roman" w:cs="Times New Roman"/>
          <w:sz w:val="24"/>
          <w:szCs w:val="24"/>
        </w:rPr>
        <w:t xml:space="preserve">, </w:t>
      </w:r>
      <w:r w:rsidRPr="009501CD">
        <w:rPr>
          <w:rFonts w:ascii="Times New Roman" w:hAnsi="Times New Roman" w:cs="Times New Roman"/>
          <w:sz w:val="24"/>
          <w:szCs w:val="24"/>
        </w:rPr>
        <w:t>yields more sustainable solutions.</w:t>
      </w:r>
    </w:p>
    <w:p w14:paraId="290165D3" w14:textId="796F662D" w:rsidR="007C37FF" w:rsidRPr="009501CD" w:rsidRDefault="007C37FF" w:rsidP="009501CD">
      <w:pPr>
        <w:jc w:val="both"/>
        <w:rPr>
          <w:rFonts w:ascii="Times New Roman" w:hAnsi="Times New Roman" w:cs="Times New Roman"/>
          <w:sz w:val="24"/>
          <w:szCs w:val="24"/>
        </w:rPr>
      </w:pPr>
      <w:r w:rsidRPr="009501CD">
        <w:rPr>
          <w:rFonts w:ascii="Times New Roman" w:hAnsi="Times New Roman" w:cs="Times New Roman"/>
          <w:sz w:val="24"/>
          <w:szCs w:val="24"/>
        </w:rPr>
        <w:lastRenderedPageBreak/>
        <w:t>Partnerships help rebuild trust by positioning the police as one part of a wider network of community support. When police work alongside respected local organisations, such as faith groups or youth centres, they benefit from the legitimacy and trust those organisations have already established (Myhill, 2012).</w:t>
      </w:r>
    </w:p>
    <w:p w14:paraId="266AB359" w14:textId="0ECEECDF" w:rsidR="007C37FF" w:rsidRPr="009501CD" w:rsidRDefault="00547DB6" w:rsidP="009501CD">
      <w:pPr>
        <w:jc w:val="both"/>
        <w:rPr>
          <w:rFonts w:ascii="Times New Roman" w:hAnsi="Times New Roman" w:cs="Times New Roman"/>
          <w:sz w:val="24"/>
          <w:szCs w:val="24"/>
        </w:rPr>
      </w:pPr>
      <w:r w:rsidRPr="009501CD">
        <w:rPr>
          <w:rFonts w:ascii="Times New Roman" w:hAnsi="Times New Roman" w:cs="Times New Roman"/>
          <w:sz w:val="24"/>
          <w:szCs w:val="24"/>
        </w:rPr>
        <w:t>Another is c</w:t>
      </w:r>
      <w:r w:rsidR="007C37FF" w:rsidRPr="009501CD">
        <w:rPr>
          <w:rFonts w:ascii="Times New Roman" w:hAnsi="Times New Roman" w:cs="Times New Roman"/>
          <w:sz w:val="24"/>
          <w:szCs w:val="24"/>
        </w:rPr>
        <w:t xml:space="preserve">ultural </w:t>
      </w:r>
      <w:r w:rsidRPr="009501CD">
        <w:rPr>
          <w:rFonts w:ascii="Times New Roman" w:hAnsi="Times New Roman" w:cs="Times New Roman"/>
          <w:sz w:val="24"/>
          <w:szCs w:val="24"/>
        </w:rPr>
        <w:t>c</w:t>
      </w:r>
      <w:r w:rsidR="007C37FF" w:rsidRPr="009501CD">
        <w:rPr>
          <w:rFonts w:ascii="Times New Roman" w:hAnsi="Times New Roman" w:cs="Times New Roman"/>
          <w:sz w:val="24"/>
          <w:szCs w:val="24"/>
        </w:rPr>
        <w:t>ompetence. Partnering with organisations that understand the cultural norms and communication styles of specific communities helps prevent misunderstandings. For example, working with Somali community leaders in London has helped police tailor their approach and address concerns rooted in past trauma from authoritarian regimes (Innes, 2006).</w:t>
      </w:r>
    </w:p>
    <w:p w14:paraId="4FCD50E3" w14:textId="22A5FE6B" w:rsidR="007C37FF" w:rsidRPr="009501CD" w:rsidRDefault="007C37FF" w:rsidP="009501CD">
      <w:pPr>
        <w:jc w:val="both"/>
        <w:rPr>
          <w:rFonts w:ascii="Times New Roman" w:hAnsi="Times New Roman" w:cs="Times New Roman"/>
          <w:sz w:val="24"/>
          <w:szCs w:val="24"/>
        </w:rPr>
      </w:pPr>
      <w:r w:rsidRPr="009501CD">
        <w:rPr>
          <w:rFonts w:ascii="Times New Roman" w:hAnsi="Times New Roman" w:cs="Times New Roman"/>
          <w:sz w:val="24"/>
          <w:szCs w:val="24"/>
        </w:rPr>
        <w:t xml:space="preserve">Increased </w:t>
      </w:r>
      <w:r w:rsidR="00547DB6" w:rsidRPr="009501CD">
        <w:rPr>
          <w:rFonts w:ascii="Times New Roman" w:hAnsi="Times New Roman" w:cs="Times New Roman"/>
          <w:sz w:val="24"/>
          <w:szCs w:val="24"/>
        </w:rPr>
        <w:t>a</w:t>
      </w:r>
      <w:r w:rsidRPr="009501CD">
        <w:rPr>
          <w:rFonts w:ascii="Times New Roman" w:hAnsi="Times New Roman" w:cs="Times New Roman"/>
          <w:sz w:val="24"/>
          <w:szCs w:val="24"/>
        </w:rPr>
        <w:t xml:space="preserve">ccess and </w:t>
      </w:r>
      <w:r w:rsidR="00547DB6" w:rsidRPr="009501CD">
        <w:rPr>
          <w:rFonts w:ascii="Times New Roman" w:hAnsi="Times New Roman" w:cs="Times New Roman"/>
          <w:sz w:val="24"/>
          <w:szCs w:val="24"/>
        </w:rPr>
        <w:t>v</w:t>
      </w:r>
      <w:r w:rsidRPr="009501CD">
        <w:rPr>
          <w:rFonts w:ascii="Times New Roman" w:hAnsi="Times New Roman" w:cs="Times New Roman"/>
          <w:sz w:val="24"/>
          <w:szCs w:val="24"/>
        </w:rPr>
        <w:t>isibility. Through partnerships, the police can maintain a presence in communities without solely relying on enforcement. Joint outreach programmes, information sessions, or social events provide informal settings to foster dialogue and break down barriers.</w:t>
      </w:r>
    </w:p>
    <w:p w14:paraId="5AC48A1D" w14:textId="4A447363" w:rsidR="007C37FF" w:rsidRPr="009501CD" w:rsidRDefault="007C37FF" w:rsidP="009501CD">
      <w:pPr>
        <w:jc w:val="both"/>
        <w:rPr>
          <w:rFonts w:ascii="Times New Roman" w:hAnsi="Times New Roman" w:cs="Times New Roman"/>
          <w:sz w:val="24"/>
          <w:szCs w:val="24"/>
        </w:rPr>
      </w:pPr>
      <w:r w:rsidRPr="009501CD">
        <w:rPr>
          <w:rFonts w:ascii="Times New Roman" w:hAnsi="Times New Roman" w:cs="Times New Roman"/>
          <w:sz w:val="24"/>
          <w:szCs w:val="24"/>
        </w:rPr>
        <w:t xml:space="preserve">Shared </w:t>
      </w:r>
      <w:r w:rsidR="00547DB6" w:rsidRPr="009501CD">
        <w:rPr>
          <w:rFonts w:ascii="Times New Roman" w:hAnsi="Times New Roman" w:cs="Times New Roman"/>
          <w:sz w:val="24"/>
          <w:szCs w:val="24"/>
        </w:rPr>
        <w:t>r</w:t>
      </w:r>
      <w:r w:rsidRPr="009501CD">
        <w:rPr>
          <w:rFonts w:ascii="Times New Roman" w:hAnsi="Times New Roman" w:cs="Times New Roman"/>
          <w:sz w:val="24"/>
          <w:szCs w:val="24"/>
        </w:rPr>
        <w:t>esponsibility. A multi-agency approach reinforces the idea that public safety is not the sole responsibility of police. It acknowledges the social determinants of crime, such as housing, education, and health, and leverages the expertise of various sectors to address them holistically (Home Office, 2010).</w:t>
      </w:r>
    </w:p>
    <w:p w14:paraId="4929A7A7" w14:textId="0291A469" w:rsidR="007C37FF" w:rsidRPr="009501CD" w:rsidRDefault="007C37FF" w:rsidP="009501CD">
      <w:pPr>
        <w:jc w:val="both"/>
        <w:rPr>
          <w:rFonts w:ascii="Times New Roman" w:hAnsi="Times New Roman" w:cs="Times New Roman"/>
          <w:sz w:val="24"/>
          <w:szCs w:val="24"/>
        </w:rPr>
      </w:pPr>
      <w:r w:rsidRPr="009501CD">
        <w:rPr>
          <w:rFonts w:ascii="Times New Roman" w:hAnsi="Times New Roman" w:cs="Times New Roman"/>
          <w:sz w:val="24"/>
          <w:szCs w:val="24"/>
        </w:rPr>
        <w:t>Manchester’s Integrated Neighbourhood Management Teams. This initiative brought together police, local authorities, housing associations, and community representatives. The program successfully reduced crime and anti-social behaviour by addressing environmental issues, improving local services, and enhancing community confidence. An evaluation showed that public perception of police improved significantly, particularly in areas with high immigrant populations (Crawford, 1997).</w:t>
      </w:r>
    </w:p>
    <w:p w14:paraId="1FBD2735" w14:textId="1175800D" w:rsidR="007C37FF" w:rsidRPr="009501CD" w:rsidRDefault="007C37FF" w:rsidP="009501CD">
      <w:pPr>
        <w:jc w:val="both"/>
        <w:rPr>
          <w:rFonts w:ascii="Times New Roman" w:hAnsi="Times New Roman" w:cs="Times New Roman"/>
          <w:sz w:val="24"/>
          <w:szCs w:val="24"/>
        </w:rPr>
      </w:pPr>
      <w:r w:rsidRPr="009501CD">
        <w:rPr>
          <w:rFonts w:ascii="Times New Roman" w:hAnsi="Times New Roman" w:cs="Times New Roman"/>
          <w:sz w:val="24"/>
          <w:szCs w:val="24"/>
        </w:rPr>
        <w:t>Prevent Strategy – Partnerships in Counter</w:t>
      </w:r>
      <w:r w:rsidR="00955CBD" w:rsidRPr="009501CD">
        <w:rPr>
          <w:rFonts w:ascii="Times New Roman" w:hAnsi="Times New Roman" w:cs="Times New Roman"/>
          <w:sz w:val="24"/>
          <w:szCs w:val="24"/>
        </w:rPr>
        <w:t xml:space="preserve"> </w:t>
      </w:r>
      <w:r w:rsidRPr="009501CD">
        <w:rPr>
          <w:rFonts w:ascii="Times New Roman" w:hAnsi="Times New Roman" w:cs="Times New Roman"/>
          <w:sz w:val="24"/>
          <w:szCs w:val="24"/>
        </w:rPr>
        <w:t>terrorism. The UK’s Prevent strategy aims to stop individuals from becoming involved in terrorism by working with local partners such as schools, mosques, and community organisations. Though controversial, the partnership model within Prevent has helped to identify early signs of radicalisation in some instances. A review by Thomas (2016) suggests that while trust issues remain, projects that include credible local voices have seen greater engagement from Muslim communities.</w:t>
      </w:r>
    </w:p>
    <w:p w14:paraId="50B73827" w14:textId="21DC052D" w:rsidR="007C37FF" w:rsidRPr="009501CD" w:rsidRDefault="007C37FF" w:rsidP="009501CD">
      <w:pPr>
        <w:jc w:val="both"/>
        <w:rPr>
          <w:rFonts w:ascii="Times New Roman" w:hAnsi="Times New Roman" w:cs="Times New Roman"/>
          <w:sz w:val="24"/>
          <w:szCs w:val="24"/>
        </w:rPr>
      </w:pPr>
      <w:r w:rsidRPr="009501CD">
        <w:rPr>
          <w:rFonts w:ascii="Times New Roman" w:hAnsi="Times New Roman" w:cs="Times New Roman"/>
          <w:sz w:val="24"/>
          <w:szCs w:val="24"/>
        </w:rPr>
        <w:t>Glasgow’s Violence Reduction Unit (VRU). Perhaps one of the most successful examples, the VRU treats violence as a public health issue and involves police working with social workers, educators, and health professionals. The result has been a dramatic reduction in violent crime. The partnership approach, focused on prevention and rehabilitation rather than punishment, particularly resonated with young men previously disengaged from authority figures (Deuchar, 2013).</w:t>
      </w:r>
    </w:p>
    <w:p w14:paraId="459F0E54" w14:textId="6A478F8F" w:rsidR="007C37FF" w:rsidRPr="009501CD" w:rsidRDefault="007C37FF" w:rsidP="009501CD">
      <w:pPr>
        <w:jc w:val="both"/>
        <w:rPr>
          <w:rFonts w:ascii="Times New Roman" w:hAnsi="Times New Roman" w:cs="Times New Roman"/>
          <w:sz w:val="24"/>
          <w:szCs w:val="24"/>
        </w:rPr>
      </w:pPr>
      <w:r w:rsidRPr="009501CD">
        <w:rPr>
          <w:rFonts w:ascii="Times New Roman" w:hAnsi="Times New Roman" w:cs="Times New Roman"/>
          <w:sz w:val="24"/>
          <w:szCs w:val="24"/>
        </w:rPr>
        <w:lastRenderedPageBreak/>
        <w:t>Camden Safe and Well Visits (London). Police and fire services in Camden collaborated with housing officers and social workers to conduct welfare checks on vulnerable individuals, including elderly and disabled residents. These visits helped build trust and allowed concerns to be addressed before they escalated into criminal issues. Community feedback showed increased confidence in police legitimacy (Camden Council, 2019).</w:t>
      </w:r>
    </w:p>
    <w:p w14:paraId="441058A5" w14:textId="77777777" w:rsidR="007C37FF" w:rsidRPr="009501CD" w:rsidRDefault="007C37FF" w:rsidP="009501CD">
      <w:pPr>
        <w:jc w:val="both"/>
        <w:rPr>
          <w:rFonts w:ascii="Times New Roman" w:hAnsi="Times New Roman" w:cs="Times New Roman"/>
          <w:sz w:val="24"/>
          <w:szCs w:val="24"/>
        </w:rPr>
      </w:pPr>
      <w:r w:rsidRPr="009501CD">
        <w:rPr>
          <w:rFonts w:ascii="Times New Roman" w:hAnsi="Times New Roman" w:cs="Times New Roman"/>
          <w:sz w:val="24"/>
          <w:szCs w:val="24"/>
        </w:rPr>
        <w:t>While the benefits are evident, partnership working is not without challenges. Bureaucratic silos, differing organisational cultures, and lack of shared objectives can hinder collaboration (Berry et al., 2011). Power imbalances between police and community partners may also inhibit genuine co-production of solutions.</w:t>
      </w:r>
    </w:p>
    <w:p w14:paraId="4C644C2A" w14:textId="1D91AC19" w:rsidR="007C37FF" w:rsidRPr="009501CD" w:rsidRDefault="007C37FF" w:rsidP="009501CD">
      <w:pPr>
        <w:jc w:val="both"/>
        <w:rPr>
          <w:rFonts w:ascii="Times New Roman" w:hAnsi="Times New Roman" w:cs="Times New Roman"/>
          <w:sz w:val="24"/>
          <w:szCs w:val="24"/>
        </w:rPr>
      </w:pPr>
      <w:r w:rsidRPr="009501CD">
        <w:rPr>
          <w:rFonts w:ascii="Times New Roman" w:hAnsi="Times New Roman" w:cs="Times New Roman"/>
          <w:sz w:val="24"/>
          <w:szCs w:val="24"/>
        </w:rPr>
        <w:t>To overcome these barriers, successful partnerships require clear governance structures to define roles, responsibilities, and decision-making authority, joint training to build mutual understanding and develop shared language and objectives resource sharing and long-term funding to ensure sustainability and community leadership, ensuring that engagement is not tokenistic but genuinely led by those most affected.</w:t>
      </w:r>
    </w:p>
    <w:p w14:paraId="58BA2A2F" w14:textId="77777777" w:rsidR="007C37FF" w:rsidRPr="009501CD" w:rsidRDefault="007C37FF" w:rsidP="009501CD">
      <w:pPr>
        <w:jc w:val="both"/>
        <w:rPr>
          <w:rFonts w:ascii="Times New Roman" w:hAnsi="Times New Roman" w:cs="Times New Roman"/>
          <w:sz w:val="24"/>
          <w:szCs w:val="24"/>
        </w:rPr>
      </w:pPr>
      <w:r w:rsidRPr="009501CD">
        <w:rPr>
          <w:rFonts w:ascii="Times New Roman" w:hAnsi="Times New Roman" w:cs="Times New Roman"/>
          <w:sz w:val="24"/>
          <w:szCs w:val="24"/>
        </w:rPr>
        <w:t>Engagement Techniques Supported by Partnerships</w:t>
      </w:r>
    </w:p>
    <w:p w14:paraId="73AB1CB5" w14:textId="77777777" w:rsidR="007C37FF" w:rsidRPr="009501CD" w:rsidRDefault="007C37FF" w:rsidP="009501CD">
      <w:pPr>
        <w:jc w:val="both"/>
        <w:rPr>
          <w:rFonts w:ascii="Times New Roman" w:hAnsi="Times New Roman" w:cs="Times New Roman"/>
          <w:sz w:val="24"/>
          <w:szCs w:val="24"/>
        </w:rPr>
      </w:pPr>
      <w:r w:rsidRPr="009501CD">
        <w:rPr>
          <w:rFonts w:ascii="Times New Roman" w:hAnsi="Times New Roman" w:cs="Times New Roman"/>
          <w:sz w:val="24"/>
          <w:szCs w:val="24"/>
        </w:rPr>
        <w:t>Co-Production and Co-Design. Involving community members directly in the design of policing strategies ensures relevance and buy-in. For example, some UK police forces use citizen panels or community scrutiny groups to review stop-and-search data or use-of-force incidents (HMICFRS, 2020).</w:t>
      </w:r>
    </w:p>
    <w:p w14:paraId="513F1452" w14:textId="3C0A56A7" w:rsidR="007C37FF" w:rsidRPr="009501CD" w:rsidRDefault="007C37FF" w:rsidP="009501CD">
      <w:pPr>
        <w:jc w:val="both"/>
        <w:rPr>
          <w:rFonts w:ascii="Times New Roman" w:hAnsi="Times New Roman" w:cs="Times New Roman"/>
          <w:sz w:val="24"/>
          <w:szCs w:val="24"/>
        </w:rPr>
      </w:pPr>
      <w:r w:rsidRPr="009501CD">
        <w:rPr>
          <w:rFonts w:ascii="Times New Roman" w:hAnsi="Times New Roman" w:cs="Times New Roman"/>
          <w:sz w:val="24"/>
          <w:szCs w:val="24"/>
        </w:rPr>
        <w:t>Youth Engagement. Partnerships with schools and youth charities help police reach younger audiences. Projects like police cadet schemes, sports initiatives, and mentorship programs have shown positive impacts on youth attitudes toward law enforcement (Hughes et al., 2002).</w:t>
      </w:r>
    </w:p>
    <w:p w14:paraId="782AACFE" w14:textId="4650BC22" w:rsidR="007C37FF" w:rsidRPr="009501CD" w:rsidRDefault="007C37FF" w:rsidP="009501CD">
      <w:pPr>
        <w:jc w:val="both"/>
        <w:rPr>
          <w:rFonts w:ascii="Times New Roman" w:hAnsi="Times New Roman" w:cs="Times New Roman"/>
          <w:sz w:val="24"/>
          <w:szCs w:val="24"/>
        </w:rPr>
      </w:pPr>
      <w:r w:rsidRPr="009501CD">
        <w:rPr>
          <w:rFonts w:ascii="Times New Roman" w:hAnsi="Times New Roman" w:cs="Times New Roman"/>
          <w:sz w:val="24"/>
          <w:szCs w:val="24"/>
        </w:rPr>
        <w:t>Digital Platforms and Community Forums. Using social media and community apps (e.g., Neighbourhood Watch online groups) to share information and collect feedback fosters continuous two-way communication. These platforms work best when used alongside community partners who can amplify messages and encourage participation.</w:t>
      </w:r>
    </w:p>
    <w:p w14:paraId="3D051309" w14:textId="207496B4" w:rsidR="007C37FF" w:rsidRPr="009501CD" w:rsidRDefault="007C37FF" w:rsidP="009501CD">
      <w:pPr>
        <w:jc w:val="both"/>
        <w:rPr>
          <w:rFonts w:ascii="Times New Roman" w:hAnsi="Times New Roman" w:cs="Times New Roman"/>
          <w:sz w:val="24"/>
          <w:szCs w:val="24"/>
        </w:rPr>
      </w:pPr>
      <w:r w:rsidRPr="009501CD">
        <w:rPr>
          <w:rFonts w:ascii="Times New Roman" w:hAnsi="Times New Roman" w:cs="Times New Roman"/>
          <w:sz w:val="24"/>
          <w:szCs w:val="24"/>
        </w:rPr>
        <w:t>Embedded Police Roles. Neighbourhood policing teams embedded in community organisations</w:t>
      </w:r>
      <w:r w:rsidR="00547DB6" w:rsidRPr="009501CD">
        <w:rPr>
          <w:rFonts w:ascii="Times New Roman" w:hAnsi="Times New Roman" w:cs="Times New Roman"/>
          <w:sz w:val="24"/>
          <w:szCs w:val="24"/>
        </w:rPr>
        <w:t xml:space="preserve">, </w:t>
      </w:r>
      <w:r w:rsidRPr="009501CD">
        <w:rPr>
          <w:rFonts w:ascii="Times New Roman" w:hAnsi="Times New Roman" w:cs="Times New Roman"/>
          <w:sz w:val="24"/>
          <w:szCs w:val="24"/>
        </w:rPr>
        <w:t>such as mental health trusts or housing associations</w:t>
      </w:r>
      <w:r w:rsidR="00547DB6" w:rsidRPr="009501CD">
        <w:rPr>
          <w:rFonts w:ascii="Times New Roman" w:hAnsi="Times New Roman" w:cs="Times New Roman"/>
          <w:sz w:val="24"/>
          <w:szCs w:val="24"/>
        </w:rPr>
        <w:t xml:space="preserve"> </w:t>
      </w:r>
      <w:r w:rsidRPr="009501CD">
        <w:rPr>
          <w:rFonts w:ascii="Times New Roman" w:hAnsi="Times New Roman" w:cs="Times New Roman"/>
          <w:sz w:val="24"/>
          <w:szCs w:val="24"/>
        </w:rPr>
        <w:t>are seen as more approachable and responsive. These officers act as bridges between the community and the criminal justice system.</w:t>
      </w:r>
    </w:p>
    <w:p w14:paraId="35670078" w14:textId="26FBBD3D" w:rsidR="007C37FF" w:rsidRPr="009501CD" w:rsidRDefault="007C37FF" w:rsidP="009501CD">
      <w:pPr>
        <w:jc w:val="both"/>
        <w:rPr>
          <w:rFonts w:ascii="Times New Roman" w:hAnsi="Times New Roman" w:cs="Times New Roman"/>
          <w:sz w:val="24"/>
          <w:szCs w:val="24"/>
        </w:rPr>
      </w:pPr>
      <w:r w:rsidRPr="009501CD">
        <w:rPr>
          <w:rFonts w:ascii="Times New Roman" w:hAnsi="Times New Roman" w:cs="Times New Roman"/>
          <w:sz w:val="24"/>
          <w:szCs w:val="24"/>
        </w:rPr>
        <w:t xml:space="preserve">Engaging with communities that are traditionally reluctant to work with the police is a complex but essential task. Academic research and real-world case studies consistently demonstrate that partnership </w:t>
      </w:r>
      <w:r w:rsidRPr="009501CD">
        <w:rPr>
          <w:rFonts w:ascii="Times New Roman" w:hAnsi="Times New Roman" w:cs="Times New Roman"/>
          <w:sz w:val="24"/>
          <w:szCs w:val="24"/>
        </w:rPr>
        <w:lastRenderedPageBreak/>
        <w:t>approaches are among the most effective methods to achieve this goal. By collaborating with trusted organisations, respecting cultural nuances, and involving communities in decision-making processes, police can begin to rebuild trust, legitimacy, and effectiveness. However, partnerships must be authentic, adequately resourced, and grounded in mutual respect to truly transform community relations and public safety outcomes.</w:t>
      </w:r>
    </w:p>
    <w:p w14:paraId="4B89CACB" w14:textId="77777777" w:rsidR="007C37FF" w:rsidRPr="009501CD" w:rsidRDefault="007C37FF" w:rsidP="009501CD">
      <w:pPr>
        <w:jc w:val="both"/>
        <w:rPr>
          <w:rFonts w:ascii="Times New Roman" w:hAnsi="Times New Roman" w:cs="Times New Roman"/>
          <w:sz w:val="24"/>
          <w:szCs w:val="24"/>
        </w:rPr>
      </w:pPr>
    </w:p>
    <w:p w14:paraId="60E3CF4E" w14:textId="387C3299" w:rsidR="007C37FF" w:rsidRPr="009501CD" w:rsidRDefault="007C37FF" w:rsidP="009501CD">
      <w:pPr>
        <w:jc w:val="both"/>
        <w:rPr>
          <w:rFonts w:ascii="Times New Roman" w:hAnsi="Times New Roman" w:cs="Times New Roman"/>
          <w:sz w:val="24"/>
          <w:szCs w:val="24"/>
        </w:rPr>
      </w:pPr>
    </w:p>
    <w:p w14:paraId="4FAAE529" w14:textId="77777777" w:rsidR="007C37FF" w:rsidRPr="009501CD" w:rsidRDefault="007C37FF" w:rsidP="009501CD">
      <w:pPr>
        <w:jc w:val="both"/>
        <w:rPr>
          <w:rFonts w:ascii="Times New Roman" w:hAnsi="Times New Roman" w:cs="Times New Roman"/>
          <w:sz w:val="24"/>
          <w:szCs w:val="24"/>
        </w:rPr>
      </w:pPr>
    </w:p>
    <w:p w14:paraId="5580B6CA" w14:textId="77777777" w:rsidR="007C37FF" w:rsidRPr="009501CD" w:rsidRDefault="007C37FF" w:rsidP="009501CD">
      <w:pPr>
        <w:jc w:val="both"/>
        <w:rPr>
          <w:rFonts w:ascii="Times New Roman" w:hAnsi="Times New Roman" w:cs="Times New Roman"/>
          <w:sz w:val="24"/>
          <w:szCs w:val="24"/>
        </w:rPr>
      </w:pPr>
    </w:p>
    <w:p w14:paraId="1E0B19CE" w14:textId="77777777" w:rsidR="004E0E94" w:rsidRPr="009501CD" w:rsidRDefault="004E0E94" w:rsidP="009501CD">
      <w:pPr>
        <w:jc w:val="both"/>
        <w:rPr>
          <w:rFonts w:ascii="Times New Roman" w:hAnsi="Times New Roman" w:cs="Times New Roman"/>
          <w:sz w:val="24"/>
          <w:szCs w:val="24"/>
        </w:rPr>
      </w:pPr>
    </w:p>
    <w:p w14:paraId="65C6800E" w14:textId="77777777" w:rsidR="004E0E94" w:rsidRPr="009501CD" w:rsidRDefault="004E0E94" w:rsidP="009501CD">
      <w:pPr>
        <w:jc w:val="both"/>
        <w:rPr>
          <w:rFonts w:ascii="Times New Roman" w:hAnsi="Times New Roman" w:cs="Times New Roman"/>
          <w:sz w:val="24"/>
          <w:szCs w:val="24"/>
        </w:rPr>
      </w:pPr>
    </w:p>
    <w:p w14:paraId="1D57BA99" w14:textId="77777777" w:rsidR="004E0E94" w:rsidRPr="009501CD" w:rsidRDefault="004E0E94" w:rsidP="009501CD">
      <w:pPr>
        <w:jc w:val="both"/>
        <w:rPr>
          <w:rFonts w:ascii="Times New Roman" w:hAnsi="Times New Roman" w:cs="Times New Roman"/>
          <w:sz w:val="24"/>
          <w:szCs w:val="24"/>
        </w:rPr>
      </w:pPr>
    </w:p>
    <w:p w14:paraId="59132A57" w14:textId="77777777" w:rsidR="004E0E94" w:rsidRPr="009501CD" w:rsidRDefault="004E0E94" w:rsidP="009501CD">
      <w:pPr>
        <w:jc w:val="both"/>
        <w:rPr>
          <w:rFonts w:ascii="Times New Roman" w:hAnsi="Times New Roman" w:cs="Times New Roman"/>
          <w:sz w:val="24"/>
          <w:szCs w:val="24"/>
        </w:rPr>
      </w:pPr>
    </w:p>
    <w:p w14:paraId="370BDAAC" w14:textId="77777777" w:rsidR="004E0E94" w:rsidRPr="009501CD" w:rsidRDefault="004E0E94" w:rsidP="009501CD">
      <w:pPr>
        <w:jc w:val="both"/>
        <w:rPr>
          <w:rFonts w:ascii="Times New Roman" w:hAnsi="Times New Roman" w:cs="Times New Roman"/>
          <w:sz w:val="24"/>
          <w:szCs w:val="24"/>
        </w:rPr>
      </w:pPr>
    </w:p>
    <w:p w14:paraId="52EAC2C5" w14:textId="77777777" w:rsidR="004E0E94" w:rsidRPr="009501CD" w:rsidRDefault="004E0E94" w:rsidP="009501CD">
      <w:pPr>
        <w:jc w:val="both"/>
        <w:rPr>
          <w:rFonts w:ascii="Times New Roman" w:hAnsi="Times New Roman" w:cs="Times New Roman"/>
          <w:sz w:val="24"/>
          <w:szCs w:val="24"/>
        </w:rPr>
      </w:pPr>
    </w:p>
    <w:p w14:paraId="6FD91D6A" w14:textId="77777777" w:rsidR="004E0E94" w:rsidRPr="009501CD" w:rsidRDefault="004E0E94" w:rsidP="009501CD">
      <w:pPr>
        <w:jc w:val="both"/>
        <w:rPr>
          <w:rFonts w:ascii="Times New Roman" w:hAnsi="Times New Roman" w:cs="Times New Roman"/>
          <w:sz w:val="24"/>
          <w:szCs w:val="24"/>
        </w:rPr>
      </w:pPr>
    </w:p>
    <w:p w14:paraId="1E90A44C" w14:textId="77777777" w:rsidR="009501CD" w:rsidRDefault="009501CD" w:rsidP="009501CD">
      <w:pPr>
        <w:jc w:val="both"/>
        <w:rPr>
          <w:rFonts w:ascii="Times New Roman" w:hAnsi="Times New Roman" w:cs="Times New Roman"/>
          <w:sz w:val="24"/>
          <w:szCs w:val="24"/>
        </w:rPr>
      </w:pPr>
    </w:p>
    <w:p w14:paraId="615049B1" w14:textId="1F3710EA" w:rsidR="007C37FF" w:rsidRPr="009501CD" w:rsidRDefault="009501CD" w:rsidP="009501CD">
      <w:pPr>
        <w:jc w:val="both"/>
        <w:rPr>
          <w:rFonts w:ascii="Times New Roman" w:hAnsi="Times New Roman" w:cs="Times New Roman"/>
          <w:sz w:val="24"/>
          <w:szCs w:val="24"/>
        </w:rPr>
      </w:pPr>
      <w:r w:rsidRPr="009501CD">
        <w:rPr>
          <w:rFonts w:ascii="Times New Roman" w:hAnsi="Times New Roman" w:cs="Times New Roman"/>
          <w:sz w:val="24"/>
          <w:szCs w:val="24"/>
        </w:rPr>
        <w:t xml:space="preserve">References </w:t>
      </w:r>
    </w:p>
    <w:p w14:paraId="14356678" w14:textId="77777777" w:rsidR="009501CD" w:rsidRPr="009501CD" w:rsidRDefault="009501CD" w:rsidP="009501CD">
      <w:pPr>
        <w:jc w:val="both"/>
        <w:rPr>
          <w:rFonts w:ascii="Times New Roman" w:hAnsi="Times New Roman" w:cs="Times New Roman"/>
          <w:sz w:val="24"/>
          <w:szCs w:val="24"/>
        </w:rPr>
      </w:pPr>
      <w:r w:rsidRPr="009501CD">
        <w:rPr>
          <w:rFonts w:ascii="Times New Roman" w:hAnsi="Times New Roman" w:cs="Times New Roman"/>
          <w:sz w:val="24"/>
          <w:szCs w:val="24"/>
        </w:rPr>
        <w:t>Appendix D -Equality Impact Assessment (EQIA) Section 1: WHAT IS BEING ANALYSED? (n.d.). Available at: https://democracy.camden.gov.uk/documents/s119540/Appendix%20D%20-%20Camden%20St%20EQIA.pdf [Accessed 26 May 2025].</w:t>
      </w:r>
    </w:p>
    <w:p w14:paraId="5FA8CEE7" w14:textId="77777777" w:rsidR="009501CD" w:rsidRPr="009501CD" w:rsidRDefault="009501CD" w:rsidP="009501CD">
      <w:pPr>
        <w:jc w:val="both"/>
        <w:rPr>
          <w:rFonts w:ascii="Times New Roman" w:hAnsi="Times New Roman" w:cs="Times New Roman"/>
          <w:sz w:val="24"/>
          <w:szCs w:val="24"/>
        </w:rPr>
      </w:pPr>
      <w:r w:rsidRPr="009501CD">
        <w:rPr>
          <w:rFonts w:ascii="Times New Roman" w:hAnsi="Times New Roman" w:cs="Times New Roman"/>
          <w:sz w:val="24"/>
          <w:szCs w:val="24"/>
        </w:rPr>
        <w:t xml:space="preserve">Berry, G., Briggs, P., Erol, R. and Van Staden, L. (2011). </w:t>
      </w:r>
      <w:r w:rsidRPr="009501CD">
        <w:rPr>
          <w:rFonts w:ascii="Times New Roman" w:hAnsi="Times New Roman" w:cs="Times New Roman"/>
          <w:i/>
          <w:iCs/>
          <w:sz w:val="24"/>
          <w:szCs w:val="24"/>
        </w:rPr>
        <w:t>The Effectiveness of Partnership Working in a Crime and Disorder Context a Rapid Evidence Assessment</w:t>
      </w:r>
      <w:r w:rsidRPr="009501CD">
        <w:rPr>
          <w:rFonts w:ascii="Times New Roman" w:hAnsi="Times New Roman" w:cs="Times New Roman"/>
          <w:sz w:val="24"/>
          <w:szCs w:val="24"/>
        </w:rPr>
        <w:t>. [online] Home Office. Available at: https://assets.publishing.service.gov.uk/government/uploads/system/uploads/attachment_data/file/116549/horr52-report.pdf.</w:t>
      </w:r>
    </w:p>
    <w:p w14:paraId="6A164E6E" w14:textId="77777777" w:rsidR="009501CD" w:rsidRPr="009501CD" w:rsidRDefault="009501CD" w:rsidP="009501CD">
      <w:pPr>
        <w:jc w:val="both"/>
        <w:rPr>
          <w:rFonts w:ascii="Times New Roman" w:hAnsi="Times New Roman" w:cs="Times New Roman"/>
          <w:sz w:val="24"/>
          <w:szCs w:val="24"/>
        </w:rPr>
      </w:pPr>
      <w:r w:rsidRPr="009501CD">
        <w:rPr>
          <w:rFonts w:ascii="Times New Roman" w:hAnsi="Times New Roman" w:cs="Times New Roman"/>
          <w:sz w:val="24"/>
          <w:szCs w:val="24"/>
        </w:rPr>
        <w:t xml:space="preserve">Center for Security Studies (2025). </w:t>
      </w:r>
      <w:r w:rsidRPr="009501CD">
        <w:rPr>
          <w:rFonts w:ascii="Times New Roman" w:hAnsi="Times New Roman" w:cs="Times New Roman"/>
          <w:i/>
          <w:iCs/>
          <w:sz w:val="24"/>
          <w:szCs w:val="24"/>
        </w:rPr>
        <w:t>Strategic Trends 2025</w:t>
      </w:r>
      <w:r w:rsidRPr="009501CD">
        <w:rPr>
          <w:rFonts w:ascii="Times New Roman" w:hAnsi="Times New Roman" w:cs="Times New Roman"/>
          <w:sz w:val="24"/>
          <w:szCs w:val="24"/>
        </w:rPr>
        <w:t>. [online] Center for Security Studies. Available at: https://css.ethz.ch/en/center/CSS-news/2025/03/strategic-trends-2025.html [Accessed 26 May 2025].</w:t>
      </w:r>
    </w:p>
    <w:p w14:paraId="74CBBBFB" w14:textId="77777777" w:rsidR="009501CD" w:rsidRPr="009501CD" w:rsidRDefault="009501CD" w:rsidP="009501CD">
      <w:pPr>
        <w:jc w:val="both"/>
        <w:rPr>
          <w:rFonts w:ascii="Times New Roman" w:hAnsi="Times New Roman" w:cs="Times New Roman"/>
          <w:sz w:val="24"/>
          <w:szCs w:val="24"/>
        </w:rPr>
      </w:pPr>
      <w:r w:rsidRPr="009501CD">
        <w:rPr>
          <w:rFonts w:ascii="Times New Roman" w:hAnsi="Times New Roman" w:cs="Times New Roman"/>
          <w:sz w:val="24"/>
          <w:szCs w:val="24"/>
        </w:rPr>
        <w:t xml:space="preserve">Chaney, C. and Robertson, R.V. (2013). Racism and Police Brutality in America. </w:t>
      </w:r>
      <w:r w:rsidRPr="009501CD">
        <w:rPr>
          <w:rFonts w:ascii="Times New Roman" w:hAnsi="Times New Roman" w:cs="Times New Roman"/>
          <w:i/>
          <w:iCs/>
          <w:sz w:val="24"/>
          <w:szCs w:val="24"/>
        </w:rPr>
        <w:t>Journal of African American Studies</w:t>
      </w:r>
      <w:r w:rsidRPr="009501CD">
        <w:rPr>
          <w:rFonts w:ascii="Times New Roman" w:hAnsi="Times New Roman" w:cs="Times New Roman"/>
          <w:sz w:val="24"/>
          <w:szCs w:val="24"/>
        </w:rPr>
        <w:t>, [online] 17(4), pp.480–505. Available at: https://www.jstor.org/stable/43525523.</w:t>
      </w:r>
    </w:p>
    <w:p w14:paraId="46F78D36" w14:textId="77777777" w:rsidR="009501CD" w:rsidRPr="009501CD" w:rsidRDefault="009501CD" w:rsidP="009501CD">
      <w:pPr>
        <w:jc w:val="both"/>
        <w:rPr>
          <w:rFonts w:ascii="Times New Roman" w:hAnsi="Times New Roman" w:cs="Times New Roman"/>
          <w:sz w:val="24"/>
          <w:szCs w:val="24"/>
        </w:rPr>
      </w:pPr>
      <w:r w:rsidRPr="009501CD">
        <w:rPr>
          <w:rFonts w:ascii="Times New Roman" w:hAnsi="Times New Roman" w:cs="Times New Roman"/>
          <w:sz w:val="24"/>
          <w:szCs w:val="24"/>
        </w:rPr>
        <w:t xml:space="preserve">Coyle, B. (2023). Overcoming ‘Sheriff Syndrome’: Exploring Young Adults’ Experiences of Policing in Northern Ireland. </w:t>
      </w:r>
      <w:r w:rsidRPr="009501CD">
        <w:rPr>
          <w:rFonts w:ascii="Times New Roman" w:hAnsi="Times New Roman" w:cs="Times New Roman"/>
          <w:i/>
          <w:iCs/>
          <w:sz w:val="24"/>
          <w:szCs w:val="24"/>
        </w:rPr>
        <w:t>Youth Justice</w:t>
      </w:r>
      <w:r w:rsidRPr="009501CD">
        <w:rPr>
          <w:rFonts w:ascii="Times New Roman" w:hAnsi="Times New Roman" w:cs="Times New Roman"/>
          <w:sz w:val="24"/>
          <w:szCs w:val="24"/>
        </w:rPr>
        <w:t xml:space="preserve">. </w:t>
      </w:r>
      <w:proofErr w:type="spellStart"/>
      <w:r w:rsidRPr="009501CD">
        <w:rPr>
          <w:rFonts w:ascii="Times New Roman" w:hAnsi="Times New Roman" w:cs="Times New Roman"/>
          <w:sz w:val="24"/>
          <w:szCs w:val="24"/>
        </w:rPr>
        <w:t>doi:https</w:t>
      </w:r>
      <w:proofErr w:type="spellEnd"/>
      <w:r w:rsidRPr="009501CD">
        <w:rPr>
          <w:rFonts w:ascii="Times New Roman" w:hAnsi="Times New Roman" w:cs="Times New Roman"/>
          <w:sz w:val="24"/>
          <w:szCs w:val="24"/>
        </w:rPr>
        <w:t>://doi.org/10.1177/14732254231206811.</w:t>
      </w:r>
    </w:p>
    <w:p w14:paraId="21F1225E" w14:textId="77777777" w:rsidR="009501CD" w:rsidRPr="009501CD" w:rsidRDefault="009501CD" w:rsidP="009501CD">
      <w:pPr>
        <w:jc w:val="both"/>
        <w:rPr>
          <w:rFonts w:ascii="Times New Roman" w:hAnsi="Times New Roman" w:cs="Times New Roman"/>
          <w:sz w:val="24"/>
          <w:szCs w:val="24"/>
        </w:rPr>
      </w:pPr>
      <w:r w:rsidRPr="009501CD">
        <w:rPr>
          <w:rFonts w:ascii="Times New Roman" w:hAnsi="Times New Roman" w:cs="Times New Roman"/>
          <w:sz w:val="24"/>
          <w:szCs w:val="24"/>
        </w:rPr>
        <w:t xml:space="preserve">Crawford, A. (1999). The Local Governance of Crime: Appeals to Community and Partnerships. </w:t>
      </w:r>
      <w:proofErr w:type="spellStart"/>
      <w:r w:rsidRPr="009501CD">
        <w:rPr>
          <w:rFonts w:ascii="Times New Roman" w:hAnsi="Times New Roman" w:cs="Times New Roman"/>
          <w:sz w:val="24"/>
          <w:szCs w:val="24"/>
        </w:rPr>
        <w:t>doi:https</w:t>
      </w:r>
      <w:proofErr w:type="spellEnd"/>
      <w:r w:rsidRPr="009501CD">
        <w:rPr>
          <w:rFonts w:ascii="Times New Roman" w:hAnsi="Times New Roman" w:cs="Times New Roman"/>
          <w:sz w:val="24"/>
          <w:szCs w:val="24"/>
        </w:rPr>
        <w:t>://doi.org/10.1093/</w:t>
      </w:r>
      <w:proofErr w:type="spellStart"/>
      <w:r w:rsidRPr="009501CD">
        <w:rPr>
          <w:rFonts w:ascii="Times New Roman" w:hAnsi="Times New Roman" w:cs="Times New Roman"/>
          <w:sz w:val="24"/>
          <w:szCs w:val="24"/>
        </w:rPr>
        <w:t>acprof:oso</w:t>
      </w:r>
      <w:proofErr w:type="spellEnd"/>
      <w:r w:rsidRPr="009501CD">
        <w:rPr>
          <w:rFonts w:ascii="Times New Roman" w:hAnsi="Times New Roman" w:cs="Times New Roman"/>
          <w:sz w:val="24"/>
          <w:szCs w:val="24"/>
        </w:rPr>
        <w:t>/9780198298458.001.0001.</w:t>
      </w:r>
    </w:p>
    <w:p w14:paraId="3AC02A25" w14:textId="77777777" w:rsidR="009501CD" w:rsidRPr="009501CD" w:rsidRDefault="009501CD" w:rsidP="009501CD">
      <w:pPr>
        <w:jc w:val="both"/>
        <w:rPr>
          <w:rFonts w:ascii="Times New Roman" w:hAnsi="Times New Roman" w:cs="Times New Roman"/>
          <w:sz w:val="24"/>
          <w:szCs w:val="24"/>
        </w:rPr>
      </w:pPr>
      <w:r w:rsidRPr="009501CD">
        <w:rPr>
          <w:rFonts w:ascii="Times New Roman" w:hAnsi="Times New Roman" w:cs="Times New Roman"/>
          <w:sz w:val="24"/>
          <w:szCs w:val="24"/>
        </w:rPr>
        <w:t xml:space="preserve">DISHMAN, C. (2005). The Leaderless Nexus: When Crime and Terror Converge. </w:t>
      </w:r>
      <w:r w:rsidRPr="009501CD">
        <w:rPr>
          <w:rFonts w:ascii="Times New Roman" w:hAnsi="Times New Roman" w:cs="Times New Roman"/>
          <w:i/>
          <w:iCs/>
          <w:sz w:val="24"/>
          <w:szCs w:val="24"/>
        </w:rPr>
        <w:t>Studies in Conflict &amp; Terrorism</w:t>
      </w:r>
      <w:r w:rsidRPr="009501CD">
        <w:rPr>
          <w:rFonts w:ascii="Times New Roman" w:hAnsi="Times New Roman" w:cs="Times New Roman"/>
          <w:sz w:val="24"/>
          <w:szCs w:val="24"/>
        </w:rPr>
        <w:t xml:space="preserve">, 28(3), pp.237–252. </w:t>
      </w:r>
      <w:proofErr w:type="spellStart"/>
      <w:r w:rsidRPr="009501CD">
        <w:rPr>
          <w:rFonts w:ascii="Times New Roman" w:hAnsi="Times New Roman" w:cs="Times New Roman"/>
          <w:sz w:val="24"/>
          <w:szCs w:val="24"/>
        </w:rPr>
        <w:t>doi:https</w:t>
      </w:r>
      <w:proofErr w:type="spellEnd"/>
      <w:r w:rsidRPr="009501CD">
        <w:rPr>
          <w:rFonts w:ascii="Times New Roman" w:hAnsi="Times New Roman" w:cs="Times New Roman"/>
          <w:sz w:val="24"/>
          <w:szCs w:val="24"/>
        </w:rPr>
        <w:t>://doi.org/10.1080/10576100590928124.</w:t>
      </w:r>
    </w:p>
    <w:p w14:paraId="791D978B" w14:textId="77777777" w:rsidR="009501CD" w:rsidRPr="009501CD" w:rsidRDefault="009501CD" w:rsidP="009501CD">
      <w:pPr>
        <w:jc w:val="both"/>
        <w:rPr>
          <w:rFonts w:ascii="Times New Roman" w:hAnsi="Times New Roman" w:cs="Times New Roman"/>
          <w:sz w:val="24"/>
          <w:szCs w:val="24"/>
        </w:rPr>
      </w:pPr>
      <w:r w:rsidRPr="009501CD">
        <w:rPr>
          <w:rFonts w:ascii="Times New Roman" w:hAnsi="Times New Roman" w:cs="Times New Roman"/>
          <w:sz w:val="24"/>
          <w:szCs w:val="24"/>
        </w:rPr>
        <w:t xml:space="preserve">Harding, S. (2014). Policing Youth Violence: Transatlantic Connections. by Ross Deuchar (London: IOE Press, 2013, 244pp., £26.99). </w:t>
      </w:r>
      <w:r w:rsidRPr="009501CD">
        <w:rPr>
          <w:rFonts w:ascii="Times New Roman" w:hAnsi="Times New Roman" w:cs="Times New Roman"/>
          <w:i/>
          <w:iCs/>
          <w:sz w:val="24"/>
          <w:szCs w:val="24"/>
        </w:rPr>
        <w:t>British Journal of Criminology</w:t>
      </w:r>
      <w:r w:rsidRPr="009501CD">
        <w:rPr>
          <w:rFonts w:ascii="Times New Roman" w:hAnsi="Times New Roman" w:cs="Times New Roman"/>
          <w:sz w:val="24"/>
          <w:szCs w:val="24"/>
        </w:rPr>
        <w:t xml:space="preserve">, 55(2), pp.423–427. </w:t>
      </w:r>
      <w:proofErr w:type="spellStart"/>
      <w:r w:rsidRPr="009501CD">
        <w:rPr>
          <w:rFonts w:ascii="Times New Roman" w:hAnsi="Times New Roman" w:cs="Times New Roman"/>
          <w:sz w:val="24"/>
          <w:szCs w:val="24"/>
        </w:rPr>
        <w:t>doi:https</w:t>
      </w:r>
      <w:proofErr w:type="spellEnd"/>
      <w:r w:rsidRPr="009501CD">
        <w:rPr>
          <w:rFonts w:ascii="Times New Roman" w:hAnsi="Times New Roman" w:cs="Times New Roman"/>
          <w:sz w:val="24"/>
          <w:szCs w:val="24"/>
        </w:rPr>
        <w:t>://doi.org/10.1093/</w:t>
      </w:r>
      <w:proofErr w:type="spellStart"/>
      <w:r w:rsidRPr="009501CD">
        <w:rPr>
          <w:rFonts w:ascii="Times New Roman" w:hAnsi="Times New Roman" w:cs="Times New Roman"/>
          <w:sz w:val="24"/>
          <w:szCs w:val="24"/>
        </w:rPr>
        <w:t>bjc</w:t>
      </w:r>
      <w:proofErr w:type="spellEnd"/>
      <w:r w:rsidRPr="009501CD">
        <w:rPr>
          <w:rFonts w:ascii="Times New Roman" w:hAnsi="Times New Roman" w:cs="Times New Roman"/>
          <w:sz w:val="24"/>
          <w:szCs w:val="24"/>
        </w:rPr>
        <w:t>/azu068.</w:t>
      </w:r>
    </w:p>
    <w:p w14:paraId="7F4BA1FC" w14:textId="77777777" w:rsidR="009501CD" w:rsidRPr="009501CD" w:rsidRDefault="009501CD" w:rsidP="009501CD">
      <w:pPr>
        <w:jc w:val="both"/>
        <w:rPr>
          <w:rFonts w:ascii="Times New Roman" w:hAnsi="Times New Roman" w:cs="Times New Roman"/>
          <w:sz w:val="24"/>
          <w:szCs w:val="24"/>
        </w:rPr>
      </w:pPr>
      <w:r w:rsidRPr="009501CD">
        <w:rPr>
          <w:rFonts w:ascii="Times New Roman" w:hAnsi="Times New Roman" w:cs="Times New Roman"/>
          <w:sz w:val="24"/>
          <w:szCs w:val="24"/>
        </w:rPr>
        <w:t xml:space="preserve">HM Government (2008). </w:t>
      </w:r>
      <w:r w:rsidRPr="009501CD">
        <w:rPr>
          <w:rFonts w:ascii="Times New Roman" w:hAnsi="Times New Roman" w:cs="Times New Roman"/>
          <w:i/>
          <w:iCs/>
          <w:sz w:val="24"/>
          <w:szCs w:val="24"/>
        </w:rPr>
        <w:t>Working Together to Cut Crime and Deliver Justice a Strategic Plan for HM Government</w:t>
      </w:r>
      <w:r w:rsidRPr="009501CD">
        <w:rPr>
          <w:rFonts w:ascii="Times New Roman" w:hAnsi="Times New Roman" w:cs="Times New Roman"/>
          <w:sz w:val="24"/>
          <w:szCs w:val="24"/>
        </w:rPr>
        <w:t>. [online] Available at: https://assets.publishing.service.gov.uk/media/5a7c68c340f0b62aff6c1776/7247.pdf.</w:t>
      </w:r>
    </w:p>
    <w:p w14:paraId="13922F5E" w14:textId="77777777" w:rsidR="009501CD" w:rsidRPr="009501CD" w:rsidRDefault="009501CD" w:rsidP="009501CD">
      <w:pPr>
        <w:jc w:val="both"/>
        <w:rPr>
          <w:rFonts w:ascii="Times New Roman" w:hAnsi="Times New Roman" w:cs="Times New Roman"/>
          <w:sz w:val="24"/>
          <w:szCs w:val="24"/>
        </w:rPr>
      </w:pPr>
      <w:r w:rsidRPr="009501CD">
        <w:rPr>
          <w:rFonts w:ascii="Times New Roman" w:hAnsi="Times New Roman" w:cs="Times New Roman"/>
          <w:sz w:val="24"/>
          <w:szCs w:val="24"/>
        </w:rPr>
        <w:t xml:space="preserve">HMICFRS (2020). </w:t>
      </w:r>
      <w:r w:rsidRPr="009501CD">
        <w:rPr>
          <w:rFonts w:ascii="Times New Roman" w:hAnsi="Times New Roman" w:cs="Times New Roman"/>
          <w:i/>
          <w:iCs/>
          <w:sz w:val="24"/>
          <w:szCs w:val="24"/>
        </w:rPr>
        <w:t>HM Inspectorate of Constabulary and Fire &amp; Rescue Services</w:t>
      </w:r>
      <w:r w:rsidRPr="009501CD">
        <w:rPr>
          <w:rFonts w:ascii="Times New Roman" w:hAnsi="Times New Roman" w:cs="Times New Roman"/>
          <w:sz w:val="24"/>
          <w:szCs w:val="24"/>
        </w:rPr>
        <w:t>. [online] GOV.UK. Available at: https://www.gov.uk/government/organisations/hm-inspectorate-of-constabulary-and-fire-rescue-services.</w:t>
      </w:r>
    </w:p>
    <w:p w14:paraId="6A2FF580" w14:textId="77777777" w:rsidR="009501CD" w:rsidRPr="009501CD" w:rsidRDefault="009501CD" w:rsidP="009501CD">
      <w:pPr>
        <w:jc w:val="both"/>
        <w:rPr>
          <w:rFonts w:ascii="Times New Roman" w:hAnsi="Times New Roman" w:cs="Times New Roman"/>
          <w:sz w:val="24"/>
          <w:szCs w:val="24"/>
        </w:rPr>
      </w:pPr>
      <w:r w:rsidRPr="009501CD">
        <w:rPr>
          <w:rFonts w:ascii="Times New Roman" w:hAnsi="Times New Roman" w:cs="Times New Roman"/>
          <w:sz w:val="24"/>
          <w:szCs w:val="24"/>
        </w:rPr>
        <w:t xml:space="preserve">Innes, M. (2006). Policing Uncertainty: Countering Terror through Community Intelligence and Democratic Policing. </w:t>
      </w:r>
      <w:r w:rsidRPr="009501CD">
        <w:rPr>
          <w:rFonts w:ascii="Times New Roman" w:hAnsi="Times New Roman" w:cs="Times New Roman"/>
          <w:i/>
          <w:iCs/>
          <w:sz w:val="24"/>
          <w:szCs w:val="24"/>
        </w:rPr>
        <w:t>The ANNALS of the American Academy of Political and Social Science</w:t>
      </w:r>
      <w:r w:rsidRPr="009501CD">
        <w:rPr>
          <w:rFonts w:ascii="Times New Roman" w:hAnsi="Times New Roman" w:cs="Times New Roman"/>
          <w:sz w:val="24"/>
          <w:szCs w:val="24"/>
        </w:rPr>
        <w:t xml:space="preserve">, 605(1), pp.222–241. </w:t>
      </w:r>
      <w:proofErr w:type="spellStart"/>
      <w:r w:rsidRPr="009501CD">
        <w:rPr>
          <w:rFonts w:ascii="Times New Roman" w:hAnsi="Times New Roman" w:cs="Times New Roman"/>
          <w:sz w:val="24"/>
          <w:szCs w:val="24"/>
        </w:rPr>
        <w:t>doi:https</w:t>
      </w:r>
      <w:proofErr w:type="spellEnd"/>
      <w:r w:rsidRPr="009501CD">
        <w:rPr>
          <w:rFonts w:ascii="Times New Roman" w:hAnsi="Times New Roman" w:cs="Times New Roman"/>
          <w:sz w:val="24"/>
          <w:szCs w:val="24"/>
        </w:rPr>
        <w:t>://doi.org/10.1177/0002716206287118.</w:t>
      </w:r>
    </w:p>
    <w:p w14:paraId="4CEA0CDC" w14:textId="77777777" w:rsidR="009501CD" w:rsidRPr="009501CD" w:rsidRDefault="009501CD" w:rsidP="009501CD">
      <w:pPr>
        <w:jc w:val="both"/>
        <w:rPr>
          <w:rFonts w:ascii="Times New Roman" w:hAnsi="Times New Roman" w:cs="Times New Roman"/>
          <w:sz w:val="24"/>
          <w:szCs w:val="24"/>
        </w:rPr>
      </w:pPr>
      <w:r w:rsidRPr="009501CD">
        <w:rPr>
          <w:rFonts w:ascii="Times New Roman" w:hAnsi="Times New Roman" w:cs="Times New Roman"/>
          <w:sz w:val="24"/>
          <w:szCs w:val="24"/>
        </w:rPr>
        <w:t xml:space="preserve">Levitt, M. (2013). </w:t>
      </w:r>
      <w:r w:rsidRPr="009501CD">
        <w:rPr>
          <w:rFonts w:ascii="Times New Roman" w:hAnsi="Times New Roman" w:cs="Times New Roman"/>
          <w:i/>
          <w:iCs/>
          <w:sz w:val="24"/>
          <w:szCs w:val="24"/>
        </w:rPr>
        <w:t xml:space="preserve">Hezbollah: </w:t>
      </w:r>
      <w:proofErr w:type="gramStart"/>
      <w:r w:rsidRPr="009501CD">
        <w:rPr>
          <w:rFonts w:ascii="Times New Roman" w:hAnsi="Times New Roman" w:cs="Times New Roman"/>
          <w:i/>
          <w:iCs/>
          <w:sz w:val="24"/>
          <w:szCs w:val="24"/>
        </w:rPr>
        <w:t>the</w:t>
      </w:r>
      <w:proofErr w:type="gramEnd"/>
      <w:r w:rsidRPr="009501CD">
        <w:rPr>
          <w:rFonts w:ascii="Times New Roman" w:hAnsi="Times New Roman" w:cs="Times New Roman"/>
          <w:i/>
          <w:iCs/>
          <w:sz w:val="24"/>
          <w:szCs w:val="24"/>
        </w:rPr>
        <w:t xml:space="preserve"> Global Footprint of Lebanon’s Party of God</w:t>
      </w:r>
      <w:r w:rsidRPr="009501CD">
        <w:rPr>
          <w:rFonts w:ascii="Times New Roman" w:hAnsi="Times New Roman" w:cs="Times New Roman"/>
          <w:sz w:val="24"/>
          <w:szCs w:val="24"/>
        </w:rPr>
        <w:t>. [online] The Washington Institute. Available at: https://www.washingtoninstitute.org/policy-analysis/hezbollah-global-footprint-lebanons-party-god.</w:t>
      </w:r>
    </w:p>
    <w:p w14:paraId="49FC3A33" w14:textId="77777777" w:rsidR="009501CD" w:rsidRPr="009501CD" w:rsidRDefault="009501CD" w:rsidP="009501CD">
      <w:pPr>
        <w:jc w:val="both"/>
        <w:rPr>
          <w:rFonts w:ascii="Times New Roman" w:hAnsi="Times New Roman" w:cs="Times New Roman"/>
          <w:sz w:val="24"/>
          <w:szCs w:val="24"/>
        </w:rPr>
      </w:pPr>
      <w:r w:rsidRPr="009501CD">
        <w:rPr>
          <w:rFonts w:ascii="Times New Roman" w:hAnsi="Times New Roman" w:cs="Times New Roman"/>
          <w:sz w:val="24"/>
          <w:szCs w:val="24"/>
        </w:rPr>
        <w:t xml:space="preserve">Lum, C., Kennedy, L.W. and Sherley, A.J. (2006). The Effectiveness of Counter-Terrorism Strategies. </w:t>
      </w:r>
      <w:r w:rsidRPr="009501CD">
        <w:rPr>
          <w:rFonts w:ascii="Times New Roman" w:hAnsi="Times New Roman" w:cs="Times New Roman"/>
          <w:i/>
          <w:iCs/>
          <w:sz w:val="24"/>
          <w:szCs w:val="24"/>
        </w:rPr>
        <w:t>Campbell Systematic Reviews</w:t>
      </w:r>
      <w:r w:rsidRPr="009501CD">
        <w:rPr>
          <w:rFonts w:ascii="Times New Roman" w:hAnsi="Times New Roman" w:cs="Times New Roman"/>
          <w:sz w:val="24"/>
          <w:szCs w:val="24"/>
        </w:rPr>
        <w:t xml:space="preserve">, 2(1), pp.1–50. </w:t>
      </w:r>
      <w:proofErr w:type="spellStart"/>
      <w:r w:rsidRPr="009501CD">
        <w:rPr>
          <w:rFonts w:ascii="Times New Roman" w:hAnsi="Times New Roman" w:cs="Times New Roman"/>
          <w:sz w:val="24"/>
          <w:szCs w:val="24"/>
        </w:rPr>
        <w:t>doi:https</w:t>
      </w:r>
      <w:proofErr w:type="spellEnd"/>
      <w:r w:rsidRPr="009501CD">
        <w:rPr>
          <w:rFonts w:ascii="Times New Roman" w:hAnsi="Times New Roman" w:cs="Times New Roman"/>
          <w:sz w:val="24"/>
          <w:szCs w:val="24"/>
        </w:rPr>
        <w:t>://doi.org/10.4073/csr.2006.2.</w:t>
      </w:r>
    </w:p>
    <w:p w14:paraId="6C518E0B" w14:textId="77777777" w:rsidR="009501CD" w:rsidRPr="009501CD" w:rsidRDefault="009501CD" w:rsidP="009501CD">
      <w:pPr>
        <w:jc w:val="both"/>
        <w:rPr>
          <w:rFonts w:ascii="Times New Roman" w:hAnsi="Times New Roman" w:cs="Times New Roman"/>
          <w:sz w:val="24"/>
          <w:szCs w:val="24"/>
        </w:rPr>
      </w:pPr>
      <w:r w:rsidRPr="009501CD">
        <w:rPr>
          <w:rFonts w:ascii="Times New Roman" w:hAnsi="Times New Roman" w:cs="Times New Roman"/>
          <w:sz w:val="24"/>
          <w:szCs w:val="24"/>
        </w:rPr>
        <w:t xml:space="preserve">Macpherson (1999). </w:t>
      </w:r>
      <w:r w:rsidRPr="009501CD">
        <w:rPr>
          <w:rFonts w:ascii="Times New Roman" w:hAnsi="Times New Roman" w:cs="Times New Roman"/>
          <w:i/>
          <w:iCs/>
          <w:sz w:val="24"/>
          <w:szCs w:val="24"/>
        </w:rPr>
        <w:t>The Stephen Lawrence Inquiry</w:t>
      </w:r>
      <w:r w:rsidRPr="009501CD">
        <w:rPr>
          <w:rFonts w:ascii="Times New Roman" w:hAnsi="Times New Roman" w:cs="Times New Roman"/>
          <w:sz w:val="24"/>
          <w:szCs w:val="24"/>
        </w:rPr>
        <w:t>. [online] GOV.UK. Available at: https://www.gov.uk/government/publications/the-stephen-lawrence-inquiry.</w:t>
      </w:r>
    </w:p>
    <w:p w14:paraId="0FC31BD5" w14:textId="77777777" w:rsidR="009501CD" w:rsidRPr="009501CD" w:rsidRDefault="009501CD" w:rsidP="009501CD">
      <w:pPr>
        <w:jc w:val="both"/>
        <w:rPr>
          <w:rFonts w:ascii="Times New Roman" w:hAnsi="Times New Roman" w:cs="Times New Roman"/>
          <w:sz w:val="24"/>
          <w:szCs w:val="24"/>
        </w:rPr>
      </w:pPr>
      <w:r w:rsidRPr="009501CD">
        <w:rPr>
          <w:rFonts w:ascii="Times New Roman" w:hAnsi="Times New Roman" w:cs="Times New Roman"/>
          <w:sz w:val="24"/>
          <w:szCs w:val="24"/>
        </w:rPr>
        <w:t xml:space="preserve">Makarenko, T. (2004). The Crime-Terror Continuum: Tracing the Interplay between Transnational Organised Crime and Terrorism. </w:t>
      </w:r>
      <w:r w:rsidRPr="009501CD">
        <w:rPr>
          <w:rFonts w:ascii="Times New Roman" w:hAnsi="Times New Roman" w:cs="Times New Roman"/>
          <w:i/>
          <w:iCs/>
          <w:sz w:val="24"/>
          <w:szCs w:val="24"/>
        </w:rPr>
        <w:t>Global Crime</w:t>
      </w:r>
      <w:r w:rsidRPr="009501CD">
        <w:rPr>
          <w:rFonts w:ascii="Times New Roman" w:hAnsi="Times New Roman" w:cs="Times New Roman"/>
          <w:sz w:val="24"/>
          <w:szCs w:val="24"/>
        </w:rPr>
        <w:t>, [online] 6(1), pp.129–145. Available at: https://www.tandfonline.com/doi/abs/10.1080/1744057042000297025.</w:t>
      </w:r>
    </w:p>
    <w:p w14:paraId="4B0F7A24" w14:textId="77777777" w:rsidR="009501CD" w:rsidRPr="009501CD" w:rsidRDefault="009501CD" w:rsidP="009501CD">
      <w:pPr>
        <w:jc w:val="both"/>
        <w:rPr>
          <w:rFonts w:ascii="Times New Roman" w:hAnsi="Times New Roman" w:cs="Times New Roman"/>
          <w:sz w:val="24"/>
          <w:szCs w:val="24"/>
        </w:rPr>
      </w:pPr>
      <w:r w:rsidRPr="009501CD">
        <w:rPr>
          <w:rFonts w:ascii="Times New Roman" w:hAnsi="Times New Roman" w:cs="Times New Roman"/>
          <w:sz w:val="24"/>
          <w:szCs w:val="24"/>
        </w:rPr>
        <w:t xml:space="preserve">Mason, L. (2007). </w:t>
      </w:r>
      <w:proofErr w:type="spellStart"/>
      <w:r w:rsidRPr="009501CD">
        <w:rPr>
          <w:rFonts w:ascii="Times New Roman" w:hAnsi="Times New Roman" w:cs="Times New Roman"/>
          <w:sz w:val="24"/>
          <w:szCs w:val="24"/>
        </w:rPr>
        <w:t>Skogan</w:t>
      </w:r>
      <w:proofErr w:type="spellEnd"/>
      <w:r w:rsidRPr="009501CD">
        <w:rPr>
          <w:rFonts w:ascii="Times New Roman" w:hAnsi="Times New Roman" w:cs="Times New Roman"/>
          <w:sz w:val="24"/>
          <w:szCs w:val="24"/>
        </w:rPr>
        <w:t xml:space="preserve">, W. G. (2006). * Police and Community in Chicago; a Tale of Three cities. </w:t>
      </w:r>
      <w:r w:rsidRPr="009501CD">
        <w:rPr>
          <w:rFonts w:ascii="Times New Roman" w:hAnsi="Times New Roman" w:cs="Times New Roman"/>
          <w:i/>
          <w:iCs/>
          <w:sz w:val="24"/>
          <w:szCs w:val="24"/>
        </w:rPr>
        <w:t>Policing</w:t>
      </w:r>
      <w:r w:rsidRPr="009501CD">
        <w:rPr>
          <w:rFonts w:ascii="Times New Roman" w:hAnsi="Times New Roman" w:cs="Times New Roman"/>
          <w:sz w:val="24"/>
          <w:szCs w:val="24"/>
        </w:rPr>
        <w:t xml:space="preserve">, 1(2), pp.244–245. </w:t>
      </w:r>
      <w:proofErr w:type="spellStart"/>
      <w:r w:rsidRPr="009501CD">
        <w:rPr>
          <w:rFonts w:ascii="Times New Roman" w:hAnsi="Times New Roman" w:cs="Times New Roman"/>
          <w:sz w:val="24"/>
          <w:szCs w:val="24"/>
        </w:rPr>
        <w:t>doi:https</w:t>
      </w:r>
      <w:proofErr w:type="spellEnd"/>
      <w:r w:rsidRPr="009501CD">
        <w:rPr>
          <w:rFonts w:ascii="Times New Roman" w:hAnsi="Times New Roman" w:cs="Times New Roman"/>
          <w:sz w:val="24"/>
          <w:szCs w:val="24"/>
        </w:rPr>
        <w:t>://doi.org/10.1093/police/pam034.</w:t>
      </w:r>
    </w:p>
    <w:p w14:paraId="2BCDA706" w14:textId="77777777" w:rsidR="009501CD" w:rsidRPr="009501CD" w:rsidRDefault="009501CD" w:rsidP="009501CD">
      <w:pPr>
        <w:jc w:val="both"/>
        <w:rPr>
          <w:rFonts w:ascii="Times New Roman" w:hAnsi="Times New Roman" w:cs="Times New Roman"/>
          <w:sz w:val="24"/>
          <w:szCs w:val="24"/>
        </w:rPr>
      </w:pPr>
      <w:r w:rsidRPr="009501CD">
        <w:rPr>
          <w:rFonts w:ascii="Times New Roman" w:hAnsi="Times New Roman" w:cs="Times New Roman"/>
          <w:sz w:val="24"/>
          <w:szCs w:val="24"/>
        </w:rPr>
        <w:t xml:space="preserve">OpenLibrary.org (2025). </w:t>
      </w:r>
      <w:r w:rsidRPr="009501CD">
        <w:rPr>
          <w:rFonts w:ascii="Times New Roman" w:hAnsi="Times New Roman" w:cs="Times New Roman"/>
          <w:i/>
          <w:iCs/>
          <w:sz w:val="24"/>
          <w:szCs w:val="24"/>
        </w:rPr>
        <w:t>Problem-oriented Policing by Herman Goldstein | Open Library</w:t>
      </w:r>
      <w:r w:rsidRPr="009501CD">
        <w:rPr>
          <w:rFonts w:ascii="Times New Roman" w:hAnsi="Times New Roman" w:cs="Times New Roman"/>
          <w:sz w:val="24"/>
          <w:szCs w:val="24"/>
        </w:rPr>
        <w:t>. [online] Open Library. Available at: https://openlibrary.org/books/OL2194663M/Problem-oriented_policing.</w:t>
      </w:r>
    </w:p>
    <w:p w14:paraId="0B8D52E5" w14:textId="77777777" w:rsidR="009501CD" w:rsidRPr="009501CD" w:rsidRDefault="009501CD" w:rsidP="009501CD">
      <w:pPr>
        <w:jc w:val="both"/>
        <w:rPr>
          <w:rFonts w:ascii="Times New Roman" w:hAnsi="Times New Roman" w:cs="Times New Roman"/>
          <w:sz w:val="24"/>
          <w:szCs w:val="24"/>
        </w:rPr>
      </w:pPr>
      <w:r w:rsidRPr="009501CD">
        <w:rPr>
          <w:rFonts w:ascii="Times New Roman" w:hAnsi="Times New Roman" w:cs="Times New Roman"/>
          <w:sz w:val="24"/>
          <w:szCs w:val="24"/>
        </w:rPr>
        <w:t xml:space="preserve">Richer, A.D. and Tucker, E. (2025). </w:t>
      </w:r>
      <w:r w:rsidRPr="009501CD">
        <w:rPr>
          <w:rFonts w:ascii="Times New Roman" w:hAnsi="Times New Roman" w:cs="Times New Roman"/>
          <w:i/>
          <w:iCs/>
          <w:sz w:val="24"/>
          <w:szCs w:val="24"/>
        </w:rPr>
        <w:t>Pam Bondi Announces Terrorism Case against Alleged Tren De Aragua Member</w:t>
      </w:r>
      <w:r w:rsidRPr="009501CD">
        <w:rPr>
          <w:rFonts w:ascii="Times New Roman" w:hAnsi="Times New Roman" w:cs="Times New Roman"/>
          <w:sz w:val="24"/>
          <w:szCs w:val="24"/>
        </w:rPr>
        <w:t>. [online] AP News. Available at: https://apnews.com/article/pam-bondi-terrorism-tda-gang-venezuela-colombia-74d29b4e08e362bceb7439f920290c2d.</w:t>
      </w:r>
    </w:p>
    <w:p w14:paraId="7DF70A80" w14:textId="77777777" w:rsidR="009501CD" w:rsidRPr="009501CD" w:rsidRDefault="009501CD" w:rsidP="009501CD">
      <w:pPr>
        <w:jc w:val="both"/>
        <w:rPr>
          <w:rFonts w:ascii="Times New Roman" w:hAnsi="Times New Roman" w:cs="Times New Roman"/>
          <w:sz w:val="24"/>
          <w:szCs w:val="24"/>
        </w:rPr>
      </w:pPr>
      <w:r w:rsidRPr="009501CD">
        <w:rPr>
          <w:rFonts w:ascii="Times New Roman" w:hAnsi="Times New Roman" w:cs="Times New Roman"/>
          <w:sz w:val="24"/>
          <w:szCs w:val="24"/>
        </w:rPr>
        <w:t xml:space="preserve">Shah, S., Rahman, I. and </w:t>
      </w:r>
      <w:proofErr w:type="spellStart"/>
      <w:r w:rsidRPr="009501CD">
        <w:rPr>
          <w:rFonts w:ascii="Times New Roman" w:hAnsi="Times New Roman" w:cs="Times New Roman"/>
          <w:sz w:val="24"/>
          <w:szCs w:val="24"/>
        </w:rPr>
        <w:t>Khashu</w:t>
      </w:r>
      <w:proofErr w:type="spellEnd"/>
      <w:r w:rsidRPr="009501CD">
        <w:rPr>
          <w:rFonts w:ascii="Times New Roman" w:hAnsi="Times New Roman" w:cs="Times New Roman"/>
          <w:sz w:val="24"/>
          <w:szCs w:val="24"/>
        </w:rPr>
        <w:t xml:space="preserve">, A. (2008). </w:t>
      </w:r>
      <w:r w:rsidRPr="009501CD">
        <w:rPr>
          <w:rFonts w:ascii="Times New Roman" w:hAnsi="Times New Roman" w:cs="Times New Roman"/>
          <w:i/>
          <w:iCs/>
          <w:sz w:val="24"/>
          <w:szCs w:val="24"/>
        </w:rPr>
        <w:t>Overcoming Language Barriers: Solutions for Law Enforcement</w:t>
      </w:r>
      <w:r w:rsidRPr="009501CD">
        <w:rPr>
          <w:rFonts w:ascii="Times New Roman" w:hAnsi="Times New Roman" w:cs="Times New Roman"/>
          <w:sz w:val="24"/>
          <w:szCs w:val="24"/>
        </w:rPr>
        <w:t>. [online] Available at: https://vera-institute.files.svdcdn.com/production/downloads/publications/Overcoming_Language_Barriers_FINAL.pdf.</w:t>
      </w:r>
      <w:r w:rsidRPr="009501CD">
        <w:rPr>
          <w:rFonts w:ascii="Times New Roman" w:hAnsi="Times New Roman" w:cs="Times New Roman"/>
          <w:sz w:val="24"/>
          <w:szCs w:val="24"/>
        </w:rPr>
        <w:t xml:space="preserve"> </w:t>
      </w:r>
    </w:p>
    <w:p w14:paraId="47B1DA22" w14:textId="2D7DD8A9" w:rsidR="009501CD" w:rsidRPr="009501CD" w:rsidRDefault="009501CD" w:rsidP="009501CD">
      <w:pPr>
        <w:jc w:val="both"/>
        <w:rPr>
          <w:rFonts w:ascii="Times New Roman" w:hAnsi="Times New Roman" w:cs="Times New Roman"/>
          <w:sz w:val="24"/>
          <w:szCs w:val="24"/>
        </w:rPr>
      </w:pPr>
      <w:r w:rsidRPr="009501CD">
        <w:rPr>
          <w:rFonts w:ascii="Times New Roman" w:hAnsi="Times New Roman" w:cs="Times New Roman"/>
          <w:sz w:val="24"/>
          <w:szCs w:val="24"/>
        </w:rPr>
        <w:t xml:space="preserve">Stotzer, R.L. (2014). “Law Enforcement and Criminal Justice Personnel Interactions with Transgender People in the United States: A Literature Review.” Aggression and Violent </w:t>
      </w:r>
      <w:proofErr w:type="spellStart"/>
      <w:r w:rsidRPr="009501CD">
        <w:rPr>
          <w:rFonts w:ascii="Times New Roman" w:hAnsi="Times New Roman" w:cs="Times New Roman"/>
          <w:sz w:val="24"/>
          <w:szCs w:val="24"/>
        </w:rPr>
        <w:t>Behavior</w:t>
      </w:r>
      <w:proofErr w:type="spellEnd"/>
      <w:r w:rsidRPr="009501CD">
        <w:rPr>
          <w:rFonts w:ascii="Times New Roman" w:hAnsi="Times New Roman" w:cs="Times New Roman"/>
          <w:sz w:val="24"/>
          <w:szCs w:val="24"/>
        </w:rPr>
        <w:t>, 19(3), 263–277.</w:t>
      </w:r>
    </w:p>
    <w:p w14:paraId="0D0A1402" w14:textId="77777777" w:rsidR="009501CD" w:rsidRPr="009501CD" w:rsidRDefault="009501CD" w:rsidP="009501CD">
      <w:pPr>
        <w:jc w:val="both"/>
        <w:rPr>
          <w:rFonts w:ascii="Times New Roman" w:hAnsi="Times New Roman" w:cs="Times New Roman"/>
          <w:sz w:val="24"/>
          <w:szCs w:val="24"/>
        </w:rPr>
      </w:pPr>
      <w:r w:rsidRPr="009501CD">
        <w:rPr>
          <w:rFonts w:ascii="Times New Roman" w:hAnsi="Times New Roman" w:cs="Times New Roman"/>
          <w:sz w:val="24"/>
          <w:szCs w:val="24"/>
        </w:rPr>
        <w:t xml:space="preserve">Subramanian, S. (2024). </w:t>
      </w:r>
      <w:r w:rsidRPr="009501CD">
        <w:rPr>
          <w:rFonts w:ascii="Times New Roman" w:hAnsi="Times New Roman" w:cs="Times New Roman"/>
          <w:i/>
          <w:iCs/>
          <w:sz w:val="24"/>
          <w:szCs w:val="24"/>
        </w:rPr>
        <w:t>The Cement Company That Paid Millions to Isis: Was Lafarge Complicit in Crimes against humanity?</w:t>
      </w:r>
      <w:r w:rsidRPr="009501CD">
        <w:rPr>
          <w:rFonts w:ascii="Times New Roman" w:hAnsi="Times New Roman" w:cs="Times New Roman"/>
          <w:sz w:val="24"/>
          <w:szCs w:val="24"/>
        </w:rPr>
        <w:t xml:space="preserve"> [online] The Guardian. Available at: https://www.theguardian.com/world/2024/sep/17/french-cement-company-lafarge-paid-millions-to-islamic-state-syria.</w:t>
      </w:r>
    </w:p>
    <w:p w14:paraId="56AE5968" w14:textId="77777777" w:rsidR="009501CD" w:rsidRPr="009501CD" w:rsidRDefault="009501CD" w:rsidP="009501CD">
      <w:pPr>
        <w:jc w:val="both"/>
        <w:rPr>
          <w:rFonts w:ascii="Times New Roman" w:hAnsi="Times New Roman" w:cs="Times New Roman"/>
          <w:sz w:val="24"/>
          <w:szCs w:val="24"/>
        </w:rPr>
      </w:pPr>
      <w:r w:rsidRPr="009501CD">
        <w:rPr>
          <w:rFonts w:ascii="Times New Roman" w:hAnsi="Times New Roman" w:cs="Times New Roman"/>
          <w:sz w:val="24"/>
          <w:szCs w:val="24"/>
        </w:rPr>
        <w:t xml:space="preserve">Thomas, P. (2016). Youth, Terrorism and Education: Britain’s Prevent Programme. </w:t>
      </w:r>
      <w:r w:rsidRPr="009501CD">
        <w:rPr>
          <w:rFonts w:ascii="Times New Roman" w:hAnsi="Times New Roman" w:cs="Times New Roman"/>
          <w:i/>
          <w:iCs/>
          <w:sz w:val="24"/>
          <w:szCs w:val="24"/>
        </w:rPr>
        <w:t>International Journal of Lifelong Education</w:t>
      </w:r>
      <w:r w:rsidRPr="009501CD">
        <w:rPr>
          <w:rFonts w:ascii="Times New Roman" w:hAnsi="Times New Roman" w:cs="Times New Roman"/>
          <w:sz w:val="24"/>
          <w:szCs w:val="24"/>
        </w:rPr>
        <w:t>, [online] 35(2), pp.171–187. Available at: https://www.tandfonline.com/doi/abs/10.1080/02601370.2016.1164469.</w:t>
      </w:r>
    </w:p>
    <w:p w14:paraId="79A8CBF6" w14:textId="77777777" w:rsidR="009501CD" w:rsidRPr="009501CD" w:rsidRDefault="009501CD" w:rsidP="009501CD">
      <w:pPr>
        <w:jc w:val="both"/>
        <w:rPr>
          <w:rFonts w:ascii="Times New Roman" w:hAnsi="Times New Roman" w:cs="Times New Roman"/>
          <w:sz w:val="24"/>
          <w:szCs w:val="24"/>
        </w:rPr>
      </w:pPr>
      <w:r w:rsidRPr="009501CD">
        <w:rPr>
          <w:rFonts w:ascii="Times New Roman" w:hAnsi="Times New Roman" w:cs="Times New Roman"/>
          <w:sz w:val="24"/>
          <w:szCs w:val="24"/>
        </w:rPr>
        <w:t xml:space="preserve">Tyler, T.R. (2005). Policing in Black and White: Ethnic Group Differences in Trust and Confidence in the Police. </w:t>
      </w:r>
      <w:r w:rsidRPr="009501CD">
        <w:rPr>
          <w:rFonts w:ascii="Times New Roman" w:hAnsi="Times New Roman" w:cs="Times New Roman"/>
          <w:i/>
          <w:iCs/>
          <w:sz w:val="24"/>
          <w:szCs w:val="24"/>
        </w:rPr>
        <w:t>Police Quarterly</w:t>
      </w:r>
      <w:r w:rsidRPr="009501CD">
        <w:rPr>
          <w:rFonts w:ascii="Times New Roman" w:hAnsi="Times New Roman" w:cs="Times New Roman"/>
          <w:sz w:val="24"/>
          <w:szCs w:val="24"/>
        </w:rPr>
        <w:t xml:space="preserve">, [online] 8(3), pp.322–342. </w:t>
      </w:r>
      <w:proofErr w:type="spellStart"/>
      <w:r w:rsidRPr="009501CD">
        <w:rPr>
          <w:rFonts w:ascii="Times New Roman" w:hAnsi="Times New Roman" w:cs="Times New Roman"/>
          <w:sz w:val="24"/>
          <w:szCs w:val="24"/>
        </w:rPr>
        <w:t>doi:https</w:t>
      </w:r>
      <w:proofErr w:type="spellEnd"/>
      <w:r w:rsidRPr="009501CD">
        <w:rPr>
          <w:rFonts w:ascii="Times New Roman" w:hAnsi="Times New Roman" w:cs="Times New Roman"/>
          <w:sz w:val="24"/>
          <w:szCs w:val="24"/>
        </w:rPr>
        <w:t>://doi.org/10.1177/1098611104271105.</w:t>
      </w:r>
    </w:p>
    <w:p w14:paraId="5BA58CC2" w14:textId="77777777" w:rsidR="009501CD" w:rsidRPr="009501CD" w:rsidRDefault="009501CD" w:rsidP="009501CD">
      <w:pPr>
        <w:jc w:val="both"/>
        <w:rPr>
          <w:rFonts w:ascii="Times New Roman" w:hAnsi="Times New Roman" w:cs="Times New Roman"/>
          <w:sz w:val="24"/>
          <w:szCs w:val="24"/>
        </w:rPr>
      </w:pPr>
      <w:r w:rsidRPr="009501CD">
        <w:rPr>
          <w:rFonts w:ascii="Times New Roman" w:hAnsi="Times New Roman" w:cs="Times New Roman"/>
          <w:sz w:val="24"/>
          <w:szCs w:val="24"/>
        </w:rPr>
        <w:t xml:space="preserve">United Nations (2021). </w:t>
      </w:r>
      <w:r w:rsidRPr="009501CD">
        <w:rPr>
          <w:rFonts w:ascii="Times New Roman" w:hAnsi="Times New Roman" w:cs="Times New Roman"/>
          <w:i/>
          <w:iCs/>
          <w:sz w:val="24"/>
          <w:szCs w:val="24"/>
        </w:rPr>
        <w:t>UNODC Organized Crime - Tools and Publications</w:t>
      </w:r>
      <w:r w:rsidRPr="009501CD">
        <w:rPr>
          <w:rFonts w:ascii="Times New Roman" w:hAnsi="Times New Roman" w:cs="Times New Roman"/>
          <w:sz w:val="24"/>
          <w:szCs w:val="24"/>
        </w:rPr>
        <w:t>. [online] United Nations : Office on Drugs and Crime. Available at: https://www.unodc.org/unodc/en/organized-crime/tools-and-publications.html.</w:t>
      </w:r>
    </w:p>
    <w:p w14:paraId="7915D9FF" w14:textId="77777777" w:rsidR="009501CD" w:rsidRPr="009501CD" w:rsidRDefault="009501CD" w:rsidP="009501CD">
      <w:pPr>
        <w:jc w:val="both"/>
        <w:rPr>
          <w:rFonts w:ascii="Times New Roman" w:hAnsi="Times New Roman" w:cs="Times New Roman"/>
          <w:sz w:val="24"/>
          <w:szCs w:val="24"/>
        </w:rPr>
      </w:pPr>
      <w:r w:rsidRPr="009501CD">
        <w:rPr>
          <w:rFonts w:ascii="Times New Roman" w:hAnsi="Times New Roman" w:cs="Times New Roman"/>
          <w:sz w:val="24"/>
          <w:szCs w:val="24"/>
        </w:rPr>
        <w:t xml:space="preserve">Williams, P. (2009). Illicit markets, Weak States and violence: Iraq and Mexico. </w:t>
      </w:r>
      <w:r w:rsidRPr="009501CD">
        <w:rPr>
          <w:rFonts w:ascii="Times New Roman" w:hAnsi="Times New Roman" w:cs="Times New Roman"/>
          <w:i/>
          <w:iCs/>
          <w:sz w:val="24"/>
          <w:szCs w:val="24"/>
        </w:rPr>
        <w:t>Crime, Law and Social Change</w:t>
      </w:r>
      <w:r w:rsidRPr="009501CD">
        <w:rPr>
          <w:rFonts w:ascii="Times New Roman" w:hAnsi="Times New Roman" w:cs="Times New Roman"/>
          <w:sz w:val="24"/>
          <w:szCs w:val="24"/>
        </w:rPr>
        <w:t xml:space="preserve">, 52(3), pp.323–336. </w:t>
      </w:r>
      <w:proofErr w:type="spellStart"/>
      <w:r w:rsidRPr="009501CD">
        <w:rPr>
          <w:rFonts w:ascii="Times New Roman" w:hAnsi="Times New Roman" w:cs="Times New Roman"/>
          <w:sz w:val="24"/>
          <w:szCs w:val="24"/>
        </w:rPr>
        <w:t>doi:https</w:t>
      </w:r>
      <w:proofErr w:type="spellEnd"/>
      <w:r w:rsidRPr="009501CD">
        <w:rPr>
          <w:rFonts w:ascii="Times New Roman" w:hAnsi="Times New Roman" w:cs="Times New Roman"/>
          <w:sz w:val="24"/>
          <w:szCs w:val="24"/>
        </w:rPr>
        <w:t>://doi.org/10.1007/s10611-009-9194-0.</w:t>
      </w:r>
    </w:p>
    <w:p w14:paraId="50F09F41" w14:textId="77777777" w:rsidR="009501CD" w:rsidRPr="009501CD" w:rsidRDefault="009501CD" w:rsidP="009501CD">
      <w:pPr>
        <w:jc w:val="both"/>
        <w:rPr>
          <w:rFonts w:ascii="Times New Roman" w:hAnsi="Times New Roman" w:cs="Times New Roman"/>
          <w:sz w:val="24"/>
          <w:szCs w:val="24"/>
        </w:rPr>
      </w:pPr>
    </w:p>
    <w:p w14:paraId="03010020" w14:textId="116AB202" w:rsidR="007C37FF" w:rsidRPr="009501CD" w:rsidRDefault="007C37FF" w:rsidP="009501CD">
      <w:pPr>
        <w:jc w:val="both"/>
        <w:rPr>
          <w:rFonts w:ascii="Times New Roman" w:hAnsi="Times New Roman" w:cs="Times New Roman"/>
          <w:sz w:val="24"/>
          <w:szCs w:val="24"/>
        </w:rPr>
      </w:pPr>
    </w:p>
    <w:sectPr w:rsidR="007C37FF" w:rsidRPr="009501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3215D9"/>
    <w:multiLevelType w:val="multilevel"/>
    <w:tmpl w:val="B3A0902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3A3C48A7"/>
    <w:multiLevelType w:val="multilevel"/>
    <w:tmpl w:val="CFE87C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13372FB"/>
    <w:multiLevelType w:val="multilevel"/>
    <w:tmpl w:val="AD2603E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78AE6C55"/>
    <w:multiLevelType w:val="hybridMultilevel"/>
    <w:tmpl w:val="56A80568"/>
    <w:lvl w:ilvl="0" w:tplc="5CA23944">
      <w:start w:val="1"/>
      <w:numFmt w:val="decimal"/>
      <w:lvlText w:val="%1."/>
      <w:lvlJc w:val="left"/>
      <w:pPr>
        <w:ind w:left="786" w:hanging="360"/>
      </w:pPr>
    </w:lvl>
    <w:lvl w:ilvl="1" w:tplc="08090019">
      <w:start w:val="1"/>
      <w:numFmt w:val="lowerLetter"/>
      <w:lvlText w:val="%2."/>
      <w:lvlJc w:val="left"/>
      <w:pPr>
        <w:ind w:left="1506" w:hanging="360"/>
      </w:pPr>
    </w:lvl>
    <w:lvl w:ilvl="2" w:tplc="0809001B">
      <w:start w:val="1"/>
      <w:numFmt w:val="lowerRoman"/>
      <w:lvlText w:val="%3."/>
      <w:lvlJc w:val="right"/>
      <w:pPr>
        <w:ind w:left="2226" w:hanging="180"/>
      </w:pPr>
    </w:lvl>
    <w:lvl w:ilvl="3" w:tplc="0809000F">
      <w:start w:val="1"/>
      <w:numFmt w:val="decimal"/>
      <w:lvlText w:val="%4."/>
      <w:lvlJc w:val="left"/>
      <w:pPr>
        <w:ind w:left="2946" w:hanging="360"/>
      </w:pPr>
    </w:lvl>
    <w:lvl w:ilvl="4" w:tplc="08090019">
      <w:start w:val="1"/>
      <w:numFmt w:val="lowerLetter"/>
      <w:lvlText w:val="%5."/>
      <w:lvlJc w:val="left"/>
      <w:pPr>
        <w:ind w:left="3666" w:hanging="360"/>
      </w:pPr>
    </w:lvl>
    <w:lvl w:ilvl="5" w:tplc="0809001B">
      <w:start w:val="1"/>
      <w:numFmt w:val="lowerRoman"/>
      <w:lvlText w:val="%6."/>
      <w:lvlJc w:val="right"/>
      <w:pPr>
        <w:ind w:left="4386" w:hanging="180"/>
      </w:pPr>
    </w:lvl>
    <w:lvl w:ilvl="6" w:tplc="0809000F">
      <w:start w:val="1"/>
      <w:numFmt w:val="decimal"/>
      <w:lvlText w:val="%7."/>
      <w:lvlJc w:val="left"/>
      <w:pPr>
        <w:ind w:left="5106" w:hanging="360"/>
      </w:pPr>
    </w:lvl>
    <w:lvl w:ilvl="7" w:tplc="08090019">
      <w:start w:val="1"/>
      <w:numFmt w:val="lowerLetter"/>
      <w:lvlText w:val="%8."/>
      <w:lvlJc w:val="left"/>
      <w:pPr>
        <w:ind w:left="5826" w:hanging="360"/>
      </w:pPr>
    </w:lvl>
    <w:lvl w:ilvl="8" w:tplc="0809001B">
      <w:start w:val="1"/>
      <w:numFmt w:val="lowerRoman"/>
      <w:lvlText w:val="%9."/>
      <w:lvlJc w:val="right"/>
      <w:pPr>
        <w:ind w:left="6546" w:hanging="180"/>
      </w:pPr>
    </w:lvl>
  </w:abstractNum>
  <w:num w:numId="1" w16cid:durableId="194565070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005622781">
    <w:abstractNumId w:val="1"/>
  </w:num>
  <w:num w:numId="3" w16cid:durableId="96516460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71449632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4890"/>
    <w:rsid w:val="00164623"/>
    <w:rsid w:val="004E0E94"/>
    <w:rsid w:val="00547DB6"/>
    <w:rsid w:val="005E2908"/>
    <w:rsid w:val="00710675"/>
    <w:rsid w:val="007C37FF"/>
    <w:rsid w:val="00913830"/>
    <w:rsid w:val="009501CD"/>
    <w:rsid w:val="00955CBD"/>
    <w:rsid w:val="00977E0F"/>
    <w:rsid w:val="00B20BCE"/>
    <w:rsid w:val="00C54813"/>
    <w:rsid w:val="00D569BD"/>
    <w:rsid w:val="00EA4890"/>
    <w:rsid w:val="00FF71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FDC0F"/>
  <w15:chartTrackingRefBased/>
  <w15:docId w15:val="{B42C3B72-0A61-4CFC-AE04-3FC0208424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48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A48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A48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48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48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48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48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48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48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48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A48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A48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48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48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48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48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48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4890"/>
    <w:rPr>
      <w:rFonts w:eastAsiaTheme="majorEastAsia" w:cstheme="majorBidi"/>
      <w:color w:val="272727" w:themeColor="text1" w:themeTint="D8"/>
    </w:rPr>
  </w:style>
  <w:style w:type="paragraph" w:styleId="Title">
    <w:name w:val="Title"/>
    <w:basedOn w:val="Normal"/>
    <w:next w:val="Normal"/>
    <w:link w:val="TitleChar"/>
    <w:uiPriority w:val="10"/>
    <w:qFormat/>
    <w:rsid w:val="00EA48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48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48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48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4890"/>
    <w:pPr>
      <w:spacing w:before="160"/>
      <w:jc w:val="center"/>
    </w:pPr>
    <w:rPr>
      <w:i/>
      <w:iCs/>
      <w:color w:val="404040" w:themeColor="text1" w:themeTint="BF"/>
    </w:rPr>
  </w:style>
  <w:style w:type="character" w:customStyle="1" w:styleId="QuoteChar">
    <w:name w:val="Quote Char"/>
    <w:basedOn w:val="DefaultParagraphFont"/>
    <w:link w:val="Quote"/>
    <w:uiPriority w:val="29"/>
    <w:rsid w:val="00EA4890"/>
    <w:rPr>
      <w:i/>
      <w:iCs/>
      <w:color w:val="404040" w:themeColor="text1" w:themeTint="BF"/>
    </w:rPr>
  </w:style>
  <w:style w:type="paragraph" w:styleId="ListParagraph">
    <w:name w:val="List Paragraph"/>
    <w:basedOn w:val="Normal"/>
    <w:uiPriority w:val="34"/>
    <w:qFormat/>
    <w:rsid w:val="00EA4890"/>
    <w:pPr>
      <w:ind w:left="720"/>
      <w:contextualSpacing/>
    </w:pPr>
  </w:style>
  <w:style w:type="character" w:styleId="IntenseEmphasis">
    <w:name w:val="Intense Emphasis"/>
    <w:basedOn w:val="DefaultParagraphFont"/>
    <w:uiPriority w:val="21"/>
    <w:qFormat/>
    <w:rsid w:val="00EA4890"/>
    <w:rPr>
      <w:i/>
      <w:iCs/>
      <w:color w:val="0F4761" w:themeColor="accent1" w:themeShade="BF"/>
    </w:rPr>
  </w:style>
  <w:style w:type="paragraph" w:styleId="IntenseQuote">
    <w:name w:val="Intense Quote"/>
    <w:basedOn w:val="Normal"/>
    <w:next w:val="Normal"/>
    <w:link w:val="IntenseQuoteChar"/>
    <w:uiPriority w:val="30"/>
    <w:qFormat/>
    <w:rsid w:val="00EA48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4890"/>
    <w:rPr>
      <w:i/>
      <w:iCs/>
      <w:color w:val="0F4761" w:themeColor="accent1" w:themeShade="BF"/>
    </w:rPr>
  </w:style>
  <w:style w:type="character" w:styleId="IntenseReference">
    <w:name w:val="Intense Reference"/>
    <w:basedOn w:val="DefaultParagraphFont"/>
    <w:uiPriority w:val="32"/>
    <w:qFormat/>
    <w:rsid w:val="00EA4890"/>
    <w:rPr>
      <w:b/>
      <w:bCs/>
      <w:smallCaps/>
      <w:color w:val="0F4761" w:themeColor="accent1" w:themeShade="BF"/>
      <w:spacing w:val="5"/>
    </w:rPr>
  </w:style>
  <w:style w:type="character" w:styleId="Hyperlink">
    <w:name w:val="Hyperlink"/>
    <w:basedOn w:val="DefaultParagraphFont"/>
    <w:uiPriority w:val="99"/>
    <w:unhideWhenUsed/>
    <w:rsid w:val="00977E0F"/>
    <w:rPr>
      <w:color w:val="467886" w:themeColor="hyperlink"/>
      <w:u w:val="single"/>
    </w:rPr>
  </w:style>
  <w:style w:type="character" w:styleId="UnresolvedMention">
    <w:name w:val="Unresolved Mention"/>
    <w:basedOn w:val="DefaultParagraphFont"/>
    <w:uiPriority w:val="99"/>
    <w:semiHidden/>
    <w:unhideWhenUsed/>
    <w:rsid w:val="00977E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32383">
      <w:bodyDiv w:val="1"/>
      <w:marLeft w:val="0"/>
      <w:marRight w:val="0"/>
      <w:marTop w:val="0"/>
      <w:marBottom w:val="0"/>
      <w:divBdr>
        <w:top w:val="none" w:sz="0" w:space="0" w:color="auto"/>
        <w:left w:val="none" w:sz="0" w:space="0" w:color="auto"/>
        <w:bottom w:val="none" w:sz="0" w:space="0" w:color="auto"/>
        <w:right w:val="none" w:sz="0" w:space="0" w:color="auto"/>
      </w:divBdr>
    </w:div>
    <w:div w:id="15274824">
      <w:bodyDiv w:val="1"/>
      <w:marLeft w:val="0"/>
      <w:marRight w:val="0"/>
      <w:marTop w:val="0"/>
      <w:marBottom w:val="0"/>
      <w:divBdr>
        <w:top w:val="none" w:sz="0" w:space="0" w:color="auto"/>
        <w:left w:val="none" w:sz="0" w:space="0" w:color="auto"/>
        <w:bottom w:val="none" w:sz="0" w:space="0" w:color="auto"/>
        <w:right w:val="none" w:sz="0" w:space="0" w:color="auto"/>
      </w:divBdr>
    </w:div>
    <w:div w:id="146672747">
      <w:bodyDiv w:val="1"/>
      <w:marLeft w:val="0"/>
      <w:marRight w:val="0"/>
      <w:marTop w:val="0"/>
      <w:marBottom w:val="0"/>
      <w:divBdr>
        <w:top w:val="none" w:sz="0" w:space="0" w:color="auto"/>
        <w:left w:val="none" w:sz="0" w:space="0" w:color="auto"/>
        <w:bottom w:val="none" w:sz="0" w:space="0" w:color="auto"/>
        <w:right w:val="none" w:sz="0" w:space="0" w:color="auto"/>
      </w:divBdr>
    </w:div>
    <w:div w:id="252395287">
      <w:bodyDiv w:val="1"/>
      <w:marLeft w:val="0"/>
      <w:marRight w:val="0"/>
      <w:marTop w:val="0"/>
      <w:marBottom w:val="0"/>
      <w:divBdr>
        <w:top w:val="none" w:sz="0" w:space="0" w:color="auto"/>
        <w:left w:val="none" w:sz="0" w:space="0" w:color="auto"/>
        <w:bottom w:val="none" w:sz="0" w:space="0" w:color="auto"/>
        <w:right w:val="none" w:sz="0" w:space="0" w:color="auto"/>
      </w:divBdr>
    </w:div>
    <w:div w:id="321738802">
      <w:bodyDiv w:val="1"/>
      <w:marLeft w:val="0"/>
      <w:marRight w:val="0"/>
      <w:marTop w:val="0"/>
      <w:marBottom w:val="0"/>
      <w:divBdr>
        <w:top w:val="none" w:sz="0" w:space="0" w:color="auto"/>
        <w:left w:val="none" w:sz="0" w:space="0" w:color="auto"/>
        <w:bottom w:val="none" w:sz="0" w:space="0" w:color="auto"/>
        <w:right w:val="none" w:sz="0" w:space="0" w:color="auto"/>
      </w:divBdr>
      <w:divsChild>
        <w:div w:id="634145858">
          <w:marLeft w:val="0"/>
          <w:marRight w:val="0"/>
          <w:marTop w:val="0"/>
          <w:marBottom w:val="0"/>
          <w:divBdr>
            <w:top w:val="none" w:sz="0" w:space="0" w:color="auto"/>
            <w:left w:val="none" w:sz="0" w:space="0" w:color="auto"/>
            <w:bottom w:val="none" w:sz="0" w:space="0" w:color="auto"/>
            <w:right w:val="none" w:sz="0" w:space="0" w:color="auto"/>
          </w:divBdr>
        </w:div>
      </w:divsChild>
    </w:div>
    <w:div w:id="447505013">
      <w:bodyDiv w:val="1"/>
      <w:marLeft w:val="0"/>
      <w:marRight w:val="0"/>
      <w:marTop w:val="0"/>
      <w:marBottom w:val="0"/>
      <w:divBdr>
        <w:top w:val="none" w:sz="0" w:space="0" w:color="auto"/>
        <w:left w:val="none" w:sz="0" w:space="0" w:color="auto"/>
        <w:bottom w:val="none" w:sz="0" w:space="0" w:color="auto"/>
        <w:right w:val="none" w:sz="0" w:space="0" w:color="auto"/>
      </w:divBdr>
    </w:div>
    <w:div w:id="510528117">
      <w:bodyDiv w:val="1"/>
      <w:marLeft w:val="0"/>
      <w:marRight w:val="0"/>
      <w:marTop w:val="0"/>
      <w:marBottom w:val="0"/>
      <w:divBdr>
        <w:top w:val="none" w:sz="0" w:space="0" w:color="auto"/>
        <w:left w:val="none" w:sz="0" w:space="0" w:color="auto"/>
        <w:bottom w:val="none" w:sz="0" w:space="0" w:color="auto"/>
        <w:right w:val="none" w:sz="0" w:space="0" w:color="auto"/>
      </w:divBdr>
    </w:div>
    <w:div w:id="510919694">
      <w:bodyDiv w:val="1"/>
      <w:marLeft w:val="0"/>
      <w:marRight w:val="0"/>
      <w:marTop w:val="0"/>
      <w:marBottom w:val="0"/>
      <w:divBdr>
        <w:top w:val="none" w:sz="0" w:space="0" w:color="auto"/>
        <w:left w:val="none" w:sz="0" w:space="0" w:color="auto"/>
        <w:bottom w:val="none" w:sz="0" w:space="0" w:color="auto"/>
        <w:right w:val="none" w:sz="0" w:space="0" w:color="auto"/>
      </w:divBdr>
    </w:div>
    <w:div w:id="679502372">
      <w:bodyDiv w:val="1"/>
      <w:marLeft w:val="0"/>
      <w:marRight w:val="0"/>
      <w:marTop w:val="0"/>
      <w:marBottom w:val="0"/>
      <w:divBdr>
        <w:top w:val="none" w:sz="0" w:space="0" w:color="auto"/>
        <w:left w:val="none" w:sz="0" w:space="0" w:color="auto"/>
        <w:bottom w:val="none" w:sz="0" w:space="0" w:color="auto"/>
        <w:right w:val="none" w:sz="0" w:space="0" w:color="auto"/>
      </w:divBdr>
    </w:div>
    <w:div w:id="689063620">
      <w:bodyDiv w:val="1"/>
      <w:marLeft w:val="0"/>
      <w:marRight w:val="0"/>
      <w:marTop w:val="0"/>
      <w:marBottom w:val="0"/>
      <w:divBdr>
        <w:top w:val="none" w:sz="0" w:space="0" w:color="auto"/>
        <w:left w:val="none" w:sz="0" w:space="0" w:color="auto"/>
        <w:bottom w:val="none" w:sz="0" w:space="0" w:color="auto"/>
        <w:right w:val="none" w:sz="0" w:space="0" w:color="auto"/>
      </w:divBdr>
    </w:div>
    <w:div w:id="866915130">
      <w:bodyDiv w:val="1"/>
      <w:marLeft w:val="0"/>
      <w:marRight w:val="0"/>
      <w:marTop w:val="0"/>
      <w:marBottom w:val="0"/>
      <w:divBdr>
        <w:top w:val="none" w:sz="0" w:space="0" w:color="auto"/>
        <w:left w:val="none" w:sz="0" w:space="0" w:color="auto"/>
        <w:bottom w:val="none" w:sz="0" w:space="0" w:color="auto"/>
        <w:right w:val="none" w:sz="0" w:space="0" w:color="auto"/>
      </w:divBdr>
    </w:div>
    <w:div w:id="960837705">
      <w:bodyDiv w:val="1"/>
      <w:marLeft w:val="0"/>
      <w:marRight w:val="0"/>
      <w:marTop w:val="0"/>
      <w:marBottom w:val="0"/>
      <w:divBdr>
        <w:top w:val="none" w:sz="0" w:space="0" w:color="auto"/>
        <w:left w:val="none" w:sz="0" w:space="0" w:color="auto"/>
        <w:bottom w:val="none" w:sz="0" w:space="0" w:color="auto"/>
        <w:right w:val="none" w:sz="0" w:space="0" w:color="auto"/>
      </w:divBdr>
    </w:div>
    <w:div w:id="1020666987">
      <w:bodyDiv w:val="1"/>
      <w:marLeft w:val="0"/>
      <w:marRight w:val="0"/>
      <w:marTop w:val="0"/>
      <w:marBottom w:val="0"/>
      <w:divBdr>
        <w:top w:val="none" w:sz="0" w:space="0" w:color="auto"/>
        <w:left w:val="none" w:sz="0" w:space="0" w:color="auto"/>
        <w:bottom w:val="none" w:sz="0" w:space="0" w:color="auto"/>
        <w:right w:val="none" w:sz="0" w:space="0" w:color="auto"/>
      </w:divBdr>
    </w:div>
    <w:div w:id="1034769875">
      <w:bodyDiv w:val="1"/>
      <w:marLeft w:val="0"/>
      <w:marRight w:val="0"/>
      <w:marTop w:val="0"/>
      <w:marBottom w:val="0"/>
      <w:divBdr>
        <w:top w:val="none" w:sz="0" w:space="0" w:color="auto"/>
        <w:left w:val="none" w:sz="0" w:space="0" w:color="auto"/>
        <w:bottom w:val="none" w:sz="0" w:space="0" w:color="auto"/>
        <w:right w:val="none" w:sz="0" w:space="0" w:color="auto"/>
      </w:divBdr>
    </w:div>
    <w:div w:id="1213888562">
      <w:bodyDiv w:val="1"/>
      <w:marLeft w:val="0"/>
      <w:marRight w:val="0"/>
      <w:marTop w:val="0"/>
      <w:marBottom w:val="0"/>
      <w:divBdr>
        <w:top w:val="none" w:sz="0" w:space="0" w:color="auto"/>
        <w:left w:val="none" w:sz="0" w:space="0" w:color="auto"/>
        <w:bottom w:val="none" w:sz="0" w:space="0" w:color="auto"/>
        <w:right w:val="none" w:sz="0" w:space="0" w:color="auto"/>
      </w:divBdr>
    </w:div>
    <w:div w:id="1491751982">
      <w:bodyDiv w:val="1"/>
      <w:marLeft w:val="0"/>
      <w:marRight w:val="0"/>
      <w:marTop w:val="0"/>
      <w:marBottom w:val="0"/>
      <w:divBdr>
        <w:top w:val="none" w:sz="0" w:space="0" w:color="auto"/>
        <w:left w:val="none" w:sz="0" w:space="0" w:color="auto"/>
        <w:bottom w:val="none" w:sz="0" w:space="0" w:color="auto"/>
        <w:right w:val="none" w:sz="0" w:space="0" w:color="auto"/>
      </w:divBdr>
    </w:div>
    <w:div w:id="1971205719">
      <w:bodyDiv w:val="1"/>
      <w:marLeft w:val="0"/>
      <w:marRight w:val="0"/>
      <w:marTop w:val="0"/>
      <w:marBottom w:val="0"/>
      <w:divBdr>
        <w:top w:val="none" w:sz="0" w:space="0" w:color="auto"/>
        <w:left w:val="none" w:sz="0" w:space="0" w:color="auto"/>
        <w:bottom w:val="none" w:sz="0" w:space="0" w:color="auto"/>
        <w:right w:val="none" w:sz="0" w:space="0" w:color="auto"/>
      </w:divBdr>
      <w:divsChild>
        <w:div w:id="269356469">
          <w:marLeft w:val="0"/>
          <w:marRight w:val="0"/>
          <w:marTop w:val="0"/>
          <w:marBottom w:val="0"/>
          <w:divBdr>
            <w:top w:val="none" w:sz="0" w:space="0" w:color="auto"/>
            <w:left w:val="none" w:sz="0" w:space="0" w:color="auto"/>
            <w:bottom w:val="none" w:sz="0" w:space="0" w:color="auto"/>
            <w:right w:val="none" w:sz="0" w:space="0" w:color="auto"/>
          </w:divBdr>
        </w:div>
      </w:divsChild>
    </w:div>
    <w:div w:id="2137601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2958</Words>
  <Characters>19257</Characters>
  <Application>Microsoft Office Word</Application>
  <DocSecurity>0</DocSecurity>
  <Lines>250</Lines>
  <Paragraphs>58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22157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Wilmore, Mark</dc:creator>
  <cp:keywords/>
  <dc:description/>
  <cp:lastModifiedBy>Wilmore, Mark</cp:lastModifiedBy>
  <cp:revision>2</cp:revision>
  <dcterms:created xsi:type="dcterms:W3CDTF">2025-05-26T21:33:00Z</dcterms:created>
  <dcterms:modified xsi:type="dcterms:W3CDTF">2025-05-26T21:33:00Z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2025-05-26T17:37:14Z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b6e53348-be6a-40ea-91a0-624db3b73ca1</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