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4CD39C">
      <w:pPr>
        <w:spacing w:line="360" w:lineRule="auto"/>
        <w:jc w:val="both"/>
        <w:rPr>
          <w:rFonts w:ascii="Arial" w:hAnsi="Arial" w:cs="Arial"/>
          <w:kern w:val="0"/>
        </w:rPr>
      </w:pPr>
    </w:p>
    <w:p w14:paraId="46D56EF3">
      <w:pPr>
        <w:spacing w:line="360" w:lineRule="auto"/>
        <w:jc w:val="both"/>
        <w:rPr>
          <w:rFonts w:ascii="Arial" w:hAnsi="Arial" w:cs="Arial"/>
          <w:kern w:val="0"/>
        </w:rPr>
      </w:pPr>
    </w:p>
    <w:p w14:paraId="423B49BA">
      <w:pPr>
        <w:spacing w:line="360" w:lineRule="auto"/>
        <w:jc w:val="center"/>
        <w:rPr>
          <w:rFonts w:ascii="Arial" w:hAnsi="Arial" w:cs="Arial"/>
          <w:kern w:val="0"/>
        </w:rPr>
      </w:pPr>
    </w:p>
    <w:p w14:paraId="18B86249">
      <w:pPr>
        <w:spacing w:line="360" w:lineRule="auto"/>
        <w:jc w:val="center"/>
        <w:rPr>
          <w:rFonts w:hint="default" w:ascii="Times New Roman" w:hAnsi="Times New Roman" w:cs="Times New Roman"/>
          <w:b/>
          <w:bCs/>
          <w:kern w:val="0"/>
          <w:sz w:val="32"/>
          <w:szCs w:val="32"/>
          <w:lang w:val="ro-RO"/>
        </w:rPr>
      </w:pPr>
      <w:r>
        <w:rPr>
          <w:rFonts w:hint="default" w:ascii="Times New Roman" w:hAnsi="Times New Roman" w:cs="Times New Roman"/>
          <w:b/>
          <w:bCs/>
          <w:kern w:val="0"/>
          <w:sz w:val="32"/>
          <w:szCs w:val="32"/>
          <w:lang w:val="ro-RO"/>
        </w:rPr>
        <w:t>Management &amp; Organizational Behaviour</w:t>
      </w:r>
    </w:p>
    <w:p w14:paraId="51D759C4">
      <w:pPr>
        <w:spacing w:line="360" w:lineRule="auto"/>
        <w:jc w:val="center"/>
        <w:rPr>
          <w:rFonts w:hint="default" w:ascii="Times New Roman" w:hAnsi="Times New Roman" w:cs="Times New Roman"/>
          <w:b/>
          <w:bCs/>
          <w:kern w:val="0"/>
          <w:sz w:val="32"/>
          <w:szCs w:val="32"/>
          <w:lang w:val="ro-RO"/>
        </w:rPr>
      </w:pPr>
      <w:r>
        <w:rPr>
          <w:rFonts w:hint="default" w:ascii="Times New Roman" w:hAnsi="Times New Roman" w:cs="Times New Roman"/>
          <w:b/>
          <w:bCs/>
          <w:kern w:val="0"/>
          <w:sz w:val="32"/>
          <w:szCs w:val="32"/>
          <w:lang w:val="ro-RO"/>
        </w:rPr>
        <w:t>BMIH5004</w:t>
      </w:r>
    </w:p>
    <w:p w14:paraId="2A3FD23C">
      <w:pPr>
        <w:spacing w:line="360" w:lineRule="auto"/>
        <w:jc w:val="both"/>
        <w:rPr>
          <w:rFonts w:ascii="Arial" w:hAnsi="Arial" w:cs="Arial"/>
          <w:kern w:val="0"/>
        </w:rPr>
      </w:pPr>
    </w:p>
    <w:p w14:paraId="53DC6B01">
      <w:pPr>
        <w:spacing w:line="360" w:lineRule="auto"/>
        <w:jc w:val="both"/>
        <w:rPr>
          <w:rFonts w:hint="default" w:ascii="Times New Roman" w:hAnsi="Times New Roman" w:cs="Times New Roman"/>
          <w:b/>
          <w:bCs/>
          <w:kern w:val="0"/>
          <w:sz w:val="32"/>
          <w:szCs w:val="32"/>
        </w:rPr>
      </w:pPr>
    </w:p>
    <w:p w14:paraId="446238CA">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bCs/>
          <w:kern w:val="0"/>
          <w:sz w:val="32"/>
          <w:szCs w:val="32"/>
          <w:lang w:val="ro-RO"/>
        </w:rPr>
      </w:pPr>
      <w:r>
        <w:rPr>
          <w:rFonts w:hint="default" w:ascii="Times New Roman" w:hAnsi="Times New Roman" w:cs="Times New Roman"/>
          <w:b/>
          <w:bCs/>
          <w:kern w:val="0"/>
          <w:sz w:val="32"/>
          <w:szCs w:val="32"/>
          <w:lang w:val="ro-RO"/>
        </w:rPr>
        <w:t>Module Lead:</w:t>
      </w:r>
    </w:p>
    <w:p w14:paraId="386B5BDD">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b/>
          <w:bCs/>
          <w:kern w:val="0"/>
          <w:sz w:val="32"/>
          <w:szCs w:val="32"/>
          <w:lang w:val="ro-RO"/>
        </w:rPr>
      </w:pPr>
      <w:r>
        <w:rPr>
          <w:rFonts w:hint="default" w:ascii="Times New Roman" w:hAnsi="Times New Roman" w:cs="Times New Roman"/>
          <w:b/>
          <w:bCs/>
          <w:kern w:val="0"/>
          <w:sz w:val="32"/>
          <w:szCs w:val="32"/>
          <w:lang w:val="ro-RO"/>
        </w:rPr>
        <w:t>Giulia Chifari</w:t>
      </w:r>
    </w:p>
    <w:p w14:paraId="78644F55">
      <w:pPr>
        <w:spacing w:line="360" w:lineRule="auto"/>
        <w:jc w:val="both"/>
        <w:rPr>
          <w:rFonts w:hint="default" w:ascii="Arial" w:hAnsi="Arial" w:cs="Arial"/>
          <w:kern w:val="0"/>
          <w:lang w:val="ro-RO"/>
        </w:rPr>
      </w:pPr>
    </w:p>
    <w:p w14:paraId="5357D9C2">
      <w:pPr>
        <w:spacing w:line="360" w:lineRule="auto"/>
        <w:jc w:val="both"/>
        <w:rPr>
          <w:rFonts w:hint="default" w:ascii="Arial" w:hAnsi="Arial" w:cs="Arial"/>
          <w:kern w:val="0"/>
          <w:lang w:val="ro-RO"/>
        </w:rPr>
      </w:pPr>
    </w:p>
    <w:p w14:paraId="54248E06">
      <w:pPr>
        <w:spacing w:line="360" w:lineRule="auto"/>
        <w:jc w:val="both"/>
        <w:rPr>
          <w:rFonts w:hint="default" w:ascii="Arial" w:hAnsi="Arial" w:cs="Arial"/>
          <w:kern w:val="0"/>
          <w:lang w:val="ro-RO"/>
        </w:rPr>
      </w:pPr>
    </w:p>
    <w:p w14:paraId="1A2B58BA">
      <w:pPr>
        <w:spacing w:line="360" w:lineRule="auto"/>
        <w:jc w:val="both"/>
        <w:rPr>
          <w:rFonts w:hint="default" w:ascii="Times New Roman" w:hAnsi="Times New Roman" w:cs="Times New Roman"/>
          <w:b/>
          <w:bCs/>
          <w:kern w:val="0"/>
          <w:sz w:val="28"/>
          <w:szCs w:val="28"/>
          <w:lang w:val="ro-RO"/>
        </w:rPr>
      </w:pPr>
    </w:p>
    <w:p w14:paraId="266B68FD">
      <w:pPr>
        <w:keepNext w:val="0"/>
        <w:keepLines w:val="0"/>
        <w:pageBreakBefore w:val="0"/>
        <w:widowControl/>
        <w:kinsoku/>
        <w:wordWrap/>
        <w:overflowPunct/>
        <w:topLinePunct w:val="0"/>
        <w:autoSpaceDE/>
        <w:autoSpaceDN/>
        <w:bidi w:val="0"/>
        <w:adjustRightInd/>
        <w:snapToGrid/>
        <w:spacing w:line="240" w:lineRule="auto"/>
        <w:jc w:val="right"/>
        <w:textAlignment w:val="auto"/>
        <w:rPr>
          <w:rFonts w:hint="default" w:ascii="Times New Roman" w:hAnsi="Times New Roman" w:cs="Times New Roman"/>
          <w:b/>
          <w:bCs/>
          <w:kern w:val="0"/>
          <w:sz w:val="32"/>
          <w:szCs w:val="32"/>
          <w:lang w:val="ro-RO"/>
        </w:rPr>
      </w:pPr>
      <w:r>
        <w:rPr>
          <w:rFonts w:hint="default" w:ascii="Times New Roman" w:hAnsi="Times New Roman" w:cs="Times New Roman"/>
          <w:b/>
          <w:bCs/>
          <w:kern w:val="0"/>
          <w:sz w:val="32"/>
          <w:szCs w:val="32"/>
          <w:lang w:val="ro-RO"/>
        </w:rPr>
        <w:t>Student:</w:t>
      </w:r>
    </w:p>
    <w:p w14:paraId="7477222E">
      <w:pPr>
        <w:keepNext w:val="0"/>
        <w:keepLines w:val="0"/>
        <w:pageBreakBefore w:val="0"/>
        <w:widowControl/>
        <w:kinsoku/>
        <w:wordWrap/>
        <w:overflowPunct/>
        <w:topLinePunct w:val="0"/>
        <w:autoSpaceDE/>
        <w:autoSpaceDN/>
        <w:bidi w:val="0"/>
        <w:adjustRightInd/>
        <w:snapToGrid/>
        <w:spacing w:line="240" w:lineRule="auto"/>
        <w:jc w:val="right"/>
        <w:textAlignment w:val="auto"/>
        <w:rPr>
          <w:rFonts w:hint="default" w:ascii="Times New Roman" w:hAnsi="Times New Roman" w:cs="Times New Roman"/>
          <w:b/>
          <w:bCs/>
          <w:kern w:val="0"/>
          <w:sz w:val="32"/>
          <w:szCs w:val="32"/>
          <w:lang w:val="ro-RO"/>
        </w:rPr>
      </w:pPr>
      <w:r>
        <w:rPr>
          <w:rFonts w:hint="default" w:ascii="Times New Roman" w:hAnsi="Times New Roman" w:cs="Times New Roman"/>
          <w:b/>
          <w:bCs/>
          <w:kern w:val="0"/>
          <w:sz w:val="32"/>
          <w:szCs w:val="32"/>
          <w:lang w:val="ro-RO"/>
        </w:rPr>
        <w:t>Stefan Mihaita Lucian</w:t>
      </w:r>
    </w:p>
    <w:p w14:paraId="2F97F213">
      <w:pPr>
        <w:keepNext w:val="0"/>
        <w:keepLines w:val="0"/>
        <w:pageBreakBefore w:val="0"/>
        <w:widowControl/>
        <w:kinsoku/>
        <w:wordWrap/>
        <w:overflowPunct/>
        <w:topLinePunct w:val="0"/>
        <w:autoSpaceDE/>
        <w:autoSpaceDN/>
        <w:bidi w:val="0"/>
        <w:adjustRightInd/>
        <w:snapToGrid/>
        <w:spacing w:line="240" w:lineRule="auto"/>
        <w:jc w:val="right"/>
        <w:textAlignment w:val="auto"/>
        <w:rPr>
          <w:rFonts w:hint="default" w:ascii="Times New Roman" w:hAnsi="Times New Roman" w:cs="Times New Roman"/>
          <w:b/>
          <w:bCs/>
          <w:kern w:val="0"/>
          <w:sz w:val="32"/>
          <w:szCs w:val="32"/>
          <w:lang w:val="ro-RO"/>
        </w:rPr>
      </w:pPr>
      <w:r>
        <w:rPr>
          <w:rFonts w:hint="default" w:ascii="Times New Roman" w:hAnsi="Times New Roman" w:cs="Times New Roman"/>
          <w:b/>
          <w:bCs/>
          <w:kern w:val="0"/>
          <w:sz w:val="32"/>
          <w:szCs w:val="32"/>
          <w:lang w:val="ro-RO"/>
        </w:rPr>
        <w:t>2234126</w:t>
      </w:r>
    </w:p>
    <w:p w14:paraId="6A6A4DE9">
      <w:pPr>
        <w:spacing w:line="360" w:lineRule="auto"/>
        <w:jc w:val="both"/>
        <w:rPr>
          <w:rFonts w:ascii="Arial" w:hAnsi="Arial" w:cs="Arial"/>
          <w:kern w:val="0"/>
        </w:rPr>
      </w:pPr>
    </w:p>
    <w:p w14:paraId="37086BE4">
      <w:pPr>
        <w:spacing w:line="360" w:lineRule="auto"/>
        <w:jc w:val="both"/>
        <w:rPr>
          <w:rFonts w:ascii="Arial" w:hAnsi="Arial" w:cs="Arial"/>
          <w:kern w:val="0"/>
        </w:rPr>
      </w:pPr>
    </w:p>
    <w:p w14:paraId="3ED1378F">
      <w:pPr>
        <w:spacing w:line="360" w:lineRule="auto"/>
        <w:jc w:val="both"/>
        <w:rPr>
          <w:rFonts w:ascii="Arial" w:hAnsi="Arial" w:cs="Arial"/>
          <w:kern w:val="0"/>
        </w:rPr>
      </w:pPr>
    </w:p>
    <w:p w14:paraId="762A121C">
      <w:pPr>
        <w:spacing w:line="360" w:lineRule="auto"/>
        <w:jc w:val="both"/>
        <w:rPr>
          <w:rFonts w:ascii="Arial" w:hAnsi="Arial" w:cs="Arial"/>
          <w:kern w:val="0"/>
        </w:rPr>
      </w:pPr>
    </w:p>
    <w:p w14:paraId="769E919A">
      <w:pPr>
        <w:spacing w:line="360" w:lineRule="auto"/>
        <w:jc w:val="both"/>
        <w:rPr>
          <w:rFonts w:ascii="Arial" w:hAnsi="Arial" w:cs="Arial"/>
          <w:kern w:val="0"/>
        </w:rPr>
      </w:pPr>
    </w:p>
    <w:p w14:paraId="0AA674E6">
      <w:pPr>
        <w:spacing w:line="360" w:lineRule="auto"/>
        <w:jc w:val="both"/>
        <w:rPr>
          <w:rFonts w:ascii="Arial" w:hAnsi="Arial" w:cs="Arial"/>
          <w:kern w:val="0"/>
        </w:rPr>
      </w:pPr>
    </w:p>
    <w:p w14:paraId="3D74FCB6">
      <w:pPr>
        <w:spacing w:line="360" w:lineRule="auto"/>
        <w:jc w:val="both"/>
        <w:rPr>
          <w:rFonts w:hint="default" w:ascii="Arial" w:hAnsi="Arial" w:cs="Arial"/>
          <w:kern w:val="0"/>
          <w:lang w:val="ro-RO"/>
        </w:rPr>
      </w:pPr>
      <w:r>
        <w:rPr>
          <w:rFonts w:hint="default" w:ascii="Arial" w:hAnsi="Arial" w:cs="Arial"/>
          <w:kern w:val="0"/>
          <w:lang w:val="ro-RO"/>
        </w:rPr>
        <w:t>I acknowledge the use of Microsoft Copilot on 18/10/2014 to proofreading.I confirm that I have not presented any AI generated text as my own work.</w:t>
      </w:r>
    </w:p>
    <w:p w14:paraId="7C59F937">
      <w:pPr>
        <w:spacing w:line="360" w:lineRule="auto"/>
        <w:jc w:val="both"/>
        <w:rPr>
          <w:rFonts w:hint="default" w:ascii="Arial" w:hAnsi="Arial" w:cs="Arial"/>
          <w:kern w:val="0"/>
          <w:lang w:val="ro-RO"/>
        </w:rPr>
      </w:pPr>
      <w:r>
        <w:rPr>
          <w:rFonts w:hint="default" w:ascii="Arial" w:hAnsi="Arial" w:cs="Arial"/>
          <w:kern w:val="0"/>
          <w:lang w:val="ro-RO"/>
        </w:rPr>
        <w:t>I confirm have copies of my draft, notes and other resources I used before and after the use of AI tools wich I may be asked to provide in evidence.</w:t>
      </w:r>
    </w:p>
    <w:p w14:paraId="7D0EC32A">
      <w:pPr>
        <w:spacing w:line="360" w:lineRule="auto"/>
        <w:jc w:val="both"/>
        <w:rPr>
          <w:rFonts w:ascii="Arial" w:hAnsi="Arial" w:cs="Arial"/>
          <w:kern w:val="0"/>
        </w:rPr>
      </w:pPr>
    </w:p>
    <w:p w14:paraId="394DBB43">
      <w:pPr>
        <w:spacing w:line="360" w:lineRule="auto"/>
        <w:jc w:val="both"/>
        <w:rPr>
          <w:rFonts w:ascii="Arial" w:hAnsi="Arial" w:cs="Arial"/>
          <w:kern w:val="0"/>
        </w:rPr>
      </w:pPr>
    </w:p>
    <w:p w14:paraId="528C03EC">
      <w:pPr>
        <w:spacing w:line="360" w:lineRule="auto"/>
        <w:jc w:val="both"/>
        <w:rPr>
          <w:rFonts w:ascii="Arial" w:hAnsi="Arial" w:cs="Arial"/>
          <w:kern w:val="0"/>
        </w:rPr>
      </w:pPr>
    </w:p>
    <w:p w14:paraId="19FA0EB8">
      <w:pPr>
        <w:spacing w:line="360" w:lineRule="auto"/>
        <w:jc w:val="both"/>
        <w:rPr>
          <w:rFonts w:ascii="Arial" w:hAnsi="Arial" w:cs="Arial"/>
          <w:kern w:val="0"/>
        </w:rPr>
      </w:pPr>
    </w:p>
    <w:p w14:paraId="0F84A70C">
      <w:pPr>
        <w:spacing w:line="360" w:lineRule="auto"/>
        <w:jc w:val="both"/>
        <w:rPr>
          <w:rFonts w:ascii="Arial" w:hAnsi="Arial" w:cs="Arial"/>
          <w:kern w:val="0"/>
        </w:rPr>
      </w:pPr>
    </w:p>
    <w:p w14:paraId="79CA5A84">
      <w:pPr>
        <w:spacing w:line="360" w:lineRule="auto"/>
        <w:jc w:val="both"/>
        <w:rPr>
          <w:rFonts w:ascii="Arial" w:hAnsi="Arial" w:cs="Arial"/>
          <w:kern w:val="0"/>
        </w:rPr>
      </w:pPr>
    </w:p>
    <w:p w14:paraId="0F4D64B8">
      <w:pPr>
        <w:spacing w:line="360" w:lineRule="auto"/>
        <w:jc w:val="both"/>
        <w:rPr>
          <w:rFonts w:ascii="Arial" w:hAnsi="Arial" w:cs="Arial"/>
          <w:kern w:val="0"/>
        </w:rPr>
      </w:pPr>
    </w:p>
    <w:p w14:paraId="4A4D30A4">
      <w:pPr>
        <w:spacing w:line="360" w:lineRule="auto"/>
        <w:jc w:val="both"/>
        <w:rPr>
          <w:rFonts w:ascii="Arial" w:hAnsi="Arial" w:cs="Arial"/>
          <w:kern w:val="0"/>
        </w:rPr>
      </w:pPr>
    </w:p>
    <w:p w14:paraId="27A3ABC4">
      <w:pPr>
        <w:spacing w:line="360" w:lineRule="auto"/>
        <w:jc w:val="both"/>
        <w:rPr>
          <w:rFonts w:ascii="Arial" w:hAnsi="Arial" w:cs="Arial"/>
          <w:kern w:val="0"/>
        </w:rPr>
      </w:pPr>
    </w:p>
    <w:p w14:paraId="15FB5858">
      <w:pPr>
        <w:spacing w:line="360" w:lineRule="auto"/>
        <w:jc w:val="both"/>
        <w:rPr>
          <w:rFonts w:ascii="Arial" w:hAnsi="Arial" w:cs="Arial"/>
          <w:kern w:val="0"/>
        </w:rPr>
      </w:pPr>
    </w:p>
    <w:p w14:paraId="1147627B">
      <w:pPr>
        <w:spacing w:line="360" w:lineRule="auto"/>
        <w:jc w:val="both"/>
        <w:rPr>
          <w:rFonts w:ascii="Arial" w:hAnsi="Arial" w:cs="Arial"/>
          <w:kern w:val="0"/>
        </w:rPr>
      </w:pPr>
    </w:p>
    <w:p w14:paraId="3678D631">
      <w:pPr>
        <w:spacing w:line="360" w:lineRule="auto"/>
        <w:jc w:val="both"/>
        <w:rPr>
          <w:rFonts w:ascii="Arial" w:hAnsi="Arial" w:cs="Arial"/>
          <w:kern w:val="0"/>
        </w:rPr>
      </w:pPr>
    </w:p>
    <w:p w14:paraId="2D5B81BE">
      <w:pPr>
        <w:spacing w:line="360" w:lineRule="auto"/>
        <w:jc w:val="both"/>
        <w:rPr>
          <w:rFonts w:ascii="Arial" w:hAnsi="Arial" w:cs="Arial"/>
          <w:kern w:val="0"/>
        </w:rPr>
      </w:pPr>
    </w:p>
    <w:p w14:paraId="1D777695">
      <w:pPr>
        <w:spacing w:line="360" w:lineRule="auto"/>
        <w:jc w:val="both"/>
        <w:rPr>
          <w:rFonts w:ascii="Arial" w:hAnsi="Arial" w:cs="Arial"/>
          <w:kern w:val="0"/>
        </w:rPr>
      </w:pPr>
    </w:p>
    <w:p w14:paraId="55EC6B15">
      <w:pPr>
        <w:spacing w:line="360" w:lineRule="auto"/>
        <w:jc w:val="both"/>
        <w:rPr>
          <w:rFonts w:ascii="Arial" w:hAnsi="Arial" w:cs="Arial"/>
          <w:kern w:val="0"/>
        </w:rPr>
      </w:pPr>
    </w:p>
    <w:p w14:paraId="6568C055">
      <w:pPr>
        <w:spacing w:line="360" w:lineRule="auto"/>
        <w:jc w:val="both"/>
        <w:rPr>
          <w:rFonts w:ascii="Arial" w:hAnsi="Arial" w:cs="Arial"/>
          <w:kern w:val="0"/>
        </w:rPr>
      </w:pPr>
    </w:p>
    <w:p w14:paraId="0221C414">
      <w:pPr>
        <w:spacing w:line="360" w:lineRule="auto"/>
        <w:jc w:val="both"/>
        <w:rPr>
          <w:rFonts w:ascii="Arial" w:hAnsi="Arial" w:cs="Arial"/>
          <w:kern w:val="0"/>
        </w:rPr>
      </w:pPr>
    </w:p>
    <w:p w14:paraId="65EDAE32">
      <w:pPr>
        <w:spacing w:line="360" w:lineRule="auto"/>
        <w:jc w:val="both"/>
        <w:rPr>
          <w:rFonts w:ascii="Arial" w:hAnsi="Arial" w:cs="Arial"/>
          <w:kern w:val="0"/>
        </w:rPr>
      </w:pPr>
    </w:p>
    <w:p w14:paraId="27A3637E">
      <w:pPr>
        <w:spacing w:line="360" w:lineRule="auto"/>
        <w:jc w:val="both"/>
        <w:rPr>
          <w:rFonts w:ascii="Arial" w:hAnsi="Arial" w:cs="Arial"/>
          <w:kern w:val="0"/>
        </w:rPr>
      </w:pPr>
    </w:p>
    <w:p w14:paraId="72624128">
      <w:pPr>
        <w:spacing w:line="360" w:lineRule="auto"/>
        <w:jc w:val="both"/>
        <w:rPr>
          <w:rFonts w:ascii="Arial" w:hAnsi="Arial" w:cs="Arial"/>
          <w:kern w:val="0"/>
        </w:rPr>
      </w:pPr>
      <w:r>
        <w:rPr>
          <w:rFonts w:ascii="Arial" w:hAnsi="Arial" w:cs="Arial"/>
          <w:kern w:val="0"/>
        </w:rPr>
        <w:t xml:space="preserve">In the hospitality industry, where the dynamics of the team and the morale of the staff directly affect the quality of service and the satisfaction of the guests, leadership is an essential component in the success of any organisation. Leadership that is effective improves operational efficiency and cultivates a good working environment, which in turn increases employee engagement and retention rates. Having the ability to motivate, direct, and assist teams is essential for maintaining a competitive advantage in a sector that is characterised by a high rate of employee turnover and intense demands for customer service. </w:t>
      </w:r>
      <w:r>
        <w:rPr>
          <w:rFonts w:ascii="Arial" w:hAnsi="Arial" w:cs="Arial"/>
          <w:kern w:val="0"/>
        </w:rPr>
        <w:br w:type="textWrapping"/>
      </w:r>
    </w:p>
    <w:p w14:paraId="658F15BC">
      <w:pPr>
        <w:spacing w:line="360" w:lineRule="auto"/>
        <w:jc w:val="both"/>
        <w:rPr>
          <w:rFonts w:ascii="Arial" w:hAnsi="Arial" w:cs="Arial"/>
          <w:kern w:val="0"/>
        </w:rPr>
      </w:pPr>
      <w:r>
        <w:rPr>
          <w:rFonts w:ascii="Arial" w:hAnsi="Arial" w:cs="Arial"/>
          <w:kern w:val="0"/>
        </w:rPr>
        <w:t>This essay examines the influence of different leadership styles—transformational, transactional, and servant management—on team effectiveness and employee attitudes within hotel management. This study analyses leadership theories and their implementation in prominent hotel brands, including Marriott International, Hilton Hotels, and Ritz-Carlton, to evaluate the impact of various leadership styles on team performance and employee satisfaction. This essay argues that no single leadership style is universally advantageous. To achieve optimal results, hotel management leaders must adapt their strategies based on environmental factors, team needs, and organisational objectives.</w:t>
      </w:r>
    </w:p>
    <w:p w14:paraId="703696D1">
      <w:pPr>
        <w:spacing w:after="0" w:line="360" w:lineRule="auto"/>
        <w:jc w:val="both"/>
        <w:rPr>
          <w:rFonts w:ascii="Arial" w:hAnsi="Arial" w:cs="Arial"/>
        </w:rPr>
      </w:pPr>
      <w:r>
        <w:rPr>
          <w:rFonts w:ascii="Arial" w:hAnsi="Arial" w:cs="Arial"/>
        </w:rPr>
        <w:t xml:space="preserve">Theories of leadership provide essential frameworks for understanding how team leaders guide, motivate, and influence their members. Both traditional and contemporary methods emphasise various factors that affect group dynamics and employee satisfaction. </w:t>
      </w:r>
      <w:r>
        <w:rPr>
          <w:rFonts w:ascii="Arial" w:hAnsi="Arial" w:cs="Arial"/>
        </w:rPr>
        <w:br w:type="textWrapping"/>
      </w:r>
      <w:r>
        <w:rPr>
          <w:rFonts w:ascii="Arial" w:hAnsi="Arial" w:cs="Arial"/>
        </w:rPr>
        <w:t xml:space="preserve">According to Northouse (2021), trait theory posits that certain individuals possess key characteristics that make them effective leaders. Early research in this area focused on identifying specific traits, including intelligence, confidence, and sociability, commonly exhibited by leaders (Northouse, 2021). Judge et al. (2002) examined the utility of trait theory in identifying future leaders, noting its criticisms related to environmental influences. </w:t>
      </w:r>
    </w:p>
    <w:p w14:paraId="39ECFA13">
      <w:pPr>
        <w:spacing w:after="0" w:line="360" w:lineRule="auto"/>
        <w:jc w:val="both"/>
        <w:rPr>
          <w:rFonts w:ascii="Arial" w:hAnsi="Arial" w:cs="Arial"/>
        </w:rPr>
      </w:pPr>
    </w:p>
    <w:p w14:paraId="7F6C008D">
      <w:pPr>
        <w:spacing w:after="0" w:line="360" w:lineRule="auto"/>
        <w:jc w:val="both"/>
        <w:rPr>
          <w:rFonts w:ascii="Arial" w:hAnsi="Arial" w:cs="Arial"/>
        </w:rPr>
      </w:pPr>
      <w:r>
        <w:rPr>
          <w:rFonts w:ascii="Arial" w:hAnsi="Arial" w:cs="Arial"/>
        </w:rPr>
        <w:t xml:space="preserve">According to Kanji and e Sá (2001), Behavioural Theory prioritises observable actions over inherent traits, suggesting that the effectiveness of leadership depends on behaviour rather than core competencies. </w:t>
      </w:r>
    </w:p>
    <w:p w14:paraId="2A84A5DF">
      <w:pPr>
        <w:spacing w:after="0" w:line="360" w:lineRule="auto"/>
        <w:jc w:val="both"/>
        <w:rPr>
          <w:rFonts w:ascii="Arial" w:hAnsi="Arial" w:cs="Arial"/>
        </w:rPr>
      </w:pPr>
    </w:p>
    <w:p w14:paraId="0D7B3A12">
      <w:pPr>
        <w:spacing w:after="0" w:line="360" w:lineRule="auto"/>
        <w:jc w:val="both"/>
        <w:rPr>
          <w:rFonts w:ascii="Arial" w:hAnsi="Arial" w:cs="Arial"/>
        </w:rPr>
      </w:pPr>
      <w:r>
        <w:rPr>
          <w:rFonts w:ascii="Arial" w:hAnsi="Arial" w:cs="Arial"/>
        </w:rPr>
        <w:t>This approach emphasises two essential dimensions: task-oriented behaviours and people-oriented behaviours. Wu et al. (2013) examined how a leader's ability to balance these behaviours significantly influences team productivity and morale, particularly in service-oriented industries like hospitality.</w:t>
      </w:r>
    </w:p>
    <w:p w14:paraId="36330A56">
      <w:pPr>
        <w:spacing w:after="0" w:line="360" w:lineRule="auto"/>
        <w:jc w:val="both"/>
        <w:rPr>
          <w:rFonts w:ascii="Arial" w:hAnsi="Arial" w:cs="Arial"/>
        </w:rPr>
      </w:pPr>
      <w:r>
        <w:rPr>
          <w:rFonts w:ascii="Arial" w:hAnsi="Arial" w:cs="Arial"/>
        </w:rPr>
        <w:t xml:space="preserve">Shao, Feng, and Hu (2016) state that the Contingency Theory posits there is no single best leadership style; rather, the effectiveness of a leadership approach depends on various factors, such as team composition, task complexity, and organisational culture. </w:t>
      </w:r>
    </w:p>
    <w:p w14:paraId="1B05A975">
      <w:pPr>
        <w:spacing w:after="0" w:line="360" w:lineRule="auto"/>
        <w:jc w:val="both"/>
        <w:rPr>
          <w:rFonts w:ascii="Arial" w:hAnsi="Arial" w:cs="Arial"/>
        </w:rPr>
      </w:pPr>
    </w:p>
    <w:p w14:paraId="2F394AA5">
      <w:pPr>
        <w:spacing w:after="0" w:line="360" w:lineRule="auto"/>
        <w:jc w:val="both"/>
        <w:rPr>
          <w:rFonts w:ascii="Arial" w:hAnsi="Arial" w:cs="Arial"/>
        </w:rPr>
      </w:pPr>
      <w:r>
        <w:rPr>
          <w:rFonts w:ascii="Arial" w:hAnsi="Arial" w:cs="Arial"/>
        </w:rPr>
        <w:t xml:space="preserve">This methodology, derived from Fouad's (2019) study, is pertinent to hotel management, as executives need to adapt to various challenges, including heightened staff turnover and evolving client expectations. </w:t>
      </w:r>
      <w:r>
        <w:rPr>
          <w:rFonts w:ascii="Arial" w:hAnsi="Arial" w:cs="Arial"/>
        </w:rPr>
        <w:br w:type="textWrapping"/>
      </w:r>
      <w:r>
        <w:rPr>
          <w:rFonts w:ascii="Arial" w:hAnsi="Arial" w:cs="Arial"/>
        </w:rPr>
        <w:t xml:space="preserve">Zehndorfer (2020) characterises Transformational leadership as focussing on the inspiration and motivation of employees to surpass their typical performance standards. This approach by leaders promotes innovation and team cohesion, leading to improved morale and effectiveness. Avolio and Bass (2004) indicate that this approach has enhanced team performance and job satisfaction in hospitality settings. </w:t>
      </w:r>
    </w:p>
    <w:p w14:paraId="1FBBE345">
      <w:pPr>
        <w:spacing w:after="0" w:line="360" w:lineRule="auto"/>
        <w:jc w:val="both"/>
        <w:rPr>
          <w:rFonts w:ascii="Arial" w:hAnsi="Arial" w:cs="Arial"/>
        </w:rPr>
      </w:pPr>
    </w:p>
    <w:p w14:paraId="07957745">
      <w:pPr>
        <w:spacing w:after="0" w:line="360" w:lineRule="auto"/>
        <w:jc w:val="both"/>
        <w:rPr>
          <w:rFonts w:ascii="Arial" w:hAnsi="Arial" w:cs="Arial"/>
        </w:rPr>
      </w:pPr>
      <w:r>
        <w:rPr>
          <w:rFonts w:ascii="Arial" w:hAnsi="Arial" w:cs="Arial"/>
        </w:rPr>
        <w:t>As stated by Tavanti (2008), Transactional leadership relies on a framework of rewards and sanctions. Leaders prioritise task execution and establish strict control over procedures. This approach may enhance productivity in organised settings but could impede innovation and diminish staff morale. Research in hospitality indicates that transactional leadership is proficient at overseeing everyday duties, which may lead to increased turnover due to insufficient staff involvement (Alzoubi and Jaaffar, 2020).</w:t>
      </w:r>
    </w:p>
    <w:p w14:paraId="75B7E132">
      <w:pPr>
        <w:spacing w:after="0" w:line="360" w:lineRule="auto"/>
        <w:jc w:val="both"/>
        <w:rPr>
          <w:rFonts w:ascii="Arial" w:hAnsi="Arial" w:cs="Arial"/>
        </w:rPr>
      </w:pPr>
      <w:r>
        <w:rPr>
          <w:rFonts w:ascii="Arial" w:hAnsi="Arial" w:cs="Arial"/>
        </w:rPr>
        <w:t xml:space="preserve">Leadership styles significantly influence team dynamics and employee morale, particularly in the hospitality sector. </w:t>
      </w:r>
    </w:p>
    <w:p w14:paraId="4CECADAF">
      <w:pPr>
        <w:spacing w:after="0" w:line="360" w:lineRule="auto"/>
        <w:jc w:val="both"/>
        <w:rPr>
          <w:rFonts w:ascii="Arial" w:hAnsi="Arial" w:cs="Arial"/>
        </w:rPr>
      </w:pPr>
      <w:r>
        <w:rPr>
          <w:rFonts w:ascii="Arial" w:hAnsi="Arial" w:cs="Arial"/>
        </w:rPr>
        <w:t>This analysis examines transformational, transactional, and servant leadership, all of which are well-known in hotel management.</w:t>
      </w:r>
    </w:p>
    <w:p w14:paraId="1EAAD8E1">
      <w:pPr>
        <w:spacing w:after="0" w:line="360" w:lineRule="auto"/>
        <w:jc w:val="both"/>
        <w:rPr>
          <w:rFonts w:ascii="Arial" w:hAnsi="Arial" w:cs="Arial"/>
        </w:rPr>
      </w:pPr>
      <w:r>
        <w:rPr>
          <w:rFonts w:ascii="Arial" w:hAnsi="Arial" w:cs="Arial"/>
        </w:rPr>
        <w:t>Transformational leadership focusses on inspiring employees to go beyond their usual duties. This method effectively encourages collaboration and innovation, as leaders inspire their teams to aim for shared goals and engage in creative thinking (Zehndorfer, 2020). Transformational leaders are acknowledged for creating a positive and supportive environment, leading to increased job satisfaction and better collaboration, as demonstrated in Avolio and Bass's (2004) research.</w:t>
      </w:r>
    </w:p>
    <w:p w14:paraId="70922748">
      <w:pPr>
        <w:spacing w:after="0" w:line="360" w:lineRule="auto"/>
        <w:jc w:val="both"/>
        <w:rPr>
          <w:rFonts w:ascii="Arial" w:hAnsi="Arial" w:cs="Arial"/>
        </w:rPr>
      </w:pPr>
      <w:r>
        <w:rPr>
          <w:rFonts w:ascii="Arial" w:hAnsi="Arial" w:cs="Arial"/>
        </w:rPr>
        <w:t xml:space="preserve"> </w:t>
      </w:r>
    </w:p>
    <w:p w14:paraId="35896C66">
      <w:pPr>
        <w:spacing w:after="0" w:line="360" w:lineRule="auto"/>
        <w:jc w:val="both"/>
        <w:rPr>
          <w:rFonts w:ascii="Arial" w:hAnsi="Arial" w:cs="Arial"/>
        </w:rPr>
      </w:pPr>
      <w:r>
        <w:rPr>
          <w:rFonts w:ascii="Arial" w:hAnsi="Arial" w:cs="Arial"/>
        </w:rPr>
        <w:t>A study by Wang et al. (2011) conclude that the goal of continuous improvement can occasionally result in employee burnout, particularly in high-pressure hospitality environments where executives may poorly offer support.</w:t>
      </w:r>
    </w:p>
    <w:p w14:paraId="67F9131C">
      <w:pPr>
        <w:spacing w:after="0" w:line="360" w:lineRule="auto"/>
        <w:jc w:val="both"/>
        <w:rPr>
          <w:rFonts w:ascii="Arial" w:hAnsi="Arial" w:cs="Arial"/>
        </w:rPr>
      </w:pPr>
      <w:r>
        <w:rPr>
          <w:rFonts w:ascii="Arial" w:hAnsi="Arial" w:cs="Arial"/>
        </w:rPr>
        <w:t>Transactional leadership is organised around rewards and penalties, maintaining explicit expectations and completing tasks (Tavanti, 2008). According to Hamstra (2014), this approach is effective in the hospitality sector, where repetitive jobs and constant service quality are essential.</w:t>
      </w:r>
    </w:p>
    <w:p w14:paraId="55B14D4C">
      <w:pPr>
        <w:spacing w:after="0" w:line="360" w:lineRule="auto"/>
        <w:jc w:val="both"/>
        <w:rPr>
          <w:rFonts w:ascii="Arial" w:hAnsi="Arial" w:cs="Arial"/>
        </w:rPr>
      </w:pPr>
    </w:p>
    <w:p w14:paraId="16F47F48">
      <w:pPr>
        <w:spacing w:after="0" w:line="360" w:lineRule="auto"/>
        <w:jc w:val="both"/>
        <w:rPr>
          <w:rFonts w:ascii="Arial" w:hAnsi="Arial" w:cs="Arial"/>
        </w:rPr>
      </w:pPr>
      <w:r>
        <w:rPr>
          <w:rFonts w:ascii="Arial" w:hAnsi="Arial" w:cs="Arial"/>
        </w:rPr>
        <w:t xml:space="preserve"> Transactional leadership sustains order and performance objectives by reinforcing distinct roles and duties. Based on Bass and Riggio (2006) study, this method could reduce innovation and long-term employee commitment. Employees might view themselves as unappreciated if their contributions are not recognised exclusively through rewards, potentially resulting in long-term dissatisfaction.</w:t>
      </w:r>
    </w:p>
    <w:p w14:paraId="7276B68F">
      <w:pPr>
        <w:spacing w:after="0" w:line="360" w:lineRule="auto"/>
        <w:jc w:val="both"/>
        <w:rPr>
          <w:rFonts w:ascii="Arial" w:hAnsi="Arial" w:cs="Arial"/>
        </w:rPr>
      </w:pPr>
      <w:r>
        <w:rPr>
          <w:rFonts w:ascii="Arial" w:hAnsi="Arial" w:cs="Arial"/>
        </w:rPr>
        <w:t xml:space="preserve">Servant leadership highlights the leader's responsibility in supporting employees' personal and professional development (Jones, 2018). In the hospitality sector, this can improve employee morale and loyalty since staff consider themselves respected and supported by their management. Servant leadership cultivates team trust and collaboration (Liden et al., 2008). </w:t>
      </w:r>
    </w:p>
    <w:p w14:paraId="6E086162">
      <w:pPr>
        <w:spacing w:after="0" w:line="360" w:lineRule="auto"/>
        <w:jc w:val="both"/>
        <w:rPr>
          <w:rFonts w:ascii="Arial" w:hAnsi="Arial" w:cs="Arial"/>
        </w:rPr>
      </w:pPr>
      <w:r>
        <w:rPr>
          <w:rFonts w:ascii="Arial" w:hAnsi="Arial" w:cs="Arial"/>
        </w:rPr>
        <w:t>A study by Schneider and George (2011) discusses that it may be less effective in high-pressure scenarios where customer satisfaction is employee demand. Combining employee welfare with organisational objectives can be difficult, especially during crises in hotel operations.</w:t>
      </w:r>
    </w:p>
    <w:p w14:paraId="32CED4E3">
      <w:pPr>
        <w:spacing w:after="0" w:line="360" w:lineRule="auto"/>
        <w:jc w:val="both"/>
        <w:rPr>
          <w:rFonts w:ascii="Arial" w:hAnsi="Arial" w:cs="Arial"/>
        </w:rPr>
      </w:pPr>
    </w:p>
    <w:p w14:paraId="6DE67E01">
      <w:pPr>
        <w:spacing w:after="0" w:line="360" w:lineRule="auto"/>
        <w:jc w:val="both"/>
        <w:rPr>
          <w:rFonts w:ascii="Arial" w:hAnsi="Arial" w:cs="Arial"/>
        </w:rPr>
      </w:pPr>
    </w:p>
    <w:p w14:paraId="4CD812FB">
      <w:pPr>
        <w:spacing w:after="0" w:line="360" w:lineRule="auto"/>
        <w:jc w:val="both"/>
        <w:rPr>
          <w:rFonts w:ascii="Arial" w:hAnsi="Arial" w:cs="Arial"/>
        </w:rPr>
      </w:pPr>
      <w:r>
        <w:rPr>
          <w:rFonts w:ascii="Arial" w:hAnsi="Arial" w:cs="Arial"/>
        </w:rPr>
        <w:t>Every leadership style possesses distinct advantages and disadvantages within the hospitality sector. Transformational leadership fosters innovation and morale but poses a danger of burnout; transactional leadership ensures consistency but restricts involvement; and servant leadership improves morale but can fail under pressure. Effective hospitality leaders must adapt their approach to their teams' requirements and the circumstances' exigencies.</w:t>
      </w:r>
    </w:p>
    <w:p w14:paraId="0307D07D">
      <w:pPr>
        <w:spacing w:after="0" w:line="360" w:lineRule="auto"/>
        <w:jc w:val="both"/>
        <w:rPr>
          <w:rFonts w:ascii="Arial" w:hAnsi="Arial" w:cs="Arial"/>
        </w:rPr>
      </w:pPr>
    </w:p>
    <w:p w14:paraId="7DA23ABE">
      <w:pPr>
        <w:spacing w:after="0" w:line="360" w:lineRule="auto"/>
        <w:jc w:val="both"/>
        <w:rPr>
          <w:rFonts w:ascii="Arial" w:hAnsi="Arial" w:cs="Arial"/>
        </w:rPr>
      </w:pPr>
      <w:r>
        <w:rPr>
          <w:rFonts w:ascii="Arial" w:hAnsi="Arial" w:cs="Arial"/>
        </w:rPr>
        <w:t>Leadership styles greatly influence the efficacy of hotel management, affecting staff performance and guest happiness. This analysis examines several leadership styles in practical contexts, utilising examples from notable hotel businesses that have successfully implemented transformational, transactional, and servant leadership.</w:t>
      </w:r>
    </w:p>
    <w:p w14:paraId="05DE6A2F">
      <w:pPr>
        <w:spacing w:after="0" w:line="360" w:lineRule="auto"/>
        <w:jc w:val="both"/>
        <w:rPr>
          <w:rFonts w:ascii="Arial" w:hAnsi="Arial" w:cs="Arial"/>
        </w:rPr>
      </w:pPr>
      <w:r>
        <w:rPr>
          <w:rFonts w:ascii="Arial" w:hAnsi="Arial" w:cs="Arial"/>
        </w:rPr>
        <w:t>Marriott International is known for its focus on transformative leadership. The organisation develops a culture of employee empowerment and creativity, encouraging employees to take initiative and develop innovative ways to improve guest experiences. Marriott's leadership emphasises inspiring people to achieve higher performance standards by connecting individual and organisational objectives (Enz and Siguaw, 2003). This has resulted in a committed staff demonstrating higher job satisfaction and reduced turnover rates compared to competitor benchmarks.</w:t>
      </w:r>
    </w:p>
    <w:p w14:paraId="7DFBC21C">
      <w:pPr>
        <w:spacing w:after="0" w:line="360" w:lineRule="auto"/>
        <w:jc w:val="both"/>
        <w:rPr>
          <w:rFonts w:ascii="Arial" w:hAnsi="Arial" w:cs="Arial"/>
        </w:rPr>
      </w:pPr>
    </w:p>
    <w:p w14:paraId="7F54306C">
      <w:pPr>
        <w:spacing w:after="0" w:line="360" w:lineRule="auto"/>
        <w:jc w:val="both"/>
        <w:rPr>
          <w:rFonts w:ascii="Arial" w:hAnsi="Arial" w:cs="Arial"/>
        </w:rPr>
      </w:pPr>
      <w:r>
        <w:rPr>
          <w:rFonts w:ascii="Arial" w:hAnsi="Arial" w:cs="Arial"/>
        </w:rPr>
        <w:t>Marriott's "TakeCare" program, which promotes employee well-being, exemplifies how transformational leadership generates a sense of purpose among employees, increasing morale and productivity. Jaderi and Abushaqdam (2023) research indicates that this leadership style improves service quality since employees are motivated to deliver outstanding guest experiences.  Like many large organisations, the issue of transformative leadership at Marriott is related to preventing inspiration from resulting in burnout, particularly in high-pressure roles.</w:t>
      </w:r>
    </w:p>
    <w:p w14:paraId="31DA95CE">
      <w:pPr>
        <w:spacing w:after="0" w:line="360" w:lineRule="auto"/>
        <w:jc w:val="both"/>
        <w:rPr>
          <w:rFonts w:ascii="Arial" w:hAnsi="Arial" w:cs="Arial"/>
        </w:rPr>
      </w:pPr>
      <w:r>
        <w:rPr>
          <w:rFonts w:ascii="Arial" w:hAnsi="Arial" w:cs="Arial"/>
        </w:rPr>
        <w:t xml:space="preserve">Transactional leadership is extensively implemented in Hilton Hotels, especially in operational positions where consistency and compliance with standards are essential. Hilton's executives employ a systematic methodology that prioritises task fulfilment and performance-oriented compensation. </w:t>
      </w:r>
    </w:p>
    <w:p w14:paraId="3AFB5419">
      <w:pPr>
        <w:spacing w:after="0" w:line="360" w:lineRule="auto"/>
        <w:jc w:val="both"/>
        <w:rPr>
          <w:rFonts w:ascii="Arial" w:hAnsi="Arial" w:cs="Arial"/>
        </w:rPr>
      </w:pPr>
      <w:r>
        <w:rPr>
          <w:rFonts w:ascii="Arial" w:hAnsi="Arial" w:cs="Arial"/>
        </w:rPr>
        <w:t>For example, frontline personnel are frequently motivated by bonuses or recognition based on visitor satisfaction ratings or efficiency measurements. In this context, transactional leadership guarantees that staff concentrate on achieving daily operational objectives, which is crucial for sustaining service consistency across a global brand (Patiar and Mia, 2009).</w:t>
      </w:r>
    </w:p>
    <w:p w14:paraId="313445E6">
      <w:pPr>
        <w:spacing w:after="0" w:line="360" w:lineRule="auto"/>
        <w:jc w:val="both"/>
        <w:rPr>
          <w:rFonts w:ascii="Arial" w:hAnsi="Arial" w:cs="Arial"/>
        </w:rPr>
      </w:pPr>
    </w:p>
    <w:p w14:paraId="1AD98FEE">
      <w:pPr>
        <w:spacing w:after="0" w:line="360" w:lineRule="auto"/>
        <w:jc w:val="both"/>
        <w:rPr>
          <w:rFonts w:ascii="Arial" w:hAnsi="Arial" w:cs="Arial"/>
        </w:rPr>
      </w:pPr>
      <w:r>
        <w:rPr>
          <w:rFonts w:ascii="Arial" w:hAnsi="Arial" w:cs="Arial"/>
        </w:rPr>
        <w:t>A case study by Chu and King (2019) shows that Hilton's transactional approach is particularly effective in departments such as housekeeping and food and beverage, where clearly defined duties and anticipated outputs are crucial for quality assurance.  Although this approach guarantees operational efficiency, it faces limitations in promoting employee innovation or engagement. Employees might think of their efforts as appreciated only through monetary compensation, decreasing their motivation over time.</w:t>
      </w:r>
    </w:p>
    <w:p w14:paraId="6E4B3FE8">
      <w:pPr>
        <w:spacing w:after="0" w:line="360" w:lineRule="auto"/>
        <w:jc w:val="both"/>
        <w:rPr>
          <w:rFonts w:ascii="Arial" w:hAnsi="Arial" w:cs="Arial"/>
        </w:rPr>
      </w:pPr>
    </w:p>
    <w:p w14:paraId="5CC92E36">
      <w:pPr>
        <w:spacing w:after="0" w:line="360" w:lineRule="auto"/>
        <w:jc w:val="both"/>
        <w:rPr>
          <w:rFonts w:ascii="Arial" w:hAnsi="Arial" w:cs="Arial"/>
        </w:rPr>
      </w:pPr>
      <w:r>
        <w:rPr>
          <w:rFonts w:ascii="Arial" w:hAnsi="Arial" w:cs="Arial"/>
        </w:rPr>
        <w:t>The Ritz-Carlton exemplifies the successful implementation of servant leadership within the hospitality sector. The company's motto, "We are Ladies and Gentlemen serving Ladies and Gentlemen," underscores that executives exist to serve both customers and staff. This leadership approach prioritises employee growth and well-being, increasing employee satisfaction and retention (Sendjaya, 2010).</w:t>
      </w:r>
    </w:p>
    <w:p w14:paraId="029CBF51">
      <w:pPr>
        <w:spacing w:after="0" w:line="360" w:lineRule="auto"/>
        <w:jc w:val="both"/>
        <w:rPr>
          <w:rFonts w:ascii="Arial" w:hAnsi="Arial" w:cs="Arial"/>
        </w:rPr>
      </w:pPr>
      <w:r>
        <w:rPr>
          <w:rFonts w:ascii="Arial" w:hAnsi="Arial" w:cs="Arial"/>
        </w:rPr>
        <w:t>The Ritz-Carlton’s leadership model enables staff to make decisions independently, particularly in guest interactions, creating a more responsive and personalised service experience. For instance, if a guest has unmet requirements, any staff member can allocate up to $2,000 to address the concern without managerial consent (CTS, 2023). This kind of trust elevates employee morale and improves consumer pleasure.</w:t>
      </w:r>
    </w:p>
    <w:p w14:paraId="5197B44B">
      <w:pPr>
        <w:spacing w:after="0" w:line="360" w:lineRule="auto"/>
        <w:jc w:val="both"/>
        <w:rPr>
          <w:rFonts w:ascii="Arial" w:hAnsi="Arial" w:cs="Arial"/>
        </w:rPr>
      </w:pPr>
    </w:p>
    <w:p w14:paraId="2FC91BF6">
      <w:pPr>
        <w:spacing w:after="0" w:line="360" w:lineRule="auto"/>
        <w:jc w:val="both"/>
        <w:rPr>
          <w:rFonts w:ascii="Arial" w:hAnsi="Arial" w:cs="Arial"/>
        </w:rPr>
      </w:pPr>
      <w:r>
        <w:rPr>
          <w:rFonts w:ascii="Arial" w:hAnsi="Arial" w:cs="Arial"/>
        </w:rPr>
        <w:t>Transformational, transactional, and servant leadership have advantages in hotel management based on organisational aims and departmental needs. Transformational leadership at Marriott promotes innovation, transactional leadership at Hilton streamlines operations, and servant leadership at Ritz-Carlton boosts employee and guest pleasure. By addressing team chemistry and service expectations, each style helps hotels succeed.</w:t>
      </w:r>
    </w:p>
    <w:p w14:paraId="075B4183">
      <w:pPr>
        <w:spacing w:after="0" w:line="360" w:lineRule="auto"/>
        <w:jc w:val="both"/>
        <w:rPr>
          <w:rFonts w:ascii="Arial" w:hAnsi="Arial" w:cs="Arial"/>
        </w:rPr>
      </w:pPr>
      <w:r>
        <w:rPr>
          <w:rFonts w:ascii="Arial" w:hAnsi="Arial" w:cs="Arial"/>
        </w:rPr>
        <w:t>Hotel management team performance and morale depend on leadership approaches. Transformational, transactional, and servant leadership have pros and cons depending on the situation.</w:t>
      </w:r>
    </w:p>
    <w:p w14:paraId="2FE79D3B">
      <w:pPr>
        <w:spacing w:after="0" w:line="360" w:lineRule="auto"/>
        <w:jc w:val="both"/>
        <w:rPr>
          <w:rFonts w:ascii="Arial" w:hAnsi="Arial" w:cs="Arial"/>
        </w:rPr>
      </w:pPr>
      <w:r>
        <w:rPr>
          <w:rFonts w:ascii="Arial" w:hAnsi="Arial" w:cs="Arial"/>
        </w:rPr>
        <w:t xml:space="preserve">Transformational leadership inspires collaboration and a shared vision, improving team performance. It has increased creativity and engagement at Marriott International, developing service quality and reducing turnover (Jaderi and Abushaqdam, 2023). </w:t>
      </w:r>
    </w:p>
    <w:p w14:paraId="481602EF">
      <w:pPr>
        <w:spacing w:after="0" w:line="360" w:lineRule="auto"/>
        <w:jc w:val="both"/>
        <w:rPr>
          <w:rFonts w:ascii="Arial" w:hAnsi="Arial" w:cs="Arial"/>
        </w:rPr>
      </w:pPr>
      <w:r>
        <w:rPr>
          <w:rFonts w:ascii="Arial" w:hAnsi="Arial" w:cs="Arial"/>
        </w:rPr>
        <w:t>Transformational leadership improves morale and performance by matching employee and organisational goals.</w:t>
      </w:r>
    </w:p>
    <w:p w14:paraId="6A9BD63A">
      <w:pPr>
        <w:spacing w:after="0" w:line="360" w:lineRule="auto"/>
        <w:jc w:val="both"/>
        <w:rPr>
          <w:rFonts w:ascii="Arial" w:hAnsi="Arial" w:cs="Arial"/>
        </w:rPr>
      </w:pPr>
    </w:p>
    <w:p w14:paraId="3CC2B2F7">
      <w:pPr>
        <w:spacing w:after="0" w:line="360" w:lineRule="auto"/>
        <w:jc w:val="both"/>
        <w:rPr>
          <w:rFonts w:ascii="Arial" w:hAnsi="Arial" w:cs="Arial"/>
        </w:rPr>
      </w:pPr>
      <w:r>
        <w:rPr>
          <w:rFonts w:ascii="Arial" w:hAnsi="Arial" w:cs="Arial"/>
        </w:rPr>
        <w:t>A constant search for improvement may result in burnout, particularly in high-pressure settings such as hotels (Wang et al., 2011). As it promotes creativity, transformational leadership may become stressful if employees see constant pressure of exceeding expectations without sufficient support.</w:t>
      </w:r>
    </w:p>
    <w:p w14:paraId="75970E9E">
      <w:pPr>
        <w:spacing w:after="0" w:line="360" w:lineRule="auto"/>
        <w:jc w:val="both"/>
        <w:rPr>
          <w:rFonts w:ascii="Arial" w:hAnsi="Arial" w:cs="Arial"/>
        </w:rPr>
      </w:pPr>
      <w:r>
        <w:rPr>
          <w:rFonts w:ascii="Arial" w:hAnsi="Arial" w:cs="Arial"/>
        </w:rPr>
        <w:t xml:space="preserve">Transactional leadership, shown by Hilton Hotels, is excellent in sustaining consistency and operational efficiency. This approach delineates expectations and stimulates work completion, ensuring that teams concentrate on daily performance objectives (Marriott &amp; Patiar, 2012). In structured positions such as housekeeping, transactional leadership improves productivity and quality confidence </w:t>
      </w:r>
      <w:r>
        <w:rPr>
          <w:rFonts w:ascii="Arial" w:hAnsi="Arial" w:cs="Arial"/>
        </w:rPr>
        <w:br w:type="textWrapping"/>
      </w:r>
    </w:p>
    <w:p w14:paraId="51D90C32">
      <w:pPr>
        <w:spacing w:after="0" w:line="360" w:lineRule="auto"/>
        <w:jc w:val="both"/>
        <w:rPr>
          <w:rFonts w:ascii="Arial" w:hAnsi="Arial" w:cs="Arial"/>
        </w:rPr>
      </w:pPr>
      <w:r>
        <w:rPr>
          <w:rFonts w:ascii="Arial" w:hAnsi="Arial" w:cs="Arial"/>
        </w:rPr>
        <w:t xml:space="preserve">This approach could affect long-term staff morale. Due to the focus on external rewards, individuals may perceive themselves as devalued if their contributions beyond standard tasks are not recognised, potentially resulting in disengagement (Bass &amp; Riggio, 2006). Transactional leadership is effective for short-term efficiency but fails to foster innovation and long-term job happiness. </w:t>
      </w:r>
    </w:p>
    <w:p w14:paraId="31FB1ED4">
      <w:pPr>
        <w:spacing w:after="0" w:line="360" w:lineRule="auto"/>
        <w:jc w:val="both"/>
        <w:rPr>
          <w:rFonts w:ascii="Arial" w:hAnsi="Arial" w:cs="Arial"/>
        </w:rPr>
      </w:pPr>
      <w:r>
        <w:rPr>
          <w:rFonts w:ascii="Arial" w:hAnsi="Arial" w:cs="Arial"/>
        </w:rPr>
        <w:t xml:space="preserve">Ritz-Carlton exemplifies servant leadership by prioritising employee growth and well-being and enhancing employee morale. This approach fosters trust and engagement by enabling workers to make independent decisions, enhancing team effectiveness and visitor satisfaction (Eva et al., 2019). </w:t>
      </w:r>
      <w:r>
        <w:rPr>
          <w:rFonts w:ascii="Arial" w:hAnsi="Arial" w:cs="Arial"/>
        </w:rPr>
        <w:br w:type="textWrapping"/>
      </w:r>
      <w:r>
        <w:rPr>
          <w:rFonts w:ascii="Arial" w:hAnsi="Arial" w:cs="Arial"/>
        </w:rPr>
        <w:t xml:space="preserve">Even so, servant leadership may encounter difficulties in high-pressure settings where rapid decision-making is essential. </w:t>
      </w:r>
    </w:p>
    <w:p w14:paraId="4FD74F4F">
      <w:pPr>
        <w:spacing w:after="0" w:line="360" w:lineRule="auto"/>
        <w:jc w:val="both"/>
        <w:rPr>
          <w:rFonts w:ascii="Arial" w:hAnsi="Arial" w:cs="Arial"/>
        </w:rPr>
      </w:pPr>
      <w:r>
        <w:rPr>
          <w:rFonts w:ascii="Arial" w:hAnsi="Arial" w:cs="Arial"/>
        </w:rPr>
        <w:t>Integrating staff requirements with organisational objectives can be difficult, especially in dynamic hotel environments (Schneider &amp; George, 2019). Although it improves morale, servant leadership can affect rapid decision-making in crises.</w:t>
      </w:r>
    </w:p>
    <w:p w14:paraId="31B33A90">
      <w:pPr>
        <w:spacing w:after="0" w:line="360" w:lineRule="auto"/>
        <w:jc w:val="both"/>
        <w:rPr>
          <w:rFonts w:ascii="Arial" w:hAnsi="Arial" w:cs="Arial"/>
        </w:rPr>
      </w:pPr>
    </w:p>
    <w:p w14:paraId="5DDA2579">
      <w:pPr>
        <w:spacing w:line="360" w:lineRule="auto"/>
        <w:jc w:val="both"/>
        <w:rPr>
          <w:rFonts w:ascii="Arial" w:hAnsi="Arial" w:cs="Arial"/>
        </w:rPr>
      </w:pPr>
      <w:r>
        <w:rPr>
          <w:rFonts w:ascii="Arial" w:hAnsi="Arial" w:cs="Arial"/>
        </w:rPr>
        <w:t xml:space="preserve">Transactional leadership, which maintains consistency but lowers morale, transformational leadership fosters creativity but runs the risk of burnout. Servant leadership, on the other hand, engages followers but slows down decision-making. One of the requirements for successful hotel management is the ability to adapt leadership styles to the specific contexts of teams and operations. </w:t>
      </w:r>
      <w:r>
        <w:rPr>
          <w:rFonts w:ascii="Arial" w:hAnsi="Arial" w:cs="Arial"/>
        </w:rPr>
        <w:br w:type="textWrapping"/>
      </w:r>
    </w:p>
    <w:p w14:paraId="73CCC141">
      <w:pPr>
        <w:spacing w:line="360" w:lineRule="auto"/>
        <w:jc w:val="both"/>
        <w:rPr>
          <w:rFonts w:ascii="Arial" w:hAnsi="Arial" w:cs="Arial"/>
        </w:rPr>
      </w:pPr>
      <w:r>
        <w:rPr>
          <w:rFonts w:ascii="Arial" w:hAnsi="Arial" w:cs="Arial"/>
        </w:rPr>
        <w:t xml:space="preserve">The leadership styles of hotel management have an impact on both the morale and the teamwork of employees. If it is not managed properly, transformational leadership can result in burnout because it promotes innovation and cooperation, which in turn increases engagement and long-term growth. Because it ensures operational consistency and conformity to norms, transactional leadership is particularly useful in day-to-day roles; however, it has the potential to restrict creativity and intrinsic motivation over time. Employees' morale is boosted and they are given more autonomy through Ritz-Carlton's servant leadership, but it may not be effective in workplaces that are fast-paced and involve decision-making. </w:t>
      </w:r>
      <w:r>
        <w:rPr>
          <w:rFonts w:ascii="Arial" w:hAnsi="Arial" w:cs="Arial"/>
        </w:rPr>
        <w:br w:type="textWrapping"/>
      </w:r>
    </w:p>
    <w:p w14:paraId="2D612727">
      <w:pPr>
        <w:spacing w:line="360" w:lineRule="auto"/>
        <w:jc w:val="both"/>
        <w:rPr>
          <w:rFonts w:ascii="Arial" w:hAnsi="Arial" w:cs="Arial"/>
        </w:rPr>
      </w:pPr>
      <w:bookmarkStart w:id="0" w:name="_GoBack"/>
      <w:bookmarkEnd w:id="0"/>
      <w:r>
        <w:rPr>
          <w:rFonts w:ascii="Arial" w:hAnsi="Arial" w:cs="Arial"/>
        </w:rPr>
        <w:t xml:space="preserve">The most important discovery is that there is no one leadership style that is effective everywhere. The best executives in the hospitality industry are able to adjust to the circumstances and requirements of their staff. In most cases, a leadership strategy that is well-balanced, situational, and is a combination of transformational, transactional, and servant leadership will result in successful operations and satisfied employees. To motivate employees and provide excellent experiences for guests in the hospitality industry, which is highly competitive, it is essential to have leadership that is flexible. </w:t>
      </w:r>
    </w:p>
    <w:p w14:paraId="7E02CC4F">
      <w:pPr>
        <w:spacing w:line="360" w:lineRule="auto"/>
        <w:jc w:val="both"/>
        <w:rPr>
          <w:rFonts w:ascii="Arial" w:hAnsi="Arial" w:cs="Arial"/>
        </w:rPr>
      </w:pPr>
    </w:p>
    <w:p w14:paraId="4B582F73">
      <w:pPr>
        <w:spacing w:line="360" w:lineRule="auto"/>
        <w:jc w:val="both"/>
        <w:rPr>
          <w:rFonts w:ascii="Arial" w:hAnsi="Arial" w:cs="Arial"/>
        </w:rPr>
      </w:pPr>
    </w:p>
    <w:p w14:paraId="464FBE8E">
      <w:pPr>
        <w:spacing w:line="360" w:lineRule="auto"/>
        <w:jc w:val="both"/>
        <w:rPr>
          <w:rFonts w:ascii="Arial" w:hAnsi="Arial" w:cs="Arial"/>
        </w:rPr>
      </w:pPr>
    </w:p>
    <w:p w14:paraId="3DC625F9">
      <w:pPr>
        <w:spacing w:line="360" w:lineRule="auto"/>
        <w:jc w:val="both"/>
        <w:rPr>
          <w:rFonts w:ascii="Arial" w:hAnsi="Arial" w:cs="Arial"/>
          <w:b/>
          <w:bCs/>
        </w:rPr>
      </w:pPr>
      <w:r>
        <w:rPr>
          <w:rFonts w:ascii="Arial" w:hAnsi="Arial" w:cs="Arial"/>
          <w:b/>
          <w:bCs/>
        </w:rPr>
        <w:t>References</w:t>
      </w:r>
    </w:p>
    <w:p w14:paraId="2836F125">
      <w:pPr>
        <w:numPr>
          <w:ilvl w:val="0"/>
          <w:numId w:val="1"/>
        </w:numPr>
        <w:spacing w:line="360" w:lineRule="auto"/>
        <w:jc w:val="both"/>
        <w:rPr>
          <w:rFonts w:ascii="Arial" w:hAnsi="Arial" w:cs="Arial"/>
        </w:rPr>
      </w:pPr>
      <w:r>
        <w:rPr>
          <w:rFonts w:ascii="Arial" w:hAnsi="Arial" w:cs="Arial"/>
        </w:rPr>
        <w:t xml:space="preserve">Avolio, B.J. &amp; Bass, B.M., 2004. </w:t>
      </w:r>
      <w:r>
        <w:rPr>
          <w:rFonts w:ascii="Arial" w:hAnsi="Arial" w:cs="Arial"/>
          <w:i/>
          <w:iCs/>
        </w:rPr>
        <w:t>Multifactor leadership questionnaire: Manual and sampler set</w:t>
      </w:r>
      <w:r>
        <w:rPr>
          <w:rFonts w:ascii="Arial" w:hAnsi="Arial" w:cs="Arial"/>
        </w:rPr>
        <w:t>. Mind Garden.</w:t>
      </w:r>
      <w:r>
        <w:rPr>
          <w:rFonts w:ascii="Arial" w:hAnsi="Arial" w:cs="Arial"/>
        </w:rPr>
        <w:br w:type="textWrapping"/>
      </w:r>
      <w:r>
        <w:rPr>
          <w:rFonts w:ascii="Arial" w:hAnsi="Arial" w:cs="Arial"/>
        </w:rPr>
        <w:t xml:space="preserve">Available at: </w:t>
      </w:r>
      <w:r>
        <w:fldChar w:fldCharType="begin"/>
      </w:r>
      <w:r>
        <w:instrText xml:space="preserve"> HYPERLINK "https://www.mindgarden.com/16-multifactor-leadership-questionnaire" </w:instrText>
      </w:r>
      <w:r>
        <w:fldChar w:fldCharType="separate"/>
      </w:r>
      <w:r>
        <w:rPr>
          <w:rStyle w:val="4"/>
          <w:rFonts w:ascii="Arial" w:hAnsi="Arial" w:cs="Arial"/>
        </w:rPr>
        <w:t>https://www.mindgarden.com/16-multifactor-leadership-questionnaire</w:t>
      </w:r>
      <w:r>
        <w:rPr>
          <w:rStyle w:val="4"/>
          <w:rFonts w:ascii="Arial" w:hAnsi="Arial" w:cs="Arial"/>
        </w:rPr>
        <w:fldChar w:fldCharType="end"/>
      </w:r>
      <w:r>
        <w:rPr>
          <w:rFonts w:ascii="Arial" w:hAnsi="Arial" w:cs="Arial"/>
        </w:rPr>
        <w:t xml:space="preserve"> </w:t>
      </w:r>
    </w:p>
    <w:p w14:paraId="59F3D1BD">
      <w:pPr>
        <w:numPr>
          <w:ilvl w:val="0"/>
          <w:numId w:val="1"/>
        </w:numPr>
        <w:spacing w:line="360" w:lineRule="auto"/>
        <w:jc w:val="both"/>
        <w:rPr>
          <w:rFonts w:ascii="Arial" w:hAnsi="Arial" w:cs="Arial"/>
        </w:rPr>
      </w:pPr>
      <w:r>
        <w:rPr>
          <w:rFonts w:ascii="Arial" w:hAnsi="Arial" w:cs="Arial"/>
        </w:rPr>
        <w:t>Bass, B.M. and Riggio, R.E., 2006. </w:t>
      </w:r>
      <w:r>
        <w:rPr>
          <w:rFonts w:ascii="Arial" w:hAnsi="Arial" w:cs="Arial"/>
          <w:i/>
          <w:iCs/>
        </w:rPr>
        <w:t>Transformational leadership</w:t>
      </w:r>
      <w:r>
        <w:rPr>
          <w:rFonts w:ascii="Arial" w:hAnsi="Arial" w:cs="Arial"/>
        </w:rPr>
        <w:t xml:space="preserve">. Psychology press. </w:t>
      </w:r>
      <w:r>
        <w:fldChar w:fldCharType="begin"/>
      </w:r>
      <w:r>
        <w:instrText xml:space="preserve"> HYPERLINK "http://edl.emi.gov.et/jspui/bitstream/123456789/569/1/transformational%20leadership.pdf" </w:instrText>
      </w:r>
      <w:r>
        <w:fldChar w:fldCharType="separate"/>
      </w:r>
      <w:r>
        <w:rPr>
          <w:rStyle w:val="4"/>
          <w:rFonts w:ascii="Arial" w:hAnsi="Arial" w:cs="Arial"/>
        </w:rPr>
        <w:t>http://edl.emi.gov.et</w:t>
      </w:r>
      <w:r>
        <w:rPr>
          <w:rStyle w:val="4"/>
          <w:rFonts w:ascii="Arial" w:hAnsi="Arial" w:cs="Arial"/>
        </w:rPr>
        <w:fldChar w:fldCharType="end"/>
      </w:r>
      <w:r>
        <w:rPr>
          <w:rFonts w:ascii="Arial" w:hAnsi="Arial" w:cs="Arial"/>
        </w:rPr>
        <w:t xml:space="preserve">  </w:t>
      </w:r>
    </w:p>
    <w:p w14:paraId="65662923">
      <w:pPr>
        <w:numPr>
          <w:ilvl w:val="0"/>
          <w:numId w:val="1"/>
        </w:numPr>
        <w:spacing w:line="360" w:lineRule="auto"/>
        <w:jc w:val="both"/>
        <w:rPr>
          <w:rFonts w:ascii="Arial" w:hAnsi="Arial" w:cs="Arial"/>
        </w:rPr>
      </w:pPr>
      <w:r>
        <w:rPr>
          <w:rFonts w:ascii="Arial" w:hAnsi="Arial" w:cs="Arial"/>
        </w:rPr>
        <w:t>Zehndorfer, E., 2020. </w:t>
      </w:r>
      <w:r>
        <w:rPr>
          <w:rFonts w:ascii="Arial" w:hAnsi="Arial" w:cs="Arial"/>
          <w:i/>
          <w:iCs/>
        </w:rPr>
        <w:t>Leadership: Performance beyond expectations</w:t>
      </w:r>
      <w:r>
        <w:rPr>
          <w:rFonts w:ascii="Arial" w:hAnsi="Arial" w:cs="Arial"/>
        </w:rPr>
        <w:t xml:space="preserve">. Routledge. </w:t>
      </w:r>
      <w:r>
        <w:fldChar w:fldCharType="begin"/>
      </w:r>
      <w:r>
        <w:instrText xml:space="preserve"> HYPERLINK "https://doi.org/10.4324/9781003011507" </w:instrText>
      </w:r>
      <w:r>
        <w:fldChar w:fldCharType="separate"/>
      </w:r>
      <w:r>
        <w:rPr>
          <w:rStyle w:val="4"/>
          <w:rFonts w:ascii="Arial" w:hAnsi="Arial" w:cs="Arial"/>
        </w:rPr>
        <w:t>https://doi.org/10.4324/9781003011507</w:t>
      </w:r>
      <w:r>
        <w:rPr>
          <w:rStyle w:val="4"/>
          <w:rFonts w:ascii="Arial" w:hAnsi="Arial" w:cs="Arial"/>
        </w:rPr>
        <w:fldChar w:fldCharType="end"/>
      </w:r>
      <w:r>
        <w:rPr>
          <w:rFonts w:ascii="Arial" w:hAnsi="Arial" w:cs="Arial"/>
        </w:rPr>
        <w:t xml:space="preserve">  </w:t>
      </w:r>
    </w:p>
    <w:p w14:paraId="777A9746">
      <w:pPr>
        <w:numPr>
          <w:ilvl w:val="0"/>
          <w:numId w:val="1"/>
        </w:numPr>
        <w:spacing w:line="360" w:lineRule="auto"/>
        <w:jc w:val="both"/>
        <w:rPr>
          <w:rFonts w:ascii="Arial" w:hAnsi="Arial" w:cs="Arial"/>
        </w:rPr>
      </w:pPr>
      <w:r>
        <w:rPr>
          <w:rFonts w:ascii="Arial" w:hAnsi="Arial" w:cs="Arial"/>
        </w:rPr>
        <w:t>Kanji, G.K. and e Sá, P.M., 2001. Measuring leadership excellence. </w:t>
      </w:r>
      <w:r>
        <w:rPr>
          <w:rFonts w:ascii="Arial" w:hAnsi="Arial" w:cs="Arial"/>
          <w:i/>
          <w:iCs/>
        </w:rPr>
        <w:t>Total Quality Management</w:t>
      </w:r>
      <w:r>
        <w:rPr>
          <w:rFonts w:ascii="Arial" w:hAnsi="Arial" w:cs="Arial"/>
        </w:rPr>
        <w:t>, </w:t>
      </w:r>
      <w:r>
        <w:rPr>
          <w:rFonts w:ascii="Arial" w:hAnsi="Arial" w:cs="Arial"/>
          <w:i/>
          <w:iCs/>
        </w:rPr>
        <w:t>12</w:t>
      </w:r>
      <w:r>
        <w:rPr>
          <w:rFonts w:ascii="Arial" w:hAnsi="Arial" w:cs="Arial"/>
        </w:rPr>
        <w:t xml:space="preserve">(6), pp.701-718. </w:t>
      </w:r>
      <w:r>
        <w:fldChar w:fldCharType="begin"/>
      </w:r>
      <w:r>
        <w:instrText xml:space="preserve"> HYPERLINK "https://doi.org/10.1080/09544120120075325" </w:instrText>
      </w:r>
      <w:r>
        <w:fldChar w:fldCharType="separate"/>
      </w:r>
      <w:r>
        <w:rPr>
          <w:rStyle w:val="4"/>
          <w:rFonts w:ascii="Arial" w:hAnsi="Arial" w:cs="Arial"/>
        </w:rPr>
        <w:t>https://doi.org/10.1080/09544120120075325</w:t>
      </w:r>
      <w:r>
        <w:rPr>
          <w:rStyle w:val="4"/>
          <w:rFonts w:ascii="Arial" w:hAnsi="Arial" w:cs="Arial"/>
        </w:rPr>
        <w:fldChar w:fldCharType="end"/>
      </w:r>
      <w:r>
        <w:rPr>
          <w:rFonts w:ascii="Arial" w:hAnsi="Arial" w:cs="Arial"/>
        </w:rPr>
        <w:t xml:space="preserve"> </w:t>
      </w:r>
    </w:p>
    <w:p w14:paraId="4655FC84">
      <w:pPr>
        <w:numPr>
          <w:ilvl w:val="0"/>
          <w:numId w:val="1"/>
        </w:numPr>
        <w:spacing w:line="360" w:lineRule="auto"/>
        <w:jc w:val="both"/>
        <w:rPr>
          <w:rFonts w:ascii="Arial" w:hAnsi="Arial" w:cs="Arial"/>
        </w:rPr>
      </w:pPr>
      <w:r>
        <w:rPr>
          <w:rFonts w:ascii="Arial" w:hAnsi="Arial" w:cs="Arial"/>
        </w:rPr>
        <w:t>Tavanti, M., 2008. Transactional leadership. </w:t>
      </w:r>
      <w:r>
        <w:rPr>
          <w:rFonts w:ascii="Arial" w:hAnsi="Arial" w:cs="Arial"/>
          <w:i/>
          <w:iCs/>
        </w:rPr>
        <w:t>Leadership: The key concepts</w:t>
      </w:r>
      <w:r>
        <w:rPr>
          <w:rFonts w:ascii="Arial" w:hAnsi="Arial" w:cs="Arial"/>
        </w:rPr>
        <w:t xml:space="preserve">, pp.166-170. </w:t>
      </w:r>
      <w:r>
        <w:fldChar w:fldCharType="begin"/>
      </w:r>
      <w:r>
        <w:instrText xml:space="preserve"> HYPERLINK "https://www.academia.edu/download/32231105/2008_Transactional_Leadership.pdf" </w:instrText>
      </w:r>
      <w:r>
        <w:fldChar w:fldCharType="separate"/>
      </w:r>
      <w:r>
        <w:rPr>
          <w:rStyle w:val="4"/>
          <w:rFonts w:ascii="Arial" w:hAnsi="Arial" w:cs="Arial"/>
        </w:rPr>
        <w:t>https://www.academia.edu</w:t>
      </w:r>
      <w:r>
        <w:rPr>
          <w:rStyle w:val="4"/>
          <w:rFonts w:ascii="Arial" w:hAnsi="Arial" w:cs="Arial"/>
        </w:rPr>
        <w:fldChar w:fldCharType="end"/>
      </w:r>
      <w:r>
        <w:rPr>
          <w:rFonts w:ascii="Arial" w:hAnsi="Arial" w:cs="Arial"/>
        </w:rPr>
        <w:t xml:space="preserve">  </w:t>
      </w:r>
    </w:p>
    <w:p w14:paraId="1AF0B6A7">
      <w:pPr>
        <w:numPr>
          <w:ilvl w:val="0"/>
          <w:numId w:val="1"/>
        </w:numPr>
        <w:spacing w:line="360" w:lineRule="auto"/>
        <w:jc w:val="both"/>
        <w:rPr>
          <w:rFonts w:ascii="Arial" w:hAnsi="Arial" w:cs="Arial"/>
        </w:rPr>
      </w:pPr>
      <w:r>
        <w:rPr>
          <w:rFonts w:ascii="Arial" w:hAnsi="Arial" w:cs="Arial"/>
        </w:rPr>
        <w:t>Shao, Z., Feng, Y. and Hu, Q., 2016. Effectiveness of top management support in enterprise systems success: a contingency perspective of fit between leadership style and system life-cycle. </w:t>
      </w:r>
      <w:r>
        <w:rPr>
          <w:rFonts w:ascii="Arial" w:hAnsi="Arial" w:cs="Arial"/>
          <w:i/>
          <w:iCs/>
        </w:rPr>
        <w:t>European Journal of Information Systems</w:t>
      </w:r>
      <w:r>
        <w:rPr>
          <w:rFonts w:ascii="Arial" w:hAnsi="Arial" w:cs="Arial"/>
        </w:rPr>
        <w:t>, </w:t>
      </w:r>
      <w:r>
        <w:rPr>
          <w:rFonts w:ascii="Arial" w:hAnsi="Arial" w:cs="Arial"/>
          <w:i/>
          <w:iCs/>
        </w:rPr>
        <w:t>25</w:t>
      </w:r>
      <w:r>
        <w:rPr>
          <w:rFonts w:ascii="Arial" w:hAnsi="Arial" w:cs="Arial"/>
        </w:rPr>
        <w:t xml:space="preserve">(2), pp.131-153. </w:t>
      </w:r>
      <w:r>
        <w:fldChar w:fldCharType="begin"/>
      </w:r>
      <w:r>
        <w:instrText xml:space="preserve"> HYPERLINK "https://www.researchgate.net/profile/Qing-Hu-10/publication/282055131_Effectiveness_of_top_management_support_in_enterprise_systems_success_A_contingency_perspective_of_fit_between_leadership_style_and_system_life-cycle/links/57694dce08ae1a43d23a3015/Effectiveness-of-top-management-support-in-enterprise-systems-success-A-contingency-perspective-of-fit-between-leadership-style-and-system-life-cycle.pdf?_sg%5B0%5D=started_experiment_milestone&amp;origin=journalDetail&amp;_rtd=e30%3D" </w:instrText>
      </w:r>
      <w:r>
        <w:fldChar w:fldCharType="separate"/>
      </w:r>
      <w:r>
        <w:rPr>
          <w:rStyle w:val="4"/>
          <w:rFonts w:ascii="Arial" w:hAnsi="Arial" w:cs="Arial"/>
        </w:rPr>
        <w:t>https://www.researchgate.net</w:t>
      </w:r>
      <w:r>
        <w:rPr>
          <w:rStyle w:val="4"/>
          <w:rFonts w:ascii="Arial" w:hAnsi="Arial" w:cs="Arial"/>
        </w:rPr>
        <w:fldChar w:fldCharType="end"/>
      </w:r>
      <w:r>
        <w:rPr>
          <w:rFonts w:ascii="Arial" w:hAnsi="Arial" w:cs="Arial"/>
        </w:rPr>
        <w:t xml:space="preserve"> </w:t>
      </w:r>
    </w:p>
    <w:p w14:paraId="079AC0B4">
      <w:pPr>
        <w:numPr>
          <w:ilvl w:val="0"/>
          <w:numId w:val="1"/>
        </w:numPr>
        <w:spacing w:line="360" w:lineRule="auto"/>
        <w:jc w:val="both"/>
        <w:rPr>
          <w:rFonts w:ascii="Arial" w:hAnsi="Arial" w:cs="Arial"/>
        </w:rPr>
      </w:pPr>
      <w:r>
        <w:rPr>
          <w:rFonts w:ascii="Arial" w:hAnsi="Arial" w:cs="Arial"/>
        </w:rPr>
        <w:t>Jones, P.R., 2018. Critical analysis of Robert K. Greenleaf’s servant leadership: A journey into the nature of legitimate power and greatness. </w:t>
      </w:r>
      <w:r>
        <w:rPr>
          <w:rFonts w:ascii="Arial" w:hAnsi="Arial" w:cs="Arial"/>
          <w:i/>
          <w:iCs/>
        </w:rPr>
        <w:t>International Journal of Language and Literature</w:t>
      </w:r>
      <w:r>
        <w:rPr>
          <w:rFonts w:ascii="Arial" w:hAnsi="Arial" w:cs="Arial"/>
        </w:rPr>
        <w:t>, </w:t>
      </w:r>
      <w:r>
        <w:rPr>
          <w:rFonts w:ascii="Arial" w:hAnsi="Arial" w:cs="Arial"/>
          <w:i/>
          <w:iCs/>
        </w:rPr>
        <w:t>6</w:t>
      </w:r>
      <w:r>
        <w:rPr>
          <w:rFonts w:ascii="Arial" w:hAnsi="Arial" w:cs="Arial"/>
        </w:rPr>
        <w:t xml:space="preserve">(1), pp.10-15. </w:t>
      </w:r>
      <w:r>
        <w:fldChar w:fldCharType="begin"/>
      </w:r>
      <w:r>
        <w:instrText xml:space="preserve"> HYPERLINK "https://scholar.archive.org/work/guv2fd53jjhypnshxz5qx77mk4/access/wayback/http:/ijll-net.com/journals/ijll/Vol_6_No_1_June_2018/2.pdf" </w:instrText>
      </w:r>
      <w:r>
        <w:fldChar w:fldCharType="separate"/>
      </w:r>
      <w:r>
        <w:rPr>
          <w:rStyle w:val="4"/>
          <w:rFonts w:ascii="Arial" w:hAnsi="Arial" w:cs="Arial"/>
        </w:rPr>
        <w:t>https://doi.org/10.0923/099344</w:t>
      </w:r>
      <w:r>
        <w:rPr>
          <w:rStyle w:val="4"/>
          <w:rFonts w:ascii="Arial" w:hAnsi="Arial" w:cs="Arial"/>
        </w:rPr>
        <w:fldChar w:fldCharType="end"/>
      </w:r>
      <w:r>
        <w:rPr>
          <w:rFonts w:ascii="Arial" w:hAnsi="Arial" w:cs="Arial"/>
        </w:rPr>
        <w:t xml:space="preserve">  </w:t>
      </w:r>
    </w:p>
    <w:p w14:paraId="2A482622">
      <w:pPr>
        <w:numPr>
          <w:ilvl w:val="0"/>
          <w:numId w:val="1"/>
        </w:numPr>
        <w:spacing w:line="360" w:lineRule="auto"/>
        <w:jc w:val="both"/>
        <w:rPr>
          <w:rFonts w:ascii="Arial" w:hAnsi="Arial" w:cs="Arial"/>
        </w:rPr>
      </w:pPr>
      <w:r>
        <w:rPr>
          <w:rFonts w:ascii="Arial" w:hAnsi="Arial" w:cs="Arial"/>
        </w:rPr>
        <w:t xml:space="preserve">Jaderi, S. and Abushaqdam, Z., 2023. The Role of Authentic and Transformational Leadership Styles in enhancing Employees’ Psychological Capital in the international hospitality industry. </w:t>
      </w:r>
      <w:r>
        <w:fldChar w:fldCharType="begin"/>
      </w:r>
      <w:r>
        <w:instrText xml:space="preserve"> HYPERLINK "https://www.diva-portal.org/smash/get/diva2:1781796/FULLTEXT01.pdf" </w:instrText>
      </w:r>
      <w:r>
        <w:fldChar w:fldCharType="separate"/>
      </w:r>
      <w:r>
        <w:rPr>
          <w:rStyle w:val="4"/>
          <w:rFonts w:ascii="Arial" w:hAnsi="Arial" w:cs="Arial"/>
        </w:rPr>
        <w:t>https://www.diva-portal.org</w:t>
      </w:r>
      <w:r>
        <w:rPr>
          <w:rStyle w:val="4"/>
          <w:rFonts w:ascii="Arial" w:hAnsi="Arial" w:cs="Arial"/>
        </w:rPr>
        <w:fldChar w:fldCharType="end"/>
      </w:r>
      <w:r>
        <w:rPr>
          <w:rFonts w:ascii="Arial" w:hAnsi="Arial" w:cs="Arial"/>
        </w:rPr>
        <w:t xml:space="preserve"> </w:t>
      </w:r>
    </w:p>
    <w:p w14:paraId="3EAD982F">
      <w:pPr>
        <w:numPr>
          <w:ilvl w:val="0"/>
          <w:numId w:val="1"/>
        </w:numPr>
        <w:spacing w:line="360" w:lineRule="auto"/>
        <w:jc w:val="both"/>
        <w:rPr>
          <w:rFonts w:ascii="Arial" w:hAnsi="Arial" w:cs="Arial"/>
        </w:rPr>
      </w:pPr>
      <w:r>
        <w:rPr>
          <w:rFonts w:ascii="Arial" w:hAnsi="Arial" w:cs="Arial"/>
        </w:rPr>
        <w:t>Fouad, M., 2019. Impact of leadership style on employee job satisfaction in the hospitality industry. </w:t>
      </w:r>
      <w:r>
        <w:rPr>
          <w:rFonts w:ascii="Arial" w:hAnsi="Arial" w:cs="Arial"/>
          <w:i/>
          <w:iCs/>
        </w:rPr>
        <w:t>International Journal of Heritage, Tourism and Hospitality</w:t>
      </w:r>
      <w:r>
        <w:rPr>
          <w:rFonts w:ascii="Arial" w:hAnsi="Arial" w:cs="Arial"/>
        </w:rPr>
        <w:t>, </w:t>
      </w:r>
      <w:r>
        <w:rPr>
          <w:rFonts w:ascii="Arial" w:hAnsi="Arial" w:cs="Arial"/>
          <w:i/>
          <w:iCs/>
        </w:rPr>
        <w:t>13</w:t>
      </w:r>
      <w:r>
        <w:rPr>
          <w:rFonts w:ascii="Arial" w:hAnsi="Arial" w:cs="Arial"/>
        </w:rPr>
        <w:t xml:space="preserve">(1), pp.1-12. </w:t>
      </w:r>
      <w:r>
        <w:fldChar w:fldCharType="begin"/>
      </w:r>
      <w:r>
        <w:instrText xml:space="preserve"> HYPERLINK "https://ijhth.journals.ekb.eg/article_35101_72fbca9644e592b3472ca5e50c6cd106.pdf" </w:instrText>
      </w:r>
      <w:r>
        <w:fldChar w:fldCharType="separate"/>
      </w:r>
      <w:r>
        <w:rPr>
          <w:rStyle w:val="4"/>
          <w:rFonts w:ascii="Arial" w:hAnsi="Arial" w:cs="Arial"/>
        </w:rPr>
        <w:t>https://ijhth.journals.ekb.eg</w:t>
      </w:r>
      <w:r>
        <w:rPr>
          <w:rStyle w:val="4"/>
          <w:rFonts w:ascii="Arial" w:hAnsi="Arial" w:cs="Arial"/>
        </w:rPr>
        <w:fldChar w:fldCharType="end"/>
      </w:r>
      <w:r>
        <w:rPr>
          <w:rFonts w:ascii="Arial" w:hAnsi="Arial" w:cs="Arial"/>
        </w:rPr>
        <w:t xml:space="preserve">  </w:t>
      </w:r>
    </w:p>
    <w:p w14:paraId="1A63ECD3">
      <w:pPr>
        <w:numPr>
          <w:ilvl w:val="0"/>
          <w:numId w:val="1"/>
        </w:numPr>
        <w:spacing w:line="360" w:lineRule="auto"/>
        <w:jc w:val="both"/>
        <w:rPr>
          <w:rFonts w:ascii="Arial" w:hAnsi="Arial" w:cs="Arial"/>
        </w:rPr>
      </w:pPr>
      <w:r>
        <w:rPr>
          <w:rFonts w:ascii="Arial" w:hAnsi="Arial" w:cs="Arial"/>
        </w:rPr>
        <w:t>Judge, T.A., Bono, J.E., Ilies, R. and Gerhardt, M.W., 2002. Personality and leadership: a qualitative and quantitative review. </w:t>
      </w:r>
      <w:r>
        <w:rPr>
          <w:rFonts w:ascii="Arial" w:hAnsi="Arial" w:cs="Arial"/>
          <w:i/>
          <w:iCs/>
        </w:rPr>
        <w:t>Journal of applied psychology</w:t>
      </w:r>
      <w:r>
        <w:rPr>
          <w:rFonts w:ascii="Arial" w:hAnsi="Arial" w:cs="Arial"/>
        </w:rPr>
        <w:t>, </w:t>
      </w:r>
      <w:r>
        <w:rPr>
          <w:rFonts w:ascii="Arial" w:hAnsi="Arial" w:cs="Arial"/>
          <w:i/>
          <w:iCs/>
        </w:rPr>
        <w:t>87</w:t>
      </w:r>
      <w:r>
        <w:rPr>
          <w:rFonts w:ascii="Arial" w:hAnsi="Arial" w:cs="Arial"/>
        </w:rPr>
        <w:t xml:space="preserve">(4), p.765. </w:t>
      </w:r>
      <w:r>
        <w:fldChar w:fldCharType="begin"/>
      </w:r>
      <w:r>
        <w:instrText xml:space="preserve"> HYPERLINK "http://www.timothy-judge.com/Judge%2C%20Bono%2C%20Ilies%2C%20%26%20Gerhardt.pdf" </w:instrText>
      </w:r>
      <w:r>
        <w:fldChar w:fldCharType="separate"/>
      </w:r>
      <w:r>
        <w:rPr>
          <w:rStyle w:val="4"/>
          <w:rFonts w:ascii="Arial" w:hAnsi="Arial" w:cs="Arial"/>
        </w:rPr>
        <w:t>http://www.timothy-judge.com</w:t>
      </w:r>
      <w:r>
        <w:rPr>
          <w:rStyle w:val="4"/>
          <w:rFonts w:ascii="Arial" w:hAnsi="Arial" w:cs="Arial"/>
        </w:rPr>
        <w:fldChar w:fldCharType="end"/>
      </w:r>
      <w:r>
        <w:rPr>
          <w:rFonts w:ascii="Arial" w:hAnsi="Arial" w:cs="Arial"/>
        </w:rPr>
        <w:t xml:space="preserve"> </w:t>
      </w:r>
    </w:p>
    <w:p w14:paraId="0D24601E">
      <w:pPr>
        <w:numPr>
          <w:ilvl w:val="0"/>
          <w:numId w:val="1"/>
        </w:numPr>
        <w:spacing w:line="360" w:lineRule="auto"/>
        <w:jc w:val="both"/>
        <w:rPr>
          <w:rFonts w:ascii="Arial" w:hAnsi="Arial" w:cs="Arial"/>
        </w:rPr>
      </w:pPr>
      <w:r>
        <w:rPr>
          <w:rFonts w:ascii="Arial" w:hAnsi="Arial" w:cs="Arial"/>
        </w:rPr>
        <w:t>Chu, A.M.C. and King, B.E., 2019. Hotel industry leadership in greater China—A biographical comparison. </w:t>
      </w:r>
      <w:r>
        <w:rPr>
          <w:rFonts w:ascii="Arial" w:hAnsi="Arial" w:cs="Arial"/>
          <w:i/>
          <w:iCs/>
        </w:rPr>
        <w:t>Journal of China Tourism Research</w:t>
      </w:r>
      <w:r>
        <w:rPr>
          <w:rFonts w:ascii="Arial" w:hAnsi="Arial" w:cs="Arial"/>
        </w:rPr>
        <w:t>, </w:t>
      </w:r>
      <w:r>
        <w:rPr>
          <w:rFonts w:ascii="Arial" w:hAnsi="Arial" w:cs="Arial"/>
          <w:i/>
          <w:iCs/>
        </w:rPr>
        <w:t>15</w:t>
      </w:r>
      <w:r>
        <w:rPr>
          <w:rFonts w:ascii="Arial" w:hAnsi="Arial" w:cs="Arial"/>
        </w:rPr>
        <w:t xml:space="preserve">(4), pp.563-588. </w:t>
      </w:r>
      <w:r>
        <w:fldChar w:fldCharType="begin"/>
      </w:r>
      <w:r>
        <w:instrText xml:space="preserve"> HYPERLINK "https://doi.org/10.1080/19388160.2019.1577781" </w:instrText>
      </w:r>
      <w:r>
        <w:fldChar w:fldCharType="separate"/>
      </w:r>
      <w:r>
        <w:rPr>
          <w:rStyle w:val="4"/>
          <w:rFonts w:ascii="Arial" w:hAnsi="Arial" w:cs="Arial"/>
        </w:rPr>
        <w:t>https://doi.org/10.1080/19388160.2019.1577781</w:t>
      </w:r>
      <w:r>
        <w:rPr>
          <w:rStyle w:val="4"/>
          <w:rFonts w:ascii="Arial" w:hAnsi="Arial" w:cs="Arial"/>
        </w:rPr>
        <w:fldChar w:fldCharType="end"/>
      </w:r>
      <w:r>
        <w:rPr>
          <w:rFonts w:ascii="Arial" w:hAnsi="Arial" w:cs="Arial"/>
        </w:rPr>
        <w:t xml:space="preserve"> </w:t>
      </w:r>
    </w:p>
    <w:p w14:paraId="5AF830FF">
      <w:pPr>
        <w:numPr>
          <w:ilvl w:val="0"/>
          <w:numId w:val="1"/>
        </w:numPr>
        <w:spacing w:line="360" w:lineRule="auto"/>
        <w:jc w:val="both"/>
        <w:rPr>
          <w:rFonts w:ascii="Arial" w:hAnsi="Arial" w:cs="Arial"/>
        </w:rPr>
      </w:pPr>
      <w:r>
        <w:rPr>
          <w:rFonts w:ascii="Arial" w:hAnsi="Arial" w:cs="Arial"/>
        </w:rPr>
        <w:t>Enz, C.A. and Siguaw, J.A., 2003. Revisiting the best of the best: Innovations in hotel practice. </w:t>
      </w:r>
      <w:r>
        <w:rPr>
          <w:rFonts w:ascii="Arial" w:hAnsi="Arial" w:cs="Arial"/>
          <w:i/>
          <w:iCs/>
        </w:rPr>
        <w:t>Cornell Hotel and Restaurant Administration Quarterly</w:t>
      </w:r>
      <w:r>
        <w:rPr>
          <w:rFonts w:ascii="Arial" w:hAnsi="Arial" w:cs="Arial"/>
        </w:rPr>
        <w:t>, </w:t>
      </w:r>
      <w:r>
        <w:rPr>
          <w:rFonts w:ascii="Arial" w:hAnsi="Arial" w:cs="Arial"/>
          <w:i/>
          <w:iCs/>
        </w:rPr>
        <w:t>44</w:t>
      </w:r>
      <w:r>
        <w:rPr>
          <w:rFonts w:ascii="Arial" w:hAnsi="Arial" w:cs="Arial"/>
        </w:rPr>
        <w:t xml:space="preserve">(5-6), pp.115-123. </w:t>
      </w:r>
      <w:r>
        <w:fldChar w:fldCharType="begin"/>
      </w:r>
      <w:r>
        <w:instrText xml:space="preserve"> HYPERLINK "https://doi.org/10.1177/001088040304400516" </w:instrText>
      </w:r>
      <w:r>
        <w:fldChar w:fldCharType="separate"/>
      </w:r>
      <w:r>
        <w:rPr>
          <w:rStyle w:val="4"/>
          <w:rFonts w:ascii="Arial" w:hAnsi="Arial" w:cs="Arial"/>
        </w:rPr>
        <w:t>https://doi.org/10.1177/001088040304400516</w:t>
      </w:r>
      <w:r>
        <w:rPr>
          <w:rStyle w:val="4"/>
          <w:rFonts w:ascii="Arial" w:hAnsi="Arial" w:cs="Arial"/>
        </w:rPr>
        <w:fldChar w:fldCharType="end"/>
      </w:r>
      <w:r>
        <w:rPr>
          <w:rFonts w:ascii="Arial" w:hAnsi="Arial" w:cs="Arial"/>
        </w:rPr>
        <w:t xml:space="preserve"> </w:t>
      </w:r>
    </w:p>
    <w:p w14:paraId="702F8A3A">
      <w:pPr>
        <w:numPr>
          <w:ilvl w:val="0"/>
          <w:numId w:val="1"/>
        </w:numPr>
        <w:spacing w:line="360" w:lineRule="auto"/>
        <w:jc w:val="both"/>
        <w:rPr>
          <w:rFonts w:ascii="Arial" w:hAnsi="Arial" w:cs="Arial"/>
        </w:rPr>
      </w:pPr>
      <w:r>
        <w:rPr>
          <w:rFonts w:ascii="Arial" w:hAnsi="Arial" w:cs="Arial"/>
        </w:rPr>
        <w:t>Northouse, P.G., 2021. </w:t>
      </w:r>
      <w:r>
        <w:rPr>
          <w:rFonts w:ascii="Arial" w:hAnsi="Arial" w:cs="Arial"/>
          <w:i/>
          <w:iCs/>
        </w:rPr>
        <w:t>Leadership: Theory and practice</w:t>
      </w:r>
      <w:r>
        <w:rPr>
          <w:rFonts w:ascii="Arial" w:hAnsi="Arial" w:cs="Arial"/>
        </w:rPr>
        <w:t xml:space="preserve">. </w:t>
      </w:r>
    </w:p>
    <w:p w14:paraId="7CEF8CEC">
      <w:pPr>
        <w:numPr>
          <w:ilvl w:val="0"/>
          <w:numId w:val="1"/>
        </w:numPr>
        <w:spacing w:line="360" w:lineRule="auto"/>
        <w:jc w:val="both"/>
        <w:rPr>
          <w:rFonts w:ascii="Arial" w:hAnsi="Arial" w:cs="Arial"/>
        </w:rPr>
      </w:pPr>
      <w:r>
        <w:rPr>
          <w:rFonts w:ascii="Arial" w:hAnsi="Arial" w:cs="Arial"/>
        </w:rPr>
        <w:t>Patiar, A. and Mia, L., 2009. Transformational leadership style, market competition and departmental performance: Evidence from luxury hotels in Australia. </w:t>
      </w:r>
      <w:r>
        <w:rPr>
          <w:rFonts w:ascii="Arial" w:hAnsi="Arial" w:cs="Arial"/>
          <w:i/>
          <w:iCs/>
        </w:rPr>
        <w:t>International Journal of Hospitality Management</w:t>
      </w:r>
      <w:r>
        <w:rPr>
          <w:rFonts w:ascii="Arial" w:hAnsi="Arial" w:cs="Arial"/>
        </w:rPr>
        <w:t>, </w:t>
      </w:r>
      <w:r>
        <w:rPr>
          <w:rFonts w:ascii="Arial" w:hAnsi="Arial" w:cs="Arial"/>
          <w:i/>
          <w:iCs/>
        </w:rPr>
        <w:t>28</w:t>
      </w:r>
      <w:r>
        <w:rPr>
          <w:rFonts w:ascii="Arial" w:hAnsi="Arial" w:cs="Arial"/>
        </w:rPr>
        <w:t xml:space="preserve">(2), pp.254-262. </w:t>
      </w:r>
      <w:r>
        <w:fldChar w:fldCharType="begin"/>
      </w:r>
      <w:r>
        <w:instrText xml:space="preserve"> HYPERLINK "https://doi.org/10.1016/j.ijhm.2008.09.003" </w:instrText>
      </w:r>
      <w:r>
        <w:fldChar w:fldCharType="separate"/>
      </w:r>
      <w:r>
        <w:rPr>
          <w:rStyle w:val="4"/>
          <w:rFonts w:ascii="Arial" w:hAnsi="Arial" w:cs="Arial"/>
        </w:rPr>
        <w:t>https://doi.org/10.1016/j.ijhm.2008.09.003</w:t>
      </w:r>
      <w:r>
        <w:rPr>
          <w:rStyle w:val="4"/>
          <w:rFonts w:ascii="Arial" w:hAnsi="Arial" w:cs="Arial"/>
        </w:rPr>
        <w:fldChar w:fldCharType="end"/>
      </w:r>
      <w:r>
        <w:rPr>
          <w:rFonts w:ascii="Arial" w:hAnsi="Arial" w:cs="Arial"/>
        </w:rPr>
        <w:t xml:space="preserve"> </w:t>
      </w:r>
    </w:p>
    <w:p w14:paraId="5DD1FE8C">
      <w:pPr>
        <w:numPr>
          <w:ilvl w:val="0"/>
          <w:numId w:val="1"/>
        </w:numPr>
        <w:spacing w:line="360" w:lineRule="auto"/>
        <w:jc w:val="both"/>
        <w:rPr>
          <w:rFonts w:ascii="Arial" w:hAnsi="Arial" w:cs="Arial"/>
        </w:rPr>
      </w:pPr>
      <w:r>
        <w:rPr>
          <w:rFonts w:ascii="Arial" w:hAnsi="Arial" w:cs="Arial"/>
        </w:rPr>
        <w:t>Sendjaya, S., 2010. Demystifying servant leadership. In </w:t>
      </w:r>
      <w:r>
        <w:rPr>
          <w:rFonts w:ascii="Arial" w:hAnsi="Arial" w:cs="Arial"/>
          <w:i/>
          <w:iCs/>
        </w:rPr>
        <w:t>Servant leadership: Developments in theory and research</w:t>
      </w:r>
      <w:r>
        <w:rPr>
          <w:rFonts w:ascii="Arial" w:hAnsi="Arial" w:cs="Arial"/>
        </w:rPr>
        <w:t> (pp. 39-51). London: Palgrave Macmillan UK.</w:t>
      </w:r>
    </w:p>
    <w:p w14:paraId="07CBDA8B">
      <w:pPr>
        <w:numPr>
          <w:ilvl w:val="0"/>
          <w:numId w:val="1"/>
        </w:numPr>
        <w:spacing w:line="360" w:lineRule="auto"/>
        <w:jc w:val="both"/>
        <w:rPr>
          <w:rFonts w:ascii="Arial" w:hAnsi="Arial" w:cs="Arial"/>
        </w:rPr>
      </w:pPr>
      <w:r>
        <w:rPr>
          <w:rFonts w:ascii="Arial" w:hAnsi="Arial" w:cs="Arial"/>
        </w:rPr>
        <w:t xml:space="preserve">Cts, 2023. The Ritz-Carlton’s Famous $2.000 Rule. </w:t>
      </w:r>
      <w:r>
        <w:fldChar w:fldCharType="begin"/>
      </w:r>
      <w:r>
        <w:instrText xml:space="preserve"> HYPERLINK "https://customersthatstick.com/blog/the-ritz-carltons-famous-2000-rule/" </w:instrText>
      </w:r>
      <w:r>
        <w:fldChar w:fldCharType="separate"/>
      </w:r>
      <w:r>
        <w:rPr>
          <w:rStyle w:val="4"/>
          <w:rFonts w:ascii="Arial" w:hAnsi="Arial" w:cs="Arial"/>
        </w:rPr>
        <w:t>https://customersthatstick.com</w:t>
      </w:r>
      <w:r>
        <w:rPr>
          <w:rStyle w:val="4"/>
          <w:rFonts w:ascii="Arial" w:hAnsi="Arial" w:cs="Arial"/>
        </w:rPr>
        <w:fldChar w:fldCharType="end"/>
      </w:r>
      <w:r>
        <w:rPr>
          <w:rFonts w:ascii="Arial" w:hAnsi="Arial" w:cs="Arial"/>
        </w:rPr>
        <w:t xml:space="preserve">  </w:t>
      </w:r>
    </w:p>
    <w:p w14:paraId="0D033771">
      <w:pPr>
        <w:numPr>
          <w:ilvl w:val="0"/>
          <w:numId w:val="1"/>
        </w:numPr>
        <w:spacing w:line="360" w:lineRule="auto"/>
        <w:jc w:val="both"/>
        <w:rPr>
          <w:rFonts w:ascii="Arial" w:hAnsi="Arial" w:cs="Arial"/>
        </w:rPr>
      </w:pPr>
      <w:r>
        <w:rPr>
          <w:rFonts w:ascii="Arial" w:hAnsi="Arial" w:cs="Arial"/>
        </w:rPr>
        <w:t>Eva, N., Robin, M., Sendjaya, S., Van Dierendonck, D. and Liden, R.C., 2019. Servant leadership: A systematic review and call for future research. </w:t>
      </w:r>
      <w:r>
        <w:rPr>
          <w:rFonts w:ascii="Arial" w:hAnsi="Arial" w:cs="Arial"/>
          <w:i/>
          <w:iCs/>
        </w:rPr>
        <w:t>The leadership quarterly</w:t>
      </w:r>
      <w:r>
        <w:rPr>
          <w:rFonts w:ascii="Arial" w:hAnsi="Arial" w:cs="Arial"/>
        </w:rPr>
        <w:t>, </w:t>
      </w:r>
      <w:r>
        <w:rPr>
          <w:rFonts w:ascii="Arial" w:hAnsi="Arial" w:cs="Arial"/>
          <w:i/>
          <w:iCs/>
        </w:rPr>
        <w:t>30</w:t>
      </w:r>
      <w:r>
        <w:rPr>
          <w:rFonts w:ascii="Arial" w:hAnsi="Arial" w:cs="Arial"/>
        </w:rPr>
        <w:t xml:space="preserve">(1), pp.111-132. </w:t>
      </w:r>
      <w:r>
        <w:fldChar w:fldCharType="begin"/>
      </w:r>
      <w:r>
        <w:instrText xml:space="preserve"> HYPERLINK "https://doi.org/10.1016/j.leaqua.2018.07.004" </w:instrText>
      </w:r>
      <w:r>
        <w:fldChar w:fldCharType="separate"/>
      </w:r>
      <w:r>
        <w:rPr>
          <w:rStyle w:val="4"/>
          <w:rFonts w:ascii="Arial" w:hAnsi="Arial" w:cs="Arial"/>
        </w:rPr>
        <w:t>https://doi.org/10.1016/j.leaqua.2018.07.004</w:t>
      </w:r>
      <w:r>
        <w:rPr>
          <w:rStyle w:val="4"/>
          <w:rFonts w:ascii="Arial" w:hAnsi="Arial" w:cs="Arial"/>
        </w:rPr>
        <w:fldChar w:fldCharType="end"/>
      </w:r>
      <w:r>
        <w:rPr>
          <w:rFonts w:ascii="Arial" w:hAnsi="Arial" w:cs="Arial"/>
        </w:rPr>
        <w:t xml:space="preserve"> </w:t>
      </w:r>
    </w:p>
    <w:p w14:paraId="56C3EA20">
      <w:pPr>
        <w:numPr>
          <w:ilvl w:val="0"/>
          <w:numId w:val="1"/>
        </w:numPr>
        <w:spacing w:line="360" w:lineRule="auto"/>
        <w:jc w:val="both"/>
        <w:rPr>
          <w:rFonts w:ascii="Arial" w:hAnsi="Arial" w:cs="Arial"/>
        </w:rPr>
      </w:pPr>
      <w:r>
        <w:rPr>
          <w:rFonts w:ascii="Arial" w:hAnsi="Arial" w:cs="Arial"/>
        </w:rPr>
        <w:t>Alzoubi, R.H.M. and Jaaffar, A.H., 2020. Leadership styles, crisis management, and hotel performance: A conceptual perspective of the Jordanian hotel industry. </w:t>
      </w:r>
      <w:r>
        <w:rPr>
          <w:rFonts w:ascii="Arial" w:hAnsi="Arial" w:cs="Arial"/>
          <w:i/>
          <w:iCs/>
        </w:rPr>
        <w:t>Journal of Critical Reviews</w:t>
      </w:r>
      <w:r>
        <w:rPr>
          <w:rFonts w:ascii="Arial" w:hAnsi="Arial" w:cs="Arial"/>
        </w:rPr>
        <w:t>, </w:t>
      </w:r>
      <w:r>
        <w:rPr>
          <w:rFonts w:ascii="Arial" w:hAnsi="Arial" w:cs="Arial"/>
          <w:i/>
          <w:iCs/>
        </w:rPr>
        <w:t>7</w:t>
      </w:r>
      <w:r>
        <w:rPr>
          <w:rFonts w:ascii="Arial" w:hAnsi="Arial" w:cs="Arial"/>
        </w:rPr>
        <w:t xml:space="preserve">(10), pp.556-562. </w:t>
      </w:r>
      <w:r>
        <w:fldChar w:fldCharType="begin"/>
      </w:r>
      <w:r>
        <w:instrText xml:space="preserve"> HYPERLINK "https://www.researchgate.net/profile/Raed-Alzoubi/publication/342855920_LEADERSHIP_STYLES_CRISIS_MANAGEMENT_AND_HOTEL_PERFORMANCE_A_CONCEPTUAL_PERSPECTIVE_OF_THE_JORDANIAN_HOTEL/links/5f0dadbc4585158917bf3022/LEADERSHIP-STYLES-CRISIS-MANAGEMENT-AND-HOTEL-PERFORMANCE-A-CONCEPTUAL-PERSPECTIVE-OF-THE-JORDANIAN-HOTEL.pdf" </w:instrText>
      </w:r>
      <w:r>
        <w:fldChar w:fldCharType="separate"/>
      </w:r>
      <w:r>
        <w:rPr>
          <w:rStyle w:val="4"/>
          <w:rFonts w:ascii="Arial" w:hAnsi="Arial" w:cs="Arial"/>
        </w:rPr>
        <w:t>https://www.researchgate.net</w:t>
      </w:r>
      <w:r>
        <w:rPr>
          <w:rStyle w:val="4"/>
          <w:rFonts w:ascii="Arial" w:hAnsi="Arial" w:cs="Arial"/>
        </w:rPr>
        <w:fldChar w:fldCharType="end"/>
      </w:r>
      <w:r>
        <w:rPr>
          <w:rFonts w:ascii="Arial" w:hAnsi="Arial" w:cs="Arial"/>
        </w:rPr>
        <w:t xml:space="preserve">  </w:t>
      </w:r>
    </w:p>
    <w:p w14:paraId="7309AD9E">
      <w:pPr>
        <w:numPr>
          <w:ilvl w:val="0"/>
          <w:numId w:val="1"/>
        </w:numPr>
        <w:spacing w:line="360" w:lineRule="auto"/>
        <w:jc w:val="both"/>
        <w:rPr>
          <w:rFonts w:ascii="Arial" w:hAnsi="Arial" w:cs="Arial"/>
        </w:rPr>
      </w:pPr>
      <w:r>
        <w:rPr>
          <w:rFonts w:ascii="Arial" w:hAnsi="Arial" w:cs="Arial"/>
        </w:rPr>
        <w:t>Hamstra, M.R., Van Yperen, N.W., Wisse, B. and Sassenberg, K., 2014. On the perceived effectiveness of transformational–transactional leadership: The role of encouraged strategies and followers' regulatory focus. </w:t>
      </w:r>
      <w:r>
        <w:rPr>
          <w:rFonts w:ascii="Arial" w:hAnsi="Arial" w:cs="Arial"/>
          <w:i/>
          <w:iCs/>
        </w:rPr>
        <w:t>European Journal of Social Psychology</w:t>
      </w:r>
      <w:r>
        <w:rPr>
          <w:rFonts w:ascii="Arial" w:hAnsi="Arial" w:cs="Arial"/>
        </w:rPr>
        <w:t>, </w:t>
      </w:r>
      <w:r>
        <w:rPr>
          <w:rFonts w:ascii="Arial" w:hAnsi="Arial" w:cs="Arial"/>
          <w:i/>
          <w:iCs/>
        </w:rPr>
        <w:t>44</w:t>
      </w:r>
      <w:r>
        <w:rPr>
          <w:rFonts w:ascii="Arial" w:hAnsi="Arial" w:cs="Arial"/>
        </w:rPr>
        <w:t xml:space="preserve">(6), pp.643-656. </w:t>
      </w:r>
      <w:r>
        <w:fldChar w:fldCharType="begin"/>
      </w:r>
      <w:r>
        <w:instrText xml:space="preserve"> HYPERLINK "https://doi.org/10.1002/ejsp.2027" </w:instrText>
      </w:r>
      <w:r>
        <w:fldChar w:fldCharType="separate"/>
      </w:r>
      <w:r>
        <w:rPr>
          <w:rStyle w:val="4"/>
          <w:rFonts w:ascii="Arial" w:hAnsi="Arial" w:cs="Arial"/>
        </w:rPr>
        <w:t>https://doi.org/10.1002/ejsp.2027</w:t>
      </w:r>
      <w:r>
        <w:rPr>
          <w:rStyle w:val="4"/>
          <w:rFonts w:ascii="Arial" w:hAnsi="Arial" w:cs="Arial"/>
        </w:rPr>
        <w:fldChar w:fldCharType="end"/>
      </w:r>
      <w:r>
        <w:rPr>
          <w:rFonts w:ascii="Arial" w:hAnsi="Arial" w:cs="Arial"/>
        </w:rPr>
        <w:t xml:space="preserve"> </w:t>
      </w:r>
    </w:p>
    <w:p w14:paraId="003DCB75">
      <w:pPr>
        <w:numPr>
          <w:ilvl w:val="0"/>
          <w:numId w:val="1"/>
        </w:numPr>
        <w:spacing w:line="360" w:lineRule="auto"/>
        <w:jc w:val="both"/>
        <w:rPr>
          <w:rFonts w:ascii="Arial" w:hAnsi="Arial" w:cs="Arial"/>
        </w:rPr>
      </w:pPr>
      <w:r>
        <w:rPr>
          <w:rFonts w:ascii="Arial" w:hAnsi="Arial" w:cs="Arial"/>
        </w:rPr>
        <w:t>Wu, L.Z., Tse, E.C.Y., Fu, P., Kwan, H.K. and Liu, J., 2013. The impact of servant leadership on hotel employees’“servant behavior”. </w:t>
      </w:r>
      <w:r>
        <w:rPr>
          <w:rFonts w:ascii="Arial" w:hAnsi="Arial" w:cs="Arial"/>
          <w:i/>
          <w:iCs/>
        </w:rPr>
        <w:t>Cornell Hospitality Quarterly</w:t>
      </w:r>
      <w:r>
        <w:rPr>
          <w:rFonts w:ascii="Arial" w:hAnsi="Arial" w:cs="Arial"/>
        </w:rPr>
        <w:t>, </w:t>
      </w:r>
      <w:r>
        <w:rPr>
          <w:rFonts w:ascii="Arial" w:hAnsi="Arial" w:cs="Arial"/>
          <w:i/>
          <w:iCs/>
        </w:rPr>
        <w:t>54</w:t>
      </w:r>
      <w:r>
        <w:rPr>
          <w:rFonts w:ascii="Arial" w:hAnsi="Arial" w:cs="Arial"/>
        </w:rPr>
        <w:t xml:space="preserve">(4), pp.383-395. </w:t>
      </w:r>
      <w:r>
        <w:fldChar w:fldCharType="begin"/>
      </w:r>
      <w:r>
        <w:instrText xml:space="preserve"> HYPERLINK "https://doi.org/10.1177/1938965513482519" </w:instrText>
      </w:r>
      <w:r>
        <w:fldChar w:fldCharType="separate"/>
      </w:r>
      <w:r>
        <w:rPr>
          <w:rStyle w:val="4"/>
          <w:rFonts w:ascii="Arial" w:hAnsi="Arial" w:cs="Arial"/>
        </w:rPr>
        <w:t>https://doi.org/10.1177/1938965513482519</w:t>
      </w:r>
      <w:r>
        <w:rPr>
          <w:rStyle w:val="4"/>
          <w:rFonts w:ascii="Arial" w:hAnsi="Arial" w:cs="Arial"/>
        </w:rPr>
        <w:fldChar w:fldCharType="end"/>
      </w:r>
      <w:r>
        <w:rPr>
          <w:rFonts w:ascii="Arial" w:hAnsi="Arial" w:cs="Arial"/>
        </w:rPr>
        <w:t xml:space="preserve"> </w:t>
      </w:r>
    </w:p>
    <w:p w14:paraId="0454BECA">
      <w:pPr>
        <w:spacing w:line="360" w:lineRule="auto"/>
        <w:jc w:val="both"/>
        <w:rPr>
          <w:rFonts w:ascii="Arial" w:hAnsi="Arial" w:cs="Arial"/>
        </w:rPr>
      </w:pPr>
    </w:p>
    <w:p w14:paraId="6D7AF610"/>
    <w:sectPr>
      <w:pgSz w:w="12240" w:h="15840"/>
      <w:pgMar w:top="1440" w:right="1440" w:bottom="1440" w:left="1440" w:header="72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ptos">
    <w:altName w:val="Segoe Print"/>
    <w:panose1 w:val="00000000000000000000"/>
    <w:charset w:val="00"/>
    <w:family w:val="swiss"/>
    <w:pitch w:val="default"/>
    <w:sig w:usb0="00000000" w:usb1="00000000" w:usb2="00000000" w:usb3="00000000" w:csb0="0000019F" w:csb1="00000000"/>
  </w:font>
  <w:font w:name="Segoe UI">
    <w:panose1 w:val="020B0502040204020203"/>
    <w:charset w:val="00"/>
    <w:family w:val="auto"/>
    <w:pitch w:val="default"/>
    <w:sig w:usb0="E4002EFF" w:usb1="C000E47F" w:usb2="00000009" w:usb3="00000000" w:csb0="200001FF" w:csb1="00000000"/>
  </w:font>
  <w:font w:name="Symbol">
    <w:panose1 w:val="05050102010706020507"/>
    <w:charset w:val="02"/>
    <w:family w:val="roman"/>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27E2620"/>
    <w:multiLevelType w:val="multilevel"/>
    <w:tmpl w:val="727E262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footnotePr>
    <w:footnote w:id="0"/>
    <w:footnote w:id="1"/>
  </w:footnotePr>
  <w:endnotePr>
    <w:endnote w:id="0"/>
    <w:endnote w:id="1"/>
  </w:endnotePr>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CA1EB6"/>
    <w:rsid w:val="16A574C8"/>
    <w:rsid w:val="17A07012"/>
    <w:rsid w:val="1E4800BE"/>
    <w:rsid w:val="28FE0611"/>
    <w:rsid w:val="2CD5741D"/>
    <w:rsid w:val="33B529B0"/>
    <w:rsid w:val="358F6692"/>
    <w:rsid w:val="41EB1D8A"/>
    <w:rsid w:val="466F5577"/>
    <w:rsid w:val="59A16A45"/>
    <w:rsid w:val="642E7C43"/>
    <w:rsid w:val="7F0D77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Aptos" w:hAnsi="Aptos" w:eastAsia="Times New Roman" w:cs="Times New Roman"/>
      <w:kern w:val="2"/>
      <w:sz w:val="24"/>
      <w:szCs w:val="24"/>
      <w:lang w:val="en-US" w:eastAsia="en-US"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character" w:styleId="4">
    <w:name w:val="Hyperlink"/>
    <w:unhideWhenUsed/>
    <w:qFormat/>
    <w:uiPriority w:val="99"/>
    <w:rPr>
      <w:color w:val="467886"/>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0</Words>
  <Characters>0</Characters>
  <Lines>0</Lines>
  <Paragraphs>0</Paragraphs>
  <TotalTime>1</TotalTime>
  <ScaleCrop>false</ScaleCrop>
  <LinksUpToDate>false</LinksUpToDate>
  <CharactersWithSpaces>0</CharactersWithSpaces>
  <Application>WPS Office_12.2.0.18283_F1E327BC-269C-435d-A152-05C5408002CA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2024-10-18T15:03:00Z</dcterms:created>
  <dc:creator>HP Probook 650 G2</dc:creator>
  <cp:lastModifiedBy>lucian stefan</cp:lastModifiedBy>
  <dcterms:modified xsi:type="dcterms:W3CDTF">2024-10-18T19:52:46Z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1033-12.2.0.18283</vt:lpwstr>
  </property>
  <property fmtid="{D5CDD505-2E9C-101B-9397-08002B2CF9AE}" pid="3" name="ICV">
    <vt:lpwstr>7C9BC417E47A43CF8C0288FE4CC5F212_12</vt:lpwstr>
  </property>
</Properties>
</file>