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45EF06" w14:textId="642AD507" w:rsidR="004314C8" w:rsidRPr="00A406E5" w:rsidRDefault="004314C8" w:rsidP="004314C8">
      <w:pPr>
        <w:pStyle w:val="Header"/>
        <w:jc w:val="right"/>
        <w:rPr>
          <w:rFonts w:ascii="Arial" w:hAnsi="Arial" w:cs="Arial"/>
          <w:b/>
          <w:i/>
          <w:sz w:val="32"/>
        </w:rPr>
      </w:pPr>
      <w:r w:rsidRPr="00A406E5">
        <w:rPr>
          <w:rFonts w:ascii="Arial" w:hAnsi="Arial" w:cs="Arial"/>
          <w:noProof/>
          <w:lang w:eastAsia="en-GB"/>
        </w:rPr>
        <w:drawing>
          <wp:anchor distT="0" distB="0" distL="114300" distR="114300" simplePos="0" relativeHeight="251659264" behindDoc="0" locked="0" layoutInCell="1" allowOverlap="1" wp14:anchorId="775811D4" wp14:editId="08B0F1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314C8" w:rsidRPr="00A406E5" w14:paraId="6311F31B" w14:textId="77777777" w:rsidTr="004314C8">
        <w:trPr>
          <w:jc w:val="center"/>
        </w:trPr>
        <w:tc>
          <w:tcPr>
            <w:tcW w:w="2093" w:type="dxa"/>
            <w:shd w:val="pct15" w:color="auto" w:fill="auto"/>
          </w:tcPr>
          <w:p w14:paraId="6EEF8A2D" w14:textId="77777777" w:rsidR="004314C8" w:rsidRPr="00A406E5" w:rsidRDefault="004314C8" w:rsidP="00625714">
            <w:pPr>
              <w:spacing w:before="120" w:after="120"/>
              <w:rPr>
                <w:rFonts w:ascii="Arial" w:hAnsi="Arial" w:cs="Arial"/>
                <w:b/>
              </w:rPr>
            </w:pPr>
            <w:r w:rsidRPr="00A406E5">
              <w:rPr>
                <w:rFonts w:ascii="Arial" w:hAnsi="Arial" w:cs="Arial"/>
                <w:b/>
              </w:rPr>
              <w:t>Student name:</w:t>
            </w:r>
          </w:p>
        </w:tc>
        <w:tc>
          <w:tcPr>
            <w:tcW w:w="3293" w:type="dxa"/>
          </w:tcPr>
          <w:p w14:paraId="7694C7BF" w14:textId="342D6909" w:rsidR="004314C8" w:rsidRPr="00A406E5" w:rsidRDefault="008C0807" w:rsidP="00625714">
            <w:pPr>
              <w:spacing w:before="120" w:after="120"/>
              <w:rPr>
                <w:rFonts w:ascii="Arial" w:hAnsi="Arial" w:cs="Arial"/>
                <w:b/>
              </w:rPr>
            </w:pPr>
            <w:r>
              <w:rPr>
                <w:rFonts w:ascii="Arial" w:hAnsi="Arial" w:cs="Arial"/>
                <w:b/>
              </w:rPr>
              <w:t xml:space="preserve">Fahima Akter </w:t>
            </w:r>
          </w:p>
        </w:tc>
        <w:tc>
          <w:tcPr>
            <w:tcW w:w="2268" w:type="dxa"/>
            <w:shd w:val="clear" w:color="auto" w:fill="D9D9D9"/>
          </w:tcPr>
          <w:p w14:paraId="44BFDDB4" w14:textId="77777777" w:rsidR="004314C8" w:rsidRPr="00A406E5" w:rsidRDefault="004314C8" w:rsidP="00625714">
            <w:pPr>
              <w:spacing w:before="120" w:after="120"/>
              <w:rPr>
                <w:rFonts w:ascii="Arial" w:hAnsi="Arial" w:cs="Arial"/>
                <w:b/>
              </w:rPr>
            </w:pPr>
            <w:r w:rsidRPr="00A406E5">
              <w:rPr>
                <w:rFonts w:ascii="Arial" w:hAnsi="Arial" w:cs="Arial"/>
                <w:b/>
              </w:rPr>
              <w:t>Student ID number:</w:t>
            </w:r>
          </w:p>
        </w:tc>
        <w:tc>
          <w:tcPr>
            <w:tcW w:w="2268" w:type="dxa"/>
          </w:tcPr>
          <w:p w14:paraId="0FA90AD9" w14:textId="2DFCC057" w:rsidR="004314C8" w:rsidRPr="00A406E5" w:rsidRDefault="008C0807" w:rsidP="00625714">
            <w:pPr>
              <w:spacing w:before="120" w:after="120"/>
              <w:rPr>
                <w:rFonts w:ascii="Arial" w:hAnsi="Arial" w:cs="Arial"/>
                <w:b/>
              </w:rPr>
            </w:pPr>
            <w:r>
              <w:rPr>
                <w:rFonts w:ascii="Arial" w:hAnsi="Arial" w:cs="Arial"/>
                <w:b/>
              </w:rPr>
              <w:t>2013107</w:t>
            </w:r>
            <w:bookmarkStart w:id="0" w:name="_GoBack"/>
            <w:bookmarkEnd w:id="0"/>
          </w:p>
        </w:tc>
      </w:tr>
      <w:tr w:rsidR="004314C8" w:rsidRPr="00A406E5" w14:paraId="1EDCEA43" w14:textId="77777777" w:rsidTr="004314C8">
        <w:trPr>
          <w:jc w:val="center"/>
        </w:trPr>
        <w:tc>
          <w:tcPr>
            <w:tcW w:w="2093" w:type="dxa"/>
            <w:shd w:val="pct15" w:color="auto" w:fill="auto"/>
          </w:tcPr>
          <w:p w14:paraId="42A84F90" w14:textId="77777777" w:rsidR="004314C8" w:rsidRPr="00A406E5" w:rsidRDefault="004314C8" w:rsidP="00625714">
            <w:pPr>
              <w:spacing w:before="120" w:after="120"/>
              <w:rPr>
                <w:rFonts w:ascii="Arial" w:hAnsi="Arial" w:cs="Arial"/>
                <w:b/>
              </w:rPr>
            </w:pPr>
            <w:r w:rsidRPr="00A406E5">
              <w:rPr>
                <w:rFonts w:ascii="Arial" w:hAnsi="Arial" w:cs="Arial"/>
                <w:b/>
              </w:rPr>
              <w:t>Programme:</w:t>
            </w:r>
          </w:p>
        </w:tc>
        <w:tc>
          <w:tcPr>
            <w:tcW w:w="7829" w:type="dxa"/>
            <w:gridSpan w:val="3"/>
          </w:tcPr>
          <w:p w14:paraId="4E0131B6" w14:textId="77777777" w:rsidR="004314C8" w:rsidRPr="00A406E5" w:rsidRDefault="004314C8" w:rsidP="00625714">
            <w:pPr>
              <w:spacing w:before="120" w:after="120"/>
              <w:rPr>
                <w:rFonts w:ascii="Arial" w:hAnsi="Arial" w:cs="Arial"/>
                <w:b/>
              </w:rPr>
            </w:pPr>
            <w:r>
              <w:rPr>
                <w:rFonts w:ascii="Calibri" w:hAnsi="Calibri" w:cs="Arial"/>
                <w:b/>
              </w:rPr>
              <w:t>BA SOTAH – International Hotel Management</w:t>
            </w:r>
          </w:p>
        </w:tc>
      </w:tr>
      <w:tr w:rsidR="004314C8" w:rsidRPr="00A406E5" w14:paraId="5CD0FD16" w14:textId="77777777" w:rsidTr="004314C8">
        <w:trPr>
          <w:jc w:val="center"/>
        </w:trPr>
        <w:tc>
          <w:tcPr>
            <w:tcW w:w="2093" w:type="dxa"/>
            <w:shd w:val="pct15" w:color="auto" w:fill="auto"/>
          </w:tcPr>
          <w:p w14:paraId="1C13C956" w14:textId="77777777" w:rsidR="004314C8" w:rsidRPr="00A406E5" w:rsidRDefault="004314C8" w:rsidP="00625714">
            <w:pPr>
              <w:spacing w:before="120" w:after="120"/>
              <w:rPr>
                <w:rFonts w:ascii="Arial" w:hAnsi="Arial" w:cs="Arial"/>
                <w:b/>
              </w:rPr>
            </w:pPr>
            <w:r w:rsidRPr="00A406E5">
              <w:rPr>
                <w:rFonts w:ascii="Arial" w:hAnsi="Arial" w:cs="Arial"/>
                <w:b/>
              </w:rPr>
              <w:t>Module:</w:t>
            </w:r>
          </w:p>
        </w:tc>
        <w:tc>
          <w:tcPr>
            <w:tcW w:w="7829" w:type="dxa"/>
            <w:gridSpan w:val="3"/>
            <w:shd w:val="clear" w:color="auto" w:fill="auto"/>
          </w:tcPr>
          <w:p w14:paraId="3E1F962C" w14:textId="77777777" w:rsidR="004314C8" w:rsidRPr="00A406E5" w:rsidRDefault="004314C8" w:rsidP="00625714">
            <w:pPr>
              <w:spacing w:before="120" w:after="120"/>
              <w:rPr>
                <w:rFonts w:ascii="Arial" w:hAnsi="Arial" w:cs="Arial"/>
                <w:b/>
              </w:rPr>
            </w:pPr>
            <w:r>
              <w:rPr>
                <w:rFonts w:ascii="Calibri" w:hAnsi="Calibri" w:cs="Arial"/>
                <w:b/>
              </w:rPr>
              <w:t>Financial Management for the Hotel Industry</w:t>
            </w:r>
          </w:p>
        </w:tc>
      </w:tr>
      <w:tr w:rsidR="004314C8" w:rsidRPr="00A406E5" w14:paraId="5E0731C8" w14:textId="77777777" w:rsidTr="004314C8">
        <w:trPr>
          <w:jc w:val="center"/>
        </w:trPr>
        <w:tc>
          <w:tcPr>
            <w:tcW w:w="2093" w:type="dxa"/>
            <w:shd w:val="pct15" w:color="auto" w:fill="auto"/>
          </w:tcPr>
          <w:p w14:paraId="588A0C6F" w14:textId="77777777" w:rsidR="004314C8" w:rsidRPr="00A406E5" w:rsidRDefault="004314C8" w:rsidP="00625714">
            <w:pPr>
              <w:spacing w:before="120" w:after="120"/>
              <w:rPr>
                <w:rFonts w:ascii="Arial" w:hAnsi="Arial" w:cs="Arial"/>
                <w:b/>
              </w:rPr>
            </w:pPr>
            <w:r w:rsidRPr="00A406E5">
              <w:rPr>
                <w:rFonts w:ascii="Arial" w:hAnsi="Arial" w:cs="Arial"/>
                <w:b/>
              </w:rPr>
              <w:t>Module code:</w:t>
            </w:r>
          </w:p>
        </w:tc>
        <w:tc>
          <w:tcPr>
            <w:tcW w:w="3293" w:type="dxa"/>
          </w:tcPr>
          <w:p w14:paraId="430BD730" w14:textId="77777777" w:rsidR="004314C8" w:rsidRPr="00A406E5" w:rsidRDefault="004314C8" w:rsidP="00625714">
            <w:pPr>
              <w:spacing w:before="120" w:after="120"/>
              <w:rPr>
                <w:rFonts w:ascii="Arial" w:hAnsi="Arial" w:cs="Arial"/>
                <w:b/>
              </w:rPr>
            </w:pPr>
            <w:r>
              <w:rPr>
                <w:rFonts w:ascii="Calibri" w:hAnsi="Calibri" w:cs="Arial"/>
                <w:b/>
              </w:rPr>
              <w:t>BMIH5007</w:t>
            </w:r>
          </w:p>
        </w:tc>
        <w:tc>
          <w:tcPr>
            <w:tcW w:w="2268" w:type="dxa"/>
            <w:shd w:val="clear" w:color="auto" w:fill="D9D9D9"/>
          </w:tcPr>
          <w:p w14:paraId="384B369D" w14:textId="77777777" w:rsidR="004314C8" w:rsidRPr="004D5E9B" w:rsidRDefault="004314C8" w:rsidP="0062571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87AE746" w14:textId="77777777" w:rsidR="004314C8" w:rsidRPr="00A406E5" w:rsidRDefault="004314C8" w:rsidP="00625714">
            <w:pPr>
              <w:spacing w:before="120" w:after="120"/>
              <w:rPr>
                <w:rFonts w:ascii="Arial" w:hAnsi="Arial" w:cs="Arial"/>
                <w:b/>
              </w:rPr>
            </w:pPr>
            <w:r>
              <w:rPr>
                <w:rFonts w:ascii="Arial" w:hAnsi="Arial" w:cs="Arial"/>
                <w:b/>
              </w:rPr>
              <w:t>50%</w:t>
            </w:r>
          </w:p>
        </w:tc>
      </w:tr>
      <w:tr w:rsidR="004314C8" w:rsidRPr="00A406E5" w14:paraId="16C37B78" w14:textId="77777777" w:rsidTr="004314C8">
        <w:trPr>
          <w:jc w:val="center"/>
        </w:trPr>
        <w:tc>
          <w:tcPr>
            <w:tcW w:w="2093" w:type="dxa"/>
            <w:shd w:val="pct15" w:color="auto" w:fill="auto"/>
          </w:tcPr>
          <w:p w14:paraId="550DBF30" w14:textId="77777777" w:rsidR="004314C8" w:rsidRPr="00A406E5" w:rsidRDefault="004314C8" w:rsidP="00625714">
            <w:pPr>
              <w:spacing w:before="120" w:after="120"/>
              <w:rPr>
                <w:rFonts w:ascii="Arial" w:hAnsi="Arial" w:cs="Arial"/>
                <w:b/>
              </w:rPr>
            </w:pPr>
            <w:r w:rsidRPr="00A406E5">
              <w:rPr>
                <w:rFonts w:ascii="Arial" w:hAnsi="Arial" w:cs="Arial"/>
                <w:b/>
              </w:rPr>
              <w:t>Lecturer:</w:t>
            </w:r>
          </w:p>
        </w:tc>
        <w:tc>
          <w:tcPr>
            <w:tcW w:w="3293" w:type="dxa"/>
          </w:tcPr>
          <w:p w14:paraId="0B6C861B" w14:textId="77777777" w:rsidR="004314C8" w:rsidRPr="00A406E5" w:rsidRDefault="004314C8" w:rsidP="00625714">
            <w:pPr>
              <w:spacing w:before="120" w:after="120"/>
              <w:rPr>
                <w:rFonts w:ascii="Arial" w:hAnsi="Arial" w:cs="Arial"/>
                <w:b/>
              </w:rPr>
            </w:pPr>
            <w:r>
              <w:rPr>
                <w:rFonts w:ascii="Arial" w:hAnsi="Arial" w:cs="Arial"/>
                <w:b/>
              </w:rPr>
              <w:t>Dale Clarke</w:t>
            </w:r>
          </w:p>
        </w:tc>
        <w:tc>
          <w:tcPr>
            <w:tcW w:w="2268" w:type="dxa"/>
            <w:shd w:val="clear" w:color="auto" w:fill="D9D9D9"/>
          </w:tcPr>
          <w:p w14:paraId="5D618256" w14:textId="77777777" w:rsidR="004314C8" w:rsidRPr="00A406E5" w:rsidRDefault="004314C8" w:rsidP="00625714">
            <w:pPr>
              <w:spacing w:before="120" w:after="120"/>
              <w:rPr>
                <w:rFonts w:ascii="Arial" w:hAnsi="Arial" w:cs="Arial"/>
                <w:b/>
              </w:rPr>
            </w:pPr>
            <w:r w:rsidRPr="00A406E5">
              <w:rPr>
                <w:rFonts w:ascii="Arial" w:hAnsi="Arial" w:cs="Arial"/>
                <w:b/>
              </w:rPr>
              <w:t>Internal Verifier:</w:t>
            </w:r>
          </w:p>
        </w:tc>
        <w:tc>
          <w:tcPr>
            <w:tcW w:w="2268" w:type="dxa"/>
          </w:tcPr>
          <w:p w14:paraId="00D216DB" w14:textId="77777777" w:rsidR="004314C8" w:rsidRPr="00A406E5" w:rsidRDefault="004314C8" w:rsidP="00625714">
            <w:pPr>
              <w:spacing w:before="120" w:after="120"/>
              <w:rPr>
                <w:rFonts w:ascii="Arial" w:hAnsi="Arial" w:cs="Arial"/>
                <w:b/>
              </w:rPr>
            </w:pPr>
            <w:r>
              <w:rPr>
                <w:rFonts w:ascii="Arial" w:hAnsi="Arial" w:cs="Arial"/>
                <w:b/>
              </w:rPr>
              <w:t xml:space="preserve">Emily Williams </w:t>
            </w:r>
          </w:p>
        </w:tc>
      </w:tr>
      <w:tr w:rsidR="004314C8" w:rsidRPr="00A406E5" w14:paraId="50811CB5" w14:textId="77777777" w:rsidTr="004314C8">
        <w:trPr>
          <w:jc w:val="center"/>
        </w:trPr>
        <w:tc>
          <w:tcPr>
            <w:tcW w:w="2093" w:type="dxa"/>
            <w:shd w:val="pct15" w:color="auto" w:fill="auto"/>
          </w:tcPr>
          <w:p w14:paraId="64646F01" w14:textId="77777777" w:rsidR="004314C8" w:rsidRPr="00A406E5" w:rsidRDefault="004314C8" w:rsidP="00625714">
            <w:pPr>
              <w:spacing w:before="120" w:after="120"/>
              <w:rPr>
                <w:rFonts w:ascii="Arial" w:hAnsi="Arial" w:cs="Arial"/>
                <w:b/>
              </w:rPr>
            </w:pPr>
            <w:r w:rsidRPr="00A406E5">
              <w:rPr>
                <w:rFonts w:ascii="Arial" w:hAnsi="Arial" w:cs="Arial"/>
                <w:b/>
              </w:rPr>
              <w:t>Assignment Title:</w:t>
            </w:r>
          </w:p>
        </w:tc>
        <w:tc>
          <w:tcPr>
            <w:tcW w:w="3293" w:type="dxa"/>
          </w:tcPr>
          <w:p w14:paraId="7C03587B" w14:textId="77777777" w:rsidR="004314C8" w:rsidRPr="00A406E5" w:rsidRDefault="004314C8" w:rsidP="00625714">
            <w:pPr>
              <w:spacing w:before="120" w:after="120"/>
              <w:rPr>
                <w:rFonts w:ascii="Arial" w:hAnsi="Arial" w:cs="Arial"/>
                <w:b/>
              </w:rPr>
            </w:pPr>
            <w:r>
              <w:rPr>
                <w:rFonts w:ascii="Arial" w:hAnsi="Arial" w:cs="Arial"/>
                <w:b/>
              </w:rPr>
              <w:t xml:space="preserve">Assignment 1: Hilton Hotel </w:t>
            </w:r>
          </w:p>
        </w:tc>
        <w:tc>
          <w:tcPr>
            <w:tcW w:w="2268" w:type="dxa"/>
            <w:shd w:val="pct15" w:color="auto" w:fill="auto"/>
          </w:tcPr>
          <w:p w14:paraId="27666A69" w14:textId="77777777" w:rsidR="004314C8" w:rsidRPr="00A406E5" w:rsidRDefault="004314C8" w:rsidP="00625714">
            <w:pPr>
              <w:spacing w:before="120" w:after="120"/>
              <w:rPr>
                <w:rFonts w:ascii="Arial" w:hAnsi="Arial" w:cs="Arial"/>
                <w:b/>
              </w:rPr>
            </w:pPr>
            <w:r>
              <w:rPr>
                <w:rFonts w:ascii="Arial" w:hAnsi="Arial" w:cs="Arial"/>
                <w:b/>
              </w:rPr>
              <w:t>Word count (or equivalent):</w:t>
            </w:r>
          </w:p>
        </w:tc>
        <w:tc>
          <w:tcPr>
            <w:tcW w:w="2268" w:type="dxa"/>
          </w:tcPr>
          <w:p w14:paraId="1F0CFE36" w14:textId="77777777" w:rsidR="004314C8" w:rsidRPr="00A406E5" w:rsidRDefault="004314C8" w:rsidP="00625714">
            <w:pPr>
              <w:spacing w:before="120" w:after="120"/>
              <w:rPr>
                <w:rFonts w:ascii="Arial" w:hAnsi="Arial" w:cs="Arial"/>
                <w:b/>
              </w:rPr>
            </w:pPr>
            <w:r>
              <w:rPr>
                <w:rFonts w:ascii="Arial" w:hAnsi="Arial" w:cs="Arial"/>
                <w:b/>
              </w:rPr>
              <w:t>2000</w:t>
            </w:r>
          </w:p>
        </w:tc>
      </w:tr>
      <w:tr w:rsidR="004314C8" w:rsidRPr="00A406E5" w14:paraId="39A0EADF" w14:textId="77777777" w:rsidTr="004314C8">
        <w:trPr>
          <w:jc w:val="center"/>
        </w:trPr>
        <w:tc>
          <w:tcPr>
            <w:tcW w:w="2093" w:type="dxa"/>
            <w:shd w:val="pct15" w:color="auto" w:fill="auto"/>
          </w:tcPr>
          <w:p w14:paraId="04372359" w14:textId="77777777" w:rsidR="004314C8" w:rsidRPr="00A406E5" w:rsidRDefault="004314C8" w:rsidP="00625714">
            <w:pPr>
              <w:spacing w:before="120" w:after="120"/>
              <w:rPr>
                <w:rFonts w:ascii="Arial" w:hAnsi="Arial" w:cs="Arial"/>
                <w:b/>
              </w:rPr>
            </w:pPr>
            <w:r w:rsidRPr="00A406E5">
              <w:rPr>
                <w:rFonts w:ascii="Arial" w:hAnsi="Arial" w:cs="Arial"/>
                <w:b/>
              </w:rPr>
              <w:t>Submission deadline:</w:t>
            </w:r>
          </w:p>
        </w:tc>
        <w:tc>
          <w:tcPr>
            <w:tcW w:w="3293" w:type="dxa"/>
            <w:shd w:val="clear" w:color="auto" w:fill="auto"/>
          </w:tcPr>
          <w:p w14:paraId="5253CDC5" w14:textId="77777777" w:rsidR="004314C8" w:rsidRPr="00A406E5" w:rsidRDefault="004314C8" w:rsidP="00625714">
            <w:pPr>
              <w:spacing w:before="120" w:after="120"/>
              <w:rPr>
                <w:rFonts w:ascii="Arial" w:hAnsi="Arial" w:cs="Arial"/>
                <w:b/>
              </w:rPr>
            </w:pPr>
            <w:r>
              <w:rPr>
                <w:rFonts w:ascii="Arial" w:hAnsi="Arial" w:cs="Arial"/>
                <w:b/>
              </w:rPr>
              <w:t>1 June 2022</w:t>
            </w:r>
          </w:p>
        </w:tc>
        <w:tc>
          <w:tcPr>
            <w:tcW w:w="2268" w:type="dxa"/>
            <w:shd w:val="pct15" w:color="auto" w:fill="auto"/>
          </w:tcPr>
          <w:p w14:paraId="7409E07F" w14:textId="77777777" w:rsidR="004314C8" w:rsidRPr="00A406E5" w:rsidRDefault="004314C8" w:rsidP="00625714">
            <w:pPr>
              <w:spacing w:before="120" w:after="120"/>
              <w:rPr>
                <w:rFonts w:ascii="Arial" w:hAnsi="Arial" w:cs="Arial"/>
                <w:b/>
              </w:rPr>
            </w:pPr>
            <w:r w:rsidRPr="00A406E5">
              <w:rPr>
                <w:rFonts w:ascii="Arial" w:hAnsi="Arial" w:cs="Arial"/>
                <w:b/>
              </w:rPr>
              <w:t>Return date of provisional marks &amp; written feedback:</w:t>
            </w:r>
          </w:p>
        </w:tc>
        <w:tc>
          <w:tcPr>
            <w:tcW w:w="2268" w:type="dxa"/>
          </w:tcPr>
          <w:p w14:paraId="39F6517D" w14:textId="77777777" w:rsidR="004314C8" w:rsidRPr="00A406E5" w:rsidRDefault="004314C8" w:rsidP="00625714">
            <w:pPr>
              <w:spacing w:before="120" w:after="120"/>
              <w:rPr>
                <w:rFonts w:ascii="Arial" w:hAnsi="Arial" w:cs="Arial"/>
                <w:b/>
              </w:rPr>
            </w:pPr>
            <w:r>
              <w:rPr>
                <w:rFonts w:ascii="Arial" w:hAnsi="Arial" w:cs="Arial"/>
                <w:b/>
              </w:rPr>
              <w:t xml:space="preserve"> Aug 2022</w:t>
            </w:r>
          </w:p>
        </w:tc>
      </w:tr>
    </w:tbl>
    <w:p w14:paraId="034B35B5" w14:textId="77777777" w:rsidR="004314C8" w:rsidRPr="00A406E5" w:rsidRDefault="004314C8" w:rsidP="004314C8">
      <w:pPr>
        <w:rPr>
          <w:rFonts w:ascii="Arial" w:hAnsi="Arial" w:cs="Arial"/>
          <w:sz w:val="32"/>
        </w:rPr>
      </w:pPr>
    </w:p>
    <w:p w14:paraId="3993B7CF" w14:textId="77777777" w:rsidR="00884652" w:rsidRDefault="00884652" w:rsidP="00DC031F">
      <w:pPr>
        <w:spacing w:line="360" w:lineRule="auto"/>
        <w:jc w:val="left"/>
        <w:rPr>
          <w:rFonts w:eastAsiaTheme="majorEastAsia" w:cstheme="majorBidi"/>
          <w:color w:val="2F5496" w:themeColor="accent1" w:themeShade="BF"/>
          <w:sz w:val="32"/>
          <w:szCs w:val="40"/>
          <w:lang w:eastAsia="en-GB" w:bidi="bn-BD"/>
        </w:rPr>
      </w:pPr>
      <w:r>
        <w:br w:type="page"/>
      </w:r>
    </w:p>
    <w:sdt>
      <w:sdtPr>
        <w:rPr>
          <w:rFonts w:ascii="Times New Roman" w:eastAsiaTheme="minorHAnsi" w:hAnsi="Times New Roman" w:cstheme="minorBidi"/>
          <w:color w:val="auto"/>
          <w:sz w:val="22"/>
          <w:szCs w:val="22"/>
          <w:lang w:val="en-GB"/>
        </w:rPr>
        <w:id w:val="-445695639"/>
        <w:docPartObj>
          <w:docPartGallery w:val="Table of Contents"/>
          <w:docPartUnique/>
        </w:docPartObj>
      </w:sdtPr>
      <w:sdtEndPr>
        <w:rPr>
          <w:b/>
          <w:bCs/>
          <w:noProof/>
        </w:rPr>
      </w:sdtEndPr>
      <w:sdtContent>
        <w:p w14:paraId="72FF5371" w14:textId="77777777" w:rsidR="00884652" w:rsidRDefault="00884652" w:rsidP="00DC031F">
          <w:pPr>
            <w:pStyle w:val="TOCHeading"/>
            <w:spacing w:line="360" w:lineRule="auto"/>
          </w:pPr>
          <w:r>
            <w:t>Table of Contents</w:t>
          </w:r>
        </w:p>
        <w:p w14:paraId="48310EAF" w14:textId="77777777" w:rsidR="00497389" w:rsidRDefault="00460821" w:rsidP="00DC031F">
          <w:pPr>
            <w:pStyle w:val="TOC1"/>
            <w:tabs>
              <w:tab w:val="right" w:leader="dot" w:pos="9350"/>
            </w:tabs>
            <w:spacing w:line="360" w:lineRule="auto"/>
            <w:rPr>
              <w:rFonts w:asciiTheme="minorHAnsi" w:eastAsiaTheme="minorEastAsia" w:hAnsiTheme="minorHAnsi"/>
              <w:noProof/>
              <w:lang w:eastAsia="en-GB"/>
            </w:rPr>
          </w:pPr>
          <w:r>
            <w:fldChar w:fldCharType="begin"/>
          </w:r>
          <w:r w:rsidR="00884652">
            <w:instrText xml:space="preserve"> TOC \o "1-3" \h \z \u </w:instrText>
          </w:r>
          <w:r>
            <w:fldChar w:fldCharType="separate"/>
          </w:r>
          <w:hyperlink w:anchor="_Toc104679084" w:history="1">
            <w:r w:rsidR="00497389" w:rsidRPr="00685B04">
              <w:rPr>
                <w:rStyle w:val="Hyperlink"/>
                <w:noProof/>
                <w:lang w:bidi="bn-BD"/>
              </w:rPr>
              <w:t>Introduction</w:t>
            </w:r>
            <w:r w:rsidR="00497389">
              <w:rPr>
                <w:noProof/>
                <w:webHidden/>
              </w:rPr>
              <w:tab/>
            </w:r>
            <w:r>
              <w:rPr>
                <w:noProof/>
                <w:webHidden/>
              </w:rPr>
              <w:fldChar w:fldCharType="begin"/>
            </w:r>
            <w:r w:rsidR="00497389">
              <w:rPr>
                <w:noProof/>
                <w:webHidden/>
              </w:rPr>
              <w:instrText xml:space="preserve"> PAGEREF _Toc104679084 \h </w:instrText>
            </w:r>
            <w:r>
              <w:rPr>
                <w:noProof/>
                <w:webHidden/>
              </w:rPr>
            </w:r>
            <w:r>
              <w:rPr>
                <w:noProof/>
                <w:webHidden/>
              </w:rPr>
              <w:fldChar w:fldCharType="separate"/>
            </w:r>
            <w:r w:rsidR="00F72DA9">
              <w:rPr>
                <w:noProof/>
                <w:webHidden/>
              </w:rPr>
              <w:t>3</w:t>
            </w:r>
            <w:r>
              <w:rPr>
                <w:noProof/>
                <w:webHidden/>
              </w:rPr>
              <w:fldChar w:fldCharType="end"/>
            </w:r>
          </w:hyperlink>
        </w:p>
        <w:p w14:paraId="1D0D3A80" w14:textId="77777777" w:rsidR="00497389" w:rsidRDefault="00727A23" w:rsidP="00DC031F">
          <w:pPr>
            <w:pStyle w:val="TOC1"/>
            <w:tabs>
              <w:tab w:val="right" w:leader="dot" w:pos="9350"/>
            </w:tabs>
            <w:spacing w:line="360" w:lineRule="auto"/>
            <w:rPr>
              <w:rFonts w:asciiTheme="minorHAnsi" w:eastAsiaTheme="minorEastAsia" w:hAnsiTheme="minorHAnsi"/>
              <w:noProof/>
              <w:lang w:eastAsia="en-GB"/>
            </w:rPr>
          </w:pPr>
          <w:hyperlink w:anchor="_Toc104679085" w:history="1">
            <w:r w:rsidR="00497389" w:rsidRPr="00685B04">
              <w:rPr>
                <w:rStyle w:val="Hyperlink"/>
                <w:noProof/>
                <w:lang w:bidi="bn-BD"/>
              </w:rPr>
              <w:t>Calculation of Horizontal ratios for 2019 and 2020</w:t>
            </w:r>
            <w:r w:rsidR="00497389">
              <w:rPr>
                <w:noProof/>
                <w:webHidden/>
              </w:rPr>
              <w:tab/>
            </w:r>
            <w:r w:rsidR="00460821">
              <w:rPr>
                <w:noProof/>
                <w:webHidden/>
              </w:rPr>
              <w:fldChar w:fldCharType="begin"/>
            </w:r>
            <w:r w:rsidR="00497389">
              <w:rPr>
                <w:noProof/>
                <w:webHidden/>
              </w:rPr>
              <w:instrText xml:space="preserve"> PAGEREF _Toc104679085 \h </w:instrText>
            </w:r>
            <w:r w:rsidR="00460821">
              <w:rPr>
                <w:noProof/>
                <w:webHidden/>
              </w:rPr>
            </w:r>
            <w:r w:rsidR="00460821">
              <w:rPr>
                <w:noProof/>
                <w:webHidden/>
              </w:rPr>
              <w:fldChar w:fldCharType="separate"/>
            </w:r>
            <w:r w:rsidR="00F72DA9">
              <w:rPr>
                <w:noProof/>
                <w:webHidden/>
              </w:rPr>
              <w:t>3</w:t>
            </w:r>
            <w:r w:rsidR="00460821">
              <w:rPr>
                <w:noProof/>
                <w:webHidden/>
              </w:rPr>
              <w:fldChar w:fldCharType="end"/>
            </w:r>
          </w:hyperlink>
        </w:p>
        <w:p w14:paraId="1F89FBB2" w14:textId="77777777" w:rsidR="00497389" w:rsidRDefault="00727A23" w:rsidP="00DC031F">
          <w:pPr>
            <w:pStyle w:val="TOC1"/>
            <w:tabs>
              <w:tab w:val="right" w:leader="dot" w:pos="9350"/>
            </w:tabs>
            <w:spacing w:line="360" w:lineRule="auto"/>
            <w:rPr>
              <w:rFonts w:asciiTheme="minorHAnsi" w:eastAsiaTheme="minorEastAsia" w:hAnsiTheme="minorHAnsi"/>
              <w:noProof/>
              <w:lang w:eastAsia="en-GB"/>
            </w:rPr>
          </w:pPr>
          <w:hyperlink w:anchor="_Toc104679086" w:history="1">
            <w:r w:rsidR="00497389" w:rsidRPr="00685B04">
              <w:rPr>
                <w:rStyle w:val="Hyperlink"/>
                <w:noProof/>
                <w:lang w:bidi="bn-BD"/>
              </w:rPr>
              <w:t>Outline the importance of using ratio analysis for decision making</w:t>
            </w:r>
            <w:r w:rsidR="00497389">
              <w:rPr>
                <w:noProof/>
                <w:webHidden/>
              </w:rPr>
              <w:tab/>
            </w:r>
            <w:r w:rsidR="00460821">
              <w:rPr>
                <w:noProof/>
                <w:webHidden/>
              </w:rPr>
              <w:fldChar w:fldCharType="begin"/>
            </w:r>
            <w:r w:rsidR="00497389">
              <w:rPr>
                <w:noProof/>
                <w:webHidden/>
              </w:rPr>
              <w:instrText xml:space="preserve"> PAGEREF _Toc104679086 \h </w:instrText>
            </w:r>
            <w:r w:rsidR="00460821">
              <w:rPr>
                <w:noProof/>
                <w:webHidden/>
              </w:rPr>
            </w:r>
            <w:r w:rsidR="00460821">
              <w:rPr>
                <w:noProof/>
                <w:webHidden/>
              </w:rPr>
              <w:fldChar w:fldCharType="separate"/>
            </w:r>
            <w:r w:rsidR="00F72DA9">
              <w:rPr>
                <w:noProof/>
                <w:webHidden/>
              </w:rPr>
              <w:t>5</w:t>
            </w:r>
            <w:r w:rsidR="00460821">
              <w:rPr>
                <w:noProof/>
                <w:webHidden/>
              </w:rPr>
              <w:fldChar w:fldCharType="end"/>
            </w:r>
          </w:hyperlink>
        </w:p>
        <w:p w14:paraId="0B89A22D" w14:textId="77777777" w:rsidR="00497389" w:rsidRDefault="00727A23" w:rsidP="00DC031F">
          <w:pPr>
            <w:pStyle w:val="TOC1"/>
            <w:tabs>
              <w:tab w:val="right" w:leader="dot" w:pos="9350"/>
            </w:tabs>
            <w:spacing w:line="360" w:lineRule="auto"/>
            <w:rPr>
              <w:rFonts w:asciiTheme="minorHAnsi" w:eastAsiaTheme="minorEastAsia" w:hAnsiTheme="minorHAnsi"/>
              <w:noProof/>
              <w:lang w:eastAsia="en-GB"/>
            </w:rPr>
          </w:pPr>
          <w:hyperlink w:anchor="_Toc104679087" w:history="1">
            <w:r w:rsidR="00497389" w:rsidRPr="00685B04">
              <w:rPr>
                <w:rStyle w:val="Hyperlink"/>
                <w:noProof/>
                <w:lang w:bidi="bn-BD"/>
              </w:rPr>
              <w:t>The limitation of ratio analysis, &amp; importance of ratios for hotel management</w:t>
            </w:r>
            <w:r w:rsidR="00497389">
              <w:rPr>
                <w:noProof/>
                <w:webHidden/>
              </w:rPr>
              <w:tab/>
            </w:r>
            <w:r w:rsidR="00460821">
              <w:rPr>
                <w:noProof/>
                <w:webHidden/>
              </w:rPr>
              <w:fldChar w:fldCharType="begin"/>
            </w:r>
            <w:r w:rsidR="00497389">
              <w:rPr>
                <w:noProof/>
                <w:webHidden/>
              </w:rPr>
              <w:instrText xml:space="preserve"> PAGEREF _Toc104679087 \h </w:instrText>
            </w:r>
            <w:r w:rsidR="00460821">
              <w:rPr>
                <w:noProof/>
                <w:webHidden/>
              </w:rPr>
            </w:r>
            <w:r w:rsidR="00460821">
              <w:rPr>
                <w:noProof/>
                <w:webHidden/>
              </w:rPr>
              <w:fldChar w:fldCharType="separate"/>
            </w:r>
            <w:r w:rsidR="00F72DA9">
              <w:rPr>
                <w:noProof/>
                <w:webHidden/>
              </w:rPr>
              <w:t>6</w:t>
            </w:r>
            <w:r w:rsidR="00460821">
              <w:rPr>
                <w:noProof/>
                <w:webHidden/>
              </w:rPr>
              <w:fldChar w:fldCharType="end"/>
            </w:r>
          </w:hyperlink>
        </w:p>
        <w:p w14:paraId="3A1F48E7" w14:textId="77777777" w:rsidR="00497389" w:rsidRDefault="00727A23" w:rsidP="00DC031F">
          <w:pPr>
            <w:pStyle w:val="TOC1"/>
            <w:tabs>
              <w:tab w:val="right" w:leader="dot" w:pos="9350"/>
            </w:tabs>
            <w:spacing w:line="360" w:lineRule="auto"/>
            <w:rPr>
              <w:rFonts w:asciiTheme="minorHAnsi" w:eastAsiaTheme="minorEastAsia" w:hAnsiTheme="minorHAnsi"/>
              <w:noProof/>
              <w:lang w:eastAsia="en-GB"/>
            </w:rPr>
          </w:pPr>
          <w:hyperlink w:anchor="_Toc104679088" w:history="1">
            <w:r w:rsidR="00497389" w:rsidRPr="00685B04">
              <w:rPr>
                <w:rStyle w:val="Hyperlink"/>
                <w:noProof/>
                <w:lang w:bidi="bn-BD"/>
              </w:rPr>
              <w:t>Conclusion</w:t>
            </w:r>
            <w:r w:rsidR="00497389">
              <w:rPr>
                <w:noProof/>
                <w:webHidden/>
              </w:rPr>
              <w:tab/>
            </w:r>
            <w:r w:rsidR="00460821">
              <w:rPr>
                <w:noProof/>
                <w:webHidden/>
              </w:rPr>
              <w:fldChar w:fldCharType="begin"/>
            </w:r>
            <w:r w:rsidR="00497389">
              <w:rPr>
                <w:noProof/>
                <w:webHidden/>
              </w:rPr>
              <w:instrText xml:space="preserve"> PAGEREF _Toc104679088 \h </w:instrText>
            </w:r>
            <w:r w:rsidR="00460821">
              <w:rPr>
                <w:noProof/>
                <w:webHidden/>
              </w:rPr>
            </w:r>
            <w:r w:rsidR="00460821">
              <w:rPr>
                <w:noProof/>
                <w:webHidden/>
              </w:rPr>
              <w:fldChar w:fldCharType="separate"/>
            </w:r>
            <w:r w:rsidR="00F72DA9">
              <w:rPr>
                <w:noProof/>
                <w:webHidden/>
              </w:rPr>
              <w:t>8</w:t>
            </w:r>
            <w:r w:rsidR="00460821">
              <w:rPr>
                <w:noProof/>
                <w:webHidden/>
              </w:rPr>
              <w:fldChar w:fldCharType="end"/>
            </w:r>
          </w:hyperlink>
        </w:p>
        <w:p w14:paraId="5D3C945E" w14:textId="77777777" w:rsidR="00497389" w:rsidRDefault="00727A23" w:rsidP="00DC031F">
          <w:pPr>
            <w:pStyle w:val="TOC1"/>
            <w:tabs>
              <w:tab w:val="right" w:leader="dot" w:pos="9350"/>
            </w:tabs>
            <w:spacing w:line="360" w:lineRule="auto"/>
            <w:rPr>
              <w:rFonts w:asciiTheme="minorHAnsi" w:eastAsiaTheme="minorEastAsia" w:hAnsiTheme="minorHAnsi"/>
              <w:noProof/>
              <w:lang w:eastAsia="en-GB"/>
            </w:rPr>
          </w:pPr>
          <w:hyperlink w:anchor="_Toc104679089" w:history="1">
            <w:r w:rsidR="00497389" w:rsidRPr="00685B04">
              <w:rPr>
                <w:rStyle w:val="Hyperlink"/>
                <w:noProof/>
                <w:lang w:bidi="bn-BD"/>
              </w:rPr>
              <w:t>Reference</w:t>
            </w:r>
            <w:r w:rsidR="00497389">
              <w:rPr>
                <w:noProof/>
                <w:webHidden/>
              </w:rPr>
              <w:tab/>
            </w:r>
            <w:r w:rsidR="00460821">
              <w:rPr>
                <w:noProof/>
                <w:webHidden/>
              </w:rPr>
              <w:fldChar w:fldCharType="begin"/>
            </w:r>
            <w:r w:rsidR="00497389">
              <w:rPr>
                <w:noProof/>
                <w:webHidden/>
              </w:rPr>
              <w:instrText xml:space="preserve"> PAGEREF _Toc104679089 \h </w:instrText>
            </w:r>
            <w:r w:rsidR="00460821">
              <w:rPr>
                <w:noProof/>
                <w:webHidden/>
              </w:rPr>
            </w:r>
            <w:r w:rsidR="00460821">
              <w:rPr>
                <w:noProof/>
                <w:webHidden/>
              </w:rPr>
              <w:fldChar w:fldCharType="separate"/>
            </w:r>
            <w:r w:rsidR="00F72DA9">
              <w:rPr>
                <w:noProof/>
                <w:webHidden/>
              </w:rPr>
              <w:t>8</w:t>
            </w:r>
            <w:r w:rsidR="00460821">
              <w:rPr>
                <w:noProof/>
                <w:webHidden/>
              </w:rPr>
              <w:fldChar w:fldCharType="end"/>
            </w:r>
          </w:hyperlink>
        </w:p>
        <w:p w14:paraId="7814BACE" w14:textId="77777777" w:rsidR="00884652" w:rsidRDefault="00460821" w:rsidP="00DC031F">
          <w:pPr>
            <w:spacing w:line="360" w:lineRule="auto"/>
          </w:pPr>
          <w:r>
            <w:rPr>
              <w:b/>
              <w:bCs/>
              <w:noProof/>
            </w:rPr>
            <w:fldChar w:fldCharType="end"/>
          </w:r>
        </w:p>
      </w:sdtContent>
    </w:sdt>
    <w:p w14:paraId="4E4F56D0" w14:textId="77777777" w:rsidR="00853ABF" w:rsidRPr="00853ABF" w:rsidRDefault="00853ABF" w:rsidP="00DC031F">
      <w:pPr>
        <w:spacing w:line="360" w:lineRule="auto"/>
        <w:rPr>
          <w:lang w:eastAsia="en-GB" w:bidi="bn-BD"/>
        </w:rPr>
      </w:pPr>
    </w:p>
    <w:p w14:paraId="54C24BA5" w14:textId="77777777" w:rsidR="00884652" w:rsidRDefault="00884652" w:rsidP="00DC031F">
      <w:pPr>
        <w:spacing w:line="360" w:lineRule="auto"/>
        <w:jc w:val="left"/>
        <w:rPr>
          <w:rFonts w:eastAsiaTheme="majorEastAsia" w:cstheme="majorBidi"/>
          <w:color w:val="2F5496" w:themeColor="accent1" w:themeShade="BF"/>
          <w:sz w:val="32"/>
          <w:szCs w:val="40"/>
          <w:lang w:eastAsia="en-GB" w:bidi="bn-BD"/>
        </w:rPr>
      </w:pPr>
      <w:r>
        <w:br w:type="page"/>
      </w:r>
    </w:p>
    <w:p w14:paraId="3CDCC9DD" w14:textId="77777777" w:rsidR="00C001F8" w:rsidRDefault="00C001F8" w:rsidP="00DC031F">
      <w:pPr>
        <w:pStyle w:val="Heading1"/>
        <w:spacing w:line="360" w:lineRule="auto"/>
      </w:pPr>
      <w:bookmarkStart w:id="1" w:name="_Toc104679084"/>
      <w:r>
        <w:lastRenderedPageBreak/>
        <w:t>Introduction</w:t>
      </w:r>
      <w:bookmarkEnd w:id="1"/>
    </w:p>
    <w:p w14:paraId="7D3903B7" w14:textId="77777777" w:rsidR="00C001F8" w:rsidRPr="00C001F8" w:rsidRDefault="00DC12AB" w:rsidP="00DC031F">
      <w:pPr>
        <w:spacing w:line="360" w:lineRule="auto"/>
        <w:rPr>
          <w:lang w:eastAsia="en-GB" w:bidi="bn-BD"/>
        </w:rPr>
      </w:pPr>
      <w:r w:rsidRPr="00DC12AB">
        <w:rPr>
          <w:lang w:eastAsia="en-GB" w:bidi="bn-BD"/>
        </w:rPr>
        <w:t xml:space="preserve">Using a company's historical financial data, ratio analysis allows </w:t>
      </w:r>
      <w:r w:rsidR="003B1C9C">
        <w:rPr>
          <w:lang w:eastAsia="en-GB" w:bidi="bn-BD"/>
        </w:rPr>
        <w:t xml:space="preserve">an investor </w:t>
      </w:r>
      <w:r w:rsidRPr="00DC12AB">
        <w:rPr>
          <w:lang w:eastAsia="en-GB" w:bidi="bn-BD"/>
        </w:rPr>
        <w:t>to evaluate its financial health and success over time. People use this type of study to determine the business's performance throughout time.</w:t>
      </w:r>
      <w:r w:rsidR="00DC031F">
        <w:rPr>
          <w:lang w:eastAsia="en-GB" w:bidi="bn-BD"/>
        </w:rPr>
        <w:t xml:space="preserve"> </w:t>
      </w:r>
      <w:r w:rsidRPr="00DC12AB">
        <w:rPr>
          <w:lang w:eastAsia="en-GB" w:bidi="bn-BD"/>
        </w:rPr>
        <w:t xml:space="preserve">Frequently, successful firms have high ratios that indicate sustained growth and sound financial health. It is also common for successful businesses to have managers that can handle a variety of issues. Before deciding on a firm, </w:t>
      </w:r>
      <w:r w:rsidR="00C52FCE">
        <w:rPr>
          <w:lang w:eastAsia="en-GB" w:bidi="bn-BD"/>
        </w:rPr>
        <w:t xml:space="preserve">a person </w:t>
      </w:r>
      <w:r w:rsidRPr="00DC12AB">
        <w:rPr>
          <w:lang w:eastAsia="en-GB" w:bidi="bn-BD"/>
        </w:rPr>
        <w:t xml:space="preserve">should evaluate </w:t>
      </w:r>
      <w:r w:rsidR="00F72DA9">
        <w:rPr>
          <w:lang w:eastAsia="en-GB" w:bidi="bn-BD"/>
        </w:rPr>
        <w:t xml:space="preserve">its performance in all aspects </w:t>
      </w:r>
      <w:sdt>
        <w:sdtPr>
          <w:rPr>
            <w:lang w:eastAsia="en-GB" w:bidi="bn-BD"/>
          </w:rPr>
          <w:id w:val="273233126"/>
          <w:citation/>
        </w:sdtPr>
        <w:sdtEndPr/>
        <w:sdtContent>
          <w:r w:rsidR="00F72DA9">
            <w:rPr>
              <w:lang w:eastAsia="en-GB" w:bidi="bn-BD"/>
            </w:rPr>
            <w:fldChar w:fldCharType="begin"/>
          </w:r>
          <w:r w:rsidR="00F72DA9">
            <w:rPr>
              <w:lang w:val="en-US" w:eastAsia="en-GB" w:bidi="bn-BD"/>
            </w:rPr>
            <w:instrText xml:space="preserve"> CITATION Nis17 \l 1033 </w:instrText>
          </w:r>
          <w:r w:rsidR="00F72DA9">
            <w:rPr>
              <w:lang w:eastAsia="en-GB" w:bidi="bn-BD"/>
            </w:rPr>
            <w:fldChar w:fldCharType="separate"/>
          </w:r>
          <w:r w:rsidR="00F72DA9" w:rsidRPr="00F72DA9">
            <w:rPr>
              <w:noProof/>
              <w:lang w:val="en-US" w:eastAsia="en-GB" w:bidi="bn-BD"/>
            </w:rPr>
            <w:t>(Nissim &amp; Penman, 2017)</w:t>
          </w:r>
          <w:r w:rsidR="00F72DA9">
            <w:rPr>
              <w:lang w:eastAsia="en-GB" w:bidi="bn-BD"/>
            </w:rPr>
            <w:fldChar w:fldCharType="end"/>
          </w:r>
        </w:sdtContent>
      </w:sdt>
      <w:r w:rsidRPr="00DC12AB">
        <w:rPr>
          <w:lang w:eastAsia="en-GB" w:bidi="bn-BD"/>
        </w:rPr>
        <w:t xml:space="preserve">. </w:t>
      </w:r>
      <w:r w:rsidR="00E31644">
        <w:rPr>
          <w:lang w:eastAsia="en-GB" w:bidi="bn-BD"/>
        </w:rPr>
        <w:t>This report will try to uncover the</w:t>
      </w:r>
      <w:r w:rsidR="008A22BA">
        <w:rPr>
          <w:lang w:eastAsia="en-GB" w:bidi="bn-BD"/>
        </w:rPr>
        <w:t xml:space="preserve"> need for </w:t>
      </w:r>
      <w:r w:rsidR="003A6051">
        <w:rPr>
          <w:lang w:eastAsia="en-GB" w:bidi="bn-BD"/>
        </w:rPr>
        <w:t>ratios for a company and how these help an investor to measure the success of the business.</w:t>
      </w:r>
    </w:p>
    <w:p w14:paraId="0F507AEB" w14:textId="77777777" w:rsidR="00D20A0D" w:rsidRDefault="0007543D" w:rsidP="00F72DA9">
      <w:pPr>
        <w:pStyle w:val="Heading1"/>
      </w:pPr>
      <w:bookmarkStart w:id="2" w:name="_Toc104679085"/>
      <w:r>
        <w:t xml:space="preserve">Calculation of </w:t>
      </w:r>
      <w:r w:rsidRPr="0007543D">
        <w:t xml:space="preserve">Horizontal ratios for </w:t>
      </w:r>
      <w:r w:rsidRPr="00F72DA9">
        <w:t>2019</w:t>
      </w:r>
      <w:r w:rsidRPr="0007543D">
        <w:t xml:space="preserve"> and 2020</w:t>
      </w:r>
      <w:bookmarkEnd w:id="2"/>
    </w:p>
    <w:p w14:paraId="1D885188" w14:textId="77777777" w:rsidR="007211A5" w:rsidRPr="00481CAC" w:rsidRDefault="007211A5" w:rsidP="00DC031F">
      <w:pPr>
        <w:spacing w:line="360" w:lineRule="auto"/>
        <w:jc w:val="center"/>
        <w:rPr>
          <w:b/>
          <w:bCs/>
        </w:rPr>
      </w:pPr>
      <w:r w:rsidRPr="00481CAC">
        <w:rPr>
          <w:b/>
          <w:bCs/>
        </w:rPr>
        <w:t>Income statement 2019 &amp; 2020</w:t>
      </w:r>
    </w:p>
    <w:p w14:paraId="11AC7ED0" w14:textId="77777777" w:rsidR="006F3A94" w:rsidRPr="00481CAC" w:rsidRDefault="007211A5" w:rsidP="00DC031F">
      <w:pPr>
        <w:spacing w:line="360" w:lineRule="auto"/>
        <w:jc w:val="center"/>
        <w:rPr>
          <w:b/>
          <w:bCs/>
        </w:rPr>
      </w:pPr>
      <w:r w:rsidRPr="00481CAC">
        <w:rPr>
          <w:b/>
          <w:bCs/>
        </w:rPr>
        <w:t>Hilton Worldwide Holdings Inc. (HLT)</w:t>
      </w:r>
    </w:p>
    <w:p w14:paraId="2189B214" w14:textId="77777777" w:rsidR="00DA41BC" w:rsidRDefault="00DA41BC" w:rsidP="00DC031F">
      <w:pPr>
        <w:spacing w:line="360" w:lineRule="auto"/>
        <w:jc w:val="center"/>
      </w:pPr>
    </w:p>
    <w:tbl>
      <w:tblPr>
        <w:tblW w:w="9329" w:type="dxa"/>
        <w:tblLook w:val="04A0" w:firstRow="1" w:lastRow="0" w:firstColumn="1" w:lastColumn="0" w:noHBand="0" w:noVBand="1"/>
      </w:tblPr>
      <w:tblGrid>
        <w:gridCol w:w="3888"/>
        <w:gridCol w:w="1453"/>
        <w:gridCol w:w="1578"/>
        <w:gridCol w:w="1205"/>
        <w:gridCol w:w="1205"/>
      </w:tblGrid>
      <w:tr w:rsidR="000A67F8" w:rsidRPr="000A67F8" w14:paraId="26A8E119" w14:textId="77777777" w:rsidTr="00913791">
        <w:trPr>
          <w:trHeight w:val="285"/>
        </w:trPr>
        <w:tc>
          <w:tcPr>
            <w:tcW w:w="3888" w:type="dxa"/>
            <w:tcBorders>
              <w:top w:val="nil"/>
              <w:left w:val="nil"/>
              <w:bottom w:val="nil"/>
              <w:right w:val="nil"/>
            </w:tcBorders>
            <w:shd w:val="clear" w:color="auto" w:fill="8496B0" w:themeFill="text2" w:themeFillTint="99"/>
            <w:noWrap/>
            <w:vAlign w:val="bottom"/>
            <w:hideMark/>
          </w:tcPr>
          <w:p w14:paraId="3A816BCD" w14:textId="77777777" w:rsidR="000A67F8" w:rsidRPr="000A67F8" w:rsidRDefault="000A67F8" w:rsidP="00DC031F">
            <w:pPr>
              <w:spacing w:after="0" w:line="360" w:lineRule="auto"/>
              <w:jc w:val="left"/>
              <w:rPr>
                <w:rFonts w:eastAsia="Times New Roman" w:cs="Times New Roman"/>
                <w:sz w:val="24"/>
                <w:szCs w:val="24"/>
                <w:lang w:eastAsia="en-GB"/>
              </w:rPr>
            </w:pPr>
          </w:p>
        </w:tc>
        <w:tc>
          <w:tcPr>
            <w:tcW w:w="1453" w:type="dxa"/>
            <w:tcBorders>
              <w:top w:val="nil"/>
              <w:left w:val="nil"/>
              <w:bottom w:val="nil"/>
              <w:right w:val="nil"/>
            </w:tcBorders>
            <w:shd w:val="clear" w:color="auto" w:fill="8496B0" w:themeFill="text2" w:themeFillTint="99"/>
            <w:noWrap/>
            <w:vAlign w:val="center"/>
            <w:hideMark/>
          </w:tcPr>
          <w:p w14:paraId="12117CB4"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2020</w:t>
            </w:r>
          </w:p>
        </w:tc>
        <w:tc>
          <w:tcPr>
            <w:tcW w:w="1578" w:type="dxa"/>
            <w:tcBorders>
              <w:top w:val="nil"/>
              <w:left w:val="nil"/>
              <w:bottom w:val="nil"/>
              <w:right w:val="nil"/>
            </w:tcBorders>
            <w:shd w:val="clear" w:color="auto" w:fill="8496B0" w:themeFill="text2" w:themeFillTint="99"/>
            <w:noWrap/>
            <w:vAlign w:val="center"/>
            <w:hideMark/>
          </w:tcPr>
          <w:p w14:paraId="43E9C814"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2019</w:t>
            </w:r>
          </w:p>
        </w:tc>
        <w:tc>
          <w:tcPr>
            <w:tcW w:w="1205" w:type="dxa"/>
            <w:tcBorders>
              <w:top w:val="nil"/>
              <w:left w:val="nil"/>
              <w:bottom w:val="nil"/>
              <w:right w:val="nil"/>
            </w:tcBorders>
            <w:shd w:val="clear" w:color="auto" w:fill="8496B0" w:themeFill="text2" w:themeFillTint="99"/>
            <w:noWrap/>
            <w:vAlign w:val="center"/>
            <w:hideMark/>
          </w:tcPr>
          <w:p w14:paraId="7AAD7410"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Change</w:t>
            </w:r>
          </w:p>
        </w:tc>
        <w:tc>
          <w:tcPr>
            <w:tcW w:w="1205" w:type="dxa"/>
            <w:tcBorders>
              <w:top w:val="nil"/>
              <w:left w:val="nil"/>
              <w:bottom w:val="nil"/>
              <w:right w:val="nil"/>
            </w:tcBorders>
            <w:shd w:val="clear" w:color="auto" w:fill="8496B0" w:themeFill="text2" w:themeFillTint="99"/>
            <w:noWrap/>
            <w:vAlign w:val="center"/>
            <w:hideMark/>
          </w:tcPr>
          <w:p w14:paraId="6B4A90FB"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 Change</w:t>
            </w:r>
          </w:p>
        </w:tc>
      </w:tr>
      <w:tr w:rsidR="000A67F8" w:rsidRPr="000A67F8" w14:paraId="5ABCD07D"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37D055EC"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Fiscal Year Ends</w:t>
            </w:r>
          </w:p>
        </w:tc>
        <w:tc>
          <w:tcPr>
            <w:tcW w:w="1453" w:type="dxa"/>
            <w:tcBorders>
              <w:top w:val="nil"/>
              <w:left w:val="nil"/>
              <w:bottom w:val="nil"/>
              <w:right w:val="nil"/>
            </w:tcBorders>
            <w:shd w:val="clear" w:color="auto" w:fill="auto"/>
            <w:noWrap/>
            <w:vAlign w:val="center"/>
            <w:hideMark/>
          </w:tcPr>
          <w:p w14:paraId="4E7D1068"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31/12/2021</w:t>
            </w:r>
          </w:p>
        </w:tc>
        <w:tc>
          <w:tcPr>
            <w:tcW w:w="1578" w:type="dxa"/>
            <w:tcBorders>
              <w:top w:val="nil"/>
              <w:left w:val="nil"/>
              <w:bottom w:val="nil"/>
              <w:right w:val="nil"/>
            </w:tcBorders>
            <w:shd w:val="clear" w:color="auto" w:fill="auto"/>
            <w:noWrap/>
            <w:vAlign w:val="center"/>
            <w:hideMark/>
          </w:tcPr>
          <w:p w14:paraId="2EEB3F2C"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31/12/2020</w:t>
            </w:r>
          </w:p>
        </w:tc>
        <w:tc>
          <w:tcPr>
            <w:tcW w:w="1205" w:type="dxa"/>
            <w:tcBorders>
              <w:top w:val="nil"/>
              <w:left w:val="nil"/>
              <w:bottom w:val="nil"/>
              <w:right w:val="nil"/>
            </w:tcBorders>
            <w:shd w:val="clear" w:color="auto" w:fill="auto"/>
            <w:noWrap/>
            <w:vAlign w:val="bottom"/>
            <w:hideMark/>
          </w:tcPr>
          <w:p w14:paraId="11E34936" w14:textId="77777777" w:rsidR="000A67F8" w:rsidRPr="000A67F8" w:rsidRDefault="000A67F8" w:rsidP="00DC031F">
            <w:pPr>
              <w:spacing w:after="0" w:line="360" w:lineRule="auto"/>
              <w:jc w:val="right"/>
              <w:rPr>
                <w:rFonts w:ascii="Calibri" w:eastAsia="Times New Roman" w:hAnsi="Calibri" w:cs="Calibri"/>
                <w:color w:val="000000"/>
                <w:lang w:eastAsia="en-GB"/>
              </w:rPr>
            </w:pPr>
          </w:p>
        </w:tc>
        <w:tc>
          <w:tcPr>
            <w:tcW w:w="1205" w:type="dxa"/>
            <w:tcBorders>
              <w:top w:val="nil"/>
              <w:left w:val="nil"/>
              <w:bottom w:val="nil"/>
              <w:right w:val="nil"/>
            </w:tcBorders>
            <w:shd w:val="clear" w:color="auto" w:fill="auto"/>
            <w:noWrap/>
            <w:vAlign w:val="bottom"/>
            <w:hideMark/>
          </w:tcPr>
          <w:p w14:paraId="577C685E" w14:textId="77777777" w:rsidR="000A67F8" w:rsidRPr="000A67F8" w:rsidRDefault="000A67F8" w:rsidP="00DC031F">
            <w:pPr>
              <w:spacing w:after="0" w:line="360" w:lineRule="auto"/>
              <w:jc w:val="left"/>
              <w:rPr>
                <w:rFonts w:eastAsia="Times New Roman" w:cs="Times New Roman"/>
                <w:sz w:val="20"/>
                <w:szCs w:val="20"/>
                <w:lang w:eastAsia="en-GB"/>
              </w:rPr>
            </w:pPr>
          </w:p>
        </w:tc>
      </w:tr>
      <w:tr w:rsidR="000A67F8" w:rsidRPr="000A67F8" w14:paraId="35F76C5A"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18972C4C"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Sales</w:t>
            </w:r>
          </w:p>
        </w:tc>
        <w:tc>
          <w:tcPr>
            <w:tcW w:w="1453" w:type="dxa"/>
            <w:tcBorders>
              <w:top w:val="nil"/>
              <w:left w:val="nil"/>
              <w:bottom w:val="nil"/>
              <w:right w:val="nil"/>
            </w:tcBorders>
            <w:shd w:val="clear" w:color="auto" w:fill="auto"/>
            <w:noWrap/>
            <w:vAlign w:val="center"/>
            <w:hideMark/>
          </w:tcPr>
          <w:p w14:paraId="7A8B0DC3"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4,307,000</w:t>
            </w:r>
          </w:p>
        </w:tc>
        <w:tc>
          <w:tcPr>
            <w:tcW w:w="1578" w:type="dxa"/>
            <w:tcBorders>
              <w:top w:val="nil"/>
              <w:left w:val="nil"/>
              <w:bottom w:val="nil"/>
              <w:right w:val="nil"/>
            </w:tcBorders>
            <w:shd w:val="clear" w:color="auto" w:fill="auto"/>
            <w:noWrap/>
            <w:vAlign w:val="center"/>
            <w:hideMark/>
          </w:tcPr>
          <w:p w14:paraId="439BEDD9"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9,452,000</w:t>
            </w:r>
          </w:p>
        </w:tc>
        <w:tc>
          <w:tcPr>
            <w:tcW w:w="1205" w:type="dxa"/>
            <w:tcBorders>
              <w:top w:val="nil"/>
              <w:left w:val="nil"/>
              <w:bottom w:val="nil"/>
              <w:right w:val="nil"/>
            </w:tcBorders>
            <w:shd w:val="clear" w:color="auto" w:fill="auto"/>
            <w:noWrap/>
            <w:vAlign w:val="bottom"/>
            <w:hideMark/>
          </w:tcPr>
          <w:p w14:paraId="500068FC"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5,145,000</w:t>
            </w:r>
          </w:p>
        </w:tc>
        <w:tc>
          <w:tcPr>
            <w:tcW w:w="1205" w:type="dxa"/>
            <w:tcBorders>
              <w:top w:val="nil"/>
              <w:left w:val="nil"/>
              <w:bottom w:val="nil"/>
              <w:right w:val="nil"/>
            </w:tcBorders>
            <w:shd w:val="clear" w:color="auto" w:fill="auto"/>
            <w:noWrap/>
            <w:vAlign w:val="bottom"/>
            <w:hideMark/>
          </w:tcPr>
          <w:p w14:paraId="3AC86C81"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54%</w:t>
            </w:r>
          </w:p>
        </w:tc>
      </w:tr>
      <w:tr w:rsidR="000A67F8" w:rsidRPr="000A67F8" w14:paraId="5C8DF150"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70048A37"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Cost of goods sold</w:t>
            </w:r>
          </w:p>
        </w:tc>
        <w:tc>
          <w:tcPr>
            <w:tcW w:w="1453" w:type="dxa"/>
            <w:tcBorders>
              <w:top w:val="nil"/>
              <w:left w:val="nil"/>
              <w:bottom w:val="nil"/>
              <w:right w:val="nil"/>
            </w:tcBorders>
            <w:shd w:val="clear" w:color="auto" w:fill="auto"/>
            <w:noWrap/>
            <w:vAlign w:val="center"/>
            <w:hideMark/>
          </w:tcPr>
          <w:p w14:paraId="793751CB"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3,724,000</w:t>
            </w:r>
          </w:p>
        </w:tc>
        <w:tc>
          <w:tcPr>
            <w:tcW w:w="1578" w:type="dxa"/>
            <w:tcBorders>
              <w:top w:val="nil"/>
              <w:left w:val="nil"/>
              <w:bottom w:val="nil"/>
              <w:right w:val="nil"/>
            </w:tcBorders>
            <w:shd w:val="clear" w:color="auto" w:fill="auto"/>
            <w:noWrap/>
            <w:vAlign w:val="center"/>
            <w:hideMark/>
          </w:tcPr>
          <w:p w14:paraId="5A49D5A6"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7,017,000</w:t>
            </w:r>
          </w:p>
        </w:tc>
        <w:tc>
          <w:tcPr>
            <w:tcW w:w="1205" w:type="dxa"/>
            <w:tcBorders>
              <w:top w:val="nil"/>
              <w:left w:val="nil"/>
              <w:bottom w:val="nil"/>
              <w:right w:val="nil"/>
            </w:tcBorders>
            <w:shd w:val="clear" w:color="auto" w:fill="auto"/>
            <w:noWrap/>
            <w:vAlign w:val="bottom"/>
            <w:hideMark/>
          </w:tcPr>
          <w:p w14:paraId="5D9639B7"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3,293,000</w:t>
            </w:r>
          </w:p>
        </w:tc>
        <w:tc>
          <w:tcPr>
            <w:tcW w:w="1205" w:type="dxa"/>
            <w:tcBorders>
              <w:top w:val="nil"/>
              <w:left w:val="nil"/>
              <w:bottom w:val="nil"/>
              <w:right w:val="nil"/>
            </w:tcBorders>
            <w:shd w:val="clear" w:color="auto" w:fill="auto"/>
            <w:noWrap/>
            <w:vAlign w:val="bottom"/>
            <w:hideMark/>
          </w:tcPr>
          <w:p w14:paraId="6730F759"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47%</w:t>
            </w:r>
          </w:p>
        </w:tc>
      </w:tr>
      <w:tr w:rsidR="000A67F8" w:rsidRPr="000A67F8" w14:paraId="0BD3FFDD"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4C6F7E0D"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Gross profit</w:t>
            </w:r>
          </w:p>
        </w:tc>
        <w:tc>
          <w:tcPr>
            <w:tcW w:w="1453" w:type="dxa"/>
            <w:tcBorders>
              <w:top w:val="nil"/>
              <w:left w:val="nil"/>
              <w:bottom w:val="nil"/>
              <w:right w:val="nil"/>
            </w:tcBorders>
            <w:shd w:val="clear" w:color="auto" w:fill="auto"/>
            <w:noWrap/>
            <w:vAlign w:val="center"/>
            <w:hideMark/>
          </w:tcPr>
          <w:p w14:paraId="6C439974"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583,000</w:t>
            </w:r>
          </w:p>
        </w:tc>
        <w:tc>
          <w:tcPr>
            <w:tcW w:w="1578" w:type="dxa"/>
            <w:tcBorders>
              <w:top w:val="nil"/>
              <w:left w:val="nil"/>
              <w:bottom w:val="nil"/>
              <w:right w:val="nil"/>
            </w:tcBorders>
            <w:shd w:val="clear" w:color="auto" w:fill="auto"/>
            <w:noWrap/>
            <w:vAlign w:val="center"/>
            <w:hideMark/>
          </w:tcPr>
          <w:p w14:paraId="7862E415"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2,435,000</w:t>
            </w:r>
          </w:p>
        </w:tc>
        <w:tc>
          <w:tcPr>
            <w:tcW w:w="1205" w:type="dxa"/>
            <w:tcBorders>
              <w:top w:val="nil"/>
              <w:left w:val="nil"/>
              <w:bottom w:val="nil"/>
              <w:right w:val="nil"/>
            </w:tcBorders>
            <w:shd w:val="clear" w:color="auto" w:fill="auto"/>
            <w:noWrap/>
            <w:vAlign w:val="bottom"/>
            <w:hideMark/>
          </w:tcPr>
          <w:p w14:paraId="04D4FE08"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1,852,000</w:t>
            </w:r>
          </w:p>
        </w:tc>
        <w:tc>
          <w:tcPr>
            <w:tcW w:w="1205" w:type="dxa"/>
            <w:tcBorders>
              <w:top w:val="nil"/>
              <w:left w:val="nil"/>
              <w:bottom w:val="nil"/>
              <w:right w:val="nil"/>
            </w:tcBorders>
            <w:shd w:val="clear" w:color="auto" w:fill="auto"/>
            <w:noWrap/>
            <w:vAlign w:val="bottom"/>
            <w:hideMark/>
          </w:tcPr>
          <w:p w14:paraId="7A222AE1"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76%</w:t>
            </w:r>
          </w:p>
        </w:tc>
      </w:tr>
      <w:tr w:rsidR="000A67F8" w:rsidRPr="000A67F8" w14:paraId="010312E0"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5F0B7A27"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Operating Expenses</w:t>
            </w:r>
          </w:p>
        </w:tc>
        <w:tc>
          <w:tcPr>
            <w:tcW w:w="1453" w:type="dxa"/>
            <w:tcBorders>
              <w:top w:val="nil"/>
              <w:left w:val="nil"/>
              <w:bottom w:val="nil"/>
              <w:right w:val="nil"/>
            </w:tcBorders>
            <w:shd w:val="clear" w:color="auto" w:fill="auto"/>
            <w:noWrap/>
            <w:vAlign w:val="center"/>
            <w:hideMark/>
          </w:tcPr>
          <w:p w14:paraId="565A2533"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702,000</w:t>
            </w:r>
          </w:p>
        </w:tc>
        <w:tc>
          <w:tcPr>
            <w:tcW w:w="1578" w:type="dxa"/>
            <w:tcBorders>
              <w:top w:val="nil"/>
              <w:left w:val="nil"/>
              <w:bottom w:val="nil"/>
              <w:right w:val="nil"/>
            </w:tcBorders>
            <w:shd w:val="clear" w:color="auto" w:fill="auto"/>
            <w:noWrap/>
            <w:vAlign w:val="center"/>
            <w:hideMark/>
          </w:tcPr>
          <w:p w14:paraId="5B51F91B"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859,000</w:t>
            </w:r>
          </w:p>
        </w:tc>
        <w:tc>
          <w:tcPr>
            <w:tcW w:w="1205" w:type="dxa"/>
            <w:tcBorders>
              <w:top w:val="nil"/>
              <w:left w:val="nil"/>
              <w:bottom w:val="nil"/>
              <w:right w:val="nil"/>
            </w:tcBorders>
            <w:shd w:val="clear" w:color="auto" w:fill="auto"/>
            <w:noWrap/>
            <w:vAlign w:val="bottom"/>
            <w:hideMark/>
          </w:tcPr>
          <w:p w14:paraId="72CE6A01"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157,000</w:t>
            </w:r>
          </w:p>
        </w:tc>
        <w:tc>
          <w:tcPr>
            <w:tcW w:w="1205" w:type="dxa"/>
            <w:tcBorders>
              <w:top w:val="nil"/>
              <w:left w:val="nil"/>
              <w:bottom w:val="nil"/>
              <w:right w:val="nil"/>
            </w:tcBorders>
            <w:shd w:val="clear" w:color="auto" w:fill="auto"/>
            <w:noWrap/>
            <w:vAlign w:val="bottom"/>
            <w:hideMark/>
          </w:tcPr>
          <w:p w14:paraId="73C5A976"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18%</w:t>
            </w:r>
          </w:p>
        </w:tc>
      </w:tr>
      <w:tr w:rsidR="000A67F8" w:rsidRPr="000A67F8" w14:paraId="1DCB1DAB"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6DF7CA5A"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Operating income</w:t>
            </w:r>
          </w:p>
        </w:tc>
        <w:tc>
          <w:tcPr>
            <w:tcW w:w="1453" w:type="dxa"/>
            <w:tcBorders>
              <w:top w:val="nil"/>
              <w:left w:val="nil"/>
              <w:bottom w:val="nil"/>
              <w:right w:val="nil"/>
            </w:tcBorders>
            <w:shd w:val="clear" w:color="auto" w:fill="auto"/>
            <w:noWrap/>
            <w:vAlign w:val="center"/>
            <w:hideMark/>
          </w:tcPr>
          <w:p w14:paraId="561ADAA0"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-119,000</w:t>
            </w:r>
          </w:p>
        </w:tc>
        <w:tc>
          <w:tcPr>
            <w:tcW w:w="1578" w:type="dxa"/>
            <w:tcBorders>
              <w:top w:val="nil"/>
              <w:left w:val="nil"/>
              <w:bottom w:val="nil"/>
              <w:right w:val="nil"/>
            </w:tcBorders>
            <w:shd w:val="clear" w:color="auto" w:fill="auto"/>
            <w:noWrap/>
            <w:vAlign w:val="center"/>
            <w:hideMark/>
          </w:tcPr>
          <w:p w14:paraId="5F422223"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1,576,000</w:t>
            </w:r>
          </w:p>
        </w:tc>
        <w:tc>
          <w:tcPr>
            <w:tcW w:w="1205" w:type="dxa"/>
            <w:tcBorders>
              <w:top w:val="nil"/>
              <w:left w:val="nil"/>
              <w:bottom w:val="nil"/>
              <w:right w:val="nil"/>
            </w:tcBorders>
            <w:shd w:val="clear" w:color="auto" w:fill="auto"/>
            <w:noWrap/>
            <w:vAlign w:val="bottom"/>
            <w:hideMark/>
          </w:tcPr>
          <w:p w14:paraId="072475C8"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1,695,000</w:t>
            </w:r>
          </w:p>
        </w:tc>
        <w:tc>
          <w:tcPr>
            <w:tcW w:w="1205" w:type="dxa"/>
            <w:tcBorders>
              <w:top w:val="nil"/>
              <w:left w:val="nil"/>
              <w:bottom w:val="nil"/>
              <w:right w:val="nil"/>
            </w:tcBorders>
            <w:shd w:val="clear" w:color="auto" w:fill="auto"/>
            <w:noWrap/>
            <w:vAlign w:val="bottom"/>
            <w:hideMark/>
          </w:tcPr>
          <w:p w14:paraId="1CC71DB3"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108%</w:t>
            </w:r>
          </w:p>
        </w:tc>
      </w:tr>
      <w:tr w:rsidR="000A67F8" w:rsidRPr="000A67F8" w14:paraId="49973909"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143DE118"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Interest Expense</w:t>
            </w:r>
          </w:p>
        </w:tc>
        <w:tc>
          <w:tcPr>
            <w:tcW w:w="1453" w:type="dxa"/>
            <w:tcBorders>
              <w:top w:val="nil"/>
              <w:left w:val="nil"/>
              <w:bottom w:val="nil"/>
              <w:right w:val="nil"/>
            </w:tcBorders>
            <w:shd w:val="clear" w:color="auto" w:fill="auto"/>
            <w:noWrap/>
            <w:vAlign w:val="center"/>
            <w:hideMark/>
          </w:tcPr>
          <w:p w14:paraId="24F1237F"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429,000</w:t>
            </w:r>
          </w:p>
        </w:tc>
        <w:tc>
          <w:tcPr>
            <w:tcW w:w="1578" w:type="dxa"/>
            <w:tcBorders>
              <w:top w:val="nil"/>
              <w:left w:val="nil"/>
              <w:bottom w:val="nil"/>
              <w:right w:val="nil"/>
            </w:tcBorders>
            <w:shd w:val="clear" w:color="auto" w:fill="auto"/>
            <w:noWrap/>
            <w:vAlign w:val="center"/>
            <w:hideMark/>
          </w:tcPr>
          <w:p w14:paraId="51EB8771"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414,000</w:t>
            </w:r>
          </w:p>
        </w:tc>
        <w:tc>
          <w:tcPr>
            <w:tcW w:w="1205" w:type="dxa"/>
            <w:tcBorders>
              <w:top w:val="nil"/>
              <w:left w:val="nil"/>
              <w:bottom w:val="nil"/>
              <w:right w:val="nil"/>
            </w:tcBorders>
            <w:shd w:val="clear" w:color="auto" w:fill="auto"/>
            <w:noWrap/>
            <w:vAlign w:val="bottom"/>
            <w:hideMark/>
          </w:tcPr>
          <w:p w14:paraId="53B7DEC1"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-15,000</w:t>
            </w:r>
          </w:p>
        </w:tc>
        <w:tc>
          <w:tcPr>
            <w:tcW w:w="1205" w:type="dxa"/>
            <w:tcBorders>
              <w:top w:val="nil"/>
              <w:left w:val="nil"/>
              <w:bottom w:val="nil"/>
              <w:right w:val="nil"/>
            </w:tcBorders>
            <w:shd w:val="clear" w:color="auto" w:fill="auto"/>
            <w:noWrap/>
            <w:vAlign w:val="bottom"/>
            <w:hideMark/>
          </w:tcPr>
          <w:p w14:paraId="4FE970BF"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-4%</w:t>
            </w:r>
          </w:p>
        </w:tc>
      </w:tr>
      <w:tr w:rsidR="000A67F8" w:rsidRPr="000A67F8" w14:paraId="3097F964"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4973EC74"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 xml:space="preserve">Total Other income/ expenses net </w:t>
            </w:r>
          </w:p>
        </w:tc>
        <w:tc>
          <w:tcPr>
            <w:tcW w:w="1453" w:type="dxa"/>
            <w:tcBorders>
              <w:top w:val="nil"/>
              <w:left w:val="nil"/>
              <w:bottom w:val="nil"/>
              <w:right w:val="nil"/>
            </w:tcBorders>
            <w:shd w:val="clear" w:color="auto" w:fill="auto"/>
            <w:noWrap/>
            <w:vAlign w:val="center"/>
            <w:hideMark/>
          </w:tcPr>
          <w:p w14:paraId="7F430457"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-376,000</w:t>
            </w:r>
          </w:p>
        </w:tc>
        <w:tc>
          <w:tcPr>
            <w:tcW w:w="1578" w:type="dxa"/>
            <w:tcBorders>
              <w:top w:val="nil"/>
              <w:left w:val="nil"/>
              <w:bottom w:val="nil"/>
              <w:right w:val="nil"/>
            </w:tcBorders>
            <w:shd w:val="clear" w:color="auto" w:fill="auto"/>
            <w:noWrap/>
            <w:vAlign w:val="center"/>
            <w:hideMark/>
          </w:tcPr>
          <w:p w14:paraId="490A7484"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82,000</w:t>
            </w:r>
          </w:p>
        </w:tc>
        <w:tc>
          <w:tcPr>
            <w:tcW w:w="1205" w:type="dxa"/>
            <w:tcBorders>
              <w:top w:val="nil"/>
              <w:left w:val="nil"/>
              <w:bottom w:val="nil"/>
              <w:right w:val="nil"/>
            </w:tcBorders>
            <w:shd w:val="clear" w:color="auto" w:fill="auto"/>
            <w:noWrap/>
            <w:vAlign w:val="bottom"/>
            <w:hideMark/>
          </w:tcPr>
          <w:p w14:paraId="3124CFFC"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458,000</w:t>
            </w:r>
          </w:p>
        </w:tc>
        <w:tc>
          <w:tcPr>
            <w:tcW w:w="1205" w:type="dxa"/>
            <w:tcBorders>
              <w:top w:val="nil"/>
              <w:left w:val="nil"/>
              <w:bottom w:val="nil"/>
              <w:right w:val="nil"/>
            </w:tcBorders>
            <w:shd w:val="clear" w:color="auto" w:fill="auto"/>
            <w:noWrap/>
            <w:vAlign w:val="bottom"/>
            <w:hideMark/>
          </w:tcPr>
          <w:p w14:paraId="6C4BBCD4"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559%</w:t>
            </w:r>
          </w:p>
        </w:tc>
      </w:tr>
      <w:tr w:rsidR="000A67F8" w:rsidRPr="000A67F8" w14:paraId="6F61C880"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51474C37"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Income before taxes</w:t>
            </w:r>
          </w:p>
        </w:tc>
        <w:tc>
          <w:tcPr>
            <w:tcW w:w="1453" w:type="dxa"/>
            <w:tcBorders>
              <w:top w:val="nil"/>
              <w:left w:val="nil"/>
              <w:bottom w:val="nil"/>
              <w:right w:val="nil"/>
            </w:tcBorders>
            <w:shd w:val="clear" w:color="auto" w:fill="auto"/>
            <w:noWrap/>
            <w:vAlign w:val="center"/>
            <w:hideMark/>
          </w:tcPr>
          <w:p w14:paraId="3743C07C"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-924,000</w:t>
            </w:r>
          </w:p>
        </w:tc>
        <w:tc>
          <w:tcPr>
            <w:tcW w:w="1578" w:type="dxa"/>
            <w:tcBorders>
              <w:top w:val="nil"/>
              <w:left w:val="nil"/>
              <w:bottom w:val="nil"/>
              <w:right w:val="nil"/>
            </w:tcBorders>
            <w:shd w:val="clear" w:color="auto" w:fill="auto"/>
            <w:noWrap/>
            <w:vAlign w:val="center"/>
            <w:hideMark/>
          </w:tcPr>
          <w:p w14:paraId="3D3C1B1B"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1,244,000</w:t>
            </w:r>
          </w:p>
        </w:tc>
        <w:tc>
          <w:tcPr>
            <w:tcW w:w="1205" w:type="dxa"/>
            <w:tcBorders>
              <w:top w:val="nil"/>
              <w:left w:val="nil"/>
              <w:bottom w:val="nil"/>
              <w:right w:val="nil"/>
            </w:tcBorders>
            <w:shd w:val="clear" w:color="auto" w:fill="auto"/>
            <w:noWrap/>
            <w:vAlign w:val="bottom"/>
            <w:hideMark/>
          </w:tcPr>
          <w:p w14:paraId="45E8AE47"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2,168,000</w:t>
            </w:r>
          </w:p>
        </w:tc>
        <w:tc>
          <w:tcPr>
            <w:tcW w:w="1205" w:type="dxa"/>
            <w:tcBorders>
              <w:top w:val="nil"/>
              <w:left w:val="nil"/>
              <w:bottom w:val="nil"/>
              <w:right w:val="nil"/>
            </w:tcBorders>
            <w:shd w:val="clear" w:color="auto" w:fill="auto"/>
            <w:noWrap/>
            <w:vAlign w:val="bottom"/>
            <w:hideMark/>
          </w:tcPr>
          <w:p w14:paraId="0A72C0F9"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174%</w:t>
            </w:r>
          </w:p>
        </w:tc>
      </w:tr>
      <w:tr w:rsidR="000A67F8" w:rsidRPr="000A67F8" w14:paraId="154EFB61" w14:textId="77777777" w:rsidTr="00913791">
        <w:trPr>
          <w:trHeight w:val="285"/>
        </w:trPr>
        <w:tc>
          <w:tcPr>
            <w:tcW w:w="3888" w:type="dxa"/>
            <w:tcBorders>
              <w:top w:val="nil"/>
              <w:left w:val="nil"/>
              <w:bottom w:val="nil"/>
              <w:right w:val="nil"/>
            </w:tcBorders>
            <w:shd w:val="clear" w:color="auto" w:fill="8496B0" w:themeFill="text2" w:themeFillTint="99"/>
            <w:noWrap/>
            <w:vAlign w:val="center"/>
            <w:hideMark/>
          </w:tcPr>
          <w:p w14:paraId="1555D19C" w14:textId="77777777" w:rsidR="000A67F8" w:rsidRPr="000A67F8" w:rsidRDefault="000A67F8" w:rsidP="00DC031F">
            <w:pPr>
              <w:spacing w:after="0" w:line="360" w:lineRule="auto"/>
              <w:jc w:val="left"/>
              <w:rPr>
                <w:rFonts w:ascii="Calibri" w:eastAsia="Times New Roman" w:hAnsi="Calibri" w:cs="Calibri"/>
                <w:color w:val="000000"/>
                <w:lang w:eastAsia="en-GB"/>
              </w:rPr>
            </w:pPr>
            <w:r w:rsidRPr="000A67F8">
              <w:rPr>
                <w:rFonts w:ascii="Calibri" w:eastAsia="Times New Roman" w:hAnsi="Calibri" w:cs="Calibri"/>
                <w:color w:val="000000"/>
                <w:lang w:eastAsia="en-GB"/>
              </w:rPr>
              <w:t>Net income</w:t>
            </w:r>
          </w:p>
        </w:tc>
        <w:tc>
          <w:tcPr>
            <w:tcW w:w="1453" w:type="dxa"/>
            <w:tcBorders>
              <w:top w:val="nil"/>
              <w:left w:val="nil"/>
              <w:bottom w:val="nil"/>
              <w:right w:val="nil"/>
            </w:tcBorders>
            <w:shd w:val="clear" w:color="auto" w:fill="auto"/>
            <w:noWrap/>
            <w:vAlign w:val="center"/>
            <w:hideMark/>
          </w:tcPr>
          <w:p w14:paraId="185711EF"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-715,000</w:t>
            </w:r>
          </w:p>
        </w:tc>
        <w:tc>
          <w:tcPr>
            <w:tcW w:w="1578" w:type="dxa"/>
            <w:tcBorders>
              <w:top w:val="nil"/>
              <w:left w:val="nil"/>
              <w:bottom w:val="nil"/>
              <w:right w:val="nil"/>
            </w:tcBorders>
            <w:shd w:val="clear" w:color="auto" w:fill="auto"/>
            <w:noWrap/>
            <w:vAlign w:val="center"/>
            <w:hideMark/>
          </w:tcPr>
          <w:p w14:paraId="5F57C382" w14:textId="77777777" w:rsidR="000A67F8" w:rsidRPr="000A67F8" w:rsidRDefault="000A67F8" w:rsidP="00DC031F">
            <w:pPr>
              <w:spacing w:after="0" w:line="360" w:lineRule="auto"/>
              <w:jc w:val="right"/>
              <w:rPr>
                <w:rFonts w:ascii="Calibri" w:eastAsia="Times New Roman" w:hAnsi="Calibri" w:cs="Calibri"/>
                <w:color w:val="000000"/>
                <w:lang w:eastAsia="en-GB"/>
              </w:rPr>
            </w:pPr>
            <w:r w:rsidRPr="000A67F8">
              <w:rPr>
                <w:rFonts w:ascii="Calibri" w:eastAsia="Times New Roman" w:hAnsi="Calibri" w:cs="Calibri"/>
                <w:color w:val="000000"/>
                <w:lang w:eastAsia="en-GB"/>
              </w:rPr>
              <w:t>881,000</w:t>
            </w:r>
          </w:p>
        </w:tc>
        <w:tc>
          <w:tcPr>
            <w:tcW w:w="1205" w:type="dxa"/>
            <w:tcBorders>
              <w:top w:val="nil"/>
              <w:left w:val="nil"/>
              <w:bottom w:val="nil"/>
              <w:right w:val="nil"/>
            </w:tcBorders>
            <w:shd w:val="clear" w:color="auto" w:fill="auto"/>
            <w:noWrap/>
            <w:vAlign w:val="bottom"/>
            <w:hideMark/>
          </w:tcPr>
          <w:p w14:paraId="44F42938"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1,596,000</w:t>
            </w:r>
          </w:p>
        </w:tc>
        <w:tc>
          <w:tcPr>
            <w:tcW w:w="1205" w:type="dxa"/>
            <w:tcBorders>
              <w:top w:val="nil"/>
              <w:left w:val="nil"/>
              <w:bottom w:val="nil"/>
              <w:right w:val="nil"/>
            </w:tcBorders>
            <w:shd w:val="clear" w:color="auto" w:fill="auto"/>
            <w:noWrap/>
            <w:vAlign w:val="bottom"/>
            <w:hideMark/>
          </w:tcPr>
          <w:p w14:paraId="65DE1EC3" w14:textId="77777777" w:rsidR="000A67F8" w:rsidRPr="000A67F8" w:rsidRDefault="000A67F8" w:rsidP="00DC031F">
            <w:pPr>
              <w:spacing w:after="0" w:line="360" w:lineRule="auto"/>
              <w:jc w:val="right"/>
              <w:rPr>
                <w:rFonts w:eastAsia="Times New Roman" w:cs="Times New Roman"/>
                <w:color w:val="000000"/>
                <w:sz w:val="20"/>
                <w:szCs w:val="20"/>
                <w:lang w:eastAsia="en-GB"/>
              </w:rPr>
            </w:pPr>
            <w:r w:rsidRPr="000A67F8">
              <w:rPr>
                <w:rFonts w:eastAsia="Times New Roman" w:cs="Times New Roman"/>
                <w:color w:val="000000"/>
                <w:sz w:val="20"/>
                <w:szCs w:val="20"/>
                <w:lang w:eastAsia="en-GB"/>
              </w:rPr>
              <w:t>181%</w:t>
            </w:r>
          </w:p>
        </w:tc>
      </w:tr>
    </w:tbl>
    <w:p w14:paraId="120E783B" w14:textId="77777777" w:rsidR="00DA41BC" w:rsidRDefault="00DA41BC" w:rsidP="00DC031F">
      <w:pPr>
        <w:spacing w:line="360" w:lineRule="auto"/>
      </w:pPr>
    </w:p>
    <w:p w14:paraId="5027278E" w14:textId="77777777" w:rsidR="001D74E8" w:rsidRPr="001D74E8" w:rsidRDefault="000B3C83" w:rsidP="00DC031F">
      <w:pPr>
        <w:spacing w:line="360" w:lineRule="auto"/>
      </w:pPr>
      <w:r>
        <w:t>By</w:t>
      </w:r>
      <w:r w:rsidR="00BE6A41">
        <w:t xml:space="preserve"> looking at the sales and net income, we can see that there is a negative change in the income statement of the </w:t>
      </w:r>
      <w:r w:rsidR="00DA778B" w:rsidRPr="00DA778B">
        <w:t>Hilton Worldwide Holdings</w:t>
      </w:r>
      <w:r w:rsidR="00F468F6">
        <w:t xml:space="preserve">. </w:t>
      </w:r>
      <w:r w:rsidR="009C182B" w:rsidRPr="009C182B">
        <w:t>If the company is going to be successful, its owners and workers need to have an understanding of what the consumers want. If a company loses contact with its customers and does not fully comprehend the products and services that those customers desire to buy, then the planned activity will not be successful</w:t>
      </w:r>
      <w:sdt>
        <w:sdtPr>
          <w:id w:val="1531682129"/>
          <w:citation/>
        </w:sdtPr>
        <w:sdtEndPr/>
        <w:sdtContent>
          <w:r w:rsidR="00460821">
            <w:fldChar w:fldCharType="begin"/>
          </w:r>
          <w:r w:rsidR="005A790B">
            <w:rPr>
              <w:lang w:val="en-US"/>
            </w:rPr>
            <w:instrText xml:space="preserve"> CITATION Lin21 \l 1033 </w:instrText>
          </w:r>
          <w:r w:rsidR="00460821">
            <w:fldChar w:fldCharType="separate"/>
          </w:r>
          <w:r w:rsidR="00DC031F">
            <w:rPr>
              <w:noProof/>
              <w:lang w:val="en-US"/>
            </w:rPr>
            <w:t xml:space="preserve"> </w:t>
          </w:r>
          <w:r w:rsidR="00DC031F" w:rsidRPr="00DC031F">
            <w:rPr>
              <w:noProof/>
              <w:lang w:val="en-US"/>
            </w:rPr>
            <w:t>(Linxi, 2021)</w:t>
          </w:r>
          <w:r w:rsidR="00460821">
            <w:fldChar w:fldCharType="end"/>
          </w:r>
        </w:sdtContent>
      </w:sdt>
      <w:r w:rsidR="009C182B" w:rsidRPr="009C182B">
        <w:t xml:space="preserve">. When it comes to making decisions that affect the company's operations, a company should always keep its long-term goals in mind. It is possible that a single mistake </w:t>
      </w:r>
      <w:r w:rsidR="009C182B" w:rsidRPr="009C182B">
        <w:lastRenderedPageBreak/>
        <w:t xml:space="preserve">may lead to the downfall of the organisation. The CEOs of </w:t>
      </w:r>
      <w:r w:rsidR="00260816">
        <w:t>Hilton</w:t>
      </w:r>
      <w:r w:rsidR="009C182B" w:rsidRPr="009C182B">
        <w:t xml:space="preserve"> are to blame for the failure of their organisations, which leads to their collapse. One of the most common symptoms of ineffective leadership is a failure to delegate effectively</w:t>
      </w:r>
      <w:sdt>
        <w:sdtPr>
          <w:id w:val="-1072116048"/>
          <w:citation/>
        </w:sdtPr>
        <w:sdtEndPr/>
        <w:sdtContent>
          <w:r w:rsidR="00460821">
            <w:fldChar w:fldCharType="begin"/>
          </w:r>
          <w:r w:rsidR="005A790B">
            <w:rPr>
              <w:lang w:val="en-US"/>
            </w:rPr>
            <w:instrText xml:space="preserve"> CITATION Nis17 \l 1033 </w:instrText>
          </w:r>
          <w:r w:rsidR="00460821">
            <w:fldChar w:fldCharType="separate"/>
          </w:r>
          <w:r w:rsidR="00DC031F">
            <w:rPr>
              <w:noProof/>
              <w:lang w:val="en-US"/>
            </w:rPr>
            <w:t xml:space="preserve"> </w:t>
          </w:r>
          <w:r w:rsidR="00DC031F" w:rsidRPr="00DC031F">
            <w:rPr>
              <w:noProof/>
              <w:lang w:val="en-US"/>
            </w:rPr>
            <w:t>(Nissim &amp; Penman, 2017)</w:t>
          </w:r>
          <w:r w:rsidR="00460821">
            <w:fldChar w:fldCharType="end"/>
          </w:r>
        </w:sdtContent>
      </w:sdt>
      <w:r w:rsidR="009C182B" w:rsidRPr="009C182B">
        <w:t xml:space="preserve">. Additionally, it may be an indication of a weak culture and a lack of readiness to deal with the unexpected. In addition, the company needs to give priority to the customers who have shown the most loyalty. It is imperative that </w:t>
      </w:r>
      <w:r w:rsidR="002D7993">
        <w:rPr>
          <w:lang w:eastAsia="en-GB" w:bidi="bn-BD"/>
        </w:rPr>
        <w:t>Hilton</w:t>
      </w:r>
      <w:r w:rsidR="009C182B" w:rsidRPr="009C182B">
        <w:t xml:space="preserve"> place a high premium on cultivating trustworthy relationships with </w:t>
      </w:r>
      <w:r w:rsidR="00154DA8">
        <w:rPr>
          <w:lang w:eastAsia="en-GB" w:bidi="bn-BD"/>
        </w:rPr>
        <w:t xml:space="preserve">Hilton’s </w:t>
      </w:r>
      <w:r w:rsidR="009C182B" w:rsidRPr="009C182B">
        <w:t>clients</w:t>
      </w:r>
      <w:sdt>
        <w:sdtPr>
          <w:id w:val="2023358609"/>
          <w:citation/>
        </w:sdtPr>
        <w:sdtEndPr/>
        <w:sdtContent>
          <w:r w:rsidR="00460821">
            <w:fldChar w:fldCharType="begin"/>
          </w:r>
          <w:r w:rsidR="005A790B">
            <w:rPr>
              <w:lang w:val="en-US"/>
            </w:rPr>
            <w:instrText xml:space="preserve"> CITATION Nis17 \l 1033 </w:instrText>
          </w:r>
          <w:r w:rsidR="00460821">
            <w:fldChar w:fldCharType="separate"/>
          </w:r>
          <w:r w:rsidR="00DC031F">
            <w:rPr>
              <w:noProof/>
              <w:lang w:val="en-US"/>
            </w:rPr>
            <w:t xml:space="preserve"> </w:t>
          </w:r>
          <w:r w:rsidR="00DC031F" w:rsidRPr="00DC031F">
            <w:rPr>
              <w:noProof/>
              <w:lang w:val="en-US"/>
            </w:rPr>
            <w:t>(Nissim &amp; Penman, 2017)</w:t>
          </w:r>
          <w:r w:rsidR="00460821">
            <w:fldChar w:fldCharType="end"/>
          </w:r>
        </w:sdtContent>
      </w:sdt>
      <w:r w:rsidR="009C182B" w:rsidRPr="009C182B">
        <w:t>. Customers who vent their frustrations about a company on social media might end up doing serious damage to the company's reputation. Hilton must first ascertain whether or whether the customer is of an appropriate age to make a purchase choice before closing the deal</w:t>
      </w:r>
      <w:sdt>
        <w:sdtPr>
          <w:id w:val="605930867"/>
          <w:citation/>
        </w:sdtPr>
        <w:sdtEndPr/>
        <w:sdtContent>
          <w:r w:rsidR="00460821">
            <w:fldChar w:fldCharType="begin"/>
          </w:r>
          <w:r w:rsidR="005A790B">
            <w:rPr>
              <w:lang w:val="en-US"/>
            </w:rPr>
            <w:instrText xml:space="preserve"> CITATION Nis17 \l 1033 </w:instrText>
          </w:r>
          <w:r w:rsidR="00460821">
            <w:fldChar w:fldCharType="separate"/>
          </w:r>
          <w:r w:rsidR="00DC031F">
            <w:rPr>
              <w:noProof/>
              <w:lang w:val="en-US"/>
            </w:rPr>
            <w:t xml:space="preserve"> </w:t>
          </w:r>
          <w:r w:rsidR="00DC031F" w:rsidRPr="00DC031F">
            <w:rPr>
              <w:noProof/>
              <w:lang w:val="en-US"/>
            </w:rPr>
            <w:t>(Nissim &amp; Penman, 2017)</w:t>
          </w:r>
          <w:r w:rsidR="00460821">
            <w:fldChar w:fldCharType="end"/>
          </w:r>
        </w:sdtContent>
      </w:sdt>
      <w:r w:rsidR="009C182B" w:rsidRPr="009C182B">
        <w:t>. There will be times when Hilton will have a conversation with the wrong person. As a direct result of this, recent sales income has been on a downward trend. There are five distinct categories of people who are eligible to make purchases from Hilton.</w:t>
      </w:r>
    </w:p>
    <w:p w14:paraId="09254E4D" w14:textId="77777777" w:rsidR="007211A5" w:rsidRPr="00481CAC" w:rsidRDefault="007211A5" w:rsidP="00DC031F">
      <w:pPr>
        <w:spacing w:line="360" w:lineRule="auto"/>
        <w:jc w:val="center"/>
        <w:rPr>
          <w:b/>
          <w:bCs/>
        </w:rPr>
      </w:pPr>
      <w:r w:rsidRPr="00481CAC">
        <w:rPr>
          <w:b/>
          <w:bCs/>
        </w:rPr>
        <w:t>Balance Sheet 2019 &amp; 2020</w:t>
      </w:r>
    </w:p>
    <w:p w14:paraId="7739A009" w14:textId="77777777" w:rsidR="007211A5" w:rsidRPr="00481CAC" w:rsidRDefault="007211A5" w:rsidP="00DC031F">
      <w:pPr>
        <w:spacing w:line="360" w:lineRule="auto"/>
        <w:jc w:val="center"/>
        <w:rPr>
          <w:b/>
          <w:bCs/>
        </w:rPr>
      </w:pPr>
      <w:r w:rsidRPr="00481CAC">
        <w:rPr>
          <w:b/>
          <w:bCs/>
        </w:rPr>
        <w:t>Hilton Worldwide Holdings Inc. (HLT)</w:t>
      </w:r>
    </w:p>
    <w:tbl>
      <w:tblPr>
        <w:tblpPr w:leftFromText="180" w:rightFromText="180" w:vertAnchor="text" w:horzAnchor="margin" w:tblpY="531"/>
        <w:tblW w:w="9582" w:type="dxa"/>
        <w:tblLook w:val="04A0" w:firstRow="1" w:lastRow="0" w:firstColumn="1" w:lastColumn="0" w:noHBand="0" w:noVBand="1"/>
      </w:tblPr>
      <w:tblGrid>
        <w:gridCol w:w="3613"/>
        <w:gridCol w:w="1528"/>
        <w:gridCol w:w="1528"/>
        <w:gridCol w:w="1361"/>
        <w:gridCol w:w="1552"/>
      </w:tblGrid>
      <w:tr w:rsidR="00F86A93" w:rsidRPr="006F3A94" w14:paraId="2D2AF75E"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78BD5EB8" w14:textId="77777777" w:rsidR="00F86A93" w:rsidRPr="006F3A94" w:rsidRDefault="00F86A93" w:rsidP="00DC031F">
            <w:pPr>
              <w:spacing w:after="0" w:line="360" w:lineRule="auto"/>
              <w:jc w:val="left"/>
              <w:rPr>
                <w:rFonts w:eastAsia="Times New Roman" w:cs="Times New Roman"/>
                <w:sz w:val="24"/>
                <w:szCs w:val="24"/>
                <w:lang w:eastAsia="en-GB"/>
              </w:rPr>
            </w:pPr>
          </w:p>
        </w:tc>
        <w:tc>
          <w:tcPr>
            <w:tcW w:w="1528" w:type="dxa"/>
            <w:tcBorders>
              <w:top w:val="nil"/>
              <w:left w:val="nil"/>
              <w:bottom w:val="nil"/>
              <w:right w:val="nil"/>
            </w:tcBorders>
            <w:shd w:val="clear" w:color="auto" w:fill="8496B0" w:themeFill="text2" w:themeFillTint="99"/>
            <w:noWrap/>
            <w:hideMark/>
          </w:tcPr>
          <w:p w14:paraId="13E7B6F3" w14:textId="77777777" w:rsidR="00F86A93" w:rsidRPr="006F3A94" w:rsidRDefault="00F86A93" w:rsidP="00DC031F">
            <w:pPr>
              <w:spacing w:after="0" w:line="360" w:lineRule="auto"/>
              <w:jc w:val="center"/>
              <w:rPr>
                <w:rFonts w:ascii="Calibri" w:eastAsia="Times New Roman" w:hAnsi="Calibri" w:cs="Calibri"/>
                <w:color w:val="000000"/>
                <w:lang w:eastAsia="en-GB"/>
              </w:rPr>
            </w:pPr>
            <w:r w:rsidRPr="00475E12">
              <w:t>2020</w:t>
            </w:r>
          </w:p>
        </w:tc>
        <w:tc>
          <w:tcPr>
            <w:tcW w:w="1528" w:type="dxa"/>
            <w:tcBorders>
              <w:top w:val="nil"/>
              <w:left w:val="nil"/>
              <w:bottom w:val="nil"/>
              <w:right w:val="nil"/>
            </w:tcBorders>
            <w:shd w:val="clear" w:color="auto" w:fill="8496B0" w:themeFill="text2" w:themeFillTint="99"/>
            <w:noWrap/>
            <w:hideMark/>
          </w:tcPr>
          <w:p w14:paraId="3B6256BA" w14:textId="77777777" w:rsidR="00F86A93" w:rsidRPr="006F3A94" w:rsidRDefault="00F86A93" w:rsidP="00DC031F">
            <w:pPr>
              <w:spacing w:after="0" w:line="360" w:lineRule="auto"/>
              <w:jc w:val="center"/>
              <w:rPr>
                <w:rFonts w:ascii="Calibri" w:eastAsia="Times New Roman" w:hAnsi="Calibri" w:cs="Calibri"/>
                <w:color w:val="000000"/>
                <w:lang w:eastAsia="en-GB"/>
              </w:rPr>
            </w:pPr>
            <w:r w:rsidRPr="00475E12">
              <w:t>2019</w:t>
            </w:r>
          </w:p>
        </w:tc>
        <w:tc>
          <w:tcPr>
            <w:tcW w:w="1361" w:type="dxa"/>
            <w:tcBorders>
              <w:top w:val="nil"/>
              <w:left w:val="nil"/>
              <w:bottom w:val="nil"/>
              <w:right w:val="nil"/>
            </w:tcBorders>
            <w:shd w:val="clear" w:color="auto" w:fill="8496B0" w:themeFill="text2" w:themeFillTint="99"/>
            <w:noWrap/>
            <w:hideMark/>
          </w:tcPr>
          <w:p w14:paraId="46A5FE3A"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 xml:space="preserve">   Change</w:t>
            </w:r>
          </w:p>
        </w:tc>
        <w:tc>
          <w:tcPr>
            <w:tcW w:w="1552" w:type="dxa"/>
            <w:tcBorders>
              <w:top w:val="nil"/>
              <w:left w:val="nil"/>
              <w:bottom w:val="nil"/>
              <w:right w:val="nil"/>
            </w:tcBorders>
            <w:shd w:val="clear" w:color="auto" w:fill="8496B0" w:themeFill="text2" w:themeFillTint="99"/>
            <w:noWrap/>
            <w:hideMark/>
          </w:tcPr>
          <w:p w14:paraId="6916DD0C"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    Change</w:t>
            </w:r>
          </w:p>
        </w:tc>
      </w:tr>
      <w:tr w:rsidR="00F86A93" w:rsidRPr="006F3A94" w14:paraId="48B2A510"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64609B1A"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Current Asset</w:t>
            </w:r>
          </w:p>
        </w:tc>
        <w:tc>
          <w:tcPr>
            <w:tcW w:w="1528" w:type="dxa"/>
            <w:tcBorders>
              <w:top w:val="nil"/>
              <w:left w:val="nil"/>
              <w:bottom w:val="nil"/>
              <w:right w:val="nil"/>
            </w:tcBorders>
            <w:shd w:val="clear" w:color="auto" w:fill="auto"/>
            <w:noWrap/>
            <w:hideMark/>
          </w:tcPr>
          <w:p w14:paraId="692B18FF"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4,202,000</w:t>
            </w:r>
          </w:p>
        </w:tc>
        <w:tc>
          <w:tcPr>
            <w:tcW w:w="1528" w:type="dxa"/>
            <w:tcBorders>
              <w:top w:val="nil"/>
              <w:left w:val="nil"/>
              <w:bottom w:val="nil"/>
              <w:right w:val="nil"/>
            </w:tcBorders>
            <w:shd w:val="clear" w:color="auto" w:fill="auto"/>
            <w:noWrap/>
            <w:hideMark/>
          </w:tcPr>
          <w:p w14:paraId="356AE5B3"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2,093,000</w:t>
            </w:r>
          </w:p>
        </w:tc>
        <w:tc>
          <w:tcPr>
            <w:tcW w:w="1361" w:type="dxa"/>
            <w:tcBorders>
              <w:top w:val="nil"/>
              <w:left w:val="nil"/>
              <w:bottom w:val="nil"/>
              <w:right w:val="nil"/>
            </w:tcBorders>
            <w:shd w:val="clear" w:color="auto" w:fill="auto"/>
            <w:noWrap/>
            <w:hideMark/>
          </w:tcPr>
          <w:p w14:paraId="60FACF8E"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-2,109,000</w:t>
            </w:r>
          </w:p>
        </w:tc>
        <w:tc>
          <w:tcPr>
            <w:tcW w:w="1552" w:type="dxa"/>
            <w:tcBorders>
              <w:top w:val="nil"/>
              <w:left w:val="nil"/>
              <w:bottom w:val="nil"/>
              <w:right w:val="nil"/>
            </w:tcBorders>
            <w:shd w:val="clear" w:color="auto" w:fill="auto"/>
            <w:noWrap/>
            <w:hideMark/>
          </w:tcPr>
          <w:p w14:paraId="10F95806"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-101%</w:t>
            </w:r>
          </w:p>
        </w:tc>
      </w:tr>
      <w:tr w:rsidR="00F86A93" w:rsidRPr="006F3A94" w14:paraId="6DE229A7"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08732A36" w14:textId="77777777" w:rsidR="00F86A93" w:rsidRPr="006F3A94" w:rsidRDefault="009906FD" w:rsidP="00DC031F">
            <w:pPr>
              <w:spacing w:after="0" w:line="360" w:lineRule="auto"/>
              <w:jc w:val="left"/>
              <w:rPr>
                <w:rFonts w:ascii="Calibri" w:eastAsia="Times New Roman" w:hAnsi="Calibri" w:cs="Calibri"/>
                <w:color w:val="000000"/>
                <w:lang w:eastAsia="en-GB"/>
              </w:rPr>
            </w:pPr>
            <w:r w:rsidRPr="00475E12">
              <w:t>Non-Current</w:t>
            </w:r>
            <w:r w:rsidR="00F86A93" w:rsidRPr="00475E12">
              <w:t xml:space="preserve"> Asset</w:t>
            </w:r>
          </w:p>
        </w:tc>
        <w:tc>
          <w:tcPr>
            <w:tcW w:w="1528" w:type="dxa"/>
            <w:tcBorders>
              <w:top w:val="nil"/>
              <w:left w:val="nil"/>
              <w:bottom w:val="nil"/>
              <w:right w:val="nil"/>
            </w:tcBorders>
            <w:shd w:val="clear" w:color="auto" w:fill="auto"/>
            <w:noWrap/>
            <w:hideMark/>
          </w:tcPr>
          <w:p w14:paraId="45271376"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15,810,000</w:t>
            </w:r>
          </w:p>
        </w:tc>
        <w:tc>
          <w:tcPr>
            <w:tcW w:w="1528" w:type="dxa"/>
            <w:tcBorders>
              <w:top w:val="nil"/>
              <w:left w:val="nil"/>
              <w:bottom w:val="nil"/>
              <w:right w:val="nil"/>
            </w:tcBorders>
            <w:shd w:val="clear" w:color="auto" w:fill="auto"/>
            <w:noWrap/>
            <w:hideMark/>
          </w:tcPr>
          <w:p w14:paraId="07227867"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12,558,000</w:t>
            </w:r>
          </w:p>
        </w:tc>
        <w:tc>
          <w:tcPr>
            <w:tcW w:w="1361" w:type="dxa"/>
            <w:tcBorders>
              <w:top w:val="nil"/>
              <w:left w:val="nil"/>
              <w:bottom w:val="nil"/>
              <w:right w:val="nil"/>
            </w:tcBorders>
            <w:shd w:val="clear" w:color="auto" w:fill="auto"/>
            <w:noWrap/>
            <w:hideMark/>
          </w:tcPr>
          <w:p w14:paraId="5071B56C"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-3,252,000</w:t>
            </w:r>
          </w:p>
        </w:tc>
        <w:tc>
          <w:tcPr>
            <w:tcW w:w="1552" w:type="dxa"/>
            <w:tcBorders>
              <w:top w:val="nil"/>
              <w:left w:val="nil"/>
              <w:bottom w:val="nil"/>
              <w:right w:val="nil"/>
            </w:tcBorders>
            <w:shd w:val="clear" w:color="auto" w:fill="auto"/>
            <w:noWrap/>
            <w:hideMark/>
          </w:tcPr>
          <w:p w14:paraId="3549DE4E"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-26%</w:t>
            </w:r>
          </w:p>
        </w:tc>
      </w:tr>
      <w:tr w:rsidR="00F86A93" w:rsidRPr="006F3A94" w14:paraId="208FAA5B"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1864EB46"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Total Asset</w:t>
            </w:r>
          </w:p>
        </w:tc>
        <w:tc>
          <w:tcPr>
            <w:tcW w:w="1528" w:type="dxa"/>
            <w:tcBorders>
              <w:top w:val="nil"/>
              <w:left w:val="nil"/>
              <w:bottom w:val="nil"/>
              <w:right w:val="nil"/>
            </w:tcBorders>
            <w:shd w:val="clear" w:color="auto" w:fill="auto"/>
            <w:noWrap/>
            <w:hideMark/>
          </w:tcPr>
          <w:p w14:paraId="72A29CCA"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16,755,000</w:t>
            </w:r>
          </w:p>
        </w:tc>
        <w:tc>
          <w:tcPr>
            <w:tcW w:w="1528" w:type="dxa"/>
            <w:tcBorders>
              <w:top w:val="nil"/>
              <w:left w:val="nil"/>
              <w:bottom w:val="nil"/>
              <w:right w:val="nil"/>
            </w:tcBorders>
            <w:shd w:val="clear" w:color="auto" w:fill="auto"/>
            <w:noWrap/>
            <w:hideMark/>
          </w:tcPr>
          <w:p w14:paraId="6365F2B5"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14,957,000</w:t>
            </w:r>
          </w:p>
        </w:tc>
        <w:tc>
          <w:tcPr>
            <w:tcW w:w="1361" w:type="dxa"/>
            <w:tcBorders>
              <w:top w:val="nil"/>
              <w:left w:val="nil"/>
              <w:bottom w:val="nil"/>
              <w:right w:val="nil"/>
            </w:tcBorders>
            <w:shd w:val="clear" w:color="auto" w:fill="auto"/>
            <w:noWrap/>
            <w:hideMark/>
          </w:tcPr>
          <w:p w14:paraId="591CF75F"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-1,798,000</w:t>
            </w:r>
          </w:p>
        </w:tc>
        <w:tc>
          <w:tcPr>
            <w:tcW w:w="1552" w:type="dxa"/>
            <w:tcBorders>
              <w:top w:val="nil"/>
              <w:left w:val="nil"/>
              <w:bottom w:val="nil"/>
              <w:right w:val="nil"/>
            </w:tcBorders>
            <w:shd w:val="clear" w:color="auto" w:fill="auto"/>
            <w:noWrap/>
            <w:hideMark/>
          </w:tcPr>
          <w:p w14:paraId="474AEDC0"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-12%</w:t>
            </w:r>
          </w:p>
        </w:tc>
      </w:tr>
      <w:tr w:rsidR="00F86A93" w:rsidRPr="006F3A94" w14:paraId="00E321A6"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42872319"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Current Liabilities</w:t>
            </w:r>
          </w:p>
        </w:tc>
        <w:tc>
          <w:tcPr>
            <w:tcW w:w="1528" w:type="dxa"/>
            <w:tcBorders>
              <w:top w:val="nil"/>
              <w:left w:val="nil"/>
              <w:bottom w:val="nil"/>
              <w:right w:val="nil"/>
            </w:tcBorders>
            <w:shd w:val="clear" w:color="auto" w:fill="auto"/>
            <w:noWrap/>
            <w:hideMark/>
          </w:tcPr>
          <w:p w14:paraId="555A5F35"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2,431,000</w:t>
            </w:r>
          </w:p>
        </w:tc>
        <w:tc>
          <w:tcPr>
            <w:tcW w:w="1528" w:type="dxa"/>
            <w:tcBorders>
              <w:top w:val="nil"/>
              <w:left w:val="nil"/>
              <w:bottom w:val="nil"/>
              <w:right w:val="nil"/>
            </w:tcBorders>
            <w:shd w:val="clear" w:color="auto" w:fill="auto"/>
            <w:noWrap/>
            <w:hideMark/>
          </w:tcPr>
          <w:p w14:paraId="07034807"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2,871,000</w:t>
            </w:r>
          </w:p>
        </w:tc>
        <w:tc>
          <w:tcPr>
            <w:tcW w:w="1361" w:type="dxa"/>
            <w:tcBorders>
              <w:top w:val="nil"/>
              <w:left w:val="nil"/>
              <w:bottom w:val="nil"/>
              <w:right w:val="nil"/>
            </w:tcBorders>
            <w:shd w:val="clear" w:color="auto" w:fill="auto"/>
            <w:noWrap/>
            <w:hideMark/>
          </w:tcPr>
          <w:p w14:paraId="23EEEADE"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440,000</w:t>
            </w:r>
          </w:p>
        </w:tc>
        <w:tc>
          <w:tcPr>
            <w:tcW w:w="1552" w:type="dxa"/>
            <w:tcBorders>
              <w:top w:val="nil"/>
              <w:left w:val="nil"/>
              <w:bottom w:val="nil"/>
              <w:right w:val="nil"/>
            </w:tcBorders>
            <w:shd w:val="clear" w:color="auto" w:fill="auto"/>
            <w:noWrap/>
            <w:hideMark/>
          </w:tcPr>
          <w:p w14:paraId="1FB51493"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15%</w:t>
            </w:r>
          </w:p>
        </w:tc>
      </w:tr>
      <w:tr w:rsidR="00F86A93" w:rsidRPr="006F3A94" w14:paraId="37D98AF2"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248E9368" w14:textId="77777777" w:rsidR="00F86A93" w:rsidRPr="006F3A94" w:rsidRDefault="009906FD" w:rsidP="00DC031F">
            <w:pPr>
              <w:spacing w:after="0" w:line="360" w:lineRule="auto"/>
              <w:jc w:val="left"/>
              <w:rPr>
                <w:rFonts w:ascii="Calibri" w:eastAsia="Times New Roman" w:hAnsi="Calibri" w:cs="Calibri"/>
                <w:color w:val="000000"/>
                <w:lang w:eastAsia="en-GB"/>
              </w:rPr>
            </w:pPr>
            <w:r w:rsidRPr="00475E12">
              <w:t>Non-current</w:t>
            </w:r>
            <w:r w:rsidR="00F86A93" w:rsidRPr="00475E12">
              <w:t xml:space="preserve"> Liabilities</w:t>
            </w:r>
          </w:p>
        </w:tc>
        <w:tc>
          <w:tcPr>
            <w:tcW w:w="1528" w:type="dxa"/>
            <w:tcBorders>
              <w:top w:val="nil"/>
              <w:left w:val="nil"/>
              <w:bottom w:val="nil"/>
              <w:right w:val="nil"/>
            </w:tcBorders>
            <w:shd w:val="clear" w:color="auto" w:fill="auto"/>
            <w:noWrap/>
            <w:hideMark/>
          </w:tcPr>
          <w:p w14:paraId="0CB9B5CE"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15,810,000</w:t>
            </w:r>
          </w:p>
        </w:tc>
        <w:tc>
          <w:tcPr>
            <w:tcW w:w="1528" w:type="dxa"/>
            <w:tcBorders>
              <w:top w:val="nil"/>
              <w:left w:val="nil"/>
              <w:bottom w:val="nil"/>
              <w:right w:val="nil"/>
            </w:tcBorders>
            <w:shd w:val="clear" w:color="auto" w:fill="auto"/>
            <w:noWrap/>
            <w:hideMark/>
          </w:tcPr>
          <w:p w14:paraId="4B806794"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12,558,000</w:t>
            </w:r>
          </w:p>
        </w:tc>
        <w:tc>
          <w:tcPr>
            <w:tcW w:w="1361" w:type="dxa"/>
            <w:tcBorders>
              <w:top w:val="nil"/>
              <w:left w:val="nil"/>
              <w:bottom w:val="nil"/>
              <w:right w:val="nil"/>
            </w:tcBorders>
            <w:shd w:val="clear" w:color="auto" w:fill="auto"/>
            <w:noWrap/>
            <w:hideMark/>
          </w:tcPr>
          <w:p w14:paraId="181282C1"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-3,252,000</w:t>
            </w:r>
          </w:p>
        </w:tc>
        <w:tc>
          <w:tcPr>
            <w:tcW w:w="1552" w:type="dxa"/>
            <w:tcBorders>
              <w:top w:val="nil"/>
              <w:left w:val="nil"/>
              <w:bottom w:val="nil"/>
              <w:right w:val="nil"/>
            </w:tcBorders>
            <w:shd w:val="clear" w:color="auto" w:fill="auto"/>
            <w:noWrap/>
            <w:hideMark/>
          </w:tcPr>
          <w:p w14:paraId="192EEA27"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-26%</w:t>
            </w:r>
          </w:p>
        </w:tc>
      </w:tr>
      <w:tr w:rsidR="00F86A93" w:rsidRPr="006F3A94" w14:paraId="26F5E7CD"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2FB44945"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Total Liabilities</w:t>
            </w:r>
          </w:p>
        </w:tc>
        <w:tc>
          <w:tcPr>
            <w:tcW w:w="1528" w:type="dxa"/>
            <w:tcBorders>
              <w:top w:val="nil"/>
              <w:left w:val="nil"/>
              <w:bottom w:val="nil"/>
              <w:right w:val="nil"/>
            </w:tcBorders>
            <w:shd w:val="clear" w:color="auto" w:fill="auto"/>
            <w:noWrap/>
            <w:hideMark/>
          </w:tcPr>
          <w:p w14:paraId="326BB05D"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18,241,000</w:t>
            </w:r>
          </w:p>
        </w:tc>
        <w:tc>
          <w:tcPr>
            <w:tcW w:w="1528" w:type="dxa"/>
            <w:tcBorders>
              <w:top w:val="nil"/>
              <w:left w:val="nil"/>
              <w:bottom w:val="nil"/>
              <w:right w:val="nil"/>
            </w:tcBorders>
            <w:shd w:val="clear" w:color="auto" w:fill="auto"/>
            <w:noWrap/>
            <w:hideMark/>
          </w:tcPr>
          <w:p w14:paraId="6859A085"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15,429,000</w:t>
            </w:r>
          </w:p>
        </w:tc>
        <w:tc>
          <w:tcPr>
            <w:tcW w:w="1361" w:type="dxa"/>
            <w:tcBorders>
              <w:top w:val="nil"/>
              <w:left w:val="nil"/>
              <w:bottom w:val="nil"/>
              <w:right w:val="nil"/>
            </w:tcBorders>
            <w:shd w:val="clear" w:color="auto" w:fill="auto"/>
            <w:noWrap/>
            <w:hideMark/>
          </w:tcPr>
          <w:p w14:paraId="51700C1F"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-2,812,000</w:t>
            </w:r>
          </w:p>
        </w:tc>
        <w:tc>
          <w:tcPr>
            <w:tcW w:w="1552" w:type="dxa"/>
            <w:tcBorders>
              <w:top w:val="nil"/>
              <w:left w:val="nil"/>
              <w:bottom w:val="nil"/>
              <w:right w:val="nil"/>
            </w:tcBorders>
            <w:shd w:val="clear" w:color="auto" w:fill="auto"/>
            <w:noWrap/>
            <w:hideMark/>
          </w:tcPr>
          <w:p w14:paraId="528DDA20"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-18%</w:t>
            </w:r>
          </w:p>
        </w:tc>
      </w:tr>
      <w:tr w:rsidR="00F86A93" w:rsidRPr="006F3A94" w14:paraId="4D64648A"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42CA65B6"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Common Stock</w:t>
            </w:r>
          </w:p>
        </w:tc>
        <w:tc>
          <w:tcPr>
            <w:tcW w:w="1528" w:type="dxa"/>
            <w:tcBorders>
              <w:top w:val="nil"/>
              <w:left w:val="nil"/>
              <w:bottom w:val="nil"/>
              <w:right w:val="nil"/>
            </w:tcBorders>
            <w:shd w:val="clear" w:color="auto" w:fill="auto"/>
            <w:noWrap/>
            <w:hideMark/>
          </w:tcPr>
          <w:p w14:paraId="69ACC078"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3,000</w:t>
            </w:r>
          </w:p>
        </w:tc>
        <w:tc>
          <w:tcPr>
            <w:tcW w:w="1528" w:type="dxa"/>
            <w:tcBorders>
              <w:top w:val="nil"/>
              <w:left w:val="nil"/>
              <w:bottom w:val="nil"/>
              <w:right w:val="nil"/>
            </w:tcBorders>
            <w:shd w:val="clear" w:color="auto" w:fill="auto"/>
            <w:noWrap/>
            <w:hideMark/>
          </w:tcPr>
          <w:p w14:paraId="2360B521"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3,000</w:t>
            </w:r>
          </w:p>
        </w:tc>
        <w:tc>
          <w:tcPr>
            <w:tcW w:w="1361" w:type="dxa"/>
            <w:tcBorders>
              <w:top w:val="nil"/>
              <w:left w:val="nil"/>
              <w:bottom w:val="nil"/>
              <w:right w:val="nil"/>
            </w:tcBorders>
            <w:shd w:val="clear" w:color="auto" w:fill="auto"/>
            <w:noWrap/>
            <w:hideMark/>
          </w:tcPr>
          <w:p w14:paraId="50117E4A"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0</w:t>
            </w:r>
          </w:p>
        </w:tc>
        <w:tc>
          <w:tcPr>
            <w:tcW w:w="1552" w:type="dxa"/>
            <w:tcBorders>
              <w:top w:val="nil"/>
              <w:left w:val="nil"/>
              <w:bottom w:val="nil"/>
              <w:right w:val="nil"/>
            </w:tcBorders>
            <w:shd w:val="clear" w:color="auto" w:fill="auto"/>
            <w:noWrap/>
            <w:hideMark/>
          </w:tcPr>
          <w:p w14:paraId="4A26CBC7"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0%</w:t>
            </w:r>
          </w:p>
        </w:tc>
      </w:tr>
      <w:tr w:rsidR="00F86A93" w:rsidRPr="006F3A94" w14:paraId="433510F9"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1F71D468"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Retained Earnings</w:t>
            </w:r>
          </w:p>
        </w:tc>
        <w:tc>
          <w:tcPr>
            <w:tcW w:w="1528" w:type="dxa"/>
            <w:tcBorders>
              <w:top w:val="nil"/>
              <w:left w:val="nil"/>
              <w:bottom w:val="nil"/>
              <w:right w:val="nil"/>
            </w:tcBorders>
            <w:shd w:val="clear" w:color="auto" w:fill="auto"/>
            <w:noWrap/>
            <w:hideMark/>
          </w:tcPr>
          <w:p w14:paraId="6CEE5E30"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-6,732,000</w:t>
            </w:r>
          </w:p>
        </w:tc>
        <w:tc>
          <w:tcPr>
            <w:tcW w:w="1528" w:type="dxa"/>
            <w:tcBorders>
              <w:top w:val="nil"/>
              <w:left w:val="nil"/>
              <w:bottom w:val="nil"/>
              <w:right w:val="nil"/>
            </w:tcBorders>
            <w:shd w:val="clear" w:color="auto" w:fill="auto"/>
            <w:noWrap/>
            <w:hideMark/>
          </w:tcPr>
          <w:p w14:paraId="0FA0516D"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-5,965,000</w:t>
            </w:r>
          </w:p>
        </w:tc>
        <w:tc>
          <w:tcPr>
            <w:tcW w:w="1361" w:type="dxa"/>
            <w:tcBorders>
              <w:top w:val="nil"/>
              <w:left w:val="nil"/>
              <w:bottom w:val="nil"/>
              <w:right w:val="nil"/>
            </w:tcBorders>
            <w:shd w:val="clear" w:color="auto" w:fill="auto"/>
            <w:noWrap/>
            <w:hideMark/>
          </w:tcPr>
          <w:p w14:paraId="14606AFD"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767,000</w:t>
            </w:r>
          </w:p>
        </w:tc>
        <w:tc>
          <w:tcPr>
            <w:tcW w:w="1552" w:type="dxa"/>
            <w:tcBorders>
              <w:top w:val="nil"/>
              <w:left w:val="nil"/>
              <w:bottom w:val="nil"/>
              <w:right w:val="nil"/>
            </w:tcBorders>
            <w:shd w:val="clear" w:color="auto" w:fill="auto"/>
            <w:noWrap/>
            <w:hideMark/>
          </w:tcPr>
          <w:p w14:paraId="51F51BB7"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-13%</w:t>
            </w:r>
          </w:p>
        </w:tc>
      </w:tr>
      <w:tr w:rsidR="00F86A93" w:rsidRPr="006F3A94" w14:paraId="663B344B"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65D903F6"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Total Stockholders' Equity</w:t>
            </w:r>
          </w:p>
        </w:tc>
        <w:tc>
          <w:tcPr>
            <w:tcW w:w="1528" w:type="dxa"/>
            <w:tcBorders>
              <w:top w:val="nil"/>
              <w:left w:val="nil"/>
              <w:bottom w:val="nil"/>
              <w:right w:val="nil"/>
            </w:tcBorders>
            <w:shd w:val="clear" w:color="auto" w:fill="auto"/>
            <w:noWrap/>
            <w:hideMark/>
          </w:tcPr>
          <w:p w14:paraId="5179D699"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-1,490,000</w:t>
            </w:r>
          </w:p>
        </w:tc>
        <w:tc>
          <w:tcPr>
            <w:tcW w:w="1528" w:type="dxa"/>
            <w:tcBorders>
              <w:top w:val="nil"/>
              <w:left w:val="nil"/>
              <w:bottom w:val="nil"/>
              <w:right w:val="nil"/>
            </w:tcBorders>
            <w:shd w:val="clear" w:color="auto" w:fill="auto"/>
            <w:noWrap/>
            <w:hideMark/>
          </w:tcPr>
          <w:p w14:paraId="4A2A8A71"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-482,000</w:t>
            </w:r>
          </w:p>
        </w:tc>
        <w:tc>
          <w:tcPr>
            <w:tcW w:w="1361" w:type="dxa"/>
            <w:tcBorders>
              <w:top w:val="nil"/>
              <w:left w:val="nil"/>
              <w:bottom w:val="nil"/>
              <w:right w:val="nil"/>
            </w:tcBorders>
            <w:shd w:val="clear" w:color="auto" w:fill="auto"/>
            <w:noWrap/>
            <w:hideMark/>
          </w:tcPr>
          <w:p w14:paraId="5D0DE93D"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1,008,000</w:t>
            </w:r>
          </w:p>
        </w:tc>
        <w:tc>
          <w:tcPr>
            <w:tcW w:w="1552" w:type="dxa"/>
            <w:tcBorders>
              <w:top w:val="nil"/>
              <w:left w:val="nil"/>
              <w:bottom w:val="nil"/>
              <w:right w:val="nil"/>
            </w:tcBorders>
            <w:shd w:val="clear" w:color="auto" w:fill="auto"/>
            <w:noWrap/>
            <w:hideMark/>
          </w:tcPr>
          <w:p w14:paraId="79B9C158"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-209%</w:t>
            </w:r>
          </w:p>
        </w:tc>
      </w:tr>
      <w:tr w:rsidR="00F86A93" w:rsidRPr="006F3A94" w14:paraId="27AA612C" w14:textId="77777777" w:rsidTr="00913791">
        <w:trPr>
          <w:trHeight w:val="289"/>
        </w:trPr>
        <w:tc>
          <w:tcPr>
            <w:tcW w:w="3613" w:type="dxa"/>
            <w:tcBorders>
              <w:top w:val="nil"/>
              <w:left w:val="nil"/>
              <w:bottom w:val="nil"/>
              <w:right w:val="nil"/>
            </w:tcBorders>
            <w:shd w:val="clear" w:color="auto" w:fill="8496B0" w:themeFill="text2" w:themeFillTint="99"/>
            <w:noWrap/>
            <w:hideMark/>
          </w:tcPr>
          <w:p w14:paraId="08520DAC" w14:textId="77777777" w:rsidR="00F86A93" w:rsidRPr="006F3A94" w:rsidRDefault="00F86A93" w:rsidP="00DC031F">
            <w:pPr>
              <w:spacing w:after="0" w:line="360" w:lineRule="auto"/>
              <w:jc w:val="left"/>
              <w:rPr>
                <w:rFonts w:ascii="Calibri" w:eastAsia="Times New Roman" w:hAnsi="Calibri" w:cs="Calibri"/>
                <w:color w:val="000000"/>
                <w:lang w:eastAsia="en-GB"/>
              </w:rPr>
            </w:pPr>
            <w:r w:rsidRPr="00475E12">
              <w:t>Total Liabilities and Stockholder</w:t>
            </w:r>
          </w:p>
        </w:tc>
        <w:tc>
          <w:tcPr>
            <w:tcW w:w="1528" w:type="dxa"/>
            <w:tcBorders>
              <w:top w:val="nil"/>
              <w:left w:val="nil"/>
              <w:bottom w:val="nil"/>
              <w:right w:val="nil"/>
            </w:tcBorders>
            <w:shd w:val="clear" w:color="auto" w:fill="auto"/>
            <w:noWrap/>
            <w:hideMark/>
          </w:tcPr>
          <w:p w14:paraId="4EE32C97"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16,755,000</w:t>
            </w:r>
          </w:p>
        </w:tc>
        <w:tc>
          <w:tcPr>
            <w:tcW w:w="1528" w:type="dxa"/>
            <w:tcBorders>
              <w:top w:val="nil"/>
              <w:left w:val="nil"/>
              <w:bottom w:val="nil"/>
              <w:right w:val="nil"/>
            </w:tcBorders>
            <w:shd w:val="clear" w:color="auto" w:fill="auto"/>
            <w:noWrap/>
            <w:hideMark/>
          </w:tcPr>
          <w:p w14:paraId="7C328407" w14:textId="77777777" w:rsidR="00F86A93" w:rsidRPr="006F3A94" w:rsidRDefault="00F86A93" w:rsidP="00DC031F">
            <w:pPr>
              <w:spacing w:after="0" w:line="360" w:lineRule="auto"/>
              <w:jc w:val="right"/>
              <w:rPr>
                <w:rFonts w:ascii="Calibri" w:eastAsia="Times New Roman" w:hAnsi="Calibri" w:cs="Calibri"/>
                <w:color w:val="000000"/>
                <w:lang w:eastAsia="en-GB"/>
              </w:rPr>
            </w:pPr>
            <w:r w:rsidRPr="00475E12">
              <w:t>14,957,000</w:t>
            </w:r>
          </w:p>
        </w:tc>
        <w:tc>
          <w:tcPr>
            <w:tcW w:w="1361" w:type="dxa"/>
            <w:tcBorders>
              <w:top w:val="nil"/>
              <w:left w:val="nil"/>
              <w:bottom w:val="nil"/>
              <w:right w:val="nil"/>
            </w:tcBorders>
            <w:shd w:val="clear" w:color="auto" w:fill="auto"/>
            <w:noWrap/>
            <w:hideMark/>
          </w:tcPr>
          <w:p w14:paraId="39000551"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-1,798,000</w:t>
            </w:r>
          </w:p>
        </w:tc>
        <w:tc>
          <w:tcPr>
            <w:tcW w:w="1552" w:type="dxa"/>
            <w:tcBorders>
              <w:top w:val="nil"/>
              <w:left w:val="nil"/>
              <w:bottom w:val="nil"/>
              <w:right w:val="nil"/>
            </w:tcBorders>
            <w:shd w:val="clear" w:color="auto" w:fill="auto"/>
            <w:noWrap/>
            <w:hideMark/>
          </w:tcPr>
          <w:p w14:paraId="50D8C92B" w14:textId="77777777" w:rsidR="00F86A93" w:rsidRPr="006F3A94" w:rsidRDefault="00F86A93" w:rsidP="00DC031F">
            <w:pPr>
              <w:spacing w:after="0" w:line="360" w:lineRule="auto"/>
              <w:jc w:val="right"/>
              <w:rPr>
                <w:rFonts w:eastAsia="Times New Roman" w:cs="Times New Roman"/>
                <w:color w:val="000000"/>
                <w:sz w:val="20"/>
                <w:szCs w:val="20"/>
                <w:lang w:eastAsia="en-GB"/>
              </w:rPr>
            </w:pPr>
            <w:r w:rsidRPr="00475E12">
              <w:t>-12%</w:t>
            </w:r>
          </w:p>
        </w:tc>
      </w:tr>
    </w:tbl>
    <w:p w14:paraId="4E5E93B3" w14:textId="77777777" w:rsidR="007211A5" w:rsidRDefault="007211A5" w:rsidP="00DC031F">
      <w:pPr>
        <w:spacing w:line="360" w:lineRule="auto"/>
      </w:pPr>
    </w:p>
    <w:p w14:paraId="1D551525" w14:textId="77777777" w:rsidR="00D73566" w:rsidRDefault="00031312" w:rsidP="00DC031F">
      <w:pPr>
        <w:spacing w:line="360" w:lineRule="auto"/>
      </w:pPr>
      <w:r>
        <w:t xml:space="preserve">From the above comparison we can </w:t>
      </w:r>
      <w:r w:rsidR="006E54AE">
        <w:t>see that the total asset of Hilton is too high</w:t>
      </w:r>
      <w:r w:rsidR="00053791">
        <w:t xml:space="preserve">, on the other hand the liabilities also increased. </w:t>
      </w:r>
      <w:r w:rsidR="00FC427B" w:rsidRPr="00FC427B">
        <w:t>If the account balance must be altered in the accounting record, either a debit or credit entry will be utilised. Depending on the account type, transactions such as debits and credits can either increase or decrease an existing balance</w:t>
      </w:r>
      <w:sdt>
        <w:sdtPr>
          <w:id w:val="1026062994"/>
          <w:citation/>
        </w:sdtPr>
        <w:sdtEndPr/>
        <w:sdtContent>
          <w:r w:rsidR="00460821">
            <w:fldChar w:fldCharType="begin"/>
          </w:r>
          <w:r w:rsidR="005A790B">
            <w:rPr>
              <w:lang w:val="en-US"/>
            </w:rPr>
            <w:instrText xml:space="preserve"> CITATION Nis17 \l 1033 </w:instrText>
          </w:r>
          <w:r w:rsidR="00460821">
            <w:fldChar w:fldCharType="separate"/>
          </w:r>
          <w:r w:rsidR="00DC031F">
            <w:rPr>
              <w:noProof/>
              <w:lang w:val="en-US"/>
            </w:rPr>
            <w:t xml:space="preserve"> </w:t>
          </w:r>
          <w:r w:rsidR="00DC031F" w:rsidRPr="00DC031F">
            <w:rPr>
              <w:noProof/>
              <w:lang w:val="en-US"/>
            </w:rPr>
            <w:t>(Nissim &amp; Penman, 2017)</w:t>
          </w:r>
          <w:r w:rsidR="00460821">
            <w:fldChar w:fldCharType="end"/>
          </w:r>
        </w:sdtContent>
      </w:sdt>
      <w:r w:rsidR="00FC427B" w:rsidRPr="00FC427B">
        <w:t xml:space="preserve">. After a debit input, an asset account's balance will increase. In contrast, the balance of an asset account will decrease following a credit entry. When the asset's value increases, it impacts both the account for fixed assets and the accounts payable </w:t>
      </w:r>
      <w:r w:rsidR="00FC427B" w:rsidRPr="00FC427B">
        <w:lastRenderedPageBreak/>
        <w:t xml:space="preserve">(Liability). The asset and the liabilities on both sides of the transaction are now identical. Pay for the items </w:t>
      </w:r>
      <w:r w:rsidR="00632CD0">
        <w:rPr>
          <w:lang w:eastAsia="en-GB" w:bidi="bn-BD"/>
        </w:rPr>
        <w:t xml:space="preserve">Hilton </w:t>
      </w:r>
      <w:r w:rsidR="00FC427B" w:rsidRPr="00FC427B">
        <w:t>purchase afterwards. As a result, the value of inventory and accounts payable, both assets and liabilities, increases</w:t>
      </w:r>
      <w:sdt>
        <w:sdtPr>
          <w:id w:val="-647739519"/>
          <w:citation/>
        </w:sdtPr>
        <w:sdtEndPr/>
        <w:sdtContent>
          <w:r w:rsidR="00460821">
            <w:fldChar w:fldCharType="begin"/>
          </w:r>
          <w:r w:rsidR="005A790B">
            <w:rPr>
              <w:lang w:val="en-US"/>
            </w:rPr>
            <w:instrText xml:space="preserve"> CITATION Nis17 \l 1033 </w:instrText>
          </w:r>
          <w:r w:rsidR="00460821">
            <w:fldChar w:fldCharType="separate"/>
          </w:r>
          <w:r w:rsidR="00DC031F">
            <w:rPr>
              <w:noProof/>
              <w:lang w:val="en-US"/>
            </w:rPr>
            <w:t xml:space="preserve"> </w:t>
          </w:r>
          <w:r w:rsidR="00DC031F" w:rsidRPr="00DC031F">
            <w:rPr>
              <w:noProof/>
              <w:lang w:val="en-US"/>
            </w:rPr>
            <w:t>(Nissim &amp; Penman, 2017)</w:t>
          </w:r>
          <w:r w:rsidR="00460821">
            <w:fldChar w:fldCharType="end"/>
          </w:r>
        </w:sdtContent>
      </w:sdt>
      <w:r w:rsidR="00FC427B" w:rsidRPr="00FC427B">
        <w:t>.</w:t>
      </w:r>
    </w:p>
    <w:p w14:paraId="6418DB1F" w14:textId="77777777" w:rsidR="004C4E66" w:rsidRDefault="00D73566" w:rsidP="00DC031F">
      <w:pPr>
        <w:pStyle w:val="Heading1"/>
        <w:spacing w:line="360" w:lineRule="auto"/>
      </w:pPr>
      <w:bookmarkStart w:id="3" w:name="_Toc104679086"/>
      <w:r>
        <w:t>Outline the importance of using ratio analysis for decision making</w:t>
      </w:r>
      <w:bookmarkEnd w:id="3"/>
    </w:p>
    <w:p w14:paraId="289B1452" w14:textId="77777777" w:rsidR="004C4E66" w:rsidRPr="004C4E66" w:rsidRDefault="004C4E66" w:rsidP="00DC031F">
      <w:pPr>
        <w:spacing w:line="360" w:lineRule="auto"/>
        <w:rPr>
          <w:lang w:eastAsia="en-GB" w:bidi="bn-BD"/>
        </w:rPr>
      </w:pPr>
      <w:r w:rsidRPr="004C4E66">
        <w:rPr>
          <w:lang w:eastAsia="en-GB" w:bidi="bn-BD"/>
        </w:rPr>
        <w:t>Ratios are a useful technique to demonstrate the relationship between two data sets. They can be utilised for both internal and inter-firm comparisons. They are used to provide replies to inquiries that require answers rather than providing direct responses.</w:t>
      </w:r>
    </w:p>
    <w:p w14:paraId="60676262" w14:textId="77777777" w:rsidR="00235200" w:rsidRDefault="004C4E66" w:rsidP="00DC031F">
      <w:pPr>
        <w:spacing w:line="360" w:lineRule="auto"/>
        <w:rPr>
          <w:lang w:eastAsia="en-GB" w:bidi="bn-BD"/>
        </w:rPr>
      </w:pPr>
      <w:r w:rsidRPr="004C4E66">
        <w:rPr>
          <w:lang w:eastAsia="en-GB" w:bidi="bn-BD"/>
        </w:rPr>
        <w:t xml:space="preserve">Ratio analysis enables quick assessment of a company's financial health, stability, and market value. A ratio falls into one of the following three categories: It aids bankers, investors, and management in making more informed business decisions. It is a crucial method for </w:t>
      </w:r>
      <w:r w:rsidR="00DC031F" w:rsidRPr="004C4E66">
        <w:rPr>
          <w:lang w:eastAsia="en-GB" w:bidi="bn-BD"/>
        </w:rPr>
        <w:t>analyzing</w:t>
      </w:r>
      <w:r w:rsidRPr="004C4E66">
        <w:rPr>
          <w:lang w:eastAsia="en-GB" w:bidi="bn-BD"/>
        </w:rPr>
        <w:t xml:space="preserve"> financial accounts, and it may be modified to meet the demands of various customers</w:t>
      </w:r>
      <w:sdt>
        <w:sdtPr>
          <w:rPr>
            <w:lang w:eastAsia="en-GB" w:bidi="bn-BD"/>
          </w:rPr>
          <w:id w:val="236136460"/>
          <w:citation/>
        </w:sdtPr>
        <w:sdtEndPr/>
        <w:sdtContent>
          <w:r w:rsidR="00460821">
            <w:rPr>
              <w:lang w:eastAsia="en-GB" w:bidi="bn-BD"/>
            </w:rPr>
            <w:fldChar w:fldCharType="begin"/>
          </w:r>
          <w:r w:rsidR="00BA47C3">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4C4E66">
        <w:rPr>
          <w:lang w:eastAsia="en-GB" w:bidi="bn-BD"/>
        </w:rPr>
        <w:t xml:space="preserve">. </w:t>
      </w:r>
      <w:r w:rsidR="00632CD0">
        <w:rPr>
          <w:lang w:eastAsia="en-GB" w:bidi="bn-BD"/>
        </w:rPr>
        <w:t xml:space="preserve">Hilton </w:t>
      </w:r>
      <w:r w:rsidRPr="004C4E66">
        <w:rPr>
          <w:lang w:eastAsia="en-GB" w:bidi="bn-BD"/>
        </w:rPr>
        <w:t xml:space="preserve">may </w:t>
      </w:r>
      <w:r w:rsidR="00DC031F" w:rsidRPr="004C4E66">
        <w:rPr>
          <w:lang w:eastAsia="en-GB" w:bidi="bn-BD"/>
        </w:rPr>
        <w:t>utilize</w:t>
      </w:r>
      <w:r w:rsidRPr="004C4E66">
        <w:rPr>
          <w:lang w:eastAsia="en-GB" w:bidi="bn-BD"/>
        </w:rPr>
        <w:t xml:space="preserve"> the ratios to learn about every aspect of a corporation. Ratio analysis may be used for more than just assessing the overall performance of an </w:t>
      </w:r>
      <w:r w:rsidR="00DC031F" w:rsidRPr="004C4E66">
        <w:rPr>
          <w:lang w:eastAsia="en-GB" w:bidi="bn-BD"/>
        </w:rPr>
        <w:t>organization</w:t>
      </w:r>
      <w:r w:rsidRPr="004C4E66">
        <w:rPr>
          <w:lang w:eastAsia="en-GB" w:bidi="bn-BD"/>
        </w:rPr>
        <w:t>. Additionally, it may be used to gauge profitability and solvency</w:t>
      </w:r>
      <w:sdt>
        <w:sdtPr>
          <w:rPr>
            <w:lang w:eastAsia="en-GB" w:bidi="bn-BD"/>
          </w:rPr>
          <w:id w:val="-503592143"/>
          <w:citation/>
        </w:sdtPr>
        <w:sdtEndPr/>
        <w:sdtContent>
          <w:r w:rsidR="00460821">
            <w:rPr>
              <w:lang w:eastAsia="en-GB" w:bidi="bn-BD"/>
            </w:rPr>
            <w:fldChar w:fldCharType="begin"/>
          </w:r>
          <w:r w:rsidR="005A790B">
            <w:rPr>
              <w:lang w:val="en-US" w:eastAsia="en-GB" w:bidi="bn-BD"/>
            </w:rPr>
            <w:instrText xml:space="preserve"> CITATION Syd19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(Sydney-Hilton et al., 2019)</w:t>
          </w:r>
          <w:r w:rsidR="00460821">
            <w:rPr>
              <w:lang w:eastAsia="en-GB" w:bidi="bn-BD"/>
            </w:rPr>
            <w:fldChar w:fldCharType="end"/>
          </w:r>
        </w:sdtContent>
      </w:sdt>
      <w:r w:rsidRPr="004C4E66">
        <w:rPr>
          <w:lang w:eastAsia="en-GB" w:bidi="bn-BD"/>
        </w:rPr>
        <w:t>.</w:t>
      </w:r>
    </w:p>
    <w:p w14:paraId="79362636" w14:textId="77777777" w:rsidR="00235200" w:rsidRPr="00235200" w:rsidRDefault="00235200" w:rsidP="00DC031F">
      <w:pPr>
        <w:spacing w:line="360" w:lineRule="auto"/>
        <w:rPr>
          <w:lang w:eastAsia="en-GB" w:bidi="bn-BD"/>
        </w:rPr>
      </w:pPr>
      <w:r w:rsidRPr="00235200">
        <w:rPr>
          <w:lang w:eastAsia="en-GB" w:bidi="bn-BD"/>
        </w:rPr>
        <w:t xml:space="preserve">Ratios are </w:t>
      </w:r>
      <w:r w:rsidR="00DC031F" w:rsidRPr="00235200">
        <w:rPr>
          <w:lang w:eastAsia="en-GB" w:bidi="bn-BD"/>
        </w:rPr>
        <w:t>utilized</w:t>
      </w:r>
      <w:r w:rsidRPr="00235200">
        <w:rPr>
          <w:lang w:eastAsia="en-GB" w:bidi="bn-BD"/>
        </w:rPr>
        <w:t xml:space="preserve"> rather frequently in the context of the area of finance. The ratios that need to be found are determined, in part, by the objectives of the study. In addition to this, every piece of data that was </w:t>
      </w:r>
      <w:r w:rsidR="00DC031F" w:rsidRPr="00235200">
        <w:rPr>
          <w:lang w:eastAsia="en-GB" w:bidi="bn-BD"/>
        </w:rPr>
        <w:t>utilized</w:t>
      </w:r>
      <w:r w:rsidRPr="00235200">
        <w:rPr>
          <w:lang w:eastAsia="en-GB" w:bidi="bn-BD"/>
        </w:rPr>
        <w:t xml:space="preserve"> in the computation of these ratios was taken into consideration</w:t>
      </w:r>
      <w:sdt>
        <w:sdtPr>
          <w:rPr>
            <w:lang w:eastAsia="en-GB" w:bidi="bn-BD"/>
          </w:rPr>
          <w:id w:val="-1387871754"/>
          <w:citation/>
        </w:sdtPr>
        <w:sdtEndPr/>
        <w:sdtContent>
          <w:r w:rsidR="00460821">
            <w:rPr>
              <w:lang w:eastAsia="en-GB" w:bidi="bn-BD"/>
            </w:rPr>
            <w:fldChar w:fldCharType="begin"/>
          </w:r>
          <w:r w:rsidR="005A790B">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235200">
        <w:rPr>
          <w:lang w:eastAsia="en-GB" w:bidi="bn-BD"/>
        </w:rPr>
        <w:t xml:space="preserve">. The information that is found in an organization's financial statements can be used in the calculation of these ratios. </w:t>
      </w:r>
      <w:r w:rsidR="00632CD0">
        <w:rPr>
          <w:lang w:eastAsia="en-GB" w:bidi="bn-BD"/>
        </w:rPr>
        <w:t xml:space="preserve">Hilton </w:t>
      </w:r>
      <w:r w:rsidR="00DC031F" w:rsidRPr="00235200">
        <w:rPr>
          <w:lang w:eastAsia="en-GB" w:bidi="bn-BD"/>
        </w:rPr>
        <w:t>has</w:t>
      </w:r>
      <w:r w:rsidRPr="00235200">
        <w:rPr>
          <w:lang w:eastAsia="en-GB" w:bidi="bn-BD"/>
        </w:rPr>
        <w:t xml:space="preserve"> to find particular numbers before </w:t>
      </w:r>
      <w:r w:rsidR="00632CD0">
        <w:rPr>
          <w:lang w:eastAsia="en-GB" w:bidi="bn-BD"/>
        </w:rPr>
        <w:t xml:space="preserve">Hilton </w:t>
      </w:r>
      <w:r w:rsidRPr="00235200">
        <w:rPr>
          <w:lang w:eastAsia="en-GB" w:bidi="bn-BD"/>
        </w:rPr>
        <w:t>may insert them into the appropriate spaces. When we do an analysis of our current and future market prospects, we typically use a number of different ratios, including liquidity ratios, profitability ratios, solvency ratios, efficiency ratios, coverage ratios, and efficiency ratios. Find out how to discern and interpret the significance of these different ratio groups by conducting research on the matter</w:t>
      </w:r>
      <w:sdt>
        <w:sdtPr>
          <w:rPr>
            <w:lang w:eastAsia="en-GB" w:bidi="bn-BD"/>
          </w:rPr>
          <w:id w:val="-1294209881"/>
          <w:citation/>
        </w:sdtPr>
        <w:sdtEndPr/>
        <w:sdtContent>
          <w:r w:rsidR="00460821">
            <w:rPr>
              <w:lang w:eastAsia="en-GB" w:bidi="bn-BD"/>
            </w:rPr>
            <w:fldChar w:fldCharType="begin"/>
          </w:r>
          <w:r w:rsidR="00BA47C3">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235200">
        <w:rPr>
          <w:lang w:eastAsia="en-GB" w:bidi="bn-BD"/>
        </w:rPr>
        <w:t xml:space="preserve">. It is a complete waste of time to </w:t>
      </w:r>
      <w:r w:rsidR="00DC031F" w:rsidRPr="00235200">
        <w:rPr>
          <w:lang w:eastAsia="en-GB" w:bidi="bn-BD"/>
        </w:rPr>
        <w:t>analyze</w:t>
      </w:r>
      <w:r w:rsidRPr="00235200">
        <w:rPr>
          <w:lang w:eastAsia="en-GB" w:bidi="bn-BD"/>
        </w:rPr>
        <w:t xml:space="preserve"> financial data without also performing a ratio analysis. Because the SWOT analysis is such an important part of strategic planning, it is difficult to perform one without also performing an analysis of the organization's finances. This is because the SWOT analysis is an essential component of strategic planning. As a consequence of this, ratio analysis is an essential part of the planning process for business strategy. A significant amount of accounting data is produced by each and every </w:t>
      </w:r>
      <w:r w:rsidR="00DC031F" w:rsidRPr="00235200">
        <w:rPr>
          <w:lang w:eastAsia="en-GB" w:bidi="bn-BD"/>
        </w:rPr>
        <w:t>organization</w:t>
      </w:r>
      <w:sdt>
        <w:sdtPr>
          <w:rPr>
            <w:lang w:eastAsia="en-GB" w:bidi="bn-BD"/>
          </w:rPr>
          <w:id w:val="-1322584021"/>
          <w:citation/>
        </w:sdtPr>
        <w:sdtEndPr/>
        <w:sdtContent>
          <w:r w:rsidR="00460821">
            <w:rPr>
              <w:lang w:eastAsia="en-GB" w:bidi="bn-BD"/>
            </w:rPr>
            <w:fldChar w:fldCharType="begin"/>
          </w:r>
          <w:r w:rsidR="005A790B">
            <w:rPr>
              <w:lang w:val="en-US" w:eastAsia="en-GB" w:bidi="bn-BD"/>
            </w:rPr>
            <w:instrText xml:space="preserve"> CITATION Syd19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(Sydney-Hilton et al., 2019)</w:t>
          </w:r>
          <w:r w:rsidR="00460821">
            <w:rPr>
              <w:lang w:eastAsia="en-GB" w:bidi="bn-BD"/>
            </w:rPr>
            <w:fldChar w:fldCharType="end"/>
          </w:r>
        </w:sdtContent>
      </w:sdt>
      <w:r w:rsidRPr="00235200">
        <w:rPr>
          <w:lang w:eastAsia="en-GB" w:bidi="bn-BD"/>
        </w:rPr>
        <w:t xml:space="preserve">. Utilizing ratios, it is possible to get an overall picture of the financial health of an </w:t>
      </w:r>
      <w:r w:rsidR="00DC031F" w:rsidRPr="00235200">
        <w:rPr>
          <w:lang w:eastAsia="en-GB" w:bidi="bn-BD"/>
        </w:rPr>
        <w:t>organization</w:t>
      </w:r>
      <w:r w:rsidRPr="00235200">
        <w:rPr>
          <w:lang w:eastAsia="en-GB" w:bidi="bn-BD"/>
        </w:rPr>
        <w:t xml:space="preserve">. For those individuals who require them, these reports eliminate the time-consuming chore of reading through the extensive financial statements. They are skilled at computing ratios, </w:t>
      </w:r>
      <w:r w:rsidR="00DC031F" w:rsidRPr="00235200">
        <w:rPr>
          <w:lang w:eastAsia="en-GB" w:bidi="bn-BD"/>
        </w:rPr>
        <w:t>analyzing</w:t>
      </w:r>
      <w:r w:rsidRPr="00235200">
        <w:rPr>
          <w:lang w:eastAsia="en-GB" w:bidi="bn-BD"/>
        </w:rPr>
        <w:t xml:space="preserve"> what such ratios mean, </w:t>
      </w:r>
      <w:r w:rsidRPr="00235200">
        <w:rPr>
          <w:lang w:eastAsia="en-GB" w:bidi="bn-BD"/>
        </w:rPr>
        <w:lastRenderedPageBreak/>
        <w:t xml:space="preserve">and carrying out the activities that are required of them. There will be a great deal of information presented concerning the functioning of the </w:t>
      </w:r>
      <w:r w:rsidR="00DC031F" w:rsidRPr="00235200">
        <w:rPr>
          <w:lang w:eastAsia="en-GB" w:bidi="bn-BD"/>
        </w:rPr>
        <w:t>organization</w:t>
      </w:r>
      <w:r w:rsidRPr="00235200">
        <w:rPr>
          <w:lang w:eastAsia="en-GB" w:bidi="bn-BD"/>
        </w:rPr>
        <w:t xml:space="preserve"> and the current state of its finances</w:t>
      </w:r>
      <w:sdt>
        <w:sdtPr>
          <w:rPr>
            <w:lang w:eastAsia="en-GB" w:bidi="bn-BD"/>
          </w:rPr>
          <w:id w:val="-1455552303"/>
          <w:citation/>
        </w:sdtPr>
        <w:sdtEndPr/>
        <w:sdtContent>
          <w:r w:rsidR="00460821">
            <w:rPr>
              <w:lang w:eastAsia="en-GB" w:bidi="bn-BD"/>
            </w:rPr>
            <w:fldChar w:fldCharType="begin"/>
          </w:r>
          <w:r w:rsidR="005A790B">
            <w:rPr>
              <w:lang w:val="en-US" w:eastAsia="en-GB" w:bidi="bn-BD"/>
            </w:rPr>
            <w:instrText xml:space="preserve"> CITATION Hil17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(Hilton, 2017)</w:t>
          </w:r>
          <w:r w:rsidR="00460821">
            <w:rPr>
              <w:lang w:eastAsia="en-GB" w:bidi="bn-BD"/>
            </w:rPr>
            <w:fldChar w:fldCharType="end"/>
          </w:r>
        </w:sdtContent>
      </w:sdt>
      <w:r w:rsidRPr="00235200">
        <w:rPr>
          <w:lang w:eastAsia="en-GB" w:bidi="bn-BD"/>
        </w:rPr>
        <w:t>.</w:t>
      </w:r>
    </w:p>
    <w:p w14:paraId="2D64D2F0" w14:textId="77777777" w:rsidR="00235200" w:rsidRDefault="00235200" w:rsidP="00DC031F">
      <w:pPr>
        <w:spacing w:line="360" w:lineRule="auto"/>
        <w:rPr>
          <w:lang w:eastAsia="en-GB" w:bidi="bn-BD"/>
        </w:rPr>
      </w:pPr>
      <w:r w:rsidRPr="00235200">
        <w:rPr>
          <w:lang w:eastAsia="en-GB" w:bidi="bn-BD"/>
        </w:rPr>
        <w:t>Clients are able to better understand how profitable a company's assets are for them by using a variety of ratios, including return on assets, return on equity, and others. It is an indication of how well a firm may earn from its sales if the gross margin for that company is high</w:t>
      </w:r>
      <w:sdt>
        <w:sdtPr>
          <w:rPr>
            <w:lang w:eastAsia="en-GB" w:bidi="bn-BD"/>
          </w:rPr>
          <w:id w:val="858628855"/>
          <w:citation/>
        </w:sdtPr>
        <w:sdtEndPr/>
        <w:sdtContent>
          <w:r w:rsidR="00460821">
            <w:rPr>
              <w:lang w:eastAsia="en-GB" w:bidi="bn-BD"/>
            </w:rPr>
            <w:fldChar w:fldCharType="begin"/>
          </w:r>
          <w:r w:rsidR="005A790B">
            <w:rPr>
              <w:lang w:val="en-US" w:eastAsia="en-GB" w:bidi="bn-BD"/>
            </w:rPr>
            <w:instrText xml:space="preserve"> CITATION Syd19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(Sydney-Hilton et al., 2019)</w:t>
          </w:r>
          <w:r w:rsidR="00460821">
            <w:rPr>
              <w:lang w:eastAsia="en-GB" w:bidi="bn-BD"/>
            </w:rPr>
            <w:fldChar w:fldCharType="end"/>
          </w:r>
        </w:sdtContent>
      </w:sdt>
      <w:r w:rsidRPr="00235200">
        <w:rPr>
          <w:lang w:eastAsia="en-GB" w:bidi="bn-BD"/>
        </w:rPr>
        <w:t>. A company's ability to run its operations effectively may be evaluated using a metric known as the operational margin. In addition, the effectiveness of the business may be evaluated by considering a number of efficiency ratios, such as the turnover ratio of its account receivables, the turnover ratio of its inventory, and so on</w:t>
      </w:r>
      <w:sdt>
        <w:sdtPr>
          <w:rPr>
            <w:lang w:eastAsia="en-GB" w:bidi="bn-BD"/>
          </w:rPr>
          <w:id w:val="-376635564"/>
          <w:citation/>
        </w:sdtPr>
        <w:sdtEndPr/>
        <w:sdtContent>
          <w:r w:rsidR="00460821">
            <w:rPr>
              <w:lang w:eastAsia="en-GB" w:bidi="bn-BD"/>
            </w:rPr>
            <w:fldChar w:fldCharType="begin"/>
          </w:r>
          <w:r w:rsidR="005A790B">
            <w:rPr>
              <w:lang w:val="en-US" w:eastAsia="en-GB" w:bidi="bn-BD"/>
            </w:rPr>
            <w:instrText xml:space="preserve"> CITATION Lar17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(Largay et al., 2017)</w:t>
          </w:r>
          <w:r w:rsidR="00460821">
            <w:rPr>
              <w:lang w:eastAsia="en-GB" w:bidi="bn-BD"/>
            </w:rPr>
            <w:fldChar w:fldCharType="end"/>
          </w:r>
        </w:sdtContent>
      </w:sdt>
      <w:r w:rsidRPr="00235200">
        <w:rPr>
          <w:lang w:eastAsia="en-GB" w:bidi="bn-BD"/>
        </w:rPr>
        <w:t>.</w:t>
      </w:r>
    </w:p>
    <w:p w14:paraId="0FFD1BA1" w14:textId="77777777" w:rsidR="004C4E66" w:rsidRPr="004C4E66" w:rsidRDefault="004C4E66" w:rsidP="00DC031F">
      <w:pPr>
        <w:spacing w:line="360" w:lineRule="auto"/>
        <w:rPr>
          <w:lang w:eastAsia="en-GB" w:bidi="bn-BD"/>
        </w:rPr>
      </w:pPr>
      <w:r w:rsidRPr="004C4E66">
        <w:rPr>
          <w:lang w:eastAsia="en-GB" w:bidi="bn-BD"/>
        </w:rPr>
        <w:t xml:space="preserve"> With this information, investors may have a better understanding of the company's management and executive decision-making. It also helps determine whether the </w:t>
      </w:r>
      <w:r w:rsidR="00DC031F" w:rsidRPr="004C4E66">
        <w:rPr>
          <w:lang w:eastAsia="en-GB" w:bidi="bn-BD"/>
        </w:rPr>
        <w:t>organization</w:t>
      </w:r>
      <w:r w:rsidRPr="004C4E66">
        <w:rPr>
          <w:lang w:eastAsia="en-GB" w:bidi="bn-BD"/>
        </w:rPr>
        <w:t xml:space="preserve"> has excessive or insufficient debt. Ratio analysis may reveal whether assets are being </w:t>
      </w:r>
      <w:r w:rsidR="00DC031F" w:rsidRPr="004C4E66">
        <w:rPr>
          <w:lang w:eastAsia="en-GB" w:bidi="bn-BD"/>
        </w:rPr>
        <w:t>utilized</w:t>
      </w:r>
      <w:r w:rsidRPr="004C4E66">
        <w:rPr>
          <w:lang w:eastAsia="en-GB" w:bidi="bn-BD"/>
        </w:rPr>
        <w:t xml:space="preserve"> effectively and whether profits are expanding rapidly. Additionally, ratios can assist </w:t>
      </w:r>
      <w:r w:rsidR="00632CD0">
        <w:rPr>
          <w:lang w:eastAsia="en-GB" w:bidi="bn-BD"/>
        </w:rPr>
        <w:t xml:space="preserve">Hilton </w:t>
      </w:r>
      <w:r w:rsidRPr="004C4E66">
        <w:rPr>
          <w:lang w:eastAsia="en-GB" w:bidi="bn-BD"/>
        </w:rPr>
        <w:t xml:space="preserve">determine whether </w:t>
      </w:r>
      <w:r w:rsidR="00AF30AC">
        <w:rPr>
          <w:lang w:eastAsia="en-GB" w:bidi="bn-BD"/>
        </w:rPr>
        <w:t xml:space="preserve">Hilton </w:t>
      </w:r>
      <w:r w:rsidRPr="004C4E66">
        <w:rPr>
          <w:lang w:eastAsia="en-GB" w:bidi="bn-BD"/>
        </w:rPr>
        <w:t>earnings are being invested wisely. Return on equity and dividend yield are two methods for calculating shareholder profit</w:t>
      </w:r>
      <w:sdt>
        <w:sdtPr>
          <w:rPr>
            <w:lang w:eastAsia="en-GB" w:bidi="bn-BD"/>
          </w:rPr>
          <w:id w:val="-1023394626"/>
          <w:citation/>
        </w:sdtPr>
        <w:sdtEndPr/>
        <w:sdtContent>
          <w:r w:rsidR="00460821">
            <w:rPr>
              <w:lang w:eastAsia="en-GB" w:bidi="bn-BD"/>
            </w:rPr>
            <w:fldChar w:fldCharType="begin"/>
          </w:r>
          <w:r w:rsidR="005A790B">
            <w:rPr>
              <w:lang w:val="en-US" w:eastAsia="en-GB" w:bidi="bn-BD"/>
            </w:rPr>
            <w:instrText xml:space="preserve"> CITATION Lar17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(Largay et al., 2017)</w:t>
          </w:r>
          <w:r w:rsidR="00460821">
            <w:rPr>
              <w:lang w:eastAsia="en-GB" w:bidi="bn-BD"/>
            </w:rPr>
            <w:fldChar w:fldCharType="end"/>
          </w:r>
        </w:sdtContent>
      </w:sdt>
      <w:r w:rsidRPr="004C4E66">
        <w:rPr>
          <w:lang w:eastAsia="en-GB" w:bidi="bn-BD"/>
        </w:rPr>
        <w:t>.</w:t>
      </w:r>
    </w:p>
    <w:p w14:paraId="7C19AC2D" w14:textId="77777777" w:rsidR="00695E60" w:rsidRDefault="00E53CD4" w:rsidP="00DC031F">
      <w:pPr>
        <w:pStyle w:val="Heading1"/>
        <w:spacing w:line="360" w:lineRule="auto"/>
      </w:pPr>
      <w:bookmarkStart w:id="4" w:name="_Toc104679087"/>
      <w:r>
        <w:t>T</w:t>
      </w:r>
      <w:r w:rsidR="001B18FF">
        <w:t>he</w:t>
      </w:r>
      <w:r w:rsidR="00F72DA9">
        <w:t xml:space="preserve"> </w:t>
      </w:r>
      <w:r w:rsidR="001B18FF">
        <w:t>limitation of ratio analysis</w:t>
      </w:r>
      <w:r w:rsidR="00513738">
        <w:t xml:space="preserve">, </w:t>
      </w:r>
      <w:r w:rsidR="00DC5E61">
        <w:t>&amp;</w:t>
      </w:r>
      <w:r w:rsidR="00B71DB4">
        <w:t xml:space="preserve">importance </w:t>
      </w:r>
      <w:r w:rsidR="00EB595C" w:rsidRPr="00EB595C">
        <w:t xml:space="preserve">of ratios for </w:t>
      </w:r>
      <w:r w:rsidR="00A53850" w:rsidRPr="00EB595C">
        <w:t>hotel</w:t>
      </w:r>
      <w:r w:rsidR="00EB595C" w:rsidRPr="00EB595C">
        <w:t xml:space="preserve"> management</w:t>
      </w:r>
      <w:bookmarkEnd w:id="4"/>
    </w:p>
    <w:p w14:paraId="7FEF3F7E" w14:textId="77777777" w:rsidR="002D2889" w:rsidRPr="002D2889" w:rsidRDefault="002D2889" w:rsidP="00DC031F">
      <w:pPr>
        <w:spacing w:line="360" w:lineRule="auto"/>
        <w:rPr>
          <w:lang w:eastAsia="en-GB" w:bidi="bn-BD"/>
        </w:rPr>
      </w:pPr>
      <w:r w:rsidRPr="002D2889">
        <w:rPr>
          <w:lang w:eastAsia="en-GB" w:bidi="bn-BD"/>
        </w:rPr>
        <w:t xml:space="preserve">There is a strong possibility that it will question everything </w:t>
      </w:r>
      <w:r w:rsidR="001A7C8D">
        <w:rPr>
          <w:lang w:eastAsia="en-GB" w:bidi="bn-BD"/>
        </w:rPr>
        <w:t xml:space="preserve">Hilton </w:t>
      </w:r>
      <w:r w:rsidR="00DC031F">
        <w:rPr>
          <w:lang w:eastAsia="en-GB" w:bidi="bn-BD"/>
        </w:rPr>
        <w:t>has</w:t>
      </w:r>
      <w:r w:rsidR="001A7C8D">
        <w:rPr>
          <w:lang w:eastAsia="en-GB" w:bidi="bn-BD"/>
        </w:rPr>
        <w:t xml:space="preserve"> </w:t>
      </w:r>
      <w:r w:rsidRPr="002D2889">
        <w:rPr>
          <w:lang w:eastAsia="en-GB" w:bidi="bn-BD"/>
        </w:rPr>
        <w:t xml:space="preserve">ever learnt. It is up to </w:t>
      </w:r>
      <w:r w:rsidR="00632CD0">
        <w:rPr>
          <w:lang w:eastAsia="en-GB" w:bidi="bn-BD"/>
        </w:rPr>
        <w:t xml:space="preserve">Hilton </w:t>
      </w:r>
      <w:r w:rsidRPr="002D2889">
        <w:rPr>
          <w:lang w:eastAsia="en-GB" w:bidi="bn-BD"/>
        </w:rPr>
        <w:t xml:space="preserve">if </w:t>
      </w:r>
      <w:r w:rsidR="00632CD0">
        <w:rPr>
          <w:lang w:eastAsia="en-GB" w:bidi="bn-BD"/>
        </w:rPr>
        <w:t>they</w:t>
      </w:r>
      <w:r w:rsidRPr="002D2889">
        <w:rPr>
          <w:lang w:eastAsia="en-GB" w:bidi="bn-BD"/>
        </w:rPr>
        <w:t xml:space="preserve"> want </w:t>
      </w:r>
      <w:r w:rsidR="003B1C9C">
        <w:rPr>
          <w:lang w:eastAsia="en-GB" w:bidi="bn-BD"/>
        </w:rPr>
        <w:t xml:space="preserve">Hilton </w:t>
      </w:r>
      <w:r w:rsidRPr="002D2889">
        <w:rPr>
          <w:lang w:eastAsia="en-GB" w:bidi="bn-BD"/>
        </w:rPr>
        <w:t xml:space="preserve">to prosper. On the other side, </w:t>
      </w:r>
      <w:r w:rsidR="00DC031F" w:rsidRPr="002D2889">
        <w:rPr>
          <w:lang w:eastAsia="en-GB" w:bidi="bn-BD"/>
        </w:rPr>
        <w:t>does</w:t>
      </w:r>
      <w:r w:rsidRPr="002D2889">
        <w:rPr>
          <w:lang w:eastAsia="en-GB" w:bidi="bn-BD"/>
        </w:rPr>
        <w:t xml:space="preserve"> </w:t>
      </w:r>
      <w:r w:rsidR="003B1C9C">
        <w:rPr>
          <w:lang w:eastAsia="en-GB" w:bidi="bn-BD"/>
        </w:rPr>
        <w:t xml:space="preserve">Hilton </w:t>
      </w:r>
      <w:r w:rsidRPr="002D2889">
        <w:rPr>
          <w:lang w:eastAsia="en-GB" w:bidi="bn-BD"/>
        </w:rPr>
        <w:t xml:space="preserve">enjoy subpar performances? Any business owner should be able to answer this question. If </w:t>
      </w:r>
      <w:r w:rsidR="003B1C9C">
        <w:rPr>
          <w:lang w:eastAsia="en-GB" w:bidi="bn-BD"/>
        </w:rPr>
        <w:t xml:space="preserve">Hilton </w:t>
      </w:r>
      <w:r w:rsidR="00DC031F" w:rsidRPr="002D2889">
        <w:rPr>
          <w:lang w:eastAsia="en-GB" w:bidi="bn-BD"/>
        </w:rPr>
        <w:t>compares</w:t>
      </w:r>
      <w:r w:rsidRPr="002D2889">
        <w:rPr>
          <w:lang w:eastAsia="en-GB" w:bidi="bn-BD"/>
        </w:rPr>
        <w:t xml:space="preserve"> </w:t>
      </w:r>
      <w:r w:rsidR="002A03EE">
        <w:rPr>
          <w:lang w:eastAsia="en-GB" w:bidi="bn-BD"/>
        </w:rPr>
        <w:t>their</w:t>
      </w:r>
      <w:r w:rsidRPr="002D2889">
        <w:rPr>
          <w:lang w:eastAsia="en-GB" w:bidi="bn-BD"/>
        </w:rPr>
        <w:t xml:space="preserve"> company's financial outcomes to those of similarly successful companies in </w:t>
      </w:r>
      <w:r w:rsidR="00CA7916">
        <w:rPr>
          <w:lang w:eastAsia="en-GB" w:bidi="bn-BD"/>
        </w:rPr>
        <w:t xml:space="preserve">Hilton </w:t>
      </w:r>
      <w:r w:rsidRPr="002D2889">
        <w:rPr>
          <w:lang w:eastAsia="en-GB" w:bidi="bn-BD"/>
        </w:rPr>
        <w:t xml:space="preserve">field, </w:t>
      </w:r>
      <w:r w:rsidR="003B1C9C">
        <w:rPr>
          <w:lang w:eastAsia="en-GB" w:bidi="bn-BD"/>
        </w:rPr>
        <w:t xml:space="preserve">Hilton </w:t>
      </w:r>
      <w:r w:rsidRPr="002D2889">
        <w:rPr>
          <w:lang w:eastAsia="en-GB" w:bidi="bn-BD"/>
        </w:rPr>
        <w:t>will be driven to set greater goals</w:t>
      </w:r>
      <w:sdt>
        <w:sdtPr>
          <w:rPr>
            <w:lang w:eastAsia="en-GB" w:bidi="bn-BD"/>
          </w:rPr>
          <w:id w:val="-1979220561"/>
          <w:citation/>
        </w:sdtPr>
        <w:sdtEndPr/>
        <w:sdtContent>
          <w:r w:rsidR="00460821">
            <w:rPr>
              <w:lang w:eastAsia="en-GB" w:bidi="bn-BD"/>
            </w:rPr>
            <w:fldChar w:fldCharType="begin"/>
          </w:r>
          <w:r w:rsidR="005A790B">
            <w:rPr>
              <w:lang w:val="en-US" w:eastAsia="en-GB" w:bidi="bn-BD"/>
            </w:rPr>
            <w:instrText xml:space="preserve"> CITATION Kim171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(Kim &amp; Ayoun, 2017)</w:t>
          </w:r>
          <w:r w:rsidR="00460821">
            <w:rPr>
              <w:lang w:eastAsia="en-GB" w:bidi="bn-BD"/>
            </w:rPr>
            <w:fldChar w:fldCharType="end"/>
          </w:r>
        </w:sdtContent>
      </w:sdt>
      <w:r w:rsidRPr="002D2889">
        <w:rPr>
          <w:lang w:eastAsia="en-GB" w:bidi="bn-BD"/>
        </w:rPr>
        <w:t>.</w:t>
      </w:r>
    </w:p>
    <w:p w14:paraId="1863BC70" w14:textId="77777777" w:rsidR="002D2889" w:rsidRDefault="002D2889" w:rsidP="00DC031F">
      <w:pPr>
        <w:spacing w:line="360" w:lineRule="auto"/>
        <w:rPr>
          <w:lang w:eastAsia="en-GB" w:bidi="bn-BD"/>
        </w:rPr>
      </w:pPr>
      <w:r w:rsidRPr="002D2889">
        <w:rPr>
          <w:lang w:eastAsia="en-GB" w:bidi="bn-BD"/>
        </w:rPr>
        <w:t xml:space="preserve">The only error in ratio analysis is using average ratios rather than the ratios of high-performing </w:t>
      </w:r>
      <w:r w:rsidR="00DC031F" w:rsidRPr="002D2889">
        <w:rPr>
          <w:lang w:eastAsia="en-GB" w:bidi="bn-BD"/>
        </w:rPr>
        <w:t>organizations</w:t>
      </w:r>
      <w:r w:rsidRPr="002D2889">
        <w:rPr>
          <w:lang w:eastAsia="en-GB" w:bidi="bn-BD"/>
        </w:rPr>
        <w:t xml:space="preserve"> in </w:t>
      </w:r>
      <w:r w:rsidR="00CA7916">
        <w:rPr>
          <w:lang w:eastAsia="en-GB" w:bidi="bn-BD"/>
        </w:rPr>
        <w:t xml:space="preserve">Hilton’s </w:t>
      </w:r>
      <w:r w:rsidRPr="002D2889">
        <w:rPr>
          <w:lang w:eastAsia="en-GB" w:bidi="bn-BD"/>
        </w:rPr>
        <w:t>industry. This is the situation when using average ratios.</w:t>
      </w:r>
      <w:r w:rsidR="00F72DA9">
        <w:rPr>
          <w:lang w:eastAsia="en-GB" w:bidi="bn-BD"/>
        </w:rPr>
        <w:t xml:space="preserve"> </w:t>
      </w:r>
      <w:r w:rsidRPr="002D2889">
        <w:rPr>
          <w:lang w:eastAsia="en-GB" w:bidi="bn-BD"/>
        </w:rPr>
        <w:t>Redesigns of how things are performed. A corporation's operating structure can be drastically changed. These changes might affect their supply chain management as well as their product offers</w:t>
      </w:r>
      <w:sdt>
        <w:sdtPr>
          <w:rPr>
            <w:lang w:eastAsia="en-GB" w:bidi="bn-BD"/>
          </w:rPr>
          <w:id w:val="929319657"/>
          <w:citation/>
        </w:sdtPr>
        <w:sdtEndPr/>
        <w:sdtContent>
          <w:r w:rsidR="00460821">
            <w:rPr>
              <w:lang w:eastAsia="en-GB" w:bidi="bn-BD"/>
            </w:rPr>
            <w:fldChar w:fldCharType="begin"/>
          </w:r>
          <w:r w:rsidR="00931C50">
            <w:rPr>
              <w:lang w:val="en-US" w:eastAsia="en-GB" w:bidi="bn-BD"/>
            </w:rPr>
            <w:instrText xml:space="preserve"> CITATION Syd19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(Sydney-Hilton et al., 2019)</w:t>
          </w:r>
          <w:r w:rsidR="00460821">
            <w:rPr>
              <w:lang w:eastAsia="en-GB" w:bidi="bn-BD"/>
            </w:rPr>
            <w:fldChar w:fldCharType="end"/>
          </w:r>
        </w:sdtContent>
      </w:sdt>
      <w:r w:rsidRPr="002D2889">
        <w:rPr>
          <w:lang w:eastAsia="en-GB" w:bidi="bn-BD"/>
        </w:rPr>
        <w:t xml:space="preserve">. If financial data are compared before and after substantial changes in how an </w:t>
      </w:r>
      <w:r w:rsidR="00DC031F" w:rsidRPr="002D2889">
        <w:rPr>
          <w:lang w:eastAsia="en-GB" w:bidi="bn-BD"/>
        </w:rPr>
        <w:t>organization</w:t>
      </w:r>
      <w:r w:rsidRPr="002D2889">
        <w:rPr>
          <w:lang w:eastAsia="en-GB" w:bidi="bn-BD"/>
        </w:rPr>
        <w:t xml:space="preserve"> performs in the market, it is easy to draw incorrect assumptions about the company's performance and future. Changes in a company's strategy on a massive scale can have substantial implications on the organization's operations</w:t>
      </w:r>
      <w:sdt>
        <w:sdtPr>
          <w:rPr>
            <w:lang w:eastAsia="en-GB" w:bidi="bn-BD"/>
          </w:rPr>
          <w:id w:val="197821871"/>
          <w:citation/>
        </w:sdtPr>
        <w:sdtEndPr/>
        <w:sdtContent>
          <w:r w:rsidR="00460821">
            <w:rPr>
              <w:lang w:eastAsia="en-GB" w:bidi="bn-BD"/>
            </w:rPr>
            <w:fldChar w:fldCharType="begin"/>
          </w:r>
          <w:r w:rsidR="00931C50">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2D2889">
        <w:rPr>
          <w:lang w:eastAsia="en-GB" w:bidi="bn-BD"/>
        </w:rPr>
        <w:t>.</w:t>
      </w:r>
    </w:p>
    <w:p w14:paraId="4540CB4F" w14:textId="77777777" w:rsidR="002E7B15" w:rsidRPr="002E7B15" w:rsidRDefault="002E7B15" w:rsidP="00DC031F">
      <w:pPr>
        <w:spacing w:line="360" w:lineRule="auto"/>
        <w:rPr>
          <w:lang w:eastAsia="en-GB" w:bidi="bn-BD"/>
        </w:rPr>
      </w:pPr>
      <w:r w:rsidRPr="002E7B15">
        <w:rPr>
          <w:lang w:eastAsia="en-GB" w:bidi="bn-BD"/>
        </w:rPr>
        <w:lastRenderedPageBreak/>
        <w:t>A balance sheet, much as its name indicates, is a document that demonstrates an organization's current financial health at a specific point in time. Examining the company's balance sheet may provide a wealth of information on the company's history. It is possible that the results have been affected by inflation that has happened after the data was gathered</w:t>
      </w:r>
      <w:sdt>
        <w:sdtPr>
          <w:rPr>
            <w:lang w:eastAsia="en-GB" w:bidi="bn-BD"/>
          </w:rPr>
          <w:id w:val="376208514"/>
          <w:citation/>
        </w:sdtPr>
        <w:sdtEndPr/>
        <w:sdtContent>
          <w:r w:rsidR="00460821">
            <w:rPr>
              <w:lang w:eastAsia="en-GB" w:bidi="bn-BD"/>
            </w:rPr>
            <w:fldChar w:fldCharType="begin"/>
          </w:r>
          <w:r w:rsidR="00931C50">
            <w:rPr>
              <w:lang w:val="en-US" w:eastAsia="en-GB" w:bidi="bn-BD"/>
            </w:rPr>
            <w:instrText xml:space="preserve"> CITATION Syd19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(Sydney-Hilton et al., 2019)</w:t>
          </w:r>
          <w:r w:rsidR="00460821">
            <w:rPr>
              <w:lang w:eastAsia="en-GB" w:bidi="bn-BD"/>
            </w:rPr>
            <w:fldChar w:fldCharType="end"/>
          </w:r>
        </w:sdtContent>
      </w:sdt>
      <w:r w:rsidRPr="002E7B15">
        <w:rPr>
          <w:lang w:eastAsia="en-GB" w:bidi="bn-BD"/>
        </w:rPr>
        <w:t>.</w:t>
      </w:r>
    </w:p>
    <w:p w14:paraId="61C47F7F" w14:textId="77777777" w:rsidR="002E7B15" w:rsidRPr="002E7B15" w:rsidRDefault="002E7B15" w:rsidP="00DC031F">
      <w:pPr>
        <w:spacing w:line="360" w:lineRule="auto"/>
        <w:rPr>
          <w:lang w:eastAsia="en-GB" w:bidi="bn-BD"/>
        </w:rPr>
      </w:pPr>
      <w:r w:rsidRPr="002E7B15">
        <w:rPr>
          <w:lang w:eastAsia="en-GB" w:bidi="bn-BD"/>
        </w:rPr>
        <w:t xml:space="preserve">On balance sheets, it is common for the "reported" statistics and the "real" figures to not correspond with one another. The value of stocks and their rate of depreciation are both influenced by inflation, which also has an effect on earnings. When comparing two separate sets of financial accounts from different eras, it is possible that inflation will throw off </w:t>
      </w:r>
      <w:r w:rsidR="00875FEA">
        <w:rPr>
          <w:lang w:eastAsia="en-GB" w:bidi="bn-BD"/>
        </w:rPr>
        <w:t xml:space="preserve">Hilton’s </w:t>
      </w:r>
      <w:r w:rsidRPr="002E7B15">
        <w:rPr>
          <w:lang w:eastAsia="en-GB" w:bidi="bn-BD"/>
        </w:rPr>
        <w:t xml:space="preserve">ratios. If there been a shift in the rate of inflation throughout any of the time periods that </w:t>
      </w:r>
      <w:r w:rsidR="00DC031F" w:rsidRPr="002E7B15">
        <w:rPr>
          <w:lang w:eastAsia="en-GB" w:bidi="bn-BD"/>
        </w:rPr>
        <w:t>was</w:t>
      </w:r>
      <w:r w:rsidRPr="002E7B15">
        <w:rPr>
          <w:lang w:eastAsia="en-GB" w:bidi="bn-BD"/>
        </w:rPr>
        <w:t xml:space="preserve"> investigated, it's possible that the numbers are no longer comparable. Even if there was no change in sales, it would look as though there was a 100 percent increase in sales from the previous year if the inflation rate in a certain year was 100 percent</w:t>
      </w:r>
      <w:sdt>
        <w:sdtPr>
          <w:rPr>
            <w:lang w:eastAsia="en-GB" w:bidi="bn-BD"/>
          </w:rPr>
          <w:id w:val="310223391"/>
          <w:citation/>
        </w:sdtPr>
        <w:sdtEndPr/>
        <w:sdtContent>
          <w:r w:rsidR="00460821">
            <w:rPr>
              <w:lang w:eastAsia="en-GB" w:bidi="bn-BD"/>
            </w:rPr>
            <w:fldChar w:fldCharType="begin"/>
          </w:r>
          <w:r w:rsidR="00931C50">
            <w:rPr>
              <w:lang w:val="en-US" w:eastAsia="en-GB" w:bidi="bn-BD"/>
            </w:rPr>
            <w:instrText xml:space="preserve"> CITATION Syd19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(Sydney-Hilton et al., 2019)</w:t>
          </w:r>
          <w:r w:rsidR="00460821">
            <w:rPr>
              <w:lang w:eastAsia="en-GB" w:bidi="bn-BD"/>
            </w:rPr>
            <w:fldChar w:fldCharType="end"/>
          </w:r>
        </w:sdtContent>
      </w:sdt>
      <w:r w:rsidRPr="002E7B15">
        <w:rPr>
          <w:lang w:eastAsia="en-GB" w:bidi="bn-BD"/>
        </w:rPr>
        <w:t>.</w:t>
      </w:r>
    </w:p>
    <w:p w14:paraId="4A5C1742" w14:textId="77777777" w:rsidR="002E7B15" w:rsidRPr="002E7B15" w:rsidRDefault="002E7B15" w:rsidP="00DC031F">
      <w:pPr>
        <w:spacing w:line="360" w:lineRule="auto"/>
        <w:rPr>
          <w:lang w:eastAsia="en-GB" w:bidi="bn-BD"/>
        </w:rPr>
      </w:pPr>
      <w:r w:rsidRPr="002E7B15">
        <w:rPr>
          <w:lang w:eastAsia="en-GB" w:bidi="bn-BD"/>
        </w:rPr>
        <w:t xml:space="preserve">It may be difficult to ascertain the factors that led to the outcomes of a ratio. For instance, having a current ratio of 2:1 may give the impression that the company is doing very well until </w:t>
      </w:r>
      <w:r w:rsidR="003B1C9C">
        <w:rPr>
          <w:lang w:eastAsia="en-GB" w:bidi="bn-BD"/>
        </w:rPr>
        <w:t xml:space="preserve">Hilton </w:t>
      </w:r>
      <w:r w:rsidRPr="002E7B15">
        <w:rPr>
          <w:lang w:eastAsia="en-GB" w:bidi="bn-BD"/>
        </w:rPr>
        <w:t xml:space="preserve">find that it has just sold a significant number of its shares in order to strengthen its cash position. A further in-depth investigation could indicate that the current ratio is only anticipated to continue to be at this level for a constrained amount of time and that it is quite likely to decrease in the not-too-distant future. Although it is essential for users to consider the future, ratio analysis is founded on the information that </w:t>
      </w:r>
      <w:r w:rsidR="00DC031F" w:rsidRPr="002E7B15">
        <w:rPr>
          <w:lang w:eastAsia="en-GB" w:bidi="bn-BD"/>
        </w:rPr>
        <w:t>has</w:t>
      </w:r>
      <w:r w:rsidRPr="002E7B15">
        <w:rPr>
          <w:lang w:eastAsia="en-GB" w:bidi="bn-BD"/>
        </w:rPr>
        <w:t xml:space="preserve"> been gathered in the past. Even while we can use what happened in the past to make educated guesses about what will happen in the future, there will still be an element of unexpectedness</w:t>
      </w:r>
      <w:sdt>
        <w:sdtPr>
          <w:rPr>
            <w:lang w:eastAsia="en-GB" w:bidi="bn-BD"/>
          </w:rPr>
          <w:id w:val="605317422"/>
          <w:citation/>
        </w:sdtPr>
        <w:sdtEndPr/>
        <w:sdtContent>
          <w:r w:rsidR="00460821">
            <w:rPr>
              <w:lang w:eastAsia="en-GB" w:bidi="bn-BD"/>
            </w:rPr>
            <w:fldChar w:fldCharType="begin"/>
          </w:r>
          <w:r w:rsidR="00931C50">
            <w:rPr>
              <w:lang w:val="en-US" w:eastAsia="en-GB" w:bidi="bn-BD"/>
            </w:rPr>
            <w:instrText xml:space="preserve"> CITATION Ala211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(Alameri et al., 2021)</w:t>
          </w:r>
          <w:r w:rsidR="00460821">
            <w:rPr>
              <w:lang w:eastAsia="en-GB" w:bidi="bn-BD"/>
            </w:rPr>
            <w:fldChar w:fldCharType="end"/>
          </w:r>
        </w:sdtContent>
      </w:sdt>
      <w:r w:rsidRPr="002E7B15">
        <w:rPr>
          <w:lang w:eastAsia="en-GB" w:bidi="bn-BD"/>
        </w:rPr>
        <w:t>. For instance, just because the net profit margin of the firm has improved over the course of the previous three years does not always mean that it will continue to expand in the years to come.</w:t>
      </w:r>
      <w:r w:rsidR="00F72DA9">
        <w:rPr>
          <w:lang w:eastAsia="en-GB" w:bidi="bn-BD"/>
        </w:rPr>
        <w:t xml:space="preserve"> </w:t>
      </w:r>
      <w:r w:rsidRPr="002E7B15">
        <w:rPr>
          <w:lang w:eastAsia="en-GB" w:bidi="bn-BD"/>
        </w:rPr>
        <w:t xml:space="preserve">The analysis of ratios does not take inflation into consideration at any point. If there is a large amount of variation in inflation, it is impossible to </w:t>
      </w:r>
      <w:r w:rsidR="00DC031F" w:rsidRPr="002E7B15">
        <w:rPr>
          <w:lang w:eastAsia="en-GB" w:bidi="bn-BD"/>
        </w:rPr>
        <w:t>utilize</w:t>
      </w:r>
      <w:r w:rsidRPr="002E7B15">
        <w:rPr>
          <w:lang w:eastAsia="en-GB" w:bidi="bn-BD"/>
        </w:rPr>
        <w:t xml:space="preserve"> trend analysis since it is impossible to compare statistics from different time periods</w:t>
      </w:r>
      <w:sdt>
        <w:sdtPr>
          <w:rPr>
            <w:lang w:eastAsia="en-GB" w:bidi="bn-BD"/>
          </w:rPr>
          <w:id w:val="-2059313535"/>
          <w:citation/>
        </w:sdtPr>
        <w:sdtEndPr/>
        <w:sdtContent>
          <w:r w:rsidR="00460821">
            <w:rPr>
              <w:lang w:eastAsia="en-GB" w:bidi="bn-BD"/>
            </w:rPr>
            <w:fldChar w:fldCharType="begin"/>
          </w:r>
          <w:r w:rsidR="00931C50">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2E7B15">
        <w:rPr>
          <w:lang w:eastAsia="en-GB" w:bidi="bn-BD"/>
        </w:rPr>
        <w:t>.</w:t>
      </w:r>
    </w:p>
    <w:p w14:paraId="49F51CF0" w14:textId="77777777" w:rsidR="002E7B15" w:rsidRPr="002D2889" w:rsidRDefault="002E7B15" w:rsidP="00DC031F">
      <w:pPr>
        <w:spacing w:line="360" w:lineRule="auto"/>
        <w:rPr>
          <w:lang w:eastAsia="en-GB" w:bidi="bn-BD"/>
        </w:rPr>
      </w:pPr>
      <w:r w:rsidRPr="002E7B15">
        <w:rPr>
          <w:lang w:eastAsia="en-GB" w:bidi="bn-BD"/>
        </w:rPr>
        <w:t xml:space="preserve">Different firms' techniques of financial reporting may record the same transactions in a number of different ways. This is because different companies </w:t>
      </w:r>
      <w:r w:rsidR="00DC031F" w:rsidRPr="002E7B15">
        <w:rPr>
          <w:lang w:eastAsia="en-GB" w:bidi="bn-BD"/>
        </w:rPr>
        <w:t>utilize</w:t>
      </w:r>
      <w:r w:rsidRPr="002E7B15">
        <w:rPr>
          <w:lang w:eastAsia="en-GB" w:bidi="bn-BD"/>
        </w:rPr>
        <w:t xml:space="preserve"> different procedures. Due to the fact that their data are not comparable, ratio analysis cannot be </w:t>
      </w:r>
      <w:r w:rsidR="00DC031F" w:rsidRPr="002E7B15">
        <w:rPr>
          <w:lang w:eastAsia="en-GB" w:bidi="bn-BD"/>
        </w:rPr>
        <w:t>utilized</w:t>
      </w:r>
      <w:r w:rsidRPr="002E7B15">
        <w:rPr>
          <w:lang w:eastAsia="en-GB" w:bidi="bn-BD"/>
        </w:rPr>
        <w:t xml:space="preserve"> to compare these companies. When it comes to some aspects of finance, such as the useful life of fixed assets and the provision for questionable debt, management is required to make large estimates. Therefore, management has the ability to adjust these assumptions in order to change ratios, which makes it more difficult to compare ratios over different time periods.</w:t>
      </w:r>
    </w:p>
    <w:p w14:paraId="5B63F47C" w14:textId="77777777" w:rsidR="002D2889" w:rsidRPr="002D2889" w:rsidRDefault="002D2889" w:rsidP="00DC031F">
      <w:pPr>
        <w:spacing w:line="360" w:lineRule="auto"/>
        <w:rPr>
          <w:lang w:eastAsia="en-GB" w:bidi="bn-BD"/>
        </w:rPr>
      </w:pPr>
      <w:r w:rsidRPr="002D2889">
        <w:rPr>
          <w:lang w:eastAsia="en-GB" w:bidi="bn-BD"/>
        </w:rPr>
        <w:lastRenderedPageBreak/>
        <w:t xml:space="preserve">Things alter as the seasons </w:t>
      </w:r>
      <w:r w:rsidR="00F72DA9">
        <w:rPr>
          <w:lang w:eastAsia="en-GB" w:bidi="bn-BD"/>
        </w:rPr>
        <w:t>pass</w:t>
      </w:r>
      <w:r w:rsidRPr="002D2889">
        <w:rPr>
          <w:lang w:eastAsia="en-GB" w:bidi="bn-BD"/>
        </w:rPr>
        <w:t xml:space="preserve">. Seasonal swings can make ratio analysis more </w:t>
      </w:r>
      <w:r w:rsidR="00DC031F" w:rsidRPr="002D2889">
        <w:rPr>
          <w:lang w:eastAsia="en-GB" w:bidi="bn-BD"/>
        </w:rPr>
        <w:t>challenging;</w:t>
      </w:r>
      <w:r w:rsidRPr="002D2889">
        <w:rPr>
          <w:lang w:eastAsia="en-GB" w:bidi="bn-BD"/>
        </w:rPr>
        <w:t xml:space="preserve"> therefore analysts must be aware of them. If the ratio analysis cannot be adjusted to account for seasonality, the study's findings may be misconstrued</w:t>
      </w:r>
      <w:sdt>
        <w:sdtPr>
          <w:rPr>
            <w:lang w:eastAsia="en-GB" w:bidi="bn-BD"/>
          </w:rPr>
          <w:id w:val="-712110869"/>
          <w:citation/>
        </w:sdtPr>
        <w:sdtEndPr/>
        <w:sdtContent>
          <w:r w:rsidR="00460821">
            <w:rPr>
              <w:lang w:eastAsia="en-GB" w:bidi="bn-BD"/>
            </w:rPr>
            <w:fldChar w:fldCharType="begin"/>
          </w:r>
          <w:r w:rsidR="00931C50">
            <w:rPr>
              <w:lang w:val="en-US" w:eastAsia="en-GB" w:bidi="bn-BD"/>
            </w:rPr>
            <w:instrText xml:space="preserve"> CITATION Alt16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(Altman, 2016)</w:t>
          </w:r>
          <w:r w:rsidR="00460821">
            <w:rPr>
              <w:lang w:eastAsia="en-GB" w:bidi="bn-BD"/>
            </w:rPr>
            <w:fldChar w:fldCharType="end"/>
          </w:r>
        </w:sdtContent>
      </w:sdt>
      <w:r w:rsidRPr="002D2889">
        <w:rPr>
          <w:lang w:eastAsia="en-GB" w:bidi="bn-BD"/>
        </w:rPr>
        <w:t>.</w:t>
      </w:r>
    </w:p>
    <w:p w14:paraId="24A715F6" w14:textId="77777777" w:rsidR="002D2889" w:rsidRDefault="002D2889" w:rsidP="00DC031F">
      <w:pPr>
        <w:spacing w:line="360" w:lineRule="auto"/>
        <w:rPr>
          <w:lang w:eastAsia="en-GB" w:bidi="bn-BD"/>
        </w:rPr>
      </w:pPr>
      <w:r w:rsidRPr="002D2889">
        <w:rPr>
          <w:lang w:eastAsia="en-GB" w:bidi="bn-BD"/>
        </w:rPr>
        <w:t>The financial statements were modified. Ratio analysis is used to assess how much money the company has made and spent based on its financial statements. In order to make it appear that the company fared better than it actually did, management may modify this information</w:t>
      </w:r>
      <w:sdt>
        <w:sdtPr>
          <w:rPr>
            <w:lang w:eastAsia="en-GB" w:bidi="bn-BD"/>
          </w:rPr>
          <w:id w:val="190272451"/>
          <w:citation/>
        </w:sdtPr>
        <w:sdtEndPr/>
        <w:sdtContent>
          <w:r w:rsidR="00460821">
            <w:rPr>
              <w:lang w:eastAsia="en-GB" w:bidi="bn-BD"/>
            </w:rPr>
            <w:fldChar w:fldCharType="begin"/>
          </w:r>
          <w:r w:rsidR="00931C50">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2D2889">
        <w:rPr>
          <w:lang w:eastAsia="en-GB" w:bidi="bn-BD"/>
        </w:rPr>
        <w:t>. Due to the impossibility of determining if information was falsely submitted, a ratio-based examination could not expose the true nature of the company</w:t>
      </w:r>
      <w:sdt>
        <w:sdtPr>
          <w:rPr>
            <w:lang w:eastAsia="en-GB" w:bidi="bn-BD"/>
          </w:rPr>
          <w:id w:val="1056737714"/>
          <w:citation/>
        </w:sdtPr>
        <w:sdtEndPr/>
        <w:sdtContent>
          <w:r w:rsidR="00460821">
            <w:rPr>
              <w:lang w:eastAsia="en-GB" w:bidi="bn-BD"/>
            </w:rPr>
            <w:fldChar w:fldCharType="begin"/>
          </w:r>
          <w:r w:rsidR="00BA47C3">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2D2889">
        <w:rPr>
          <w:lang w:eastAsia="en-GB" w:bidi="bn-BD"/>
        </w:rPr>
        <w:t>. Before reaching conclusions, an analyst must have a comprehensive awareness of how data may be manipulated and do exhaustive research</w:t>
      </w:r>
      <w:sdt>
        <w:sdtPr>
          <w:rPr>
            <w:lang w:eastAsia="en-GB" w:bidi="bn-BD"/>
          </w:rPr>
          <w:id w:val="1917123876"/>
          <w:citation/>
        </w:sdtPr>
        <w:sdtEndPr/>
        <w:sdtContent>
          <w:r w:rsidR="00460821">
            <w:rPr>
              <w:lang w:eastAsia="en-GB" w:bidi="bn-BD"/>
            </w:rPr>
            <w:fldChar w:fldCharType="begin"/>
          </w:r>
          <w:r w:rsidR="00931C50">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2D2889">
        <w:rPr>
          <w:lang w:eastAsia="en-GB" w:bidi="bn-BD"/>
        </w:rPr>
        <w:t>.</w:t>
      </w:r>
      <w:r w:rsidR="00DC031F">
        <w:rPr>
          <w:lang w:eastAsia="en-GB" w:bidi="bn-BD"/>
        </w:rPr>
        <w:t xml:space="preserve"> </w:t>
      </w:r>
      <w:r w:rsidRPr="002D2889">
        <w:rPr>
          <w:lang w:eastAsia="en-GB" w:bidi="bn-BD"/>
        </w:rPr>
        <w:t xml:space="preserve">To assess the correctness of accounting ratios, only dependable data may be </w:t>
      </w:r>
      <w:r w:rsidR="00DC031F" w:rsidRPr="002D2889">
        <w:rPr>
          <w:lang w:eastAsia="en-GB" w:bidi="bn-BD"/>
        </w:rPr>
        <w:t>utilized</w:t>
      </w:r>
      <w:r w:rsidRPr="002D2889">
        <w:rPr>
          <w:lang w:eastAsia="en-GB" w:bidi="bn-BD"/>
        </w:rPr>
        <w:t xml:space="preserve">. In certain instances, the financial statements are manipulated to look more </w:t>
      </w:r>
      <w:r w:rsidR="00F72DA9" w:rsidRPr="002D2889">
        <w:rPr>
          <w:lang w:eastAsia="en-GB" w:bidi="bn-BD"/>
        </w:rPr>
        <w:t>favourable</w:t>
      </w:r>
      <w:r w:rsidRPr="002D2889">
        <w:rPr>
          <w:lang w:eastAsia="en-GB" w:bidi="bn-BD"/>
        </w:rPr>
        <w:t xml:space="preserve"> than they actually are. It is known as "window treatment." It might be brought on by a variety of circumstances. By inflating inventory values or omitting to deduct depreciation from fixed assets, it is possible to provide a </w:t>
      </w:r>
      <w:r w:rsidR="00F72DA9" w:rsidRPr="002D2889">
        <w:rPr>
          <w:lang w:eastAsia="en-GB" w:bidi="bn-BD"/>
        </w:rPr>
        <w:t>favourable</w:t>
      </w:r>
      <w:r w:rsidRPr="002D2889">
        <w:rPr>
          <w:lang w:eastAsia="en-GB" w:bidi="bn-BD"/>
        </w:rPr>
        <w:t xml:space="preserve"> picture of the company's ability to generate revenue and its overall financial health. Therefore, the analyst must be always vigilant for examples of window dressing</w:t>
      </w:r>
      <w:sdt>
        <w:sdtPr>
          <w:rPr>
            <w:lang w:eastAsia="en-GB" w:bidi="bn-BD"/>
          </w:rPr>
          <w:id w:val="933712111"/>
          <w:citation/>
        </w:sdtPr>
        <w:sdtEndPr/>
        <w:sdtContent>
          <w:r w:rsidR="00460821">
            <w:rPr>
              <w:lang w:eastAsia="en-GB" w:bidi="bn-BD"/>
            </w:rPr>
            <w:fldChar w:fldCharType="begin"/>
          </w:r>
          <w:r w:rsidR="00931C50">
            <w:rPr>
              <w:lang w:val="en-US" w:eastAsia="en-GB" w:bidi="bn-BD"/>
            </w:rPr>
            <w:instrText xml:space="preserve"> CITATION Nis17 \l 1033 </w:instrText>
          </w:r>
          <w:r w:rsidR="00460821">
            <w:rPr>
              <w:lang w:eastAsia="en-GB" w:bidi="bn-BD"/>
            </w:rPr>
            <w:fldChar w:fldCharType="separate"/>
          </w:r>
          <w:r w:rsidR="00DC031F">
            <w:rPr>
              <w:noProof/>
              <w:lang w:val="en-US" w:eastAsia="en-GB" w:bidi="bn-BD"/>
            </w:rPr>
            <w:t xml:space="preserve"> </w:t>
          </w:r>
          <w:r w:rsidR="00DC031F" w:rsidRPr="00DC031F">
            <w:rPr>
              <w:noProof/>
              <w:lang w:val="en-US" w:eastAsia="en-GB" w:bidi="bn-BD"/>
            </w:rPr>
            <w:t>(Nissim &amp; Penman, 2017)</w:t>
          </w:r>
          <w:r w:rsidR="00460821">
            <w:rPr>
              <w:lang w:eastAsia="en-GB" w:bidi="bn-BD"/>
            </w:rPr>
            <w:fldChar w:fldCharType="end"/>
          </w:r>
        </w:sdtContent>
      </w:sdt>
      <w:r w:rsidRPr="002D2889">
        <w:rPr>
          <w:lang w:eastAsia="en-GB" w:bidi="bn-BD"/>
        </w:rPr>
        <w:t>.</w:t>
      </w:r>
    </w:p>
    <w:p w14:paraId="39023AD6" w14:textId="77777777" w:rsidR="00294BA5" w:rsidRDefault="00294BA5" w:rsidP="00DC031F">
      <w:pPr>
        <w:pStyle w:val="Heading1"/>
        <w:spacing w:line="360" w:lineRule="auto"/>
      </w:pPr>
      <w:bookmarkStart w:id="5" w:name="_Toc104679088"/>
      <w:r>
        <w:t>Conclusion</w:t>
      </w:r>
      <w:bookmarkEnd w:id="5"/>
    </w:p>
    <w:p w14:paraId="2597EDA0" w14:textId="77777777" w:rsidR="00294BA5" w:rsidRPr="004C4E66" w:rsidRDefault="00AD4114" w:rsidP="00DC031F">
      <w:pPr>
        <w:spacing w:line="360" w:lineRule="auto"/>
        <w:rPr>
          <w:lang w:eastAsia="en-GB" w:bidi="bn-BD"/>
        </w:rPr>
      </w:pPr>
      <w:r>
        <w:rPr>
          <w:lang w:eastAsia="en-GB" w:bidi="bn-BD"/>
        </w:rPr>
        <w:t>Hilton’s</w:t>
      </w:r>
      <w:r w:rsidR="00294BA5" w:rsidRPr="004C4E66">
        <w:rPr>
          <w:lang w:eastAsia="en-GB" w:bidi="bn-BD"/>
        </w:rPr>
        <w:t xml:space="preserve"> management and its investors can </w:t>
      </w:r>
      <w:r w:rsidR="00DC031F" w:rsidRPr="004C4E66">
        <w:rPr>
          <w:lang w:eastAsia="en-GB" w:bidi="bn-BD"/>
        </w:rPr>
        <w:t>utilize</w:t>
      </w:r>
      <w:r w:rsidR="00294BA5" w:rsidRPr="004C4E66">
        <w:rPr>
          <w:lang w:eastAsia="en-GB" w:bidi="bn-BD"/>
        </w:rPr>
        <w:t xml:space="preserve"> ratio analysis to learn more about the company's finances and operations and to forecast what will occur in the future. Using ratios derived from historical financial accounts is an excellent approach to forecast future finances, create a budget, and prepare for the organization's future operations</w:t>
      </w:r>
      <w:r w:rsidR="00DC031F">
        <w:rPr>
          <w:lang w:eastAsia="en-GB" w:bidi="bn-BD"/>
        </w:rPr>
        <w:t xml:space="preserve"> </w:t>
      </w:r>
      <w:sdt>
        <w:sdtPr>
          <w:rPr>
            <w:lang w:eastAsia="en-GB" w:bidi="bn-BD"/>
          </w:rPr>
          <w:id w:val="273069816"/>
          <w:citation/>
        </w:sdtPr>
        <w:sdtEndPr/>
        <w:sdtContent>
          <w:r w:rsidR="00460821">
            <w:rPr>
              <w:lang w:eastAsia="en-GB" w:bidi="bn-BD"/>
            </w:rPr>
            <w:fldChar w:fldCharType="begin"/>
          </w:r>
          <w:r w:rsidR="00DC031F">
            <w:rPr>
              <w:lang w:val="en-US" w:eastAsia="en-GB" w:bidi="bn-BD"/>
            </w:rPr>
            <w:instrText xml:space="preserve"> CITATION Abi17 \l 1033 </w:instrText>
          </w:r>
          <w:r w:rsidR="00460821">
            <w:rPr>
              <w:lang w:eastAsia="en-GB" w:bidi="bn-BD"/>
            </w:rPr>
            <w:fldChar w:fldCharType="separate"/>
          </w:r>
          <w:r w:rsidR="00DC031F" w:rsidRPr="00DC031F">
            <w:rPr>
              <w:noProof/>
              <w:lang w:val="en-US" w:eastAsia="en-GB" w:bidi="bn-BD"/>
            </w:rPr>
            <w:t>(Abidali &amp; Harris, 2017)</w:t>
          </w:r>
          <w:r w:rsidR="00460821">
            <w:rPr>
              <w:lang w:eastAsia="en-GB" w:bidi="bn-BD"/>
            </w:rPr>
            <w:fldChar w:fldCharType="end"/>
          </w:r>
        </w:sdtContent>
      </w:sdt>
      <w:r w:rsidR="000F5323">
        <w:rPr>
          <w:lang w:eastAsia="en-GB" w:bidi="bn-BD"/>
        </w:rPr>
        <w:t>.</w:t>
      </w:r>
    </w:p>
    <w:p w14:paraId="5083CA59" w14:textId="77777777" w:rsidR="00D02106" w:rsidRDefault="00D02106" w:rsidP="00DC031F">
      <w:pPr>
        <w:pStyle w:val="Heading1"/>
        <w:spacing w:line="360" w:lineRule="auto"/>
      </w:pPr>
      <w:bookmarkStart w:id="6" w:name="_Toc104679089"/>
      <w:r>
        <w:t>Reference</w:t>
      </w:r>
      <w:bookmarkEnd w:id="6"/>
    </w:p>
    <w:p w14:paraId="6AF68D26" w14:textId="77777777" w:rsidR="00D02106" w:rsidRDefault="00AA62D1" w:rsidP="00DC031F">
      <w:pPr>
        <w:spacing w:line="360" w:lineRule="auto"/>
        <w:rPr>
          <w:lang w:eastAsia="en-GB" w:bidi="bn-BD"/>
        </w:rPr>
      </w:pPr>
      <w:r w:rsidRPr="00AA62D1">
        <w:rPr>
          <w:lang w:eastAsia="en-GB" w:bidi="bn-BD"/>
        </w:rPr>
        <w:t xml:space="preserve">Largay III, J.A. and Stickney, C.P., </w:t>
      </w:r>
      <w:r w:rsidR="004C4244">
        <w:rPr>
          <w:lang w:eastAsia="en-GB" w:bidi="bn-BD"/>
        </w:rPr>
        <w:t>2017</w:t>
      </w:r>
      <w:r w:rsidRPr="00AA62D1">
        <w:rPr>
          <w:lang w:eastAsia="en-GB" w:bidi="bn-BD"/>
        </w:rPr>
        <w:t>. Cash flows, ratio analysis and the WT Grant Company bankruptcy. Financial Analysts Journal, 36(4), pp.51-54.</w:t>
      </w:r>
    </w:p>
    <w:p w14:paraId="0F91DC53" w14:textId="77777777" w:rsidR="004C599B" w:rsidRDefault="00B0628F" w:rsidP="00DC031F">
      <w:pPr>
        <w:spacing w:line="360" w:lineRule="auto"/>
        <w:rPr>
          <w:lang w:eastAsia="en-GB" w:bidi="bn-BD"/>
        </w:rPr>
      </w:pPr>
      <w:r w:rsidRPr="00B0628F">
        <w:rPr>
          <w:lang w:eastAsia="en-GB" w:bidi="bn-BD"/>
        </w:rPr>
        <w:t xml:space="preserve">Nissim, D. and Penman, S.H., </w:t>
      </w:r>
      <w:r w:rsidR="00777945">
        <w:rPr>
          <w:lang w:eastAsia="en-GB" w:bidi="bn-BD"/>
        </w:rPr>
        <w:t>2017</w:t>
      </w:r>
      <w:r w:rsidRPr="00B0628F">
        <w:rPr>
          <w:lang w:eastAsia="en-GB" w:bidi="bn-BD"/>
        </w:rPr>
        <w:t>. Ratio analysis and equity valuation: From research to practice. Review of accounting studies, 6(1), pp.109-154.</w:t>
      </w:r>
    </w:p>
    <w:p w14:paraId="69BE16D2" w14:textId="77777777" w:rsidR="00B0628F" w:rsidRDefault="008F5360" w:rsidP="00DC031F">
      <w:pPr>
        <w:spacing w:line="360" w:lineRule="auto"/>
        <w:rPr>
          <w:lang w:eastAsia="en-GB" w:bidi="bn-BD"/>
        </w:rPr>
      </w:pPr>
      <w:r w:rsidRPr="008F5360">
        <w:rPr>
          <w:lang w:eastAsia="en-GB" w:bidi="bn-BD"/>
        </w:rPr>
        <w:t xml:space="preserve">Edmister, R.O., </w:t>
      </w:r>
      <w:r w:rsidR="004751F1">
        <w:rPr>
          <w:lang w:eastAsia="en-GB" w:bidi="bn-BD"/>
        </w:rPr>
        <w:t>2019</w:t>
      </w:r>
      <w:r w:rsidRPr="008F5360">
        <w:rPr>
          <w:lang w:eastAsia="en-GB" w:bidi="bn-BD"/>
        </w:rPr>
        <w:t>. An empirical test of financial ratio analysis for small business failure prediction. Journal of Financial and Quantitative analysis, 7(2), pp.1477-1493.</w:t>
      </w:r>
    </w:p>
    <w:p w14:paraId="3C7E58BF" w14:textId="77777777" w:rsidR="008F5360" w:rsidRDefault="005E5482" w:rsidP="00DC031F">
      <w:pPr>
        <w:spacing w:line="360" w:lineRule="auto"/>
        <w:rPr>
          <w:lang w:eastAsia="en-GB" w:bidi="bn-BD"/>
        </w:rPr>
      </w:pPr>
      <w:r w:rsidRPr="005E5482">
        <w:rPr>
          <w:lang w:eastAsia="en-GB" w:bidi="bn-BD"/>
        </w:rPr>
        <w:t>Wahyu, D.R., 2017. Economic value added and financial ratio analysis implementation on tobacco company. European Journal of Business and Management, 9(6), pp.65-68.</w:t>
      </w:r>
    </w:p>
    <w:p w14:paraId="561F64C9" w14:textId="77777777" w:rsidR="007669F1" w:rsidRDefault="007669F1" w:rsidP="00DC031F">
      <w:pPr>
        <w:spacing w:line="360" w:lineRule="auto"/>
        <w:rPr>
          <w:lang w:eastAsia="en-GB" w:bidi="bn-BD"/>
        </w:rPr>
      </w:pPr>
      <w:r w:rsidRPr="007669F1">
        <w:rPr>
          <w:lang w:eastAsia="en-GB" w:bidi="bn-BD"/>
        </w:rPr>
        <w:lastRenderedPageBreak/>
        <w:t xml:space="preserve">Altman, E.I., </w:t>
      </w:r>
      <w:r w:rsidR="005F5BD2">
        <w:rPr>
          <w:lang w:eastAsia="en-GB" w:bidi="bn-BD"/>
        </w:rPr>
        <w:t>2016</w:t>
      </w:r>
      <w:r w:rsidRPr="007669F1">
        <w:rPr>
          <w:lang w:eastAsia="en-GB" w:bidi="bn-BD"/>
        </w:rPr>
        <w:t>. Financial ratios, discriminant analysis and the prediction of corporate bankruptcy. The journal of finance, 23(4), pp.589-609.</w:t>
      </w:r>
    </w:p>
    <w:p w14:paraId="0D6A6537" w14:textId="77777777" w:rsidR="007669F1" w:rsidRDefault="008E5E53" w:rsidP="00DC031F">
      <w:pPr>
        <w:spacing w:line="360" w:lineRule="auto"/>
        <w:rPr>
          <w:lang w:eastAsia="en-GB" w:bidi="bn-BD"/>
        </w:rPr>
      </w:pPr>
      <w:r w:rsidRPr="008E5E53">
        <w:rPr>
          <w:lang w:eastAsia="en-GB" w:bidi="bn-BD"/>
        </w:rPr>
        <w:t xml:space="preserve">Abidali, A.F. and Harris, F., </w:t>
      </w:r>
      <w:r w:rsidR="00BB4693">
        <w:rPr>
          <w:lang w:eastAsia="en-GB" w:bidi="bn-BD"/>
        </w:rPr>
        <w:t>2017</w:t>
      </w:r>
      <w:r w:rsidRPr="008E5E53">
        <w:rPr>
          <w:lang w:eastAsia="en-GB" w:bidi="bn-BD"/>
        </w:rPr>
        <w:t>. A methodology for predicting company failure in the construction industry. Construction management and economics, 13(3), pp.189-196.</w:t>
      </w:r>
    </w:p>
    <w:p w14:paraId="45B99B90" w14:textId="77777777" w:rsidR="008E5E53" w:rsidRDefault="00480F88" w:rsidP="00DC031F">
      <w:pPr>
        <w:spacing w:line="360" w:lineRule="auto"/>
        <w:rPr>
          <w:lang w:eastAsia="en-GB" w:bidi="bn-BD"/>
        </w:rPr>
      </w:pPr>
      <w:r w:rsidRPr="00480F88">
        <w:rPr>
          <w:lang w:eastAsia="en-GB" w:bidi="bn-BD"/>
        </w:rPr>
        <w:t>Alameri, M., Alshamsi, F., Alsaedi, S., Alkaabi, A., Alamri, R., Alshamsi, M. and Nobanee, H., 2021. Financial Analysis of Hilton Holdings. Available at SSRN.</w:t>
      </w:r>
    </w:p>
    <w:p w14:paraId="7C91C012" w14:textId="77777777" w:rsidR="00480F88" w:rsidRDefault="00635C9B" w:rsidP="00DC031F">
      <w:pPr>
        <w:spacing w:line="360" w:lineRule="auto"/>
        <w:rPr>
          <w:lang w:eastAsia="en-GB" w:bidi="bn-BD"/>
        </w:rPr>
      </w:pPr>
      <w:r w:rsidRPr="00635C9B">
        <w:rPr>
          <w:lang w:eastAsia="en-GB" w:bidi="bn-BD"/>
        </w:rPr>
        <w:t xml:space="preserve">Kim, W.G. and Ayoun, B., </w:t>
      </w:r>
      <w:r w:rsidR="005448B5">
        <w:rPr>
          <w:lang w:eastAsia="en-GB" w:bidi="bn-BD"/>
        </w:rPr>
        <w:t>2017</w:t>
      </w:r>
      <w:r w:rsidRPr="00635C9B">
        <w:rPr>
          <w:lang w:eastAsia="en-GB" w:bidi="bn-BD"/>
        </w:rPr>
        <w:t>. Ratio analysis for the hospitality industry: A cross sector comparison of financial trends in the lodging, restaurant, airline, and amusement sectors. The Journal of Hospitality Financial Management, 13(1), pp.59-78.</w:t>
      </w:r>
    </w:p>
    <w:p w14:paraId="7E826DCB" w14:textId="77777777" w:rsidR="0059780D" w:rsidRDefault="007F6987" w:rsidP="00DC031F">
      <w:pPr>
        <w:spacing w:line="360" w:lineRule="auto"/>
        <w:rPr>
          <w:lang w:eastAsia="en-GB" w:bidi="bn-BD"/>
        </w:rPr>
      </w:pPr>
      <w:r w:rsidRPr="007F6987">
        <w:rPr>
          <w:lang w:eastAsia="en-GB" w:bidi="bn-BD"/>
        </w:rPr>
        <w:t>Linxi, X., 2021, September. The Digital Transformation Strategy of Hilton During COVID-19. In 2021 International Conference on Financial Management and Economic Transition (FMET 2021) (pp. 317-321). Atlantis Press.</w:t>
      </w:r>
    </w:p>
    <w:p w14:paraId="6CBAFD4E" w14:textId="77777777" w:rsidR="00A83472" w:rsidRDefault="00DC341A" w:rsidP="00DC031F">
      <w:pPr>
        <w:spacing w:line="360" w:lineRule="auto"/>
        <w:rPr>
          <w:lang w:eastAsia="en-GB" w:bidi="bn-BD"/>
        </w:rPr>
      </w:pPr>
      <w:r w:rsidRPr="00DC341A">
        <w:rPr>
          <w:lang w:eastAsia="en-GB" w:bidi="bn-BD"/>
        </w:rPr>
        <w:t>Sydney-Hilton, E. and Vila-Lopez, N., 2019. Are marketing strategies correlated with financial outputs? A longitudinal study. Journal of Business &amp; Industrial Marketing.</w:t>
      </w:r>
    </w:p>
    <w:p w14:paraId="5C947D37" w14:textId="77777777" w:rsidR="00DC341A" w:rsidRDefault="00902CFE" w:rsidP="00DC031F">
      <w:pPr>
        <w:spacing w:line="360" w:lineRule="auto"/>
        <w:rPr>
          <w:lang w:eastAsia="en-GB" w:bidi="bn-BD"/>
        </w:rPr>
      </w:pPr>
      <w:r w:rsidRPr="00902CFE">
        <w:rPr>
          <w:lang w:eastAsia="en-GB" w:bidi="bn-BD"/>
        </w:rPr>
        <w:t xml:space="preserve">Huckestein, D. and Duboff, R., </w:t>
      </w:r>
      <w:r w:rsidR="00F600AA">
        <w:rPr>
          <w:lang w:eastAsia="en-GB" w:bidi="bn-BD"/>
        </w:rPr>
        <w:t>2017</w:t>
      </w:r>
      <w:r w:rsidRPr="00902CFE">
        <w:rPr>
          <w:lang w:eastAsia="en-GB" w:bidi="bn-BD"/>
        </w:rPr>
        <w:t>. Hilton Hotels: a comprehensive approach to delivering value for all stakeholders. Cornell Hotel and Restaurant Administration Quarterly, 40(4), pp.28-38.</w:t>
      </w:r>
    </w:p>
    <w:p w14:paraId="479485C4" w14:textId="77777777" w:rsidR="00902CFE" w:rsidRDefault="00E413E2" w:rsidP="00DC031F">
      <w:pPr>
        <w:spacing w:line="360" w:lineRule="auto"/>
        <w:rPr>
          <w:lang w:eastAsia="en-GB" w:bidi="bn-BD"/>
        </w:rPr>
      </w:pPr>
      <w:r w:rsidRPr="00E413E2">
        <w:rPr>
          <w:lang w:eastAsia="en-GB" w:bidi="bn-BD"/>
        </w:rPr>
        <w:t xml:space="preserve">Hilton, D.J., </w:t>
      </w:r>
      <w:r w:rsidR="003F0BC3">
        <w:rPr>
          <w:lang w:eastAsia="en-GB" w:bidi="bn-BD"/>
        </w:rPr>
        <w:t>2017</w:t>
      </w:r>
      <w:r w:rsidRPr="00E413E2">
        <w:rPr>
          <w:lang w:eastAsia="en-GB" w:bidi="bn-BD"/>
        </w:rPr>
        <w:t>. The psychology of financial decision-making: Applications to trading, dealing, and investment analysis. The Journal of Psychology and Financial Markets, 2(1), pp.37-53.</w:t>
      </w:r>
    </w:p>
    <w:p w14:paraId="27DC816D" w14:textId="77777777" w:rsidR="00E413E2" w:rsidRDefault="007D16D4" w:rsidP="00DC031F">
      <w:pPr>
        <w:spacing w:line="360" w:lineRule="auto"/>
        <w:rPr>
          <w:lang w:eastAsia="en-GB" w:bidi="bn-BD"/>
        </w:rPr>
      </w:pPr>
      <w:r w:rsidRPr="007D16D4">
        <w:rPr>
          <w:lang w:eastAsia="en-GB" w:bidi="bn-BD"/>
        </w:rPr>
        <w:t>Alameri, M., Alshamsi, F., Alsaedi, S., Alkaabi, A., Alamri, R., Alshamsi, M. and Nobanee, H., 2021. Financial Analysis of Hilton Holdings. Available at SSRN.</w:t>
      </w:r>
    </w:p>
    <w:p w14:paraId="515E088A" w14:textId="77777777" w:rsidR="007D16D4" w:rsidRPr="002D2889" w:rsidRDefault="007D16D4" w:rsidP="00DC031F">
      <w:pPr>
        <w:spacing w:line="360" w:lineRule="auto"/>
        <w:rPr>
          <w:lang w:eastAsia="en-GB" w:bidi="bn-BD"/>
        </w:rPr>
      </w:pPr>
    </w:p>
    <w:p w14:paraId="1F7A7D16" w14:textId="77777777" w:rsidR="00557D80" w:rsidRPr="00557D80" w:rsidRDefault="00557D80" w:rsidP="00DC031F">
      <w:pPr>
        <w:spacing w:line="360" w:lineRule="auto"/>
        <w:rPr>
          <w:lang w:eastAsia="en-GB" w:bidi="bn-BD"/>
        </w:rPr>
      </w:pPr>
    </w:p>
    <w:p w14:paraId="391D7E7F" w14:textId="77777777" w:rsidR="00F448FD" w:rsidRPr="00F448FD" w:rsidRDefault="00F448FD" w:rsidP="00DC031F">
      <w:pPr>
        <w:spacing w:line="360" w:lineRule="auto"/>
      </w:pPr>
    </w:p>
    <w:p w14:paraId="3B8AAF3F" w14:textId="77777777" w:rsidR="00F448FD" w:rsidRPr="00F448FD" w:rsidRDefault="00F448FD" w:rsidP="00DC031F">
      <w:pPr>
        <w:spacing w:line="360" w:lineRule="auto"/>
      </w:pPr>
    </w:p>
    <w:p w14:paraId="5271C6F2" w14:textId="77777777" w:rsidR="00F448FD" w:rsidRPr="00F448FD" w:rsidRDefault="00F448FD" w:rsidP="00DC031F">
      <w:pPr>
        <w:spacing w:line="360" w:lineRule="auto"/>
      </w:pPr>
    </w:p>
    <w:p w14:paraId="71EA218E" w14:textId="77777777" w:rsidR="00F448FD" w:rsidRPr="00F448FD" w:rsidRDefault="00F448FD" w:rsidP="00DC031F">
      <w:pPr>
        <w:spacing w:line="360" w:lineRule="auto"/>
      </w:pPr>
    </w:p>
    <w:p w14:paraId="3E163727" w14:textId="77777777" w:rsidR="00F448FD" w:rsidRPr="00F448FD" w:rsidRDefault="00F448FD" w:rsidP="00DC031F">
      <w:pPr>
        <w:spacing w:line="360" w:lineRule="auto"/>
      </w:pPr>
    </w:p>
    <w:sectPr w:rsidR="00F448FD" w:rsidRPr="00F448FD" w:rsidSect="00316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E30E91" w14:textId="77777777" w:rsidR="00727A23" w:rsidRDefault="00727A23" w:rsidP="008F0EF0">
      <w:pPr>
        <w:spacing w:after="0"/>
      </w:pPr>
      <w:r>
        <w:separator/>
      </w:r>
    </w:p>
  </w:endnote>
  <w:endnote w:type="continuationSeparator" w:id="0">
    <w:p w14:paraId="2275BBF5" w14:textId="77777777" w:rsidR="00727A23" w:rsidRDefault="00727A23" w:rsidP="008F0EF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39F0C2" w14:textId="77777777" w:rsidR="00727A23" w:rsidRDefault="00727A23" w:rsidP="008F0EF0">
      <w:pPr>
        <w:spacing w:after="0"/>
      </w:pPr>
      <w:r>
        <w:separator/>
      </w:r>
    </w:p>
  </w:footnote>
  <w:footnote w:type="continuationSeparator" w:id="0">
    <w:p w14:paraId="0672F9C9" w14:textId="77777777" w:rsidR="00727A23" w:rsidRDefault="00727A23" w:rsidP="008F0EF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72F"/>
    <w:rsid w:val="00024B07"/>
    <w:rsid w:val="00031312"/>
    <w:rsid w:val="00053791"/>
    <w:rsid w:val="0007543D"/>
    <w:rsid w:val="00093FC9"/>
    <w:rsid w:val="000966C4"/>
    <w:rsid w:val="000A67F8"/>
    <w:rsid w:val="000B3C83"/>
    <w:rsid w:val="000F5323"/>
    <w:rsid w:val="00154DA8"/>
    <w:rsid w:val="001A7C8D"/>
    <w:rsid w:val="001B18FF"/>
    <w:rsid w:val="001D74E8"/>
    <w:rsid w:val="002336CC"/>
    <w:rsid w:val="00235200"/>
    <w:rsid w:val="00260816"/>
    <w:rsid w:val="00294BA5"/>
    <w:rsid w:val="002A03EE"/>
    <w:rsid w:val="002A2D99"/>
    <w:rsid w:val="002D2889"/>
    <w:rsid w:val="002D7993"/>
    <w:rsid w:val="002E3B33"/>
    <w:rsid w:val="002E7B15"/>
    <w:rsid w:val="002F1422"/>
    <w:rsid w:val="00316D11"/>
    <w:rsid w:val="003238AB"/>
    <w:rsid w:val="003A6051"/>
    <w:rsid w:val="003B1C9C"/>
    <w:rsid w:val="003F0BC3"/>
    <w:rsid w:val="00422293"/>
    <w:rsid w:val="0042372F"/>
    <w:rsid w:val="004314C8"/>
    <w:rsid w:val="00460821"/>
    <w:rsid w:val="004751F1"/>
    <w:rsid w:val="00480F88"/>
    <w:rsid w:val="00481CAC"/>
    <w:rsid w:val="00496C58"/>
    <w:rsid w:val="00497389"/>
    <w:rsid w:val="004C4244"/>
    <w:rsid w:val="004C4E66"/>
    <w:rsid w:val="004C599B"/>
    <w:rsid w:val="00513738"/>
    <w:rsid w:val="005448B5"/>
    <w:rsid w:val="00557D80"/>
    <w:rsid w:val="00570177"/>
    <w:rsid w:val="0059484B"/>
    <w:rsid w:val="0059780D"/>
    <w:rsid w:val="005A790B"/>
    <w:rsid w:val="005B237F"/>
    <w:rsid w:val="005E5482"/>
    <w:rsid w:val="005F5BD2"/>
    <w:rsid w:val="00632CD0"/>
    <w:rsid w:val="00635B46"/>
    <w:rsid w:val="00635C9B"/>
    <w:rsid w:val="00695E60"/>
    <w:rsid w:val="006A394F"/>
    <w:rsid w:val="006E54AE"/>
    <w:rsid w:val="006F3A94"/>
    <w:rsid w:val="007211A5"/>
    <w:rsid w:val="00727A23"/>
    <w:rsid w:val="007669F1"/>
    <w:rsid w:val="00777945"/>
    <w:rsid w:val="007D16D4"/>
    <w:rsid w:val="007F6987"/>
    <w:rsid w:val="00853ABF"/>
    <w:rsid w:val="00875FEA"/>
    <w:rsid w:val="00883CCC"/>
    <w:rsid w:val="00884652"/>
    <w:rsid w:val="008A22BA"/>
    <w:rsid w:val="008C0807"/>
    <w:rsid w:val="008E1232"/>
    <w:rsid w:val="008E5E53"/>
    <w:rsid w:val="008F0EF0"/>
    <w:rsid w:val="008F5360"/>
    <w:rsid w:val="00902CFE"/>
    <w:rsid w:val="00913791"/>
    <w:rsid w:val="00931C50"/>
    <w:rsid w:val="009906FD"/>
    <w:rsid w:val="009C182B"/>
    <w:rsid w:val="00A2746B"/>
    <w:rsid w:val="00A3187E"/>
    <w:rsid w:val="00A53850"/>
    <w:rsid w:val="00A83472"/>
    <w:rsid w:val="00AA62D1"/>
    <w:rsid w:val="00AC7B7F"/>
    <w:rsid w:val="00AD4114"/>
    <w:rsid w:val="00AF186D"/>
    <w:rsid w:val="00AF30AC"/>
    <w:rsid w:val="00B0628F"/>
    <w:rsid w:val="00B71DB4"/>
    <w:rsid w:val="00BA47C3"/>
    <w:rsid w:val="00BB4693"/>
    <w:rsid w:val="00BE2958"/>
    <w:rsid w:val="00BE6A41"/>
    <w:rsid w:val="00C001F8"/>
    <w:rsid w:val="00C52FCE"/>
    <w:rsid w:val="00CA7916"/>
    <w:rsid w:val="00CD0AD5"/>
    <w:rsid w:val="00CF09F0"/>
    <w:rsid w:val="00D02106"/>
    <w:rsid w:val="00D20A0D"/>
    <w:rsid w:val="00D52C24"/>
    <w:rsid w:val="00D73566"/>
    <w:rsid w:val="00DA41BC"/>
    <w:rsid w:val="00DA778B"/>
    <w:rsid w:val="00DC031F"/>
    <w:rsid w:val="00DC12AB"/>
    <w:rsid w:val="00DC341A"/>
    <w:rsid w:val="00DC5E61"/>
    <w:rsid w:val="00DD0AA8"/>
    <w:rsid w:val="00E31644"/>
    <w:rsid w:val="00E35D18"/>
    <w:rsid w:val="00E413E2"/>
    <w:rsid w:val="00E53CD4"/>
    <w:rsid w:val="00E667FD"/>
    <w:rsid w:val="00EB595C"/>
    <w:rsid w:val="00F448FD"/>
    <w:rsid w:val="00F468F6"/>
    <w:rsid w:val="00F600AA"/>
    <w:rsid w:val="00F72DA9"/>
    <w:rsid w:val="00F86A93"/>
    <w:rsid w:val="00FC427B"/>
    <w:rsid w:val="00FE6EC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C3E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0AD5"/>
    <w:pPr>
      <w:spacing w:line="240" w:lineRule="auto"/>
      <w:jc w:val="both"/>
    </w:pPr>
    <w:rPr>
      <w:rFonts w:ascii="Times New Roman" w:hAnsi="Times New Roman"/>
    </w:rPr>
  </w:style>
  <w:style w:type="paragraph" w:styleId="Heading1">
    <w:name w:val="heading 1"/>
    <w:basedOn w:val="Normal"/>
    <w:next w:val="Normal"/>
    <w:link w:val="Heading1Char"/>
    <w:uiPriority w:val="9"/>
    <w:qFormat/>
    <w:rsid w:val="00FE6EC4"/>
    <w:pPr>
      <w:keepNext/>
      <w:keepLines/>
      <w:spacing w:before="240" w:after="0" w:line="276" w:lineRule="auto"/>
      <w:outlineLvl w:val="0"/>
    </w:pPr>
    <w:rPr>
      <w:rFonts w:eastAsiaTheme="majorEastAsia" w:cstheme="majorBidi"/>
      <w:color w:val="2F5496" w:themeColor="accent1" w:themeShade="BF"/>
      <w:sz w:val="32"/>
      <w:szCs w:val="40"/>
      <w:lang w:eastAsia="en-GB" w:bidi="bn-BD"/>
    </w:rPr>
  </w:style>
  <w:style w:type="paragraph" w:styleId="Heading2">
    <w:name w:val="heading 2"/>
    <w:basedOn w:val="Normal"/>
    <w:next w:val="Normal"/>
    <w:link w:val="Heading2Char"/>
    <w:uiPriority w:val="9"/>
    <w:semiHidden/>
    <w:unhideWhenUsed/>
    <w:qFormat/>
    <w:rsid w:val="00FE6EC4"/>
    <w:pPr>
      <w:keepNext/>
      <w:keepLines/>
      <w:spacing w:before="40" w:after="0" w:line="276" w:lineRule="auto"/>
      <w:outlineLvl w:val="1"/>
    </w:pPr>
    <w:rPr>
      <w:rFonts w:eastAsiaTheme="majorEastAsia" w:cstheme="majorBidi"/>
      <w:color w:val="2F5496" w:themeColor="accent1" w:themeShade="BF"/>
      <w:sz w:val="26"/>
      <w:szCs w:val="33"/>
      <w:lang w:eastAsia="en-GB" w:bidi="bn-BD"/>
    </w:rPr>
  </w:style>
  <w:style w:type="paragraph" w:styleId="Heading4">
    <w:name w:val="heading 4"/>
    <w:basedOn w:val="Normal"/>
    <w:next w:val="Normal"/>
    <w:link w:val="Heading4Char"/>
    <w:uiPriority w:val="9"/>
    <w:semiHidden/>
    <w:unhideWhenUsed/>
    <w:qFormat/>
    <w:rsid w:val="004314C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6EC4"/>
    <w:pPr>
      <w:spacing w:after="0" w:line="240" w:lineRule="auto"/>
    </w:pPr>
    <w:rPr>
      <w:rFonts w:ascii="Times New Roman" w:eastAsia="Arial" w:hAnsi="Times New Roman" w:cs="Arial"/>
      <w:szCs w:val="28"/>
      <w:lang w:eastAsia="en-GB" w:bidi="bn-BD"/>
    </w:rPr>
  </w:style>
  <w:style w:type="character" w:customStyle="1" w:styleId="Heading1Char">
    <w:name w:val="Heading 1 Char"/>
    <w:basedOn w:val="DefaultParagraphFont"/>
    <w:link w:val="Heading1"/>
    <w:uiPriority w:val="9"/>
    <w:rsid w:val="00FE6EC4"/>
    <w:rPr>
      <w:rFonts w:ascii="Times New Roman" w:eastAsiaTheme="majorEastAsia" w:hAnsi="Times New Roman" w:cstheme="majorBidi"/>
      <w:color w:val="2F5496" w:themeColor="accent1" w:themeShade="BF"/>
      <w:sz w:val="32"/>
      <w:szCs w:val="40"/>
      <w:lang w:eastAsia="en-GB" w:bidi="bn-BD"/>
    </w:rPr>
  </w:style>
  <w:style w:type="character" w:customStyle="1" w:styleId="Heading2Char">
    <w:name w:val="Heading 2 Char"/>
    <w:basedOn w:val="DefaultParagraphFont"/>
    <w:link w:val="Heading2"/>
    <w:uiPriority w:val="9"/>
    <w:semiHidden/>
    <w:rsid w:val="00FE6EC4"/>
    <w:rPr>
      <w:rFonts w:ascii="Times New Roman" w:eastAsiaTheme="majorEastAsia" w:hAnsi="Times New Roman" w:cstheme="majorBidi"/>
      <w:color w:val="2F5496" w:themeColor="accent1" w:themeShade="BF"/>
      <w:sz w:val="26"/>
      <w:szCs w:val="33"/>
      <w:lang w:eastAsia="en-GB" w:bidi="bn-BD"/>
    </w:rPr>
  </w:style>
  <w:style w:type="paragraph" w:styleId="Title">
    <w:name w:val="Title"/>
    <w:basedOn w:val="Normal"/>
    <w:next w:val="Normal"/>
    <w:link w:val="TitleChar"/>
    <w:uiPriority w:val="10"/>
    <w:qFormat/>
    <w:rsid w:val="00FE6EC4"/>
    <w:pPr>
      <w:spacing w:after="0"/>
      <w:contextualSpacing/>
    </w:pPr>
    <w:rPr>
      <w:rFonts w:eastAsiaTheme="majorEastAsia" w:cstheme="majorBidi"/>
      <w:spacing w:val="-10"/>
      <w:kern w:val="28"/>
      <w:sz w:val="56"/>
      <w:szCs w:val="71"/>
      <w:lang w:eastAsia="en-GB" w:bidi="bn-BD"/>
    </w:rPr>
  </w:style>
  <w:style w:type="character" w:customStyle="1" w:styleId="TitleChar">
    <w:name w:val="Title Char"/>
    <w:basedOn w:val="DefaultParagraphFont"/>
    <w:link w:val="Title"/>
    <w:uiPriority w:val="10"/>
    <w:rsid w:val="00FE6EC4"/>
    <w:rPr>
      <w:rFonts w:ascii="Times New Roman" w:eastAsiaTheme="majorEastAsia" w:hAnsi="Times New Roman" w:cstheme="majorBidi"/>
      <w:spacing w:val="-10"/>
      <w:kern w:val="28"/>
      <w:sz w:val="56"/>
      <w:szCs w:val="71"/>
      <w:lang w:eastAsia="en-GB" w:bidi="bn-BD"/>
    </w:rPr>
  </w:style>
  <w:style w:type="paragraph" w:styleId="Header">
    <w:name w:val="header"/>
    <w:basedOn w:val="Normal"/>
    <w:link w:val="HeaderChar"/>
    <w:unhideWhenUsed/>
    <w:rsid w:val="008F0EF0"/>
    <w:pPr>
      <w:tabs>
        <w:tab w:val="center" w:pos="4513"/>
        <w:tab w:val="right" w:pos="9026"/>
      </w:tabs>
      <w:spacing w:after="0"/>
    </w:pPr>
  </w:style>
  <w:style w:type="character" w:customStyle="1" w:styleId="HeaderChar">
    <w:name w:val="Header Char"/>
    <w:basedOn w:val="DefaultParagraphFont"/>
    <w:link w:val="Header"/>
    <w:rsid w:val="008F0EF0"/>
    <w:rPr>
      <w:rFonts w:ascii="Times New Roman" w:hAnsi="Times New Roman"/>
    </w:rPr>
  </w:style>
  <w:style w:type="paragraph" w:styleId="Footer">
    <w:name w:val="footer"/>
    <w:basedOn w:val="Normal"/>
    <w:link w:val="FooterChar"/>
    <w:uiPriority w:val="99"/>
    <w:unhideWhenUsed/>
    <w:rsid w:val="008F0EF0"/>
    <w:pPr>
      <w:tabs>
        <w:tab w:val="center" w:pos="4513"/>
        <w:tab w:val="right" w:pos="9026"/>
      </w:tabs>
      <w:spacing w:after="0"/>
    </w:pPr>
  </w:style>
  <w:style w:type="character" w:customStyle="1" w:styleId="FooterChar">
    <w:name w:val="Footer Char"/>
    <w:basedOn w:val="DefaultParagraphFont"/>
    <w:link w:val="Footer"/>
    <w:uiPriority w:val="99"/>
    <w:rsid w:val="008F0EF0"/>
    <w:rPr>
      <w:rFonts w:ascii="Times New Roman" w:hAnsi="Times New Roman"/>
    </w:rPr>
  </w:style>
  <w:style w:type="paragraph" w:styleId="TOCHeading">
    <w:name w:val="TOC Heading"/>
    <w:basedOn w:val="Heading1"/>
    <w:next w:val="Normal"/>
    <w:uiPriority w:val="39"/>
    <w:unhideWhenUsed/>
    <w:qFormat/>
    <w:rsid w:val="00884652"/>
    <w:pPr>
      <w:spacing w:line="259" w:lineRule="auto"/>
      <w:jc w:val="left"/>
      <w:outlineLvl w:val="9"/>
    </w:pPr>
    <w:rPr>
      <w:rFonts w:asciiTheme="majorHAnsi" w:hAnsiTheme="majorHAnsi"/>
      <w:szCs w:val="32"/>
      <w:lang w:val="en-US" w:eastAsia="en-US" w:bidi="ar-SA"/>
    </w:rPr>
  </w:style>
  <w:style w:type="paragraph" w:styleId="TOC1">
    <w:name w:val="toc 1"/>
    <w:basedOn w:val="Normal"/>
    <w:next w:val="Normal"/>
    <w:autoRedefine/>
    <w:uiPriority w:val="39"/>
    <w:unhideWhenUsed/>
    <w:rsid w:val="00884652"/>
    <w:pPr>
      <w:spacing w:after="100"/>
    </w:pPr>
  </w:style>
  <w:style w:type="character" w:styleId="Hyperlink">
    <w:name w:val="Hyperlink"/>
    <w:basedOn w:val="DefaultParagraphFont"/>
    <w:uiPriority w:val="99"/>
    <w:unhideWhenUsed/>
    <w:rsid w:val="00884652"/>
    <w:rPr>
      <w:color w:val="0563C1" w:themeColor="hyperlink"/>
      <w:u w:val="single"/>
    </w:rPr>
  </w:style>
  <w:style w:type="paragraph" w:styleId="BalloonText">
    <w:name w:val="Balloon Text"/>
    <w:basedOn w:val="Normal"/>
    <w:link w:val="BalloonTextChar"/>
    <w:uiPriority w:val="99"/>
    <w:semiHidden/>
    <w:unhideWhenUsed/>
    <w:rsid w:val="00DC031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031F"/>
    <w:rPr>
      <w:rFonts w:ascii="Tahoma" w:hAnsi="Tahoma" w:cs="Tahoma"/>
      <w:sz w:val="16"/>
      <w:szCs w:val="16"/>
    </w:rPr>
  </w:style>
  <w:style w:type="character" w:customStyle="1" w:styleId="Heading4Char">
    <w:name w:val="Heading 4 Char"/>
    <w:basedOn w:val="DefaultParagraphFont"/>
    <w:link w:val="Heading4"/>
    <w:uiPriority w:val="9"/>
    <w:semiHidden/>
    <w:rsid w:val="004314C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08752">
      <w:bodyDiv w:val="1"/>
      <w:marLeft w:val="0"/>
      <w:marRight w:val="0"/>
      <w:marTop w:val="0"/>
      <w:marBottom w:val="0"/>
      <w:divBdr>
        <w:top w:val="none" w:sz="0" w:space="0" w:color="auto"/>
        <w:left w:val="none" w:sz="0" w:space="0" w:color="auto"/>
        <w:bottom w:val="none" w:sz="0" w:space="0" w:color="auto"/>
        <w:right w:val="none" w:sz="0" w:space="0" w:color="auto"/>
      </w:divBdr>
    </w:div>
    <w:div w:id="14304973">
      <w:bodyDiv w:val="1"/>
      <w:marLeft w:val="0"/>
      <w:marRight w:val="0"/>
      <w:marTop w:val="0"/>
      <w:marBottom w:val="0"/>
      <w:divBdr>
        <w:top w:val="none" w:sz="0" w:space="0" w:color="auto"/>
        <w:left w:val="none" w:sz="0" w:space="0" w:color="auto"/>
        <w:bottom w:val="none" w:sz="0" w:space="0" w:color="auto"/>
        <w:right w:val="none" w:sz="0" w:space="0" w:color="auto"/>
      </w:divBdr>
    </w:div>
    <w:div w:id="21321046">
      <w:bodyDiv w:val="1"/>
      <w:marLeft w:val="0"/>
      <w:marRight w:val="0"/>
      <w:marTop w:val="0"/>
      <w:marBottom w:val="0"/>
      <w:divBdr>
        <w:top w:val="none" w:sz="0" w:space="0" w:color="auto"/>
        <w:left w:val="none" w:sz="0" w:space="0" w:color="auto"/>
        <w:bottom w:val="none" w:sz="0" w:space="0" w:color="auto"/>
        <w:right w:val="none" w:sz="0" w:space="0" w:color="auto"/>
      </w:divBdr>
    </w:div>
    <w:div w:id="76371843">
      <w:bodyDiv w:val="1"/>
      <w:marLeft w:val="0"/>
      <w:marRight w:val="0"/>
      <w:marTop w:val="0"/>
      <w:marBottom w:val="0"/>
      <w:divBdr>
        <w:top w:val="none" w:sz="0" w:space="0" w:color="auto"/>
        <w:left w:val="none" w:sz="0" w:space="0" w:color="auto"/>
        <w:bottom w:val="none" w:sz="0" w:space="0" w:color="auto"/>
        <w:right w:val="none" w:sz="0" w:space="0" w:color="auto"/>
      </w:divBdr>
    </w:div>
    <w:div w:id="150877254">
      <w:bodyDiv w:val="1"/>
      <w:marLeft w:val="0"/>
      <w:marRight w:val="0"/>
      <w:marTop w:val="0"/>
      <w:marBottom w:val="0"/>
      <w:divBdr>
        <w:top w:val="none" w:sz="0" w:space="0" w:color="auto"/>
        <w:left w:val="none" w:sz="0" w:space="0" w:color="auto"/>
        <w:bottom w:val="none" w:sz="0" w:space="0" w:color="auto"/>
        <w:right w:val="none" w:sz="0" w:space="0" w:color="auto"/>
      </w:divBdr>
    </w:div>
    <w:div w:id="177548291">
      <w:bodyDiv w:val="1"/>
      <w:marLeft w:val="0"/>
      <w:marRight w:val="0"/>
      <w:marTop w:val="0"/>
      <w:marBottom w:val="0"/>
      <w:divBdr>
        <w:top w:val="none" w:sz="0" w:space="0" w:color="auto"/>
        <w:left w:val="none" w:sz="0" w:space="0" w:color="auto"/>
        <w:bottom w:val="none" w:sz="0" w:space="0" w:color="auto"/>
        <w:right w:val="none" w:sz="0" w:space="0" w:color="auto"/>
      </w:divBdr>
    </w:div>
    <w:div w:id="246155693">
      <w:bodyDiv w:val="1"/>
      <w:marLeft w:val="0"/>
      <w:marRight w:val="0"/>
      <w:marTop w:val="0"/>
      <w:marBottom w:val="0"/>
      <w:divBdr>
        <w:top w:val="none" w:sz="0" w:space="0" w:color="auto"/>
        <w:left w:val="none" w:sz="0" w:space="0" w:color="auto"/>
        <w:bottom w:val="none" w:sz="0" w:space="0" w:color="auto"/>
        <w:right w:val="none" w:sz="0" w:space="0" w:color="auto"/>
      </w:divBdr>
    </w:div>
    <w:div w:id="271740873">
      <w:bodyDiv w:val="1"/>
      <w:marLeft w:val="0"/>
      <w:marRight w:val="0"/>
      <w:marTop w:val="0"/>
      <w:marBottom w:val="0"/>
      <w:divBdr>
        <w:top w:val="none" w:sz="0" w:space="0" w:color="auto"/>
        <w:left w:val="none" w:sz="0" w:space="0" w:color="auto"/>
        <w:bottom w:val="none" w:sz="0" w:space="0" w:color="auto"/>
        <w:right w:val="none" w:sz="0" w:space="0" w:color="auto"/>
      </w:divBdr>
    </w:div>
    <w:div w:id="280307769">
      <w:bodyDiv w:val="1"/>
      <w:marLeft w:val="0"/>
      <w:marRight w:val="0"/>
      <w:marTop w:val="0"/>
      <w:marBottom w:val="0"/>
      <w:divBdr>
        <w:top w:val="none" w:sz="0" w:space="0" w:color="auto"/>
        <w:left w:val="none" w:sz="0" w:space="0" w:color="auto"/>
        <w:bottom w:val="none" w:sz="0" w:space="0" w:color="auto"/>
        <w:right w:val="none" w:sz="0" w:space="0" w:color="auto"/>
      </w:divBdr>
    </w:div>
    <w:div w:id="337732683">
      <w:bodyDiv w:val="1"/>
      <w:marLeft w:val="0"/>
      <w:marRight w:val="0"/>
      <w:marTop w:val="0"/>
      <w:marBottom w:val="0"/>
      <w:divBdr>
        <w:top w:val="none" w:sz="0" w:space="0" w:color="auto"/>
        <w:left w:val="none" w:sz="0" w:space="0" w:color="auto"/>
        <w:bottom w:val="none" w:sz="0" w:space="0" w:color="auto"/>
        <w:right w:val="none" w:sz="0" w:space="0" w:color="auto"/>
      </w:divBdr>
    </w:div>
    <w:div w:id="399013638">
      <w:bodyDiv w:val="1"/>
      <w:marLeft w:val="0"/>
      <w:marRight w:val="0"/>
      <w:marTop w:val="0"/>
      <w:marBottom w:val="0"/>
      <w:divBdr>
        <w:top w:val="none" w:sz="0" w:space="0" w:color="auto"/>
        <w:left w:val="none" w:sz="0" w:space="0" w:color="auto"/>
        <w:bottom w:val="none" w:sz="0" w:space="0" w:color="auto"/>
        <w:right w:val="none" w:sz="0" w:space="0" w:color="auto"/>
      </w:divBdr>
    </w:div>
    <w:div w:id="458036928">
      <w:bodyDiv w:val="1"/>
      <w:marLeft w:val="0"/>
      <w:marRight w:val="0"/>
      <w:marTop w:val="0"/>
      <w:marBottom w:val="0"/>
      <w:divBdr>
        <w:top w:val="none" w:sz="0" w:space="0" w:color="auto"/>
        <w:left w:val="none" w:sz="0" w:space="0" w:color="auto"/>
        <w:bottom w:val="none" w:sz="0" w:space="0" w:color="auto"/>
        <w:right w:val="none" w:sz="0" w:space="0" w:color="auto"/>
      </w:divBdr>
    </w:div>
    <w:div w:id="492137867">
      <w:bodyDiv w:val="1"/>
      <w:marLeft w:val="0"/>
      <w:marRight w:val="0"/>
      <w:marTop w:val="0"/>
      <w:marBottom w:val="0"/>
      <w:divBdr>
        <w:top w:val="none" w:sz="0" w:space="0" w:color="auto"/>
        <w:left w:val="none" w:sz="0" w:space="0" w:color="auto"/>
        <w:bottom w:val="none" w:sz="0" w:space="0" w:color="auto"/>
        <w:right w:val="none" w:sz="0" w:space="0" w:color="auto"/>
      </w:divBdr>
    </w:div>
    <w:div w:id="502210959">
      <w:bodyDiv w:val="1"/>
      <w:marLeft w:val="0"/>
      <w:marRight w:val="0"/>
      <w:marTop w:val="0"/>
      <w:marBottom w:val="0"/>
      <w:divBdr>
        <w:top w:val="none" w:sz="0" w:space="0" w:color="auto"/>
        <w:left w:val="none" w:sz="0" w:space="0" w:color="auto"/>
        <w:bottom w:val="none" w:sz="0" w:space="0" w:color="auto"/>
        <w:right w:val="none" w:sz="0" w:space="0" w:color="auto"/>
      </w:divBdr>
    </w:div>
    <w:div w:id="502430220">
      <w:bodyDiv w:val="1"/>
      <w:marLeft w:val="0"/>
      <w:marRight w:val="0"/>
      <w:marTop w:val="0"/>
      <w:marBottom w:val="0"/>
      <w:divBdr>
        <w:top w:val="none" w:sz="0" w:space="0" w:color="auto"/>
        <w:left w:val="none" w:sz="0" w:space="0" w:color="auto"/>
        <w:bottom w:val="none" w:sz="0" w:space="0" w:color="auto"/>
        <w:right w:val="none" w:sz="0" w:space="0" w:color="auto"/>
      </w:divBdr>
    </w:div>
    <w:div w:id="556598775">
      <w:bodyDiv w:val="1"/>
      <w:marLeft w:val="0"/>
      <w:marRight w:val="0"/>
      <w:marTop w:val="0"/>
      <w:marBottom w:val="0"/>
      <w:divBdr>
        <w:top w:val="none" w:sz="0" w:space="0" w:color="auto"/>
        <w:left w:val="none" w:sz="0" w:space="0" w:color="auto"/>
        <w:bottom w:val="none" w:sz="0" w:space="0" w:color="auto"/>
        <w:right w:val="none" w:sz="0" w:space="0" w:color="auto"/>
      </w:divBdr>
    </w:div>
    <w:div w:id="574165803">
      <w:bodyDiv w:val="1"/>
      <w:marLeft w:val="0"/>
      <w:marRight w:val="0"/>
      <w:marTop w:val="0"/>
      <w:marBottom w:val="0"/>
      <w:divBdr>
        <w:top w:val="none" w:sz="0" w:space="0" w:color="auto"/>
        <w:left w:val="none" w:sz="0" w:space="0" w:color="auto"/>
        <w:bottom w:val="none" w:sz="0" w:space="0" w:color="auto"/>
        <w:right w:val="none" w:sz="0" w:space="0" w:color="auto"/>
      </w:divBdr>
    </w:div>
    <w:div w:id="595601196">
      <w:bodyDiv w:val="1"/>
      <w:marLeft w:val="0"/>
      <w:marRight w:val="0"/>
      <w:marTop w:val="0"/>
      <w:marBottom w:val="0"/>
      <w:divBdr>
        <w:top w:val="none" w:sz="0" w:space="0" w:color="auto"/>
        <w:left w:val="none" w:sz="0" w:space="0" w:color="auto"/>
        <w:bottom w:val="none" w:sz="0" w:space="0" w:color="auto"/>
        <w:right w:val="none" w:sz="0" w:space="0" w:color="auto"/>
      </w:divBdr>
    </w:div>
    <w:div w:id="761874286">
      <w:bodyDiv w:val="1"/>
      <w:marLeft w:val="0"/>
      <w:marRight w:val="0"/>
      <w:marTop w:val="0"/>
      <w:marBottom w:val="0"/>
      <w:divBdr>
        <w:top w:val="none" w:sz="0" w:space="0" w:color="auto"/>
        <w:left w:val="none" w:sz="0" w:space="0" w:color="auto"/>
        <w:bottom w:val="none" w:sz="0" w:space="0" w:color="auto"/>
        <w:right w:val="none" w:sz="0" w:space="0" w:color="auto"/>
      </w:divBdr>
    </w:div>
    <w:div w:id="783156158">
      <w:bodyDiv w:val="1"/>
      <w:marLeft w:val="0"/>
      <w:marRight w:val="0"/>
      <w:marTop w:val="0"/>
      <w:marBottom w:val="0"/>
      <w:divBdr>
        <w:top w:val="none" w:sz="0" w:space="0" w:color="auto"/>
        <w:left w:val="none" w:sz="0" w:space="0" w:color="auto"/>
        <w:bottom w:val="none" w:sz="0" w:space="0" w:color="auto"/>
        <w:right w:val="none" w:sz="0" w:space="0" w:color="auto"/>
      </w:divBdr>
    </w:div>
    <w:div w:id="838076991">
      <w:bodyDiv w:val="1"/>
      <w:marLeft w:val="0"/>
      <w:marRight w:val="0"/>
      <w:marTop w:val="0"/>
      <w:marBottom w:val="0"/>
      <w:divBdr>
        <w:top w:val="none" w:sz="0" w:space="0" w:color="auto"/>
        <w:left w:val="none" w:sz="0" w:space="0" w:color="auto"/>
        <w:bottom w:val="none" w:sz="0" w:space="0" w:color="auto"/>
        <w:right w:val="none" w:sz="0" w:space="0" w:color="auto"/>
      </w:divBdr>
    </w:div>
    <w:div w:id="995912754">
      <w:bodyDiv w:val="1"/>
      <w:marLeft w:val="0"/>
      <w:marRight w:val="0"/>
      <w:marTop w:val="0"/>
      <w:marBottom w:val="0"/>
      <w:divBdr>
        <w:top w:val="none" w:sz="0" w:space="0" w:color="auto"/>
        <w:left w:val="none" w:sz="0" w:space="0" w:color="auto"/>
        <w:bottom w:val="none" w:sz="0" w:space="0" w:color="auto"/>
        <w:right w:val="none" w:sz="0" w:space="0" w:color="auto"/>
      </w:divBdr>
    </w:div>
    <w:div w:id="1014385481">
      <w:bodyDiv w:val="1"/>
      <w:marLeft w:val="0"/>
      <w:marRight w:val="0"/>
      <w:marTop w:val="0"/>
      <w:marBottom w:val="0"/>
      <w:divBdr>
        <w:top w:val="none" w:sz="0" w:space="0" w:color="auto"/>
        <w:left w:val="none" w:sz="0" w:space="0" w:color="auto"/>
        <w:bottom w:val="none" w:sz="0" w:space="0" w:color="auto"/>
        <w:right w:val="none" w:sz="0" w:space="0" w:color="auto"/>
      </w:divBdr>
    </w:div>
    <w:div w:id="1113599696">
      <w:bodyDiv w:val="1"/>
      <w:marLeft w:val="0"/>
      <w:marRight w:val="0"/>
      <w:marTop w:val="0"/>
      <w:marBottom w:val="0"/>
      <w:divBdr>
        <w:top w:val="none" w:sz="0" w:space="0" w:color="auto"/>
        <w:left w:val="none" w:sz="0" w:space="0" w:color="auto"/>
        <w:bottom w:val="none" w:sz="0" w:space="0" w:color="auto"/>
        <w:right w:val="none" w:sz="0" w:space="0" w:color="auto"/>
      </w:divBdr>
    </w:div>
    <w:div w:id="1156913882">
      <w:bodyDiv w:val="1"/>
      <w:marLeft w:val="0"/>
      <w:marRight w:val="0"/>
      <w:marTop w:val="0"/>
      <w:marBottom w:val="0"/>
      <w:divBdr>
        <w:top w:val="none" w:sz="0" w:space="0" w:color="auto"/>
        <w:left w:val="none" w:sz="0" w:space="0" w:color="auto"/>
        <w:bottom w:val="none" w:sz="0" w:space="0" w:color="auto"/>
        <w:right w:val="none" w:sz="0" w:space="0" w:color="auto"/>
      </w:divBdr>
    </w:div>
    <w:div w:id="1160806123">
      <w:bodyDiv w:val="1"/>
      <w:marLeft w:val="0"/>
      <w:marRight w:val="0"/>
      <w:marTop w:val="0"/>
      <w:marBottom w:val="0"/>
      <w:divBdr>
        <w:top w:val="none" w:sz="0" w:space="0" w:color="auto"/>
        <w:left w:val="none" w:sz="0" w:space="0" w:color="auto"/>
        <w:bottom w:val="none" w:sz="0" w:space="0" w:color="auto"/>
        <w:right w:val="none" w:sz="0" w:space="0" w:color="auto"/>
      </w:divBdr>
    </w:div>
    <w:div w:id="1244800926">
      <w:bodyDiv w:val="1"/>
      <w:marLeft w:val="0"/>
      <w:marRight w:val="0"/>
      <w:marTop w:val="0"/>
      <w:marBottom w:val="0"/>
      <w:divBdr>
        <w:top w:val="none" w:sz="0" w:space="0" w:color="auto"/>
        <w:left w:val="none" w:sz="0" w:space="0" w:color="auto"/>
        <w:bottom w:val="none" w:sz="0" w:space="0" w:color="auto"/>
        <w:right w:val="none" w:sz="0" w:space="0" w:color="auto"/>
      </w:divBdr>
    </w:div>
    <w:div w:id="1288971177">
      <w:bodyDiv w:val="1"/>
      <w:marLeft w:val="0"/>
      <w:marRight w:val="0"/>
      <w:marTop w:val="0"/>
      <w:marBottom w:val="0"/>
      <w:divBdr>
        <w:top w:val="none" w:sz="0" w:space="0" w:color="auto"/>
        <w:left w:val="none" w:sz="0" w:space="0" w:color="auto"/>
        <w:bottom w:val="none" w:sz="0" w:space="0" w:color="auto"/>
        <w:right w:val="none" w:sz="0" w:space="0" w:color="auto"/>
      </w:divBdr>
    </w:div>
    <w:div w:id="1351300764">
      <w:bodyDiv w:val="1"/>
      <w:marLeft w:val="0"/>
      <w:marRight w:val="0"/>
      <w:marTop w:val="0"/>
      <w:marBottom w:val="0"/>
      <w:divBdr>
        <w:top w:val="none" w:sz="0" w:space="0" w:color="auto"/>
        <w:left w:val="none" w:sz="0" w:space="0" w:color="auto"/>
        <w:bottom w:val="none" w:sz="0" w:space="0" w:color="auto"/>
        <w:right w:val="none" w:sz="0" w:space="0" w:color="auto"/>
      </w:divBdr>
    </w:div>
    <w:div w:id="1429933458">
      <w:bodyDiv w:val="1"/>
      <w:marLeft w:val="0"/>
      <w:marRight w:val="0"/>
      <w:marTop w:val="0"/>
      <w:marBottom w:val="0"/>
      <w:divBdr>
        <w:top w:val="none" w:sz="0" w:space="0" w:color="auto"/>
        <w:left w:val="none" w:sz="0" w:space="0" w:color="auto"/>
        <w:bottom w:val="none" w:sz="0" w:space="0" w:color="auto"/>
        <w:right w:val="none" w:sz="0" w:space="0" w:color="auto"/>
      </w:divBdr>
    </w:div>
    <w:div w:id="1460538278">
      <w:bodyDiv w:val="1"/>
      <w:marLeft w:val="0"/>
      <w:marRight w:val="0"/>
      <w:marTop w:val="0"/>
      <w:marBottom w:val="0"/>
      <w:divBdr>
        <w:top w:val="none" w:sz="0" w:space="0" w:color="auto"/>
        <w:left w:val="none" w:sz="0" w:space="0" w:color="auto"/>
        <w:bottom w:val="none" w:sz="0" w:space="0" w:color="auto"/>
        <w:right w:val="none" w:sz="0" w:space="0" w:color="auto"/>
      </w:divBdr>
    </w:div>
    <w:div w:id="1476680898">
      <w:bodyDiv w:val="1"/>
      <w:marLeft w:val="0"/>
      <w:marRight w:val="0"/>
      <w:marTop w:val="0"/>
      <w:marBottom w:val="0"/>
      <w:divBdr>
        <w:top w:val="none" w:sz="0" w:space="0" w:color="auto"/>
        <w:left w:val="none" w:sz="0" w:space="0" w:color="auto"/>
        <w:bottom w:val="none" w:sz="0" w:space="0" w:color="auto"/>
        <w:right w:val="none" w:sz="0" w:space="0" w:color="auto"/>
      </w:divBdr>
    </w:div>
    <w:div w:id="1561018173">
      <w:bodyDiv w:val="1"/>
      <w:marLeft w:val="0"/>
      <w:marRight w:val="0"/>
      <w:marTop w:val="0"/>
      <w:marBottom w:val="0"/>
      <w:divBdr>
        <w:top w:val="none" w:sz="0" w:space="0" w:color="auto"/>
        <w:left w:val="none" w:sz="0" w:space="0" w:color="auto"/>
        <w:bottom w:val="none" w:sz="0" w:space="0" w:color="auto"/>
        <w:right w:val="none" w:sz="0" w:space="0" w:color="auto"/>
      </w:divBdr>
    </w:div>
    <w:div w:id="1573394714">
      <w:bodyDiv w:val="1"/>
      <w:marLeft w:val="0"/>
      <w:marRight w:val="0"/>
      <w:marTop w:val="0"/>
      <w:marBottom w:val="0"/>
      <w:divBdr>
        <w:top w:val="none" w:sz="0" w:space="0" w:color="auto"/>
        <w:left w:val="none" w:sz="0" w:space="0" w:color="auto"/>
        <w:bottom w:val="none" w:sz="0" w:space="0" w:color="auto"/>
        <w:right w:val="none" w:sz="0" w:space="0" w:color="auto"/>
      </w:divBdr>
    </w:div>
    <w:div w:id="1581254025">
      <w:bodyDiv w:val="1"/>
      <w:marLeft w:val="0"/>
      <w:marRight w:val="0"/>
      <w:marTop w:val="0"/>
      <w:marBottom w:val="0"/>
      <w:divBdr>
        <w:top w:val="none" w:sz="0" w:space="0" w:color="auto"/>
        <w:left w:val="none" w:sz="0" w:space="0" w:color="auto"/>
        <w:bottom w:val="none" w:sz="0" w:space="0" w:color="auto"/>
        <w:right w:val="none" w:sz="0" w:space="0" w:color="auto"/>
      </w:divBdr>
    </w:div>
    <w:div w:id="1596205853">
      <w:bodyDiv w:val="1"/>
      <w:marLeft w:val="0"/>
      <w:marRight w:val="0"/>
      <w:marTop w:val="0"/>
      <w:marBottom w:val="0"/>
      <w:divBdr>
        <w:top w:val="none" w:sz="0" w:space="0" w:color="auto"/>
        <w:left w:val="none" w:sz="0" w:space="0" w:color="auto"/>
        <w:bottom w:val="none" w:sz="0" w:space="0" w:color="auto"/>
        <w:right w:val="none" w:sz="0" w:space="0" w:color="auto"/>
      </w:divBdr>
    </w:div>
    <w:div w:id="1608585581">
      <w:bodyDiv w:val="1"/>
      <w:marLeft w:val="0"/>
      <w:marRight w:val="0"/>
      <w:marTop w:val="0"/>
      <w:marBottom w:val="0"/>
      <w:divBdr>
        <w:top w:val="none" w:sz="0" w:space="0" w:color="auto"/>
        <w:left w:val="none" w:sz="0" w:space="0" w:color="auto"/>
        <w:bottom w:val="none" w:sz="0" w:space="0" w:color="auto"/>
        <w:right w:val="none" w:sz="0" w:space="0" w:color="auto"/>
      </w:divBdr>
    </w:div>
    <w:div w:id="1617709376">
      <w:bodyDiv w:val="1"/>
      <w:marLeft w:val="0"/>
      <w:marRight w:val="0"/>
      <w:marTop w:val="0"/>
      <w:marBottom w:val="0"/>
      <w:divBdr>
        <w:top w:val="none" w:sz="0" w:space="0" w:color="auto"/>
        <w:left w:val="none" w:sz="0" w:space="0" w:color="auto"/>
        <w:bottom w:val="none" w:sz="0" w:space="0" w:color="auto"/>
        <w:right w:val="none" w:sz="0" w:space="0" w:color="auto"/>
      </w:divBdr>
    </w:div>
    <w:div w:id="1664316659">
      <w:bodyDiv w:val="1"/>
      <w:marLeft w:val="0"/>
      <w:marRight w:val="0"/>
      <w:marTop w:val="0"/>
      <w:marBottom w:val="0"/>
      <w:divBdr>
        <w:top w:val="none" w:sz="0" w:space="0" w:color="auto"/>
        <w:left w:val="none" w:sz="0" w:space="0" w:color="auto"/>
        <w:bottom w:val="none" w:sz="0" w:space="0" w:color="auto"/>
        <w:right w:val="none" w:sz="0" w:space="0" w:color="auto"/>
      </w:divBdr>
    </w:div>
    <w:div w:id="1676768034">
      <w:bodyDiv w:val="1"/>
      <w:marLeft w:val="0"/>
      <w:marRight w:val="0"/>
      <w:marTop w:val="0"/>
      <w:marBottom w:val="0"/>
      <w:divBdr>
        <w:top w:val="none" w:sz="0" w:space="0" w:color="auto"/>
        <w:left w:val="none" w:sz="0" w:space="0" w:color="auto"/>
        <w:bottom w:val="none" w:sz="0" w:space="0" w:color="auto"/>
        <w:right w:val="none" w:sz="0" w:space="0" w:color="auto"/>
      </w:divBdr>
    </w:div>
    <w:div w:id="1752198571">
      <w:bodyDiv w:val="1"/>
      <w:marLeft w:val="0"/>
      <w:marRight w:val="0"/>
      <w:marTop w:val="0"/>
      <w:marBottom w:val="0"/>
      <w:divBdr>
        <w:top w:val="none" w:sz="0" w:space="0" w:color="auto"/>
        <w:left w:val="none" w:sz="0" w:space="0" w:color="auto"/>
        <w:bottom w:val="none" w:sz="0" w:space="0" w:color="auto"/>
        <w:right w:val="none" w:sz="0" w:space="0" w:color="auto"/>
      </w:divBdr>
    </w:div>
    <w:div w:id="1847330136">
      <w:bodyDiv w:val="1"/>
      <w:marLeft w:val="0"/>
      <w:marRight w:val="0"/>
      <w:marTop w:val="0"/>
      <w:marBottom w:val="0"/>
      <w:divBdr>
        <w:top w:val="none" w:sz="0" w:space="0" w:color="auto"/>
        <w:left w:val="none" w:sz="0" w:space="0" w:color="auto"/>
        <w:bottom w:val="none" w:sz="0" w:space="0" w:color="auto"/>
        <w:right w:val="none" w:sz="0" w:space="0" w:color="auto"/>
      </w:divBdr>
    </w:div>
    <w:div w:id="1869371596">
      <w:bodyDiv w:val="1"/>
      <w:marLeft w:val="0"/>
      <w:marRight w:val="0"/>
      <w:marTop w:val="0"/>
      <w:marBottom w:val="0"/>
      <w:divBdr>
        <w:top w:val="none" w:sz="0" w:space="0" w:color="auto"/>
        <w:left w:val="none" w:sz="0" w:space="0" w:color="auto"/>
        <w:bottom w:val="none" w:sz="0" w:space="0" w:color="auto"/>
        <w:right w:val="none" w:sz="0" w:space="0" w:color="auto"/>
      </w:divBdr>
    </w:div>
    <w:div w:id="2030987100">
      <w:bodyDiv w:val="1"/>
      <w:marLeft w:val="0"/>
      <w:marRight w:val="0"/>
      <w:marTop w:val="0"/>
      <w:marBottom w:val="0"/>
      <w:divBdr>
        <w:top w:val="none" w:sz="0" w:space="0" w:color="auto"/>
        <w:left w:val="none" w:sz="0" w:space="0" w:color="auto"/>
        <w:bottom w:val="none" w:sz="0" w:space="0" w:color="auto"/>
        <w:right w:val="none" w:sz="0" w:space="0" w:color="auto"/>
      </w:divBdr>
    </w:div>
    <w:div w:id="2061660214">
      <w:bodyDiv w:val="1"/>
      <w:marLeft w:val="0"/>
      <w:marRight w:val="0"/>
      <w:marTop w:val="0"/>
      <w:marBottom w:val="0"/>
      <w:divBdr>
        <w:top w:val="none" w:sz="0" w:space="0" w:color="auto"/>
        <w:left w:val="none" w:sz="0" w:space="0" w:color="auto"/>
        <w:bottom w:val="none" w:sz="0" w:space="0" w:color="auto"/>
        <w:right w:val="none" w:sz="0" w:space="0" w:color="auto"/>
      </w:divBdr>
    </w:div>
    <w:div w:id="2145847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Lar17</b:Tag>
    <b:SourceType>Book</b:SourceType>
    <b:Guid>{6FDC017D-9DC1-4C57-ABD9-2580DEAF2312}</b:Guid>
    <b:Author>
      <b:Author>
        <b:Corporate>Largay et al.</b:Corporate>
      </b:Author>
    </b:Author>
    <b:Year>2017</b:Year>
    <b:RefOrder>5</b:RefOrder>
  </b:Source>
  <b:Source>
    <b:Tag>Nis17</b:Tag>
    <b:SourceType>Book</b:SourceType>
    <b:Guid>{B09682C1-158C-40DF-B71E-184D174672B1}</b:Guid>
    <b:Author>
      <b:Author>
        <b:Corporate>Nissim &amp; Penman</b:Corporate>
      </b:Author>
    </b:Author>
    <b:Year>2017</b:Year>
    <b:RefOrder>1</b:RefOrder>
  </b:Source>
  <b:Source>
    <b:Tag>Edm19</b:Tag>
    <b:SourceType>Book</b:SourceType>
    <b:Guid>{F6BF6D82-15EC-46EA-ADA3-5E7C12B9C54D}</b:Guid>
    <b:Author>
      <b:Author>
        <b:Corporate>Edmister</b:Corporate>
      </b:Author>
    </b:Author>
    <b:Year>2019</b:Year>
    <b:RefOrder>10</b:RefOrder>
  </b:Source>
  <b:Source>
    <b:Tag>Wah18</b:Tag>
    <b:SourceType>Book</b:SourceType>
    <b:Guid>{433B8F67-30EE-4C0D-8846-3198D1D9B221}</b:Guid>
    <b:Author>
      <b:Author>
        <b:Corporate>Wahyu</b:Corporate>
      </b:Author>
    </b:Author>
    <b:Year>2018</b:Year>
    <b:RefOrder>11</b:RefOrder>
  </b:Source>
  <b:Source>
    <b:Tag>Alt16</b:Tag>
    <b:SourceType>Book</b:SourceType>
    <b:Guid>{188C489B-6EEA-4321-81A7-B76EE9125CA3}</b:Guid>
    <b:Author>
      <b:Author>
        <b:Corporate>Altman</b:Corporate>
      </b:Author>
    </b:Author>
    <b:Year>2016</b:Year>
    <b:RefOrder>8</b:RefOrder>
  </b:Source>
  <b:Source>
    <b:Tag>Abi17</b:Tag>
    <b:SourceType>Book</b:SourceType>
    <b:Guid>{ED6EE66B-8D21-4F3E-9305-380B5430F9E5}</b:Guid>
    <b:Author>
      <b:Author>
        <b:Corporate>Abidali &amp; Harris</b:Corporate>
      </b:Author>
    </b:Author>
    <b:Year>2017</b:Year>
    <b:RefOrder>9</b:RefOrder>
  </b:Source>
  <b:Source>
    <b:Tag>Ala21</b:Tag>
    <b:SourceType>Book</b:SourceType>
    <b:Guid>{45BA2F93-0B86-422A-968C-9C0D961884C4}</b:Guid>
    <b:Author>
      <b:Author>
        <b:Corporate>Alameri et al.</b:Corporate>
      </b:Author>
    </b:Author>
    <b:Year>2021</b:Year>
    <b:RefOrder>12</b:RefOrder>
  </b:Source>
  <b:Source>
    <b:Tag>Kim171</b:Tag>
    <b:SourceType>Book</b:SourceType>
    <b:Guid>{8351ECB6-BD48-4035-A0D4-F3C57E3A5B3B}</b:Guid>
    <b:Author>
      <b:Author>
        <b:Corporate>Kim &amp; Ayoun</b:Corporate>
      </b:Author>
    </b:Author>
    <b:Year>2017</b:Year>
    <b:RefOrder>6</b:RefOrder>
  </b:Source>
  <b:Source>
    <b:Tag>Lin21</b:Tag>
    <b:SourceType>Book</b:SourceType>
    <b:Guid>{279FD129-BAE0-4806-9F44-A0F1A57B5BA9}</b:Guid>
    <b:Author>
      <b:Author>
        <b:Corporate>Linxi</b:Corporate>
      </b:Author>
    </b:Author>
    <b:Year>2021</b:Year>
    <b:RefOrder>2</b:RefOrder>
  </b:Source>
  <b:Source>
    <b:Tag>Syd19</b:Tag>
    <b:SourceType>Book</b:SourceType>
    <b:Guid>{FA2A48B7-AB8A-4B27-AEC2-E931FF8CDC9C}</b:Guid>
    <b:Author>
      <b:Author>
        <b:Corporate>Sydney-Hilton et al.</b:Corporate>
      </b:Author>
    </b:Author>
    <b:Year>2019</b:Year>
    <b:RefOrder>3</b:RefOrder>
  </b:Source>
  <b:Source>
    <b:Tag>Huc17</b:Tag>
    <b:SourceType>Book</b:SourceType>
    <b:Guid>{485764DD-7B39-487B-8325-C101F094D914}</b:Guid>
    <b:Author>
      <b:Author>
        <b:Corporate>Huckestein &amp; Duboff</b:Corporate>
      </b:Author>
    </b:Author>
    <b:Year>2017</b:Year>
    <b:RefOrder>13</b:RefOrder>
  </b:Source>
  <b:Source>
    <b:Tag>Hil17</b:Tag>
    <b:SourceType>Book</b:SourceType>
    <b:Guid>{8F4DE2AB-F560-413A-9025-7AA1418EBA4D}</b:Guid>
    <b:Author>
      <b:Author>
        <b:Corporate>Hilton</b:Corporate>
      </b:Author>
    </b:Author>
    <b:Year>2017</b:Year>
    <b:RefOrder>4</b:RefOrder>
  </b:Source>
  <b:Source>
    <b:Tag>Ala211</b:Tag>
    <b:SourceType>Book</b:SourceType>
    <b:Guid>{83546F84-1D6F-4A03-90EE-3FD148FF6AA6}</b:Guid>
    <b:Author>
      <b:Author>
        <b:Corporate>Alameri et al.</b:Corporate>
      </b:Author>
    </b:Author>
    <b:Year>2021</b:Year>
    <b:RefOrder>7</b:RefOrder>
  </b:Source>
</b:Sources>
</file>

<file path=customXml/itemProps1.xml><?xml version="1.0" encoding="utf-8"?>
<ds:datastoreItem xmlns:ds="http://schemas.openxmlformats.org/officeDocument/2006/customXml" ds:itemID="{B6104AAA-3B4B-42E5-94D1-EC954358C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2900</Words>
  <Characters>16531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2022-05-29T12:01:00Z</dcterms:created>
  <dcterms:modified xsi:type="dcterms:W3CDTF">2022-05-29T12:03:00Z</dcterms:modified>
</cp:coreProperties>
</file>