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25F86" w14:textId="465980F7" w:rsidR="550A3D36" w:rsidRDefault="550A3D36" w:rsidP="4E5848F1">
      <w:pPr>
        <w:jc w:val="center"/>
        <w:rPr>
          <w:rFonts w:ascii="Arial" w:eastAsia="Arial" w:hAnsi="Arial" w:cs="Arial"/>
          <w:b/>
          <w:bCs/>
        </w:rPr>
      </w:pPr>
      <w:r w:rsidRPr="4E5848F1">
        <w:rPr>
          <w:rFonts w:ascii="Arial" w:eastAsia="Arial" w:hAnsi="Arial" w:cs="Arial"/>
          <w:b/>
          <w:bCs/>
        </w:rPr>
        <w:t xml:space="preserve">Policing </w:t>
      </w:r>
      <w:r w:rsidR="3290C6AA" w:rsidRPr="4E5848F1">
        <w:rPr>
          <w:rFonts w:ascii="Arial" w:eastAsia="Arial" w:hAnsi="Arial" w:cs="Arial"/>
          <w:b/>
          <w:bCs/>
        </w:rPr>
        <w:t>Models</w:t>
      </w:r>
      <w:r w:rsidRPr="4E5848F1">
        <w:rPr>
          <w:rFonts w:ascii="Arial" w:eastAsia="Arial" w:hAnsi="Arial" w:cs="Arial"/>
          <w:b/>
          <w:bCs/>
        </w:rPr>
        <w:t xml:space="preserve">, Power and Society </w:t>
      </w:r>
    </w:p>
    <w:p w14:paraId="53AF6E72" w14:textId="3A94395E" w:rsidR="4E5848F1" w:rsidRDefault="4E5848F1" w:rsidP="4E5848F1">
      <w:pPr>
        <w:jc w:val="center"/>
        <w:rPr>
          <w:rFonts w:ascii="Arial" w:eastAsia="Arial" w:hAnsi="Arial" w:cs="Arial"/>
          <w:b/>
          <w:bCs/>
        </w:rPr>
      </w:pPr>
    </w:p>
    <w:p w14:paraId="01EAFFF3" w14:textId="643FCC98" w:rsidR="4E5848F1" w:rsidRDefault="4E5848F1" w:rsidP="4E5848F1">
      <w:pPr>
        <w:jc w:val="center"/>
        <w:rPr>
          <w:rFonts w:ascii="Arial" w:eastAsia="Arial" w:hAnsi="Arial" w:cs="Arial"/>
          <w:b/>
          <w:bCs/>
        </w:rPr>
      </w:pPr>
    </w:p>
    <w:p w14:paraId="2A0691D2" w14:textId="3873094C" w:rsidR="4E5848F1" w:rsidRDefault="4E5848F1" w:rsidP="4E5848F1">
      <w:pPr>
        <w:jc w:val="center"/>
        <w:rPr>
          <w:rFonts w:ascii="Arial" w:eastAsia="Arial" w:hAnsi="Arial" w:cs="Arial"/>
          <w:b/>
          <w:bCs/>
        </w:rPr>
      </w:pPr>
    </w:p>
    <w:p w14:paraId="66FA7DDF" w14:textId="0A25C334" w:rsidR="231CDA1D" w:rsidRDefault="550A3D36" w:rsidP="4E5848F1">
      <w:pPr>
        <w:jc w:val="center"/>
        <w:rPr>
          <w:rFonts w:ascii="Arial" w:eastAsia="Arial" w:hAnsi="Arial" w:cs="Arial"/>
          <w:b/>
          <w:bCs/>
        </w:rPr>
      </w:pPr>
      <w:r w:rsidRPr="4E5848F1">
        <w:rPr>
          <w:rFonts w:ascii="Arial" w:eastAsia="Arial" w:hAnsi="Arial" w:cs="Arial"/>
          <w:b/>
          <w:bCs/>
        </w:rPr>
        <w:t>BMCJ7007</w:t>
      </w:r>
    </w:p>
    <w:p w14:paraId="199AAE92" w14:textId="5B81CAB9" w:rsidR="4E5848F1" w:rsidRDefault="4E5848F1" w:rsidP="4E5848F1">
      <w:pPr>
        <w:jc w:val="center"/>
        <w:rPr>
          <w:rFonts w:ascii="Arial" w:eastAsia="Arial" w:hAnsi="Arial" w:cs="Arial"/>
          <w:b/>
          <w:bCs/>
        </w:rPr>
      </w:pPr>
    </w:p>
    <w:p w14:paraId="6F7275C5" w14:textId="7F6F6A5F" w:rsidR="4E5848F1" w:rsidRDefault="4E5848F1" w:rsidP="4E5848F1">
      <w:pPr>
        <w:jc w:val="center"/>
        <w:rPr>
          <w:rFonts w:ascii="Arial" w:eastAsia="Arial" w:hAnsi="Arial" w:cs="Arial"/>
          <w:b/>
          <w:bCs/>
        </w:rPr>
      </w:pPr>
    </w:p>
    <w:p w14:paraId="2EB8738A" w14:textId="3AAA24B4" w:rsidR="4E5848F1" w:rsidRDefault="4E5848F1" w:rsidP="4E5848F1">
      <w:pPr>
        <w:jc w:val="center"/>
        <w:rPr>
          <w:rFonts w:ascii="Arial" w:eastAsia="Arial" w:hAnsi="Arial" w:cs="Arial"/>
          <w:b/>
          <w:bCs/>
        </w:rPr>
      </w:pPr>
    </w:p>
    <w:p w14:paraId="42E80F3A" w14:textId="7808C1FE" w:rsidR="4E5848F1" w:rsidRDefault="4E5848F1" w:rsidP="4E5848F1">
      <w:pPr>
        <w:jc w:val="center"/>
        <w:rPr>
          <w:rFonts w:ascii="Arial" w:eastAsia="Arial" w:hAnsi="Arial" w:cs="Arial"/>
          <w:b/>
          <w:bCs/>
        </w:rPr>
      </w:pPr>
    </w:p>
    <w:p w14:paraId="4A18AD14" w14:textId="1E7DEFAA" w:rsidR="231CDA1D" w:rsidRDefault="550A3D36" w:rsidP="4E5848F1">
      <w:pPr>
        <w:jc w:val="center"/>
        <w:rPr>
          <w:rFonts w:ascii="Arial" w:eastAsia="Arial" w:hAnsi="Arial" w:cs="Arial"/>
        </w:rPr>
      </w:pPr>
      <w:r w:rsidRPr="4E5848F1">
        <w:rPr>
          <w:rFonts w:ascii="Arial" w:eastAsia="Arial" w:hAnsi="Arial" w:cs="Arial"/>
          <w:b/>
          <w:bCs/>
        </w:rPr>
        <w:t xml:space="preserve">Word Count – </w:t>
      </w:r>
      <w:r w:rsidRPr="4E5848F1">
        <w:rPr>
          <w:rFonts w:ascii="Arial" w:eastAsia="Arial" w:hAnsi="Arial" w:cs="Arial"/>
        </w:rPr>
        <w:t>3750</w:t>
      </w:r>
    </w:p>
    <w:p w14:paraId="222B98B4" w14:textId="22006B5B" w:rsidR="4E5848F1" w:rsidRDefault="4E5848F1" w:rsidP="4E5848F1">
      <w:pPr>
        <w:jc w:val="center"/>
        <w:rPr>
          <w:rFonts w:ascii="Arial" w:eastAsia="Arial" w:hAnsi="Arial" w:cs="Arial"/>
        </w:rPr>
      </w:pPr>
    </w:p>
    <w:p w14:paraId="7FDA93FE" w14:textId="5BE582E8" w:rsidR="4E5848F1" w:rsidRDefault="4E5848F1" w:rsidP="4E5848F1">
      <w:pPr>
        <w:jc w:val="center"/>
        <w:rPr>
          <w:rFonts w:ascii="Arial" w:eastAsia="Arial" w:hAnsi="Arial" w:cs="Arial"/>
        </w:rPr>
      </w:pPr>
    </w:p>
    <w:p w14:paraId="17D01C03" w14:textId="59A06205" w:rsidR="4E5848F1" w:rsidRDefault="4E5848F1" w:rsidP="4E5848F1">
      <w:pPr>
        <w:jc w:val="center"/>
        <w:rPr>
          <w:rFonts w:ascii="Arial" w:eastAsia="Arial" w:hAnsi="Arial" w:cs="Arial"/>
        </w:rPr>
      </w:pPr>
    </w:p>
    <w:p w14:paraId="687AFAE3" w14:textId="6882B998" w:rsidR="4E5848F1" w:rsidRDefault="4E5848F1" w:rsidP="4E5848F1">
      <w:pPr>
        <w:jc w:val="center"/>
        <w:rPr>
          <w:rFonts w:ascii="Arial" w:eastAsia="Arial" w:hAnsi="Arial" w:cs="Arial"/>
        </w:rPr>
      </w:pPr>
    </w:p>
    <w:p w14:paraId="51137C3F" w14:textId="5530D36A" w:rsidR="7AABDDDF" w:rsidRDefault="550A3D36" w:rsidP="4E5848F1">
      <w:pPr>
        <w:spacing w:after="0" w:line="276" w:lineRule="auto"/>
        <w:jc w:val="center"/>
        <w:rPr>
          <w:rFonts w:ascii="Arial" w:eastAsia="Arial" w:hAnsi="Arial" w:cs="Arial"/>
          <w:sz w:val="22"/>
          <w:szCs w:val="22"/>
        </w:rPr>
      </w:pPr>
      <w:r w:rsidRPr="4E5848F1">
        <w:rPr>
          <w:rFonts w:ascii="Arial" w:eastAsia="Arial" w:hAnsi="Arial" w:cs="Arial"/>
          <w:b/>
          <w:bCs/>
        </w:rPr>
        <w:t>Assignment Title</w:t>
      </w:r>
      <w:r w:rsidRPr="4E5848F1">
        <w:rPr>
          <w:rFonts w:ascii="Arial" w:eastAsia="Arial" w:hAnsi="Arial" w:cs="Arial"/>
        </w:rPr>
        <w:t xml:space="preserve"> - </w:t>
      </w:r>
      <w:r w:rsidRPr="4E5848F1">
        <w:rPr>
          <w:rFonts w:ascii="Arial" w:eastAsia="Arial" w:hAnsi="Arial" w:cs="Arial"/>
          <w:sz w:val="22"/>
          <w:szCs w:val="22"/>
        </w:rPr>
        <w:t>Critically evaluate the concepts of trust and confidence in UK policing, examining their significance for legitimacy and public cooperation. Analyse historical and contemporary influences on these concepts and apply relevant theoretical perspectives to a specific case or policy initiative, discussing implications for current policing practice and public engagement.</w:t>
      </w:r>
    </w:p>
    <w:p w14:paraId="042CBBA1" w14:textId="0C320F60" w:rsidR="7AABDDDF" w:rsidRDefault="7AABDDDF" w:rsidP="4E5848F1">
      <w:pPr>
        <w:spacing w:after="0" w:line="276" w:lineRule="auto"/>
        <w:jc w:val="center"/>
        <w:rPr>
          <w:rFonts w:ascii="Arial" w:eastAsia="Arial" w:hAnsi="Arial" w:cs="Arial"/>
          <w:sz w:val="22"/>
          <w:szCs w:val="22"/>
        </w:rPr>
      </w:pPr>
    </w:p>
    <w:p w14:paraId="2074D86A" w14:textId="404BD4BE" w:rsidR="7AABDDDF" w:rsidRDefault="7AABDDDF" w:rsidP="4E5848F1">
      <w:pPr>
        <w:spacing w:after="0" w:line="276" w:lineRule="auto"/>
        <w:jc w:val="center"/>
        <w:rPr>
          <w:rFonts w:ascii="Arial" w:eastAsia="Arial" w:hAnsi="Arial" w:cs="Arial"/>
          <w:sz w:val="22"/>
          <w:szCs w:val="22"/>
        </w:rPr>
      </w:pPr>
    </w:p>
    <w:p w14:paraId="25CB06D2" w14:textId="120D3B66" w:rsidR="7AABDDDF" w:rsidRDefault="7AABDDDF" w:rsidP="4E5848F1">
      <w:pPr>
        <w:spacing w:after="0" w:line="276" w:lineRule="auto"/>
        <w:jc w:val="center"/>
        <w:rPr>
          <w:rFonts w:ascii="Arial" w:eastAsia="Arial" w:hAnsi="Arial" w:cs="Arial"/>
          <w:sz w:val="22"/>
          <w:szCs w:val="22"/>
        </w:rPr>
      </w:pPr>
    </w:p>
    <w:p w14:paraId="642AF88F" w14:textId="60608700" w:rsidR="7AABDDDF" w:rsidRDefault="7AABDDDF" w:rsidP="4E5848F1">
      <w:pPr>
        <w:spacing w:after="0" w:line="276" w:lineRule="auto"/>
        <w:jc w:val="center"/>
        <w:rPr>
          <w:rFonts w:ascii="Arial" w:eastAsia="Arial" w:hAnsi="Arial" w:cs="Arial"/>
          <w:sz w:val="22"/>
          <w:szCs w:val="22"/>
        </w:rPr>
      </w:pPr>
    </w:p>
    <w:p w14:paraId="25BABA4F" w14:textId="532F2CEE" w:rsidR="7AABDDDF" w:rsidRDefault="7AABDDDF" w:rsidP="4E5848F1">
      <w:pPr>
        <w:spacing w:after="0" w:line="276" w:lineRule="auto"/>
        <w:jc w:val="center"/>
        <w:rPr>
          <w:rFonts w:ascii="Arial" w:eastAsia="Arial" w:hAnsi="Arial" w:cs="Arial"/>
          <w:sz w:val="22"/>
          <w:szCs w:val="22"/>
        </w:rPr>
      </w:pPr>
    </w:p>
    <w:p w14:paraId="4217EB2D" w14:textId="3CB8319C" w:rsidR="7AABDDDF" w:rsidRDefault="7AABDDDF" w:rsidP="4E5848F1">
      <w:pPr>
        <w:spacing w:after="0" w:line="276" w:lineRule="auto"/>
        <w:jc w:val="center"/>
        <w:rPr>
          <w:rFonts w:ascii="Arial" w:eastAsia="Arial" w:hAnsi="Arial" w:cs="Arial"/>
          <w:sz w:val="22"/>
          <w:szCs w:val="22"/>
        </w:rPr>
      </w:pPr>
    </w:p>
    <w:p w14:paraId="7EF27B2D" w14:textId="0F07E977" w:rsidR="7AABDDDF" w:rsidRDefault="7AABDDDF" w:rsidP="4E5848F1">
      <w:pPr>
        <w:spacing w:after="0" w:line="276" w:lineRule="auto"/>
        <w:jc w:val="center"/>
        <w:rPr>
          <w:rFonts w:ascii="Arial" w:eastAsia="Arial" w:hAnsi="Arial" w:cs="Arial"/>
          <w:sz w:val="22"/>
          <w:szCs w:val="22"/>
        </w:rPr>
      </w:pPr>
    </w:p>
    <w:p w14:paraId="0866924B" w14:textId="1E8DA203" w:rsidR="7AABDDDF" w:rsidRDefault="7AABDDDF" w:rsidP="4E5848F1">
      <w:pPr>
        <w:spacing w:after="0" w:line="276" w:lineRule="auto"/>
        <w:jc w:val="center"/>
        <w:rPr>
          <w:rFonts w:ascii="Arial" w:eastAsia="Arial" w:hAnsi="Arial" w:cs="Arial"/>
          <w:sz w:val="22"/>
          <w:szCs w:val="22"/>
        </w:rPr>
      </w:pPr>
    </w:p>
    <w:p w14:paraId="0449E6ED" w14:textId="30418900" w:rsidR="7AABDDDF" w:rsidRDefault="33EEC336" w:rsidP="4E5848F1">
      <w:pPr>
        <w:spacing w:after="0" w:line="276" w:lineRule="auto"/>
        <w:jc w:val="center"/>
        <w:rPr>
          <w:rFonts w:ascii="Arial" w:eastAsia="Arial" w:hAnsi="Arial" w:cs="Arial"/>
          <w:sz w:val="22"/>
          <w:szCs w:val="22"/>
        </w:rPr>
      </w:pPr>
      <w:r w:rsidRPr="4E5848F1">
        <w:rPr>
          <w:rFonts w:ascii="Arial" w:eastAsia="Arial" w:hAnsi="Arial" w:cs="Arial"/>
          <w:sz w:val="22"/>
          <w:szCs w:val="22"/>
        </w:rPr>
        <w:t xml:space="preserve">Leah Jones </w:t>
      </w:r>
    </w:p>
    <w:p w14:paraId="63AC09C7" w14:textId="4F133567" w:rsidR="7AABDDDF" w:rsidRDefault="7AABDDDF" w:rsidP="4E5848F1">
      <w:pPr>
        <w:spacing w:after="0" w:line="276" w:lineRule="auto"/>
        <w:jc w:val="center"/>
        <w:rPr>
          <w:rFonts w:ascii="Arial" w:eastAsia="Arial" w:hAnsi="Arial" w:cs="Arial"/>
          <w:sz w:val="22"/>
          <w:szCs w:val="22"/>
        </w:rPr>
      </w:pPr>
    </w:p>
    <w:p w14:paraId="3A4F661F" w14:textId="7DA6AF6D" w:rsidR="7AABDDDF" w:rsidRDefault="7AABDDDF" w:rsidP="4E5848F1">
      <w:pPr>
        <w:spacing w:after="0" w:line="276" w:lineRule="auto"/>
        <w:jc w:val="both"/>
        <w:rPr>
          <w:rFonts w:ascii="Arial" w:eastAsia="Arial" w:hAnsi="Arial" w:cs="Arial"/>
          <w:sz w:val="22"/>
          <w:szCs w:val="22"/>
        </w:rPr>
      </w:pPr>
    </w:p>
    <w:p w14:paraId="71F2706C" w14:textId="4A671CCA" w:rsidR="7AABDDDF" w:rsidRDefault="7AABDDDF" w:rsidP="4E5848F1">
      <w:pPr>
        <w:spacing w:after="0" w:line="276" w:lineRule="auto"/>
        <w:jc w:val="both"/>
        <w:rPr>
          <w:rFonts w:ascii="Arial" w:eastAsia="Arial" w:hAnsi="Arial" w:cs="Arial"/>
          <w:sz w:val="22"/>
          <w:szCs w:val="22"/>
        </w:rPr>
      </w:pPr>
    </w:p>
    <w:p w14:paraId="526F8BAA" w14:textId="6EB4C34B" w:rsidR="7AABDDDF" w:rsidRDefault="7AABDDDF" w:rsidP="4E5848F1">
      <w:pPr>
        <w:spacing w:after="0" w:line="276" w:lineRule="auto"/>
        <w:jc w:val="both"/>
        <w:rPr>
          <w:rFonts w:ascii="Arial" w:eastAsia="Arial" w:hAnsi="Arial" w:cs="Arial"/>
          <w:sz w:val="22"/>
          <w:szCs w:val="22"/>
        </w:rPr>
      </w:pPr>
    </w:p>
    <w:p w14:paraId="2C580FD6" w14:textId="5DF2A152" w:rsidR="7AABDDDF" w:rsidRDefault="7AABDDDF" w:rsidP="4E5848F1">
      <w:pPr>
        <w:spacing w:after="0" w:line="276" w:lineRule="auto"/>
        <w:jc w:val="both"/>
        <w:rPr>
          <w:rFonts w:ascii="Arial" w:eastAsia="Arial" w:hAnsi="Arial" w:cs="Arial"/>
          <w:sz w:val="22"/>
          <w:szCs w:val="22"/>
        </w:rPr>
      </w:pPr>
    </w:p>
    <w:p w14:paraId="6D5EFE85" w14:textId="3DEDCF7D" w:rsidR="7AABDDDF" w:rsidRDefault="7AABDDDF" w:rsidP="4E5848F1">
      <w:pPr>
        <w:spacing w:after="0" w:line="276" w:lineRule="auto"/>
        <w:jc w:val="both"/>
        <w:rPr>
          <w:rFonts w:ascii="Arial" w:eastAsia="Arial" w:hAnsi="Arial" w:cs="Arial"/>
          <w:sz w:val="22"/>
          <w:szCs w:val="22"/>
        </w:rPr>
      </w:pPr>
    </w:p>
    <w:p w14:paraId="0FF60925" w14:textId="5F8803BF" w:rsidR="7AABDDDF" w:rsidRDefault="7AABDDDF" w:rsidP="4E5848F1">
      <w:pPr>
        <w:spacing w:after="0" w:line="276" w:lineRule="auto"/>
        <w:jc w:val="both"/>
        <w:rPr>
          <w:rFonts w:ascii="Arial" w:eastAsia="Arial" w:hAnsi="Arial" w:cs="Arial"/>
          <w:sz w:val="22"/>
          <w:szCs w:val="22"/>
        </w:rPr>
      </w:pPr>
    </w:p>
    <w:p w14:paraId="3615A539" w14:textId="6484F35E" w:rsidR="7AABDDDF" w:rsidRDefault="7AABDDDF" w:rsidP="4E5848F1">
      <w:pPr>
        <w:spacing w:after="0" w:line="276" w:lineRule="auto"/>
        <w:jc w:val="both"/>
        <w:rPr>
          <w:rFonts w:ascii="Arial" w:eastAsia="Arial" w:hAnsi="Arial" w:cs="Arial"/>
          <w:sz w:val="22"/>
          <w:szCs w:val="22"/>
        </w:rPr>
      </w:pPr>
    </w:p>
    <w:p w14:paraId="166676E5" w14:textId="7B35F8EC" w:rsidR="7AABDDDF" w:rsidRDefault="7AABDDDF" w:rsidP="4E5848F1">
      <w:pPr>
        <w:spacing w:after="0" w:line="276" w:lineRule="auto"/>
        <w:jc w:val="both"/>
        <w:rPr>
          <w:rFonts w:ascii="Arial" w:eastAsia="Arial" w:hAnsi="Arial" w:cs="Arial"/>
          <w:sz w:val="22"/>
          <w:szCs w:val="22"/>
        </w:rPr>
      </w:pPr>
    </w:p>
    <w:p w14:paraId="0696B86A" w14:textId="378F11E5" w:rsidR="7AABDDDF" w:rsidRDefault="7AABDDDF" w:rsidP="4E5848F1">
      <w:pPr>
        <w:spacing w:after="0" w:line="276" w:lineRule="auto"/>
        <w:jc w:val="both"/>
        <w:rPr>
          <w:rFonts w:ascii="Arial" w:eastAsia="Arial" w:hAnsi="Arial" w:cs="Arial"/>
          <w:sz w:val="22"/>
          <w:szCs w:val="22"/>
        </w:rPr>
      </w:pPr>
    </w:p>
    <w:p w14:paraId="705B41C6" w14:textId="29216473" w:rsidR="7AABDDDF" w:rsidRDefault="7AABDDDF" w:rsidP="4E5848F1">
      <w:pPr>
        <w:spacing w:after="0" w:line="276" w:lineRule="auto"/>
        <w:jc w:val="both"/>
        <w:rPr>
          <w:rFonts w:ascii="Arial" w:eastAsia="Arial" w:hAnsi="Arial" w:cs="Arial"/>
          <w:sz w:val="22"/>
          <w:szCs w:val="22"/>
        </w:rPr>
      </w:pPr>
    </w:p>
    <w:p w14:paraId="1F631220" w14:textId="16402F23" w:rsidR="7AABDDDF" w:rsidRDefault="7AABDDDF" w:rsidP="4E5848F1">
      <w:pPr>
        <w:spacing w:after="0" w:line="276" w:lineRule="auto"/>
        <w:jc w:val="both"/>
        <w:rPr>
          <w:rFonts w:ascii="Arial" w:eastAsia="Arial" w:hAnsi="Arial" w:cs="Arial"/>
          <w:sz w:val="22"/>
          <w:szCs w:val="22"/>
        </w:rPr>
      </w:pPr>
    </w:p>
    <w:p w14:paraId="18A546A1" w14:textId="35A4738F" w:rsidR="7AABDDDF" w:rsidRDefault="7AABDDDF" w:rsidP="4E5848F1">
      <w:pPr>
        <w:spacing w:after="0" w:line="276" w:lineRule="auto"/>
        <w:jc w:val="both"/>
        <w:rPr>
          <w:rFonts w:ascii="Arial" w:eastAsia="Arial" w:hAnsi="Arial" w:cs="Arial"/>
          <w:sz w:val="22"/>
          <w:szCs w:val="22"/>
        </w:rPr>
      </w:pPr>
    </w:p>
    <w:p w14:paraId="3412AC8C" w14:textId="537EEFD7" w:rsidR="7AABDDDF" w:rsidRDefault="7AABDDDF" w:rsidP="4E5848F1">
      <w:pPr>
        <w:spacing w:after="0" w:line="276" w:lineRule="auto"/>
        <w:jc w:val="both"/>
        <w:rPr>
          <w:rFonts w:ascii="Arial" w:eastAsia="Arial" w:hAnsi="Arial" w:cs="Arial"/>
          <w:sz w:val="22"/>
          <w:szCs w:val="22"/>
        </w:rPr>
      </w:pPr>
    </w:p>
    <w:sdt>
      <w:sdtPr>
        <w:id w:val="621261308"/>
        <w:docPartObj>
          <w:docPartGallery w:val="Table of Contents"/>
          <w:docPartUnique/>
        </w:docPartObj>
      </w:sdtPr>
      <w:sdtContent>
        <w:p w14:paraId="0448EE7C" w14:textId="404ADDF1" w:rsidR="7AABDDDF" w:rsidRDefault="7AABDDDF" w:rsidP="4E5848F1">
          <w:pPr>
            <w:pStyle w:val="TOC3"/>
            <w:tabs>
              <w:tab w:val="right" w:leader="dot" w:pos="9360"/>
            </w:tabs>
            <w:rPr>
              <w:rStyle w:val="Hyperlink"/>
            </w:rPr>
          </w:pPr>
          <w:r>
            <w:fldChar w:fldCharType="begin"/>
          </w:r>
          <w:r>
            <w:instrText>TOC \o \z \u \h</w:instrText>
          </w:r>
          <w:r>
            <w:fldChar w:fldCharType="separate"/>
          </w:r>
          <w:hyperlink w:anchor="_Toc385986146">
            <w:r w:rsidR="4E5848F1" w:rsidRPr="4E5848F1">
              <w:rPr>
                <w:rStyle w:val="Hyperlink"/>
              </w:rPr>
              <w:t>Indroduction</w:t>
            </w:r>
            <w:r>
              <w:tab/>
            </w:r>
            <w:r>
              <w:fldChar w:fldCharType="begin"/>
            </w:r>
            <w:r>
              <w:instrText>PAGEREF _Toc385986146 \h</w:instrText>
            </w:r>
            <w:r>
              <w:fldChar w:fldCharType="separate"/>
            </w:r>
            <w:r w:rsidR="4E5848F1" w:rsidRPr="4E5848F1">
              <w:rPr>
                <w:rStyle w:val="Hyperlink"/>
              </w:rPr>
              <w:t>2</w:t>
            </w:r>
            <w:r>
              <w:fldChar w:fldCharType="end"/>
            </w:r>
          </w:hyperlink>
        </w:p>
        <w:p w14:paraId="3A93C293" w14:textId="0FF04F92" w:rsidR="7AABDDDF" w:rsidRDefault="4E5848F1" w:rsidP="4E5848F1">
          <w:pPr>
            <w:pStyle w:val="TOC3"/>
            <w:tabs>
              <w:tab w:val="right" w:leader="dot" w:pos="9360"/>
            </w:tabs>
            <w:rPr>
              <w:rStyle w:val="Hyperlink"/>
            </w:rPr>
          </w:pPr>
          <w:hyperlink w:anchor="_Toc1645919873">
            <w:r w:rsidRPr="4E5848F1">
              <w:rPr>
                <w:rStyle w:val="Hyperlink"/>
              </w:rPr>
              <w:t>Procedural Justice + Stop and Search</w:t>
            </w:r>
            <w:r w:rsidR="7AABDDDF">
              <w:tab/>
            </w:r>
            <w:r w:rsidR="7AABDDDF">
              <w:fldChar w:fldCharType="begin"/>
            </w:r>
            <w:r w:rsidR="7AABDDDF">
              <w:instrText>PAGEREF _Toc1645919873 \h</w:instrText>
            </w:r>
            <w:r w:rsidR="7AABDDDF">
              <w:fldChar w:fldCharType="separate"/>
            </w:r>
            <w:r w:rsidRPr="4E5848F1">
              <w:rPr>
                <w:rStyle w:val="Hyperlink"/>
              </w:rPr>
              <w:t>3</w:t>
            </w:r>
            <w:r w:rsidR="7AABDDDF">
              <w:fldChar w:fldCharType="end"/>
            </w:r>
          </w:hyperlink>
        </w:p>
        <w:p w14:paraId="53BE5CEC" w14:textId="4298E133" w:rsidR="7AABDDDF" w:rsidRDefault="4E5848F1" w:rsidP="4E5848F1">
          <w:pPr>
            <w:pStyle w:val="TOC3"/>
            <w:tabs>
              <w:tab w:val="right" w:leader="dot" w:pos="9360"/>
            </w:tabs>
            <w:rPr>
              <w:rStyle w:val="Hyperlink"/>
            </w:rPr>
          </w:pPr>
          <w:hyperlink w:anchor="_Toc1978263205">
            <w:r w:rsidRPr="4E5848F1">
              <w:rPr>
                <w:rStyle w:val="Hyperlink"/>
              </w:rPr>
              <w:t>Trust, Compliance and Public Cooperation</w:t>
            </w:r>
            <w:r w:rsidR="7AABDDDF">
              <w:tab/>
            </w:r>
            <w:r w:rsidR="7AABDDDF">
              <w:fldChar w:fldCharType="begin"/>
            </w:r>
            <w:r w:rsidR="7AABDDDF">
              <w:instrText>PAGEREF _Toc1978263205 \h</w:instrText>
            </w:r>
            <w:r w:rsidR="7AABDDDF">
              <w:fldChar w:fldCharType="separate"/>
            </w:r>
            <w:r w:rsidRPr="4E5848F1">
              <w:rPr>
                <w:rStyle w:val="Hyperlink"/>
              </w:rPr>
              <w:t>4</w:t>
            </w:r>
            <w:r w:rsidR="7AABDDDF">
              <w:fldChar w:fldCharType="end"/>
            </w:r>
          </w:hyperlink>
        </w:p>
        <w:p w14:paraId="24B321DD" w14:textId="03B41582" w:rsidR="7AABDDDF" w:rsidRDefault="4E5848F1" w:rsidP="4E5848F1">
          <w:pPr>
            <w:pStyle w:val="TOC3"/>
            <w:tabs>
              <w:tab w:val="right" w:leader="dot" w:pos="9360"/>
            </w:tabs>
            <w:rPr>
              <w:rStyle w:val="Hyperlink"/>
            </w:rPr>
          </w:pPr>
          <w:hyperlink w:anchor="_Toc586513853">
            <w:r w:rsidRPr="4E5848F1">
              <w:rPr>
                <w:rStyle w:val="Hyperlink"/>
              </w:rPr>
              <w:t>Historical Influences on Trust and Legitimacy in UK Policing</w:t>
            </w:r>
            <w:r w:rsidR="7AABDDDF">
              <w:tab/>
            </w:r>
            <w:r w:rsidR="7AABDDDF">
              <w:fldChar w:fldCharType="begin"/>
            </w:r>
            <w:r w:rsidR="7AABDDDF">
              <w:instrText>PAGEREF _Toc586513853 \h</w:instrText>
            </w:r>
            <w:r w:rsidR="7AABDDDF">
              <w:fldChar w:fldCharType="separate"/>
            </w:r>
            <w:r w:rsidRPr="4E5848F1">
              <w:rPr>
                <w:rStyle w:val="Hyperlink"/>
              </w:rPr>
              <w:t>6</w:t>
            </w:r>
            <w:r w:rsidR="7AABDDDF">
              <w:fldChar w:fldCharType="end"/>
            </w:r>
          </w:hyperlink>
        </w:p>
        <w:p w14:paraId="4652B595" w14:textId="7D6AB022" w:rsidR="7AABDDDF" w:rsidRDefault="4E5848F1" w:rsidP="4E5848F1">
          <w:pPr>
            <w:pStyle w:val="TOC3"/>
            <w:tabs>
              <w:tab w:val="right" w:leader="dot" w:pos="9360"/>
            </w:tabs>
            <w:rPr>
              <w:rStyle w:val="Hyperlink"/>
            </w:rPr>
          </w:pPr>
          <w:hyperlink w:anchor="_Toc1823561580">
            <w:r w:rsidRPr="4E5848F1">
              <w:rPr>
                <w:rStyle w:val="Hyperlink"/>
              </w:rPr>
              <w:t>Case Study: Stop and Search Reform and Police Legitimacy</w:t>
            </w:r>
            <w:r w:rsidR="7AABDDDF">
              <w:tab/>
            </w:r>
            <w:r w:rsidR="7AABDDDF">
              <w:fldChar w:fldCharType="begin"/>
            </w:r>
            <w:r w:rsidR="7AABDDDF">
              <w:instrText>PAGEREF _Toc1823561580 \h</w:instrText>
            </w:r>
            <w:r w:rsidR="7AABDDDF">
              <w:fldChar w:fldCharType="separate"/>
            </w:r>
            <w:r w:rsidRPr="4E5848F1">
              <w:rPr>
                <w:rStyle w:val="Hyperlink"/>
              </w:rPr>
              <w:t>8</w:t>
            </w:r>
            <w:r w:rsidR="7AABDDDF">
              <w:fldChar w:fldCharType="end"/>
            </w:r>
          </w:hyperlink>
        </w:p>
        <w:p w14:paraId="506ED5D5" w14:textId="6FBB09FC" w:rsidR="7AABDDDF" w:rsidRDefault="4E5848F1" w:rsidP="4E5848F1">
          <w:pPr>
            <w:pStyle w:val="TOC3"/>
            <w:tabs>
              <w:tab w:val="right" w:leader="dot" w:pos="9360"/>
            </w:tabs>
            <w:rPr>
              <w:rStyle w:val="Hyperlink"/>
            </w:rPr>
          </w:pPr>
          <w:hyperlink w:anchor="_Toc1748018257">
            <w:r w:rsidRPr="4E5848F1">
              <w:rPr>
                <w:rStyle w:val="Hyperlink"/>
              </w:rPr>
              <w:t>Implications for Contemporary Policing Practice</w:t>
            </w:r>
            <w:r w:rsidR="7AABDDDF">
              <w:tab/>
            </w:r>
            <w:r w:rsidR="7AABDDDF">
              <w:fldChar w:fldCharType="begin"/>
            </w:r>
            <w:r w:rsidR="7AABDDDF">
              <w:instrText>PAGEREF _Toc1748018257 \h</w:instrText>
            </w:r>
            <w:r w:rsidR="7AABDDDF">
              <w:fldChar w:fldCharType="separate"/>
            </w:r>
            <w:r w:rsidRPr="4E5848F1">
              <w:rPr>
                <w:rStyle w:val="Hyperlink"/>
              </w:rPr>
              <w:t>10</w:t>
            </w:r>
            <w:r w:rsidR="7AABDDDF">
              <w:fldChar w:fldCharType="end"/>
            </w:r>
          </w:hyperlink>
        </w:p>
        <w:p w14:paraId="18C6210E" w14:textId="262A00DC" w:rsidR="7AABDDDF" w:rsidRDefault="4E5848F1" w:rsidP="4E5848F1">
          <w:pPr>
            <w:pStyle w:val="TOC3"/>
            <w:tabs>
              <w:tab w:val="right" w:leader="dot" w:pos="9360"/>
            </w:tabs>
            <w:rPr>
              <w:rStyle w:val="Hyperlink"/>
            </w:rPr>
          </w:pPr>
          <w:hyperlink w:anchor="_Toc546225902">
            <w:r w:rsidRPr="4E5848F1">
              <w:rPr>
                <w:rStyle w:val="Hyperlink"/>
              </w:rPr>
              <w:t>Conclusion</w:t>
            </w:r>
            <w:r w:rsidR="7AABDDDF">
              <w:tab/>
            </w:r>
            <w:r w:rsidR="7AABDDDF">
              <w:fldChar w:fldCharType="begin"/>
            </w:r>
            <w:r w:rsidR="7AABDDDF">
              <w:instrText>PAGEREF _Toc546225902 \h</w:instrText>
            </w:r>
            <w:r w:rsidR="7AABDDDF">
              <w:fldChar w:fldCharType="separate"/>
            </w:r>
            <w:r w:rsidRPr="4E5848F1">
              <w:rPr>
                <w:rStyle w:val="Hyperlink"/>
              </w:rPr>
              <w:t>11</w:t>
            </w:r>
            <w:r w:rsidR="7AABDDDF">
              <w:fldChar w:fldCharType="end"/>
            </w:r>
          </w:hyperlink>
        </w:p>
        <w:p w14:paraId="1F0E62BD" w14:textId="6FF8CA32" w:rsidR="7AABDDDF" w:rsidRDefault="4E5848F1" w:rsidP="4E5848F1">
          <w:pPr>
            <w:pStyle w:val="TOC3"/>
            <w:tabs>
              <w:tab w:val="right" w:leader="dot" w:pos="9360"/>
            </w:tabs>
            <w:rPr>
              <w:rStyle w:val="Hyperlink"/>
            </w:rPr>
          </w:pPr>
          <w:hyperlink w:anchor="_Toc1672406684">
            <w:r w:rsidRPr="4E5848F1">
              <w:rPr>
                <w:rStyle w:val="Hyperlink"/>
              </w:rPr>
              <w:t>Refence List</w:t>
            </w:r>
            <w:r w:rsidR="7AABDDDF">
              <w:tab/>
            </w:r>
            <w:r w:rsidR="7AABDDDF">
              <w:fldChar w:fldCharType="begin"/>
            </w:r>
            <w:r w:rsidR="7AABDDDF">
              <w:instrText>PAGEREF _Toc1672406684 \h</w:instrText>
            </w:r>
            <w:r w:rsidR="7AABDDDF">
              <w:fldChar w:fldCharType="separate"/>
            </w:r>
            <w:r w:rsidRPr="4E5848F1">
              <w:rPr>
                <w:rStyle w:val="Hyperlink"/>
              </w:rPr>
              <w:t>12</w:t>
            </w:r>
            <w:r w:rsidR="7AABDDDF">
              <w:fldChar w:fldCharType="end"/>
            </w:r>
          </w:hyperlink>
          <w:r w:rsidR="7AABDDDF">
            <w:fldChar w:fldCharType="end"/>
          </w:r>
        </w:p>
      </w:sdtContent>
    </w:sdt>
    <w:p w14:paraId="00D088B8" w14:textId="7D314F07" w:rsidR="7AABDDDF" w:rsidRDefault="7AABDDDF" w:rsidP="4E5848F1">
      <w:pPr>
        <w:spacing w:after="0" w:line="276" w:lineRule="auto"/>
        <w:jc w:val="both"/>
        <w:rPr>
          <w:rFonts w:ascii="Arial" w:eastAsia="Arial" w:hAnsi="Arial" w:cs="Arial"/>
          <w:sz w:val="22"/>
          <w:szCs w:val="22"/>
        </w:rPr>
      </w:pPr>
    </w:p>
    <w:p w14:paraId="12E94D79" w14:textId="5197ACDF" w:rsidR="7AABDDDF" w:rsidRDefault="7AABDDDF" w:rsidP="4E5848F1">
      <w:pPr>
        <w:spacing w:after="0" w:line="276" w:lineRule="auto"/>
        <w:jc w:val="both"/>
        <w:rPr>
          <w:rFonts w:ascii="Arial" w:eastAsia="Arial" w:hAnsi="Arial" w:cs="Arial"/>
          <w:sz w:val="22"/>
          <w:szCs w:val="22"/>
        </w:rPr>
      </w:pPr>
    </w:p>
    <w:p w14:paraId="6714B45F" w14:textId="14276628" w:rsidR="7AABDDDF" w:rsidRDefault="7AABDDDF" w:rsidP="4E5848F1">
      <w:pPr>
        <w:spacing w:after="0" w:line="276" w:lineRule="auto"/>
        <w:jc w:val="both"/>
        <w:rPr>
          <w:rFonts w:ascii="Arial" w:eastAsia="Arial" w:hAnsi="Arial" w:cs="Arial"/>
          <w:sz w:val="22"/>
          <w:szCs w:val="22"/>
        </w:rPr>
      </w:pPr>
    </w:p>
    <w:p w14:paraId="52A9015F" w14:textId="3AABCF3B" w:rsidR="7AABDDDF" w:rsidRDefault="7AABDDDF" w:rsidP="4E5848F1">
      <w:pPr>
        <w:spacing w:after="0" w:line="276" w:lineRule="auto"/>
        <w:jc w:val="both"/>
        <w:rPr>
          <w:rFonts w:ascii="Arial" w:eastAsia="Arial" w:hAnsi="Arial" w:cs="Arial"/>
          <w:sz w:val="22"/>
          <w:szCs w:val="22"/>
        </w:rPr>
      </w:pPr>
    </w:p>
    <w:p w14:paraId="1B5F19B0" w14:textId="1F1369D5" w:rsidR="7AABDDDF" w:rsidRDefault="7AABDDDF" w:rsidP="4E5848F1">
      <w:pPr>
        <w:spacing w:after="0" w:line="276" w:lineRule="auto"/>
        <w:jc w:val="both"/>
        <w:rPr>
          <w:rFonts w:ascii="Arial" w:eastAsia="Arial" w:hAnsi="Arial" w:cs="Arial"/>
          <w:sz w:val="22"/>
          <w:szCs w:val="22"/>
        </w:rPr>
      </w:pPr>
    </w:p>
    <w:p w14:paraId="77ACD9E7" w14:textId="71D55C4C" w:rsidR="7AABDDDF" w:rsidRDefault="7AABDDDF" w:rsidP="4E5848F1">
      <w:pPr>
        <w:spacing w:after="0" w:line="276" w:lineRule="auto"/>
        <w:jc w:val="both"/>
        <w:rPr>
          <w:rFonts w:ascii="Arial" w:eastAsia="Arial" w:hAnsi="Arial" w:cs="Arial"/>
          <w:sz w:val="22"/>
          <w:szCs w:val="22"/>
        </w:rPr>
      </w:pPr>
    </w:p>
    <w:p w14:paraId="159A7FE6" w14:textId="6960AD4C" w:rsidR="7AABDDDF" w:rsidRDefault="7AABDDDF" w:rsidP="4E5848F1">
      <w:pPr>
        <w:spacing w:after="0" w:line="276" w:lineRule="auto"/>
        <w:jc w:val="both"/>
        <w:rPr>
          <w:rFonts w:ascii="Arial" w:eastAsia="Arial" w:hAnsi="Arial" w:cs="Arial"/>
          <w:sz w:val="22"/>
          <w:szCs w:val="22"/>
        </w:rPr>
      </w:pPr>
    </w:p>
    <w:p w14:paraId="00D151C2" w14:textId="0B91BEB2" w:rsidR="7AABDDDF" w:rsidRDefault="7AABDDDF" w:rsidP="4E5848F1">
      <w:pPr>
        <w:spacing w:after="0" w:line="276" w:lineRule="auto"/>
        <w:jc w:val="both"/>
        <w:rPr>
          <w:rFonts w:ascii="Arial" w:eastAsia="Arial" w:hAnsi="Arial" w:cs="Arial"/>
          <w:sz w:val="22"/>
          <w:szCs w:val="22"/>
        </w:rPr>
      </w:pPr>
    </w:p>
    <w:p w14:paraId="160C1457" w14:textId="4D25C78D" w:rsidR="7AABDDDF" w:rsidRDefault="7AABDDDF" w:rsidP="4E5848F1">
      <w:pPr>
        <w:spacing w:after="0" w:line="276" w:lineRule="auto"/>
        <w:jc w:val="both"/>
        <w:rPr>
          <w:rFonts w:ascii="Arial" w:eastAsia="Arial" w:hAnsi="Arial" w:cs="Arial"/>
          <w:sz w:val="22"/>
          <w:szCs w:val="22"/>
        </w:rPr>
      </w:pPr>
    </w:p>
    <w:p w14:paraId="471CEC76" w14:textId="3D152354" w:rsidR="7AABDDDF" w:rsidRDefault="7AABDDDF" w:rsidP="4E5848F1">
      <w:pPr>
        <w:spacing w:after="0" w:line="276" w:lineRule="auto"/>
        <w:jc w:val="both"/>
        <w:rPr>
          <w:rFonts w:ascii="Arial" w:eastAsia="Arial" w:hAnsi="Arial" w:cs="Arial"/>
          <w:sz w:val="22"/>
          <w:szCs w:val="22"/>
        </w:rPr>
      </w:pPr>
    </w:p>
    <w:p w14:paraId="58795664" w14:textId="20FC8D33" w:rsidR="7AABDDDF" w:rsidRDefault="7AABDDDF" w:rsidP="4E5848F1">
      <w:pPr>
        <w:spacing w:after="0" w:line="276" w:lineRule="auto"/>
        <w:jc w:val="both"/>
        <w:rPr>
          <w:rFonts w:ascii="Arial" w:eastAsia="Arial" w:hAnsi="Arial" w:cs="Arial"/>
          <w:sz w:val="22"/>
          <w:szCs w:val="22"/>
        </w:rPr>
      </w:pPr>
    </w:p>
    <w:p w14:paraId="332CD3CC" w14:textId="3EE0C5E3" w:rsidR="7AABDDDF" w:rsidRDefault="7AABDDDF" w:rsidP="4E5848F1">
      <w:pPr>
        <w:spacing w:after="0" w:line="276" w:lineRule="auto"/>
        <w:jc w:val="both"/>
        <w:rPr>
          <w:rFonts w:ascii="Arial" w:eastAsia="Arial" w:hAnsi="Arial" w:cs="Arial"/>
          <w:sz w:val="22"/>
          <w:szCs w:val="22"/>
        </w:rPr>
      </w:pPr>
    </w:p>
    <w:p w14:paraId="0550DF89" w14:textId="055D334C" w:rsidR="7AABDDDF" w:rsidRDefault="7AABDDDF" w:rsidP="4E5848F1">
      <w:pPr>
        <w:spacing w:after="0" w:line="276" w:lineRule="auto"/>
        <w:jc w:val="both"/>
        <w:rPr>
          <w:rFonts w:ascii="Arial" w:eastAsia="Arial" w:hAnsi="Arial" w:cs="Arial"/>
          <w:sz w:val="22"/>
          <w:szCs w:val="22"/>
        </w:rPr>
      </w:pPr>
    </w:p>
    <w:p w14:paraId="7F7E2D8B" w14:textId="03A3C7D6" w:rsidR="7AABDDDF" w:rsidRDefault="7AABDDDF" w:rsidP="4E5848F1">
      <w:pPr>
        <w:spacing w:after="0" w:line="276" w:lineRule="auto"/>
        <w:jc w:val="both"/>
        <w:rPr>
          <w:rFonts w:ascii="Arial" w:eastAsia="Arial" w:hAnsi="Arial" w:cs="Arial"/>
          <w:sz w:val="22"/>
          <w:szCs w:val="22"/>
        </w:rPr>
      </w:pPr>
    </w:p>
    <w:p w14:paraId="1A8BF07D" w14:textId="6ECF061B" w:rsidR="7AABDDDF" w:rsidRDefault="7AABDDDF" w:rsidP="4E5848F1">
      <w:pPr>
        <w:spacing w:after="0" w:line="276" w:lineRule="auto"/>
        <w:jc w:val="both"/>
        <w:rPr>
          <w:rFonts w:ascii="Arial" w:eastAsia="Arial" w:hAnsi="Arial" w:cs="Arial"/>
          <w:sz w:val="22"/>
          <w:szCs w:val="22"/>
        </w:rPr>
      </w:pPr>
    </w:p>
    <w:p w14:paraId="1A04F72C" w14:textId="2238F23C" w:rsidR="7AABDDDF" w:rsidRDefault="7AABDDDF" w:rsidP="4E5848F1">
      <w:pPr>
        <w:spacing w:after="0" w:line="276" w:lineRule="auto"/>
        <w:jc w:val="both"/>
        <w:rPr>
          <w:rFonts w:ascii="Arial" w:eastAsia="Arial" w:hAnsi="Arial" w:cs="Arial"/>
          <w:sz w:val="22"/>
          <w:szCs w:val="22"/>
        </w:rPr>
      </w:pPr>
    </w:p>
    <w:p w14:paraId="02017960" w14:textId="07185A22" w:rsidR="7AABDDDF" w:rsidRDefault="7AABDDDF" w:rsidP="4E5848F1">
      <w:pPr>
        <w:spacing w:after="0" w:line="276" w:lineRule="auto"/>
        <w:jc w:val="both"/>
        <w:rPr>
          <w:rFonts w:ascii="Arial" w:eastAsia="Arial" w:hAnsi="Arial" w:cs="Arial"/>
          <w:sz w:val="22"/>
          <w:szCs w:val="22"/>
        </w:rPr>
      </w:pPr>
    </w:p>
    <w:p w14:paraId="2127795C" w14:textId="4E113FD8" w:rsidR="7AABDDDF" w:rsidRDefault="7AABDDDF" w:rsidP="4E5848F1">
      <w:pPr>
        <w:pStyle w:val="Heading3"/>
        <w:spacing w:before="0" w:after="0" w:line="276" w:lineRule="auto"/>
        <w:jc w:val="both"/>
        <w:rPr>
          <w:rFonts w:ascii="Arial" w:eastAsia="Arial" w:hAnsi="Arial" w:cs="Arial"/>
          <w:sz w:val="22"/>
          <w:szCs w:val="22"/>
        </w:rPr>
      </w:pPr>
    </w:p>
    <w:p w14:paraId="7F12B7E6" w14:textId="36987B6D" w:rsidR="7AABDDDF" w:rsidRDefault="7AABDDDF" w:rsidP="4E5848F1"/>
    <w:p w14:paraId="124558AB" w14:textId="77777777" w:rsidR="008337DE" w:rsidRDefault="008337DE" w:rsidP="4E5848F1">
      <w:pPr>
        <w:pStyle w:val="Heading3"/>
        <w:rPr>
          <w:rFonts w:ascii="Arial" w:eastAsia="Arial" w:hAnsi="Arial" w:cs="Arial"/>
          <w:b/>
          <w:bCs/>
          <w:color w:val="auto"/>
        </w:rPr>
      </w:pPr>
      <w:bookmarkStart w:id="0" w:name="_Toc385986146"/>
    </w:p>
    <w:p w14:paraId="65CDA766" w14:textId="7311F087" w:rsidR="7AABDDDF" w:rsidRDefault="3F036736" w:rsidP="4E5848F1">
      <w:pPr>
        <w:pStyle w:val="Heading3"/>
        <w:rPr>
          <w:rFonts w:ascii="Arial" w:eastAsia="Arial" w:hAnsi="Arial" w:cs="Arial"/>
          <w:b/>
          <w:bCs/>
          <w:color w:val="auto"/>
        </w:rPr>
      </w:pPr>
      <w:r w:rsidRPr="4E5848F1">
        <w:rPr>
          <w:rFonts w:ascii="Arial" w:eastAsia="Arial" w:hAnsi="Arial" w:cs="Arial"/>
          <w:b/>
          <w:bCs/>
          <w:color w:val="auto"/>
        </w:rPr>
        <w:t>Introduction</w:t>
      </w:r>
      <w:bookmarkEnd w:id="0"/>
    </w:p>
    <w:p w14:paraId="34131226" w14:textId="33A53DB4" w:rsidR="7AABDDDF" w:rsidRDefault="6F332892" w:rsidP="4E5848F1">
      <w:pPr>
        <w:spacing w:line="360" w:lineRule="auto"/>
        <w:jc w:val="both"/>
        <w:rPr>
          <w:rFonts w:ascii="Arial" w:eastAsia="Arial" w:hAnsi="Arial" w:cs="Arial"/>
        </w:rPr>
      </w:pPr>
      <w:r w:rsidRPr="4E5848F1">
        <w:rPr>
          <w:rFonts w:ascii="Arial" w:eastAsia="Arial" w:hAnsi="Arial" w:cs="Arial"/>
        </w:rPr>
        <w:t>Public trust and confidence are widely regarded as essential to the effective function of policing in democratic societies</w:t>
      </w:r>
      <w:r w:rsidR="00926165">
        <w:rPr>
          <w:rFonts w:ascii="Arial" w:eastAsia="Arial" w:hAnsi="Arial" w:cs="Arial"/>
          <w:color w:val="FF0000"/>
        </w:rPr>
        <w:t>.</w:t>
      </w:r>
      <w:r w:rsidRPr="4E5848F1">
        <w:rPr>
          <w:rFonts w:ascii="Arial" w:eastAsia="Arial" w:hAnsi="Arial" w:cs="Arial"/>
        </w:rPr>
        <w:t xml:space="preserve"> Within the United Kingdom, the motto of policing by consent assumes that policing authority is sustained not primarily through coercion, but through public feeling and legitimacy, and the moral alignment of the community values (Newburn, 2017; Bardford et al., 2020). Although often used interchangeably, trust and confidence represented analytically distinct concepts. Confidence reflects </w:t>
      </w:r>
      <w:proofErr w:type="spellStart"/>
      <w:r w:rsidRPr="4E5848F1">
        <w:rPr>
          <w:rFonts w:ascii="Arial" w:eastAsia="Arial" w:hAnsi="Arial" w:cs="Arial"/>
        </w:rPr>
        <w:t>intrumental</w:t>
      </w:r>
      <w:proofErr w:type="spellEnd"/>
      <w:r w:rsidRPr="4E5848F1">
        <w:rPr>
          <w:rFonts w:ascii="Arial" w:eastAsia="Arial" w:hAnsi="Arial" w:cs="Arial"/>
        </w:rPr>
        <w:t xml:space="preserve"> </w:t>
      </w:r>
      <w:r w:rsidR="006F78EE">
        <w:rPr>
          <w:rFonts w:ascii="Arial" w:eastAsia="Arial" w:hAnsi="Arial" w:cs="Arial"/>
        </w:rPr>
        <w:t>e</w:t>
      </w:r>
      <w:r w:rsidRPr="4E5848F1">
        <w:rPr>
          <w:rFonts w:ascii="Arial" w:eastAsia="Arial" w:hAnsi="Arial" w:cs="Arial"/>
        </w:rPr>
        <w:t xml:space="preserve">valuations of police performance, such as effectiveness in crime control and responsiveness to public concern, whereas trust relates to normative judgement about fairness, integrity and the appropriate use of police power (Jackson and Bradford, 2019; Yesberg and Bradford, 2021)  </w:t>
      </w:r>
    </w:p>
    <w:p w14:paraId="385BF87A" w14:textId="2E8B2B53" w:rsidR="7AABDDDF" w:rsidRDefault="6F332892" w:rsidP="4E5848F1">
      <w:pPr>
        <w:spacing w:line="360" w:lineRule="auto"/>
        <w:jc w:val="both"/>
      </w:pPr>
      <w:r w:rsidRPr="4E5848F1">
        <w:rPr>
          <w:rFonts w:ascii="Arial" w:eastAsia="Arial" w:hAnsi="Arial" w:cs="Arial"/>
        </w:rPr>
        <w:t xml:space="preserve">This is significant because legitimacy, understood as the belief that police authority is rightful and should be voluntarily obeyed, is more strongly associated with perceptions of procedural justice than with assessment of operational effectiveness alone (Tyler </w:t>
      </w:r>
      <w:proofErr w:type="gramStart"/>
      <w:r w:rsidRPr="00926165">
        <w:rPr>
          <w:rFonts w:ascii="Arial" w:eastAsia="Arial" w:hAnsi="Arial" w:cs="Arial"/>
        </w:rPr>
        <w:t>2006</w:t>
      </w:r>
      <w:r w:rsidR="006F78EE" w:rsidRPr="00926165">
        <w:rPr>
          <w:rFonts w:ascii="Arial" w:eastAsia="Arial" w:hAnsi="Arial" w:cs="Arial"/>
        </w:rPr>
        <w:t xml:space="preserve"> </w:t>
      </w:r>
      <w:r w:rsidRPr="00926165">
        <w:rPr>
          <w:rFonts w:ascii="Arial" w:eastAsia="Arial" w:hAnsi="Arial" w:cs="Arial"/>
        </w:rPr>
        <w:t>;</w:t>
      </w:r>
      <w:proofErr w:type="gramEnd"/>
      <w:r w:rsidRPr="4E5848F1">
        <w:rPr>
          <w:rFonts w:ascii="Arial" w:eastAsia="Arial" w:hAnsi="Arial" w:cs="Arial"/>
        </w:rPr>
        <w:t xml:space="preserve"> </w:t>
      </w:r>
      <w:proofErr w:type="spellStart"/>
      <w:r w:rsidRPr="4E5848F1">
        <w:rPr>
          <w:rFonts w:ascii="Arial" w:eastAsia="Arial" w:hAnsi="Arial" w:cs="Arial"/>
        </w:rPr>
        <w:t>Tankebe</w:t>
      </w:r>
      <w:proofErr w:type="spellEnd"/>
      <w:r w:rsidRPr="4E5848F1">
        <w:rPr>
          <w:rFonts w:ascii="Arial" w:eastAsia="Arial" w:hAnsi="Arial" w:cs="Arial"/>
        </w:rPr>
        <w:t xml:space="preserve"> and Liebling, 2013). Where public trust is weakened, cooperation with police may decline, affecting crime reporting, intelligence sharing and long-term community engagement (Loader and Walker, 2021).   In the UK context, legitimacy has historically been shaped by controversies over discrimination, misconduct, and organisational accountability, while contemporary challenges such as austerity, social media scrutiny, and disproportionate policing practices continue to influence public perception (HMICFRS, 2021; Casey, 2023). </w:t>
      </w:r>
    </w:p>
    <w:p w14:paraId="59B71D06" w14:textId="071D2B36" w:rsidR="7AABDDDF" w:rsidRDefault="6F332892" w:rsidP="4E5848F1">
      <w:pPr>
        <w:spacing w:line="360" w:lineRule="auto"/>
        <w:jc w:val="both"/>
      </w:pPr>
      <w:r w:rsidRPr="4E5848F1">
        <w:rPr>
          <w:rFonts w:ascii="Arial" w:eastAsia="Arial" w:hAnsi="Arial" w:cs="Arial"/>
        </w:rPr>
        <w:t>This essay will argue that although policy initiatives aimed at improving performance may enhance short-term confidence, sustainable police legitimacy depends primarily on the cultivation of normative trust through procedurally just practices and meaningful community engagement. By applying theoretical perspectives to development, such as stop and search reform and neighbourhood policing, this essay evaluates the implications of trust and confidence for public cooperation and contemporary policing practices.</w:t>
      </w:r>
    </w:p>
    <w:p w14:paraId="659A8942" w14:textId="3EF7CCDB" w:rsidR="7AABDDDF" w:rsidRDefault="7AABDDDF" w:rsidP="4E5848F1">
      <w:pPr>
        <w:spacing w:line="360" w:lineRule="auto"/>
        <w:jc w:val="both"/>
        <w:rPr>
          <w:rFonts w:ascii="Arial" w:eastAsia="Arial" w:hAnsi="Arial" w:cs="Arial"/>
        </w:rPr>
      </w:pPr>
    </w:p>
    <w:p w14:paraId="7926517C" w14:textId="09702497" w:rsidR="7AABDDDF" w:rsidRDefault="0065CE8A" w:rsidP="4E5848F1">
      <w:pPr>
        <w:pStyle w:val="Heading3"/>
        <w:rPr>
          <w:rFonts w:ascii="Arial" w:eastAsia="Arial" w:hAnsi="Arial" w:cs="Arial"/>
          <w:b/>
          <w:bCs/>
          <w:color w:val="auto"/>
        </w:rPr>
      </w:pPr>
      <w:bookmarkStart w:id="1" w:name="_Toc2100776684"/>
      <w:bookmarkStart w:id="2" w:name="_Toc1645919873"/>
      <w:r w:rsidRPr="4E5848F1">
        <w:rPr>
          <w:rFonts w:ascii="Arial" w:eastAsia="Arial" w:hAnsi="Arial" w:cs="Arial"/>
          <w:b/>
          <w:bCs/>
          <w:color w:val="auto"/>
        </w:rPr>
        <w:lastRenderedPageBreak/>
        <w:t>Procedural Justice + Stop and Search</w:t>
      </w:r>
      <w:bookmarkEnd w:id="1"/>
      <w:bookmarkEnd w:id="2"/>
    </w:p>
    <w:p w14:paraId="7542AAA3" w14:textId="1AB444DF" w:rsidR="7AABDDDF" w:rsidRDefault="7AABDDDF" w:rsidP="4E5848F1"/>
    <w:p w14:paraId="612B96AA" w14:textId="0CA15D74" w:rsidR="7AABDDDF" w:rsidRDefault="3F743161" w:rsidP="00A167C9">
      <w:pPr>
        <w:spacing w:line="360" w:lineRule="auto"/>
        <w:jc w:val="both"/>
        <w:rPr>
          <w:rFonts w:ascii="Arial" w:eastAsia="Arial" w:hAnsi="Arial" w:cs="Arial"/>
        </w:rPr>
      </w:pPr>
      <w:r w:rsidRPr="4E5848F1">
        <w:rPr>
          <w:rFonts w:ascii="Arial" w:eastAsia="Arial" w:hAnsi="Arial" w:cs="Arial"/>
        </w:rPr>
        <w:t xml:space="preserve">Procedural justice theory </w:t>
      </w:r>
      <w:r w:rsidR="000F498B" w:rsidRPr="00926165">
        <w:rPr>
          <w:rFonts w:ascii="Arial" w:eastAsia="Arial" w:hAnsi="Arial" w:cs="Arial"/>
          <w:color w:val="000000" w:themeColor="text1"/>
        </w:rPr>
        <w:t>(</w:t>
      </w:r>
      <w:r w:rsidR="00926165" w:rsidRPr="00926165">
        <w:rPr>
          <w:rFonts w:ascii="Arial" w:eastAsia="Arial" w:hAnsi="Arial" w:cs="Arial"/>
          <w:color w:val="000000" w:themeColor="text1"/>
        </w:rPr>
        <w:t>1990</w:t>
      </w:r>
      <w:r w:rsidR="000F498B" w:rsidRPr="00926165">
        <w:rPr>
          <w:rFonts w:ascii="Arial" w:eastAsia="Arial" w:hAnsi="Arial" w:cs="Arial"/>
          <w:color w:val="000000" w:themeColor="text1"/>
        </w:rPr>
        <w:t xml:space="preserve">) </w:t>
      </w:r>
      <w:r w:rsidRPr="4E5848F1">
        <w:rPr>
          <w:rFonts w:ascii="Arial" w:eastAsia="Arial" w:hAnsi="Arial" w:cs="Arial"/>
        </w:rPr>
        <w:t xml:space="preserve">suggests that </w:t>
      </w:r>
      <w:proofErr w:type="gramStart"/>
      <w:r w:rsidRPr="4E5848F1">
        <w:rPr>
          <w:rFonts w:ascii="Arial" w:eastAsia="Arial" w:hAnsi="Arial" w:cs="Arial"/>
        </w:rPr>
        <w:t>the public</w:t>
      </w:r>
      <w:proofErr w:type="gramEnd"/>
      <w:r w:rsidRPr="4E5848F1">
        <w:rPr>
          <w:rFonts w:ascii="Arial" w:eastAsia="Arial" w:hAnsi="Arial" w:cs="Arial"/>
        </w:rPr>
        <w:t xml:space="preserve"> compliance with police authority is shaped less by the outcomes of police encounters </w:t>
      </w:r>
      <w:r w:rsidRPr="00926165">
        <w:rPr>
          <w:rFonts w:ascii="Arial" w:eastAsia="Arial" w:hAnsi="Arial" w:cs="Arial"/>
          <w:color w:val="000000" w:themeColor="text1"/>
        </w:rPr>
        <w:t xml:space="preserve">and more by the perception of fairness, respect and neutrality during interactions (Tyler, 2006; </w:t>
      </w:r>
      <w:r w:rsidRPr="4E5848F1">
        <w:rPr>
          <w:rFonts w:ascii="Arial" w:eastAsia="Arial" w:hAnsi="Arial" w:cs="Arial"/>
        </w:rPr>
        <w:t xml:space="preserve">Braford et al., 2020). Within the UK context, this theoretical framework has been particularly influential in shaping debate over the use and reform of stop-and-search powers. Stop and search represents a highly visible and discriminatory police tactic which has historically generated concerns regarding racial disproportionality and legitimate defects among minority communities (Newburn, 2017). </w:t>
      </w:r>
    </w:p>
    <w:p w14:paraId="643C0C40" w14:textId="57CAEA67" w:rsidR="7AABDDDF" w:rsidRDefault="3F743161" w:rsidP="00A167C9">
      <w:pPr>
        <w:spacing w:line="360" w:lineRule="auto"/>
        <w:jc w:val="both"/>
        <w:rPr>
          <w:rFonts w:ascii="Arial" w:eastAsia="Arial" w:hAnsi="Arial" w:cs="Arial"/>
        </w:rPr>
      </w:pPr>
      <w:r w:rsidRPr="4E5848F1">
        <w:rPr>
          <w:rFonts w:ascii="Arial" w:eastAsia="Arial" w:hAnsi="Arial" w:cs="Arial"/>
        </w:rPr>
        <w:t xml:space="preserve">From the perspective of procedural justice, reforms that enhance communication between </w:t>
      </w:r>
      <w:proofErr w:type="gramStart"/>
      <w:r w:rsidRPr="4E5848F1">
        <w:rPr>
          <w:rFonts w:ascii="Arial" w:eastAsia="Arial" w:hAnsi="Arial" w:cs="Arial"/>
        </w:rPr>
        <w:t>officers,</w:t>
      </w:r>
      <w:proofErr w:type="gramEnd"/>
      <w:r w:rsidRPr="4E5848F1">
        <w:rPr>
          <w:rFonts w:ascii="Arial" w:eastAsia="Arial" w:hAnsi="Arial" w:cs="Arial"/>
        </w:rPr>
        <w:t xml:space="preserve"> provide clear reasons for searches, and minimise unnecessary enforcement actions should improve perceptions of fairness, thereby boosting public trust and the willingness to cooperate with law enforcement. However, empirical evidence indicates that while some reforms have led to slight decreases in overall stop-and-search applications, disparities in how minority groups are targeted remain, constraining advancements in perceived legitimacy (HMICFRS, 2021; Yesberg and Bradford, 2021). This highlights a significant limitation of procedural justice theory in real-world application: even when fairness in interactions enhances individual experiences, broader structural enforcement patterns may still erode normative trust. </w:t>
      </w:r>
    </w:p>
    <w:p w14:paraId="5E06FAB3" w14:textId="3582BBD1" w:rsidR="7AABDDDF" w:rsidRDefault="3F743161" w:rsidP="00A167C9">
      <w:pPr>
        <w:spacing w:line="360" w:lineRule="auto"/>
        <w:jc w:val="both"/>
        <w:rPr>
          <w:rFonts w:ascii="Arial" w:eastAsia="Arial" w:hAnsi="Arial" w:cs="Arial"/>
        </w:rPr>
      </w:pPr>
      <w:r w:rsidRPr="4E5848F1">
        <w:rPr>
          <w:rFonts w:ascii="Arial" w:eastAsia="Arial" w:hAnsi="Arial" w:cs="Arial"/>
        </w:rPr>
        <w:t xml:space="preserve">The distinction between instrumental and normative compliance is strikingly clear in the context of stop-and-search </w:t>
      </w:r>
      <w:r w:rsidR="00926165">
        <w:rPr>
          <w:rFonts w:ascii="Arial" w:eastAsia="Arial" w:hAnsi="Arial" w:cs="Arial"/>
        </w:rPr>
        <w:t>practices</w:t>
      </w:r>
      <w:r w:rsidRPr="4E5848F1">
        <w:rPr>
          <w:rFonts w:ascii="Arial" w:eastAsia="Arial" w:hAnsi="Arial" w:cs="Arial"/>
        </w:rPr>
        <w:t xml:space="preserve">. While these measures may yield short-term results, such as deterring criminal behaviour or recovering weapons, they can have detrimental long-term effects if individuals consistently perceive them as unfair. Repeated experiences of perceived unfairness will significantly erode public trust, leading to decreased cooperation with law enforcement, including reluctance to report crimes or provide valuable intelligence (Loader and Walker, 2021). As such, it is evident that while procedural justice offers a useful framework for reform, achieving sustainable legitimacy demands comprehensive organisational changes that prioritise accountability, address </w:t>
      </w:r>
      <w:r w:rsidRPr="4E5848F1">
        <w:rPr>
          <w:rFonts w:ascii="Arial" w:eastAsia="Arial" w:hAnsi="Arial" w:cs="Arial"/>
        </w:rPr>
        <w:lastRenderedPageBreak/>
        <w:t xml:space="preserve">disproportionality, and foster genuine community engagement beyond superficial interactions with the </w:t>
      </w:r>
      <w:r w:rsidRPr="00926165">
        <w:rPr>
          <w:rFonts w:ascii="Arial" w:eastAsia="Arial" w:hAnsi="Arial" w:cs="Arial"/>
          <w:color w:val="000000" w:themeColor="text1"/>
        </w:rPr>
        <w:t>police</w:t>
      </w:r>
      <w:r w:rsidR="0032615D" w:rsidRPr="00926165">
        <w:rPr>
          <w:rFonts w:ascii="Arial" w:eastAsia="Arial" w:hAnsi="Arial" w:cs="Arial"/>
          <w:color w:val="000000" w:themeColor="text1"/>
        </w:rPr>
        <w:t xml:space="preserve"> </w:t>
      </w:r>
      <w:r w:rsidR="00926165" w:rsidRPr="00926165">
        <w:rPr>
          <w:rFonts w:ascii="Arial" w:eastAsia="Arial" w:hAnsi="Arial" w:cs="Arial"/>
          <w:color w:val="000000" w:themeColor="text1"/>
        </w:rPr>
        <w:t>(Chan et al., 2023)</w:t>
      </w:r>
    </w:p>
    <w:p w14:paraId="555BACB5" w14:textId="770AE738" w:rsidR="7AABDDDF" w:rsidRDefault="7AABDDDF" w:rsidP="4E5848F1">
      <w:pPr>
        <w:rPr>
          <w:rFonts w:ascii="Arial" w:eastAsia="Arial" w:hAnsi="Arial" w:cs="Arial"/>
        </w:rPr>
      </w:pPr>
    </w:p>
    <w:p w14:paraId="0528DD96" w14:textId="6F853E1B" w:rsidR="7AABDDDF" w:rsidRDefault="7AABDDDF" w:rsidP="4E5848F1">
      <w:pPr>
        <w:rPr>
          <w:rFonts w:ascii="Arial" w:eastAsia="Arial" w:hAnsi="Arial" w:cs="Arial"/>
        </w:rPr>
      </w:pPr>
    </w:p>
    <w:p w14:paraId="79255A84" w14:textId="358F8445" w:rsidR="7AABDDDF" w:rsidRDefault="7AABDDDF" w:rsidP="4E5848F1">
      <w:pPr>
        <w:rPr>
          <w:rFonts w:ascii="Arial" w:eastAsia="Arial" w:hAnsi="Arial" w:cs="Arial"/>
        </w:rPr>
      </w:pPr>
    </w:p>
    <w:p w14:paraId="65C793EF" w14:textId="1D82CD36" w:rsidR="7AABDDDF" w:rsidRDefault="4DE7A886" w:rsidP="4E5848F1">
      <w:pPr>
        <w:pStyle w:val="Heading3"/>
        <w:rPr>
          <w:rFonts w:ascii="Arial" w:eastAsia="Arial" w:hAnsi="Arial" w:cs="Arial"/>
          <w:b/>
          <w:bCs/>
          <w:color w:val="auto"/>
        </w:rPr>
      </w:pPr>
      <w:bookmarkStart w:id="3" w:name="_Toc208932459"/>
      <w:bookmarkStart w:id="4" w:name="_Toc1574312058"/>
      <w:bookmarkStart w:id="5" w:name="_Toc1189837668"/>
      <w:bookmarkStart w:id="6" w:name="_Toc1978263205"/>
      <w:r w:rsidRPr="4E5848F1">
        <w:rPr>
          <w:rFonts w:ascii="Arial" w:eastAsia="Arial" w:hAnsi="Arial" w:cs="Arial"/>
          <w:b/>
          <w:bCs/>
          <w:color w:val="auto"/>
        </w:rPr>
        <w:t>Trust, Compliance and Public Cooperation</w:t>
      </w:r>
      <w:bookmarkEnd w:id="3"/>
      <w:bookmarkEnd w:id="4"/>
      <w:bookmarkEnd w:id="5"/>
      <w:bookmarkEnd w:id="6"/>
    </w:p>
    <w:p w14:paraId="602AAC34" w14:textId="12619A44" w:rsidR="7AABDDDF" w:rsidRDefault="7AABDDDF" w:rsidP="4E5848F1">
      <w:pPr>
        <w:rPr>
          <w:rFonts w:ascii="Arial" w:eastAsia="Arial" w:hAnsi="Arial" w:cs="Arial"/>
        </w:rPr>
      </w:pPr>
    </w:p>
    <w:p w14:paraId="20E551DD" w14:textId="4FBB441B" w:rsidR="7AABDDDF" w:rsidRDefault="3BD51801" w:rsidP="4E5848F1">
      <w:pPr>
        <w:spacing w:before="240" w:after="240" w:line="360" w:lineRule="auto"/>
        <w:jc w:val="both"/>
        <w:rPr>
          <w:rFonts w:ascii="Arial" w:eastAsia="Arial" w:hAnsi="Arial" w:cs="Arial"/>
        </w:rPr>
      </w:pPr>
      <w:r w:rsidRPr="4E5848F1">
        <w:rPr>
          <w:rFonts w:ascii="Arial" w:eastAsia="Arial" w:hAnsi="Arial" w:cs="Arial"/>
        </w:rPr>
        <w:t xml:space="preserve">Research shows a strong connection between public trust and confidence and the extent to which individuals cooperate with police, which includes compliance during interactions, willingness to report crimes, and </w:t>
      </w:r>
      <w:r w:rsidRPr="00926165">
        <w:rPr>
          <w:rFonts w:ascii="Arial" w:eastAsia="Arial" w:hAnsi="Arial" w:cs="Arial"/>
          <w:color w:val="000000" w:themeColor="text1"/>
        </w:rPr>
        <w:t>involvement in investigations</w:t>
      </w:r>
      <w:r w:rsidR="00D26927" w:rsidRPr="00926165">
        <w:rPr>
          <w:rFonts w:ascii="Arial" w:eastAsia="Arial" w:hAnsi="Arial" w:cs="Arial"/>
          <w:color w:val="000000" w:themeColor="text1"/>
        </w:rPr>
        <w:t xml:space="preserve"> </w:t>
      </w:r>
      <w:r w:rsidR="00926165" w:rsidRPr="00926165">
        <w:rPr>
          <w:rFonts w:ascii="Arial" w:eastAsia="Arial" w:hAnsi="Arial" w:cs="Arial"/>
          <w:color w:val="000000" w:themeColor="text1"/>
        </w:rPr>
        <w:t>(Bradford and Jackson, 2010)</w:t>
      </w:r>
      <w:r w:rsidRPr="00926165">
        <w:rPr>
          <w:rFonts w:ascii="Arial" w:eastAsia="Arial" w:hAnsi="Arial" w:cs="Arial"/>
          <w:color w:val="000000" w:themeColor="text1"/>
        </w:rPr>
        <w:t xml:space="preserve">. According to procedural </w:t>
      </w:r>
      <w:r w:rsidRPr="4E5848F1">
        <w:rPr>
          <w:rFonts w:ascii="Arial" w:eastAsia="Arial" w:hAnsi="Arial" w:cs="Arial"/>
        </w:rPr>
        <w:t xml:space="preserve">justice theory, people are more inclined to cooperate when they view policing methods as fair and legitimate, rather than just effective at reducing crime (Tyler, 2006; Bradford et al., 2020). Government statistics and inspection documents shed light on how these factors influence modern policing in the UK. </w:t>
      </w:r>
    </w:p>
    <w:p w14:paraId="454F23DE" w14:textId="503A48FD" w:rsidR="7AABDDDF" w:rsidRDefault="3BD51801" w:rsidP="4E5848F1">
      <w:pPr>
        <w:spacing w:before="240" w:after="240" w:line="360" w:lineRule="auto"/>
        <w:jc w:val="both"/>
        <w:rPr>
          <w:rFonts w:ascii="Arial" w:eastAsia="Arial" w:hAnsi="Arial" w:cs="Arial"/>
        </w:rPr>
      </w:pPr>
      <w:r w:rsidRPr="4E5848F1">
        <w:rPr>
          <w:rFonts w:ascii="Arial" w:eastAsia="Arial" w:hAnsi="Arial" w:cs="Arial"/>
        </w:rPr>
        <w:t xml:space="preserve">Stop and search serves as a crucial measure of police legitimacy due to its public visibility and the discretionary power it gives officers. In 2023–24, more than 535,000 stop and searches were conducted in England and </w:t>
      </w:r>
      <w:proofErr w:type="gramStart"/>
      <w:r w:rsidRPr="4E5848F1">
        <w:rPr>
          <w:rFonts w:ascii="Arial" w:eastAsia="Arial" w:hAnsi="Arial" w:cs="Arial"/>
        </w:rPr>
        <w:t>Wales</w:t>
      </w:r>
      <w:r w:rsidR="00644D99">
        <w:rPr>
          <w:rFonts w:ascii="Arial" w:eastAsia="Arial" w:hAnsi="Arial" w:cs="Arial"/>
        </w:rPr>
        <w:t xml:space="preserve"> </w:t>
      </w:r>
      <w:r w:rsidRPr="4E5848F1">
        <w:rPr>
          <w:rFonts w:ascii="Arial" w:eastAsia="Arial" w:hAnsi="Arial" w:cs="Arial"/>
        </w:rPr>
        <w:t>,</w:t>
      </w:r>
      <w:proofErr w:type="gramEnd"/>
      <w:r w:rsidRPr="4E5848F1">
        <w:rPr>
          <w:rFonts w:ascii="Arial" w:eastAsia="Arial" w:hAnsi="Arial" w:cs="Arial"/>
        </w:rPr>
        <w:t xml:space="preserve"> yet only a small fraction led to arrests or further legal action (House of Commons Library, 2025). Although this tactic can aid in recovering weapons and temporarily reducing crime, frequent implementation without clear results could damage perceptions of fairness and effectiveness. Ongoing racial disparities exacerbate the situation, as data show</w:t>
      </w:r>
      <w:r w:rsidR="00636E47">
        <w:rPr>
          <w:rFonts w:ascii="Arial" w:eastAsia="Arial" w:hAnsi="Arial" w:cs="Arial"/>
        </w:rPr>
        <w:t>s</w:t>
      </w:r>
      <w:r w:rsidRPr="4E5848F1">
        <w:rPr>
          <w:rFonts w:ascii="Arial" w:eastAsia="Arial" w:hAnsi="Arial" w:cs="Arial"/>
        </w:rPr>
        <w:t xml:space="preserve"> that Black individuals are stopped and searched at significantly higher rates than their White counterparts</w:t>
      </w:r>
      <w:r w:rsidR="00926165">
        <w:rPr>
          <w:rFonts w:ascii="Arial" w:eastAsia="Arial" w:hAnsi="Arial" w:cs="Arial"/>
        </w:rPr>
        <w:t xml:space="preserve"> (Home Office, 2024)</w:t>
      </w:r>
      <w:r w:rsidRPr="4E5848F1">
        <w:rPr>
          <w:rFonts w:ascii="Arial" w:eastAsia="Arial" w:hAnsi="Arial" w:cs="Arial"/>
        </w:rPr>
        <w:t xml:space="preserve"> leading to feelings of unequal treatment and decreased trust among minority communities. These trends highlight the conflict </w:t>
      </w:r>
      <w:r w:rsidRPr="00114661">
        <w:rPr>
          <w:rFonts w:ascii="Arial" w:eastAsia="Arial" w:hAnsi="Arial" w:cs="Arial"/>
          <w:color w:val="000000" w:themeColor="text1"/>
        </w:rPr>
        <w:t>between crime-control methods focused on results and the principles that underpin police legitimacy</w:t>
      </w:r>
      <w:r w:rsidR="00926165" w:rsidRPr="00114661">
        <w:rPr>
          <w:rFonts w:ascii="Arial" w:eastAsia="Arial" w:hAnsi="Arial" w:cs="Arial"/>
          <w:color w:val="000000" w:themeColor="text1"/>
        </w:rPr>
        <w:t xml:space="preserve"> (</w:t>
      </w:r>
      <w:r w:rsidR="00926165" w:rsidRPr="00114661">
        <w:rPr>
          <w:rFonts w:ascii="Arial" w:eastAsia="Arial" w:hAnsi="Arial" w:cs="Arial"/>
          <w:color w:val="000000" w:themeColor="text1"/>
        </w:rPr>
        <w:t>Bradford,</w:t>
      </w:r>
      <w:r w:rsidR="00926165" w:rsidRPr="00114661">
        <w:rPr>
          <w:rFonts w:ascii="Arial" w:eastAsia="Arial" w:hAnsi="Arial" w:cs="Arial"/>
          <w:color w:val="000000" w:themeColor="text1"/>
        </w:rPr>
        <w:t xml:space="preserve"> </w:t>
      </w:r>
      <w:r w:rsidR="00926165" w:rsidRPr="00114661">
        <w:rPr>
          <w:rFonts w:ascii="Arial" w:eastAsia="Arial" w:hAnsi="Arial" w:cs="Arial"/>
          <w:color w:val="000000" w:themeColor="text1"/>
        </w:rPr>
        <w:t>2014)</w:t>
      </w:r>
      <w:r w:rsidR="00114661">
        <w:rPr>
          <w:rFonts w:ascii="Arial" w:eastAsia="Arial" w:hAnsi="Arial" w:cs="Arial"/>
          <w:color w:val="000000" w:themeColor="text1"/>
        </w:rPr>
        <w:t>.</w:t>
      </w:r>
    </w:p>
    <w:p w14:paraId="315F9DF2" w14:textId="362C3E5D" w:rsidR="7AABDDDF" w:rsidRDefault="3BD51801" w:rsidP="4E5848F1">
      <w:pPr>
        <w:spacing w:before="240" w:after="240" w:line="360" w:lineRule="auto"/>
        <w:jc w:val="both"/>
        <w:rPr>
          <w:rFonts w:ascii="Arial" w:eastAsia="Arial" w:hAnsi="Arial" w:cs="Arial"/>
        </w:rPr>
      </w:pPr>
      <w:r w:rsidRPr="4E5848F1">
        <w:rPr>
          <w:rFonts w:ascii="Arial" w:eastAsia="Arial" w:hAnsi="Arial" w:cs="Arial"/>
        </w:rPr>
        <w:t>Public trust similarly impacts people's willingness to report crimes and participate in policing initiatives</w:t>
      </w:r>
      <w:r w:rsidR="00114661">
        <w:rPr>
          <w:rFonts w:ascii="Arial" w:eastAsia="Arial" w:hAnsi="Arial" w:cs="Arial"/>
        </w:rPr>
        <w:t xml:space="preserve">. </w:t>
      </w:r>
      <w:r w:rsidRPr="4E5848F1">
        <w:rPr>
          <w:rFonts w:ascii="Arial" w:eastAsia="Arial" w:hAnsi="Arial" w:cs="Arial"/>
        </w:rPr>
        <w:t>According to findings from the Crime Survey for England and Wales</w:t>
      </w:r>
      <w:r w:rsidR="00114661">
        <w:rPr>
          <w:rFonts w:ascii="Arial" w:eastAsia="Arial" w:hAnsi="Arial" w:cs="Arial"/>
          <w:color w:val="FF0000"/>
        </w:rPr>
        <w:t xml:space="preserve"> </w:t>
      </w:r>
      <w:r w:rsidR="00114661" w:rsidRPr="00114661">
        <w:rPr>
          <w:rFonts w:ascii="Arial" w:eastAsia="Arial" w:hAnsi="Arial" w:cs="Arial"/>
          <w:color w:val="000000" w:themeColor="text1"/>
        </w:rPr>
        <w:t>2023</w:t>
      </w:r>
      <w:r w:rsidRPr="00114661">
        <w:rPr>
          <w:rFonts w:ascii="Arial" w:eastAsia="Arial" w:hAnsi="Arial" w:cs="Arial"/>
          <w:color w:val="000000" w:themeColor="text1"/>
        </w:rPr>
        <w:t xml:space="preserve">, </w:t>
      </w:r>
      <w:r w:rsidRPr="4E5848F1">
        <w:rPr>
          <w:rFonts w:ascii="Arial" w:eastAsia="Arial" w:hAnsi="Arial" w:cs="Arial"/>
        </w:rPr>
        <w:t xml:space="preserve">overall public confidence in the police has varied in recent years, with differences across various demographic groups and localities (HMICFRS, 2023). Lower levels of </w:t>
      </w:r>
      <w:r w:rsidRPr="4E5848F1">
        <w:rPr>
          <w:rFonts w:ascii="Arial" w:eastAsia="Arial" w:hAnsi="Arial" w:cs="Arial"/>
        </w:rPr>
        <w:lastRenderedPageBreak/>
        <w:t>confidence correlate with perceptions of reduced police accessibility and responsiveness, especially in communities that have experienced cuts in local policing due to austerity</w:t>
      </w:r>
      <w:r w:rsidR="00114661">
        <w:rPr>
          <w:rFonts w:ascii="Arial" w:eastAsia="Arial" w:hAnsi="Arial" w:cs="Arial"/>
          <w:color w:val="FF0000"/>
        </w:rPr>
        <w:t xml:space="preserve"> </w:t>
      </w:r>
      <w:r w:rsidR="00114661" w:rsidRPr="00114661">
        <w:rPr>
          <w:rFonts w:ascii="Arial" w:eastAsia="Arial" w:hAnsi="Arial" w:cs="Arial"/>
          <w:color w:val="000000" w:themeColor="text1"/>
        </w:rPr>
        <w:t>(Jackson et al., 2018)</w:t>
      </w:r>
      <w:r w:rsidRPr="00114661">
        <w:rPr>
          <w:rFonts w:ascii="Arial" w:eastAsia="Arial" w:hAnsi="Arial" w:cs="Arial"/>
          <w:color w:val="000000" w:themeColor="text1"/>
        </w:rPr>
        <w:t xml:space="preserve">. </w:t>
      </w:r>
      <w:r w:rsidRPr="4E5848F1">
        <w:rPr>
          <w:rFonts w:ascii="Arial" w:eastAsia="Arial" w:hAnsi="Arial" w:cs="Arial"/>
        </w:rPr>
        <w:t xml:space="preserve">This suggests that trust is influenced not only by policing actions but also by residents' day-to-day interactions with law enforcement and the quality of service they receive. </w:t>
      </w:r>
    </w:p>
    <w:p w14:paraId="7BC9F0E1" w14:textId="46652BE1" w:rsidR="7AABDDDF" w:rsidRDefault="3BD51801" w:rsidP="4E5848F1">
      <w:pPr>
        <w:spacing w:before="240" w:after="240" w:line="360" w:lineRule="auto"/>
        <w:jc w:val="both"/>
        <w:rPr>
          <w:rFonts w:ascii="Arial" w:eastAsia="Arial" w:hAnsi="Arial" w:cs="Arial"/>
        </w:rPr>
      </w:pPr>
      <w:r w:rsidRPr="4E5848F1">
        <w:rPr>
          <w:rFonts w:ascii="Arial" w:eastAsia="Arial" w:hAnsi="Arial" w:cs="Arial"/>
        </w:rPr>
        <w:t xml:space="preserve">Collaboration with the community is also vital during criminal investigations, as police </w:t>
      </w:r>
      <w:r w:rsidRPr="00114661">
        <w:rPr>
          <w:rFonts w:ascii="Arial" w:eastAsia="Arial" w:hAnsi="Arial" w:cs="Arial"/>
          <w:color w:val="000000" w:themeColor="text1"/>
        </w:rPr>
        <w:t>effectiveness often hinges on voluntary information sharing and witness cooperation</w:t>
      </w:r>
      <w:r w:rsidR="00114661" w:rsidRPr="00114661">
        <w:rPr>
          <w:rFonts w:ascii="Arial" w:eastAsia="Arial" w:hAnsi="Arial" w:cs="Arial"/>
          <w:color w:val="000000" w:themeColor="text1"/>
        </w:rPr>
        <w:t xml:space="preserve"> </w:t>
      </w:r>
      <w:r w:rsidR="00114661" w:rsidRPr="00114661">
        <w:rPr>
          <w:rFonts w:ascii="Arial" w:eastAsia="Arial" w:hAnsi="Arial" w:cs="Arial"/>
          <w:color w:val="000000" w:themeColor="text1"/>
        </w:rPr>
        <w:t>(Bradford and Jackson, 2010)</w:t>
      </w:r>
      <w:r w:rsidRPr="00114661">
        <w:rPr>
          <w:rFonts w:ascii="Arial" w:eastAsia="Arial" w:hAnsi="Arial" w:cs="Arial"/>
          <w:color w:val="000000" w:themeColor="text1"/>
        </w:rPr>
        <w:t xml:space="preserve">. Inspection </w:t>
      </w:r>
      <w:r w:rsidRPr="4E5848F1">
        <w:rPr>
          <w:rFonts w:ascii="Arial" w:eastAsia="Arial" w:hAnsi="Arial" w:cs="Arial"/>
        </w:rPr>
        <w:t>reports indicate a decline in positive outcomes from investigations, suggesting that resource constraints and reduced public engagement may hinder police efforts to gain cooperation and resolve cases (HMICFRS, 2023). From a legitimacy standpoint, this</w:t>
      </w:r>
      <w:r w:rsidRPr="00114661">
        <w:rPr>
          <w:rFonts w:ascii="Arial" w:eastAsia="Arial" w:hAnsi="Arial" w:cs="Arial"/>
          <w:color w:val="000000" w:themeColor="text1"/>
        </w:rPr>
        <w:t xml:space="preserve"> </w:t>
      </w:r>
      <w:r w:rsidR="00A12EEC" w:rsidRPr="00114661">
        <w:rPr>
          <w:rFonts w:ascii="Arial" w:eastAsia="Arial" w:hAnsi="Arial" w:cs="Arial"/>
          <w:color w:val="000000" w:themeColor="text1"/>
        </w:rPr>
        <w:t xml:space="preserve">arguably </w:t>
      </w:r>
      <w:r w:rsidRPr="4E5848F1">
        <w:rPr>
          <w:rFonts w:ascii="Arial" w:eastAsia="Arial" w:hAnsi="Arial" w:cs="Arial"/>
        </w:rPr>
        <w:t xml:space="preserve">reflects how operational success is linked to the public's perceptions of fairness, accountability, and law enforcement's competency. </w:t>
      </w:r>
    </w:p>
    <w:p w14:paraId="7C038F2A" w14:textId="7A177FB8" w:rsidR="7AABDDDF" w:rsidRDefault="7AABDDDF" w:rsidP="4E5848F1">
      <w:pPr>
        <w:spacing w:before="240" w:after="240" w:line="360" w:lineRule="auto"/>
        <w:jc w:val="both"/>
        <w:rPr>
          <w:rFonts w:ascii="Arial" w:eastAsia="Arial" w:hAnsi="Arial" w:cs="Arial"/>
        </w:rPr>
      </w:pPr>
    </w:p>
    <w:p w14:paraId="20C812C8" w14:textId="322D93C0" w:rsidR="7AABDDDF" w:rsidRDefault="3BD51801" w:rsidP="4E5848F1">
      <w:pPr>
        <w:spacing w:before="240" w:after="240" w:line="360" w:lineRule="auto"/>
        <w:jc w:val="both"/>
        <w:rPr>
          <w:rFonts w:ascii="Arial" w:eastAsia="Arial" w:hAnsi="Arial" w:cs="Arial"/>
        </w:rPr>
      </w:pPr>
      <w:r w:rsidRPr="4E5848F1">
        <w:rPr>
          <w:rFonts w:ascii="Arial" w:eastAsia="Arial" w:hAnsi="Arial" w:cs="Arial"/>
        </w:rPr>
        <w:t xml:space="preserve">In summary, these empirical findings support the view that effective policing over the long term depends more on building normative trust than on achieving compliance through enforcement alone. While tactics like stop-and-search may lead to immediate compliance with law enforcement directives, sustained cooperation is more likely when communities believe policing methods are fair and the organisations behind them are accountable. </w:t>
      </w:r>
      <w:r w:rsidRPr="00114661">
        <w:rPr>
          <w:rFonts w:ascii="Arial" w:eastAsia="Arial" w:hAnsi="Arial" w:cs="Arial"/>
          <w:color w:val="000000" w:themeColor="text1"/>
        </w:rPr>
        <w:t xml:space="preserve">Research </w:t>
      </w:r>
      <w:r w:rsidR="00114661" w:rsidRPr="00114661">
        <w:rPr>
          <w:rFonts w:ascii="Arial" w:eastAsia="Arial" w:hAnsi="Arial" w:cs="Arial"/>
          <w:color w:val="000000" w:themeColor="text1"/>
        </w:rPr>
        <w:t>s</w:t>
      </w:r>
      <w:r w:rsidRPr="00114661">
        <w:rPr>
          <w:rFonts w:ascii="Arial" w:eastAsia="Arial" w:hAnsi="Arial" w:cs="Arial"/>
          <w:color w:val="000000" w:themeColor="text1"/>
        </w:rPr>
        <w:t xml:space="preserve">hows </w:t>
      </w:r>
      <w:r w:rsidRPr="4E5848F1">
        <w:rPr>
          <w:rFonts w:ascii="Arial" w:eastAsia="Arial" w:hAnsi="Arial" w:cs="Arial"/>
        </w:rPr>
        <w:t xml:space="preserve">a strong connection between public trust and confidence and the extent to which individuals cooperate with police, which includes compliance during interactions, willingness to </w:t>
      </w:r>
      <w:r w:rsidRPr="00114661">
        <w:rPr>
          <w:rFonts w:ascii="Arial" w:eastAsia="Arial" w:hAnsi="Arial" w:cs="Arial"/>
          <w:color w:val="000000" w:themeColor="text1"/>
        </w:rPr>
        <w:t xml:space="preserve">report crimes, and involvement in investigations. According to </w:t>
      </w:r>
      <w:r w:rsidR="00066EE1" w:rsidRPr="00114661">
        <w:rPr>
          <w:rFonts w:ascii="Arial" w:eastAsia="Arial" w:hAnsi="Arial" w:cs="Arial"/>
          <w:color w:val="000000" w:themeColor="text1"/>
        </w:rPr>
        <w:t>P</w:t>
      </w:r>
      <w:r w:rsidRPr="00114661">
        <w:rPr>
          <w:rFonts w:ascii="Arial" w:eastAsia="Arial" w:hAnsi="Arial" w:cs="Arial"/>
          <w:color w:val="000000" w:themeColor="text1"/>
        </w:rPr>
        <w:t xml:space="preserve">rocedural </w:t>
      </w:r>
      <w:r w:rsidR="00066EE1" w:rsidRPr="00114661">
        <w:rPr>
          <w:rFonts w:ascii="Arial" w:eastAsia="Arial" w:hAnsi="Arial" w:cs="Arial"/>
          <w:color w:val="000000" w:themeColor="text1"/>
        </w:rPr>
        <w:t>J</w:t>
      </w:r>
      <w:r w:rsidRPr="00114661">
        <w:rPr>
          <w:rFonts w:ascii="Arial" w:eastAsia="Arial" w:hAnsi="Arial" w:cs="Arial"/>
          <w:color w:val="000000" w:themeColor="text1"/>
        </w:rPr>
        <w:t xml:space="preserve">ustice </w:t>
      </w:r>
      <w:r w:rsidR="00066EE1" w:rsidRPr="00114661">
        <w:rPr>
          <w:rFonts w:ascii="Arial" w:eastAsia="Arial" w:hAnsi="Arial" w:cs="Arial"/>
          <w:color w:val="000000" w:themeColor="text1"/>
        </w:rPr>
        <w:t>T</w:t>
      </w:r>
      <w:r w:rsidRPr="00114661">
        <w:rPr>
          <w:rFonts w:ascii="Arial" w:eastAsia="Arial" w:hAnsi="Arial" w:cs="Arial"/>
          <w:color w:val="000000" w:themeColor="text1"/>
        </w:rPr>
        <w:t>heory</w:t>
      </w:r>
      <w:r w:rsidR="00066EE1" w:rsidRPr="00114661">
        <w:rPr>
          <w:rFonts w:ascii="Arial" w:eastAsia="Arial" w:hAnsi="Arial" w:cs="Arial"/>
          <w:color w:val="000000" w:themeColor="text1"/>
        </w:rPr>
        <w:t xml:space="preserve"> (</w:t>
      </w:r>
      <w:r w:rsidR="00114661" w:rsidRPr="00114661">
        <w:rPr>
          <w:rFonts w:ascii="Arial" w:eastAsia="Arial" w:hAnsi="Arial" w:cs="Arial"/>
          <w:color w:val="000000" w:themeColor="text1"/>
        </w:rPr>
        <w:t>1990</w:t>
      </w:r>
      <w:r w:rsidR="00066EE1" w:rsidRPr="00114661">
        <w:rPr>
          <w:rFonts w:ascii="Arial" w:eastAsia="Arial" w:hAnsi="Arial" w:cs="Arial"/>
          <w:color w:val="000000" w:themeColor="text1"/>
        </w:rPr>
        <w:t>)</w:t>
      </w:r>
      <w:r w:rsidRPr="00114661">
        <w:rPr>
          <w:rFonts w:ascii="Arial" w:eastAsia="Arial" w:hAnsi="Arial" w:cs="Arial"/>
          <w:color w:val="000000" w:themeColor="text1"/>
        </w:rPr>
        <w:t xml:space="preserve">, people </w:t>
      </w:r>
      <w:r w:rsidRPr="4E5848F1">
        <w:rPr>
          <w:rFonts w:ascii="Arial" w:eastAsia="Arial" w:hAnsi="Arial" w:cs="Arial"/>
        </w:rPr>
        <w:t>are more inclined to cooperate when they view policing methods as fair and legitimate, rather than just effective at reducing crime (Tyler, 2006; Bradford et al., 2020). Government statistics and inspection documents shed light on how these factors influence modern policing in the UK.</w:t>
      </w:r>
    </w:p>
    <w:p w14:paraId="69949C3E" w14:textId="2ABE8D03" w:rsidR="7AABDDDF" w:rsidRDefault="7AABDDDF" w:rsidP="4E5848F1">
      <w:pPr>
        <w:spacing w:before="240" w:after="240"/>
      </w:pPr>
    </w:p>
    <w:p w14:paraId="5BD085E1" w14:textId="643031AF" w:rsidR="7AABDDDF" w:rsidRDefault="7AABDDDF" w:rsidP="4E5848F1">
      <w:pPr>
        <w:spacing w:before="240" w:after="240"/>
      </w:pPr>
    </w:p>
    <w:p w14:paraId="271F1AE7" w14:textId="4016C393" w:rsidR="7AABDDDF" w:rsidRDefault="7AABDDDF" w:rsidP="4E5848F1">
      <w:pPr>
        <w:spacing w:before="240" w:after="240"/>
      </w:pPr>
    </w:p>
    <w:p w14:paraId="44F77E78" w14:textId="3E8B84BC" w:rsidR="7AABDDDF" w:rsidRDefault="1463E1F1" w:rsidP="4E5848F1">
      <w:pPr>
        <w:pStyle w:val="Heading3"/>
        <w:rPr>
          <w:rFonts w:ascii="Arial" w:eastAsia="Arial" w:hAnsi="Arial" w:cs="Arial"/>
          <w:b/>
          <w:bCs/>
          <w:color w:val="auto"/>
        </w:rPr>
      </w:pPr>
      <w:bookmarkStart w:id="7" w:name="_Toc782389613"/>
      <w:bookmarkStart w:id="8" w:name="_Toc2104887448"/>
      <w:bookmarkStart w:id="9" w:name="_Toc505264041"/>
      <w:bookmarkStart w:id="10" w:name="_Toc586513853"/>
      <w:r w:rsidRPr="4E5848F1">
        <w:rPr>
          <w:rFonts w:ascii="Arial" w:eastAsia="Arial" w:hAnsi="Arial" w:cs="Arial"/>
          <w:b/>
          <w:bCs/>
          <w:color w:val="auto"/>
        </w:rPr>
        <w:lastRenderedPageBreak/>
        <w:t>Historical Influences on Trust and Legitimacy in UK Policing</w:t>
      </w:r>
      <w:bookmarkEnd w:id="7"/>
      <w:bookmarkEnd w:id="8"/>
      <w:bookmarkEnd w:id="9"/>
      <w:bookmarkEnd w:id="10"/>
    </w:p>
    <w:p w14:paraId="2FA83693" w14:textId="579BD7CD" w:rsidR="7AABDDDF" w:rsidRDefault="7AABDDDF" w:rsidP="4E5848F1"/>
    <w:p w14:paraId="666013FC" w14:textId="4B23EC12" w:rsidR="7AABDDDF" w:rsidRPr="00114661" w:rsidRDefault="72A850F7" w:rsidP="4E5848F1">
      <w:pPr>
        <w:spacing w:before="240" w:after="240" w:line="360" w:lineRule="auto"/>
        <w:jc w:val="both"/>
        <w:rPr>
          <w:color w:val="000000" w:themeColor="text1"/>
        </w:rPr>
      </w:pPr>
      <w:r w:rsidRPr="00114661">
        <w:rPr>
          <w:rFonts w:ascii="Arial" w:eastAsia="Arial" w:hAnsi="Arial" w:cs="Arial"/>
          <w:color w:val="000000" w:themeColor="text1"/>
        </w:rPr>
        <w:t xml:space="preserve">Public trust in policing within the UK has evolved through a series of legitimacy crises influenced by perceptions of misconduct, discrimination, and defensive </w:t>
      </w:r>
      <w:proofErr w:type="spellStart"/>
      <w:r w:rsidRPr="00114661">
        <w:rPr>
          <w:rFonts w:ascii="Arial" w:eastAsia="Arial" w:hAnsi="Arial" w:cs="Arial"/>
          <w:color w:val="000000" w:themeColor="text1"/>
        </w:rPr>
        <w:t>behaviours</w:t>
      </w:r>
      <w:proofErr w:type="spellEnd"/>
      <w:r w:rsidRPr="00114661">
        <w:rPr>
          <w:rFonts w:ascii="Arial" w:eastAsia="Arial" w:hAnsi="Arial" w:cs="Arial"/>
          <w:color w:val="000000" w:themeColor="text1"/>
        </w:rPr>
        <w:t xml:space="preserve"> within police </w:t>
      </w:r>
      <w:proofErr w:type="spellStart"/>
      <w:r w:rsidRPr="00114661">
        <w:rPr>
          <w:rFonts w:ascii="Arial" w:eastAsia="Arial" w:hAnsi="Arial" w:cs="Arial"/>
          <w:color w:val="000000" w:themeColor="text1"/>
        </w:rPr>
        <w:t>organisations</w:t>
      </w:r>
      <w:proofErr w:type="spellEnd"/>
      <w:r w:rsidR="00114661" w:rsidRPr="00114661">
        <w:rPr>
          <w:rFonts w:ascii="Arial" w:eastAsia="Arial" w:hAnsi="Arial" w:cs="Arial"/>
          <w:color w:val="000000" w:themeColor="text1"/>
        </w:rPr>
        <w:t xml:space="preserve"> </w:t>
      </w:r>
      <w:r w:rsidR="00114661" w:rsidRPr="00114661">
        <w:rPr>
          <w:rFonts w:ascii="Arial" w:eastAsia="Arial" w:hAnsi="Arial" w:cs="Arial"/>
          <w:color w:val="000000" w:themeColor="text1"/>
        </w:rPr>
        <w:t>(Casey, 2023</w:t>
      </w:r>
      <w:r w:rsidR="00114661" w:rsidRPr="00114661">
        <w:rPr>
          <w:rFonts w:ascii="Arial" w:eastAsia="Arial" w:hAnsi="Arial" w:cs="Arial"/>
          <w:color w:val="000000" w:themeColor="text1"/>
        </w:rPr>
        <w:t>)</w:t>
      </w:r>
      <w:r w:rsidRPr="00114661">
        <w:rPr>
          <w:rFonts w:ascii="Arial" w:eastAsia="Arial" w:hAnsi="Arial" w:cs="Arial"/>
          <w:color w:val="000000" w:themeColor="text1"/>
        </w:rPr>
        <w:t xml:space="preserve">. These historical events have significantly reshaped public expectations regarding accountability, fairness, and the proper use of police authority. Grasping these developments is crucial for assessing current discussions around trust, confidence, and collaboration.  </w:t>
      </w:r>
    </w:p>
    <w:p w14:paraId="4DF0E7AD" w14:textId="3FBC0E1A" w:rsidR="7AABDDDF" w:rsidRDefault="72A850F7" w:rsidP="4E5848F1">
      <w:pPr>
        <w:spacing w:before="240" w:after="240" w:line="360" w:lineRule="auto"/>
        <w:jc w:val="both"/>
      </w:pPr>
      <w:r w:rsidRPr="4E5848F1">
        <w:rPr>
          <w:rFonts w:ascii="Arial" w:eastAsia="Arial" w:hAnsi="Arial" w:cs="Arial"/>
        </w:rPr>
        <w:t xml:space="preserve">The Brixton disturbances in 1981 are often regarded as a critical juncture in public attitudes toward policing, especially </w:t>
      </w:r>
      <w:r w:rsidRPr="00114661">
        <w:rPr>
          <w:rFonts w:ascii="Arial" w:eastAsia="Arial" w:hAnsi="Arial" w:cs="Arial"/>
          <w:color w:val="000000" w:themeColor="text1"/>
        </w:rPr>
        <w:t>concerning minority communities</w:t>
      </w:r>
      <w:r w:rsidR="00114661" w:rsidRPr="00114661">
        <w:rPr>
          <w:rFonts w:ascii="Arial" w:eastAsia="Arial" w:hAnsi="Arial" w:cs="Arial"/>
          <w:color w:val="000000" w:themeColor="text1"/>
        </w:rPr>
        <w:t xml:space="preserve"> </w:t>
      </w:r>
      <w:r w:rsidR="00114661" w:rsidRPr="00114661">
        <w:rPr>
          <w:rFonts w:ascii="Arial" w:eastAsia="Arial" w:hAnsi="Arial" w:cs="Arial"/>
          <w:color w:val="000000" w:themeColor="text1"/>
        </w:rPr>
        <w:t>(Renshaw, 2018</w:t>
      </w:r>
      <w:r w:rsidR="00114661" w:rsidRPr="00114661">
        <w:rPr>
          <w:rFonts w:ascii="Arial" w:eastAsia="Arial" w:hAnsi="Arial" w:cs="Arial"/>
          <w:color w:val="000000" w:themeColor="text1"/>
        </w:rPr>
        <w:t>)</w:t>
      </w:r>
      <w:r w:rsidRPr="00114661">
        <w:rPr>
          <w:rFonts w:ascii="Arial" w:eastAsia="Arial" w:hAnsi="Arial" w:cs="Arial"/>
          <w:color w:val="000000" w:themeColor="text1"/>
        </w:rPr>
        <w:t xml:space="preserve">. The aggressive implementation of stop-and-search powers under the "sus" laws heightened tensions between law enforcement and local populations, reinforcing feelings of over-policing and racial bias (Reiner, 2010; Newburn, 2017). The ensuing Scarman Report </w:t>
      </w:r>
      <w:proofErr w:type="spellStart"/>
      <w:r w:rsidR="00114661" w:rsidRPr="00114661">
        <w:rPr>
          <w:rFonts w:ascii="Arial" w:eastAsia="Arial" w:hAnsi="Arial" w:cs="Arial"/>
          <w:color w:val="000000" w:themeColor="text1"/>
        </w:rPr>
        <w:t>r</w:t>
      </w:r>
      <w:r w:rsidRPr="00114661">
        <w:rPr>
          <w:rFonts w:ascii="Arial" w:eastAsia="Arial" w:hAnsi="Arial" w:cs="Arial"/>
          <w:color w:val="000000" w:themeColor="text1"/>
        </w:rPr>
        <w:t>ecognised</w:t>
      </w:r>
      <w:proofErr w:type="spellEnd"/>
      <w:r w:rsidRPr="00114661">
        <w:rPr>
          <w:rFonts w:ascii="Arial" w:eastAsia="Arial" w:hAnsi="Arial" w:cs="Arial"/>
          <w:color w:val="000000" w:themeColor="text1"/>
        </w:rPr>
        <w:t xml:space="preserve"> that policing methods contributed to community alienation, underscoring the necessity of fairness and community engagement in sustaining legitimacy</w:t>
      </w:r>
      <w:r w:rsidR="00400B80" w:rsidRPr="00114661">
        <w:rPr>
          <w:rFonts w:ascii="Arial" w:eastAsia="Arial" w:hAnsi="Arial" w:cs="Arial"/>
          <w:color w:val="000000" w:themeColor="text1"/>
        </w:rPr>
        <w:t xml:space="preserve"> </w:t>
      </w:r>
      <w:r w:rsidR="00114661">
        <w:rPr>
          <w:rFonts w:ascii="Arial" w:eastAsia="Arial" w:hAnsi="Arial" w:cs="Arial"/>
          <w:color w:val="000000" w:themeColor="text1"/>
        </w:rPr>
        <w:t>(</w:t>
      </w:r>
      <w:r w:rsidR="00114661" w:rsidRPr="00114661">
        <w:rPr>
          <w:rFonts w:ascii="Arial" w:eastAsia="Arial" w:hAnsi="Arial" w:cs="Arial"/>
          <w:color w:val="000000" w:themeColor="text1"/>
        </w:rPr>
        <w:t>Renshaw, 2018</w:t>
      </w:r>
      <w:r w:rsidR="00114661" w:rsidRPr="00114661">
        <w:rPr>
          <w:rFonts w:ascii="Arial" w:eastAsia="Arial" w:hAnsi="Arial" w:cs="Arial"/>
          <w:color w:val="000000" w:themeColor="text1"/>
        </w:rPr>
        <w:t>)</w:t>
      </w:r>
      <w:r w:rsidRPr="00114661">
        <w:rPr>
          <w:rFonts w:ascii="Arial" w:eastAsia="Arial" w:hAnsi="Arial" w:cs="Arial"/>
          <w:color w:val="000000" w:themeColor="text1"/>
        </w:rPr>
        <w:t xml:space="preserve">. From a procedural justice standpoint, these events illustrated how enforcement approaches perceived as excessive or disrespectful can erode normative trust, even when deemed necessary for crime control. </w:t>
      </w:r>
    </w:p>
    <w:p w14:paraId="65B94DA4" w14:textId="493A50CD" w:rsidR="7AABDDDF" w:rsidRDefault="72A850F7" w:rsidP="4E5848F1">
      <w:pPr>
        <w:spacing w:before="240" w:after="240" w:line="360" w:lineRule="auto"/>
        <w:jc w:val="both"/>
      </w:pPr>
      <w:r w:rsidRPr="4E5848F1">
        <w:rPr>
          <w:rFonts w:ascii="Arial" w:eastAsia="Arial" w:hAnsi="Arial" w:cs="Arial"/>
        </w:rPr>
        <w:t xml:space="preserve">Concerns surrounding institutional legitimacy were further exacerbated by the Macpherson Inquiry into the police investigation of Stephen Lawrence's </w:t>
      </w:r>
      <w:r w:rsidRPr="00114661">
        <w:rPr>
          <w:rFonts w:ascii="Arial" w:eastAsia="Arial" w:hAnsi="Arial" w:cs="Arial"/>
          <w:color w:val="000000" w:themeColor="text1"/>
        </w:rPr>
        <w:t>murder</w:t>
      </w:r>
      <w:r w:rsidR="00114661" w:rsidRPr="00114661">
        <w:rPr>
          <w:rFonts w:ascii="Arial" w:eastAsia="Arial" w:hAnsi="Arial" w:cs="Arial"/>
          <w:color w:val="000000" w:themeColor="text1"/>
        </w:rPr>
        <w:t xml:space="preserve"> (</w:t>
      </w:r>
      <w:r w:rsidR="00114661" w:rsidRPr="00114661">
        <w:rPr>
          <w:rFonts w:ascii="Arial" w:eastAsia="Arial" w:hAnsi="Arial" w:cs="Arial"/>
          <w:color w:val="000000" w:themeColor="text1"/>
        </w:rPr>
        <w:t>Rowe, 2014</w:t>
      </w:r>
      <w:r w:rsidR="00114661" w:rsidRPr="00114661">
        <w:rPr>
          <w:rFonts w:ascii="Arial" w:eastAsia="Arial" w:hAnsi="Arial" w:cs="Arial"/>
          <w:color w:val="000000" w:themeColor="text1"/>
        </w:rPr>
        <w:t>)</w:t>
      </w:r>
      <w:r w:rsidRPr="00114661">
        <w:rPr>
          <w:rFonts w:ascii="Arial" w:eastAsia="Arial" w:hAnsi="Arial" w:cs="Arial"/>
          <w:color w:val="000000" w:themeColor="text1"/>
        </w:rPr>
        <w:t xml:space="preserve">. The inquiry concluded that the Metropolitan Police demonstrated "institutional </w:t>
      </w:r>
      <w:r w:rsidRPr="4E5848F1">
        <w:rPr>
          <w:rFonts w:ascii="Arial" w:eastAsia="Arial" w:hAnsi="Arial" w:cs="Arial"/>
        </w:rPr>
        <w:t xml:space="preserve">racism," challenging the notion that policing by consent was uniformly experienced throughout society (Newburn, 2017). This revelation </w:t>
      </w:r>
      <w:proofErr w:type="gramStart"/>
      <w:r w:rsidRPr="4E5848F1">
        <w:rPr>
          <w:rFonts w:ascii="Arial" w:eastAsia="Arial" w:hAnsi="Arial" w:cs="Arial"/>
        </w:rPr>
        <w:t xml:space="preserve">transformed </w:t>
      </w:r>
      <w:r w:rsidR="008A5153">
        <w:rPr>
          <w:rFonts w:ascii="Arial" w:eastAsia="Arial" w:hAnsi="Arial" w:cs="Arial"/>
          <w:color w:val="FF0000"/>
        </w:rPr>
        <w:t xml:space="preserve"> </w:t>
      </w:r>
      <w:r w:rsidRPr="4E5848F1">
        <w:rPr>
          <w:rFonts w:ascii="Arial" w:eastAsia="Arial" w:hAnsi="Arial" w:cs="Arial"/>
        </w:rPr>
        <w:t>national</w:t>
      </w:r>
      <w:proofErr w:type="gramEnd"/>
      <w:r w:rsidRPr="4E5848F1">
        <w:rPr>
          <w:rFonts w:ascii="Arial" w:eastAsia="Arial" w:hAnsi="Arial" w:cs="Arial"/>
        </w:rPr>
        <w:t xml:space="preserve"> conversations regarding accountability, diversity, and community engagement, showing how organisational culture and systemic bias can undermine public trust beyond the actions of individual officers. Legitimacy </w:t>
      </w:r>
      <w:proofErr w:type="gramStart"/>
      <w:r w:rsidR="008A5153">
        <w:rPr>
          <w:rFonts w:ascii="Arial" w:eastAsia="Arial" w:hAnsi="Arial" w:cs="Arial"/>
        </w:rPr>
        <w:t>T</w:t>
      </w:r>
      <w:r w:rsidRPr="4E5848F1">
        <w:rPr>
          <w:rFonts w:ascii="Arial" w:eastAsia="Arial" w:hAnsi="Arial" w:cs="Arial"/>
        </w:rPr>
        <w:t xml:space="preserve">heory </w:t>
      </w:r>
      <w:r w:rsidR="008A5153">
        <w:rPr>
          <w:rFonts w:ascii="Arial" w:eastAsia="Arial" w:hAnsi="Arial" w:cs="Arial"/>
          <w:color w:val="FF0000"/>
        </w:rPr>
        <w:t xml:space="preserve"> </w:t>
      </w:r>
      <w:r w:rsidRPr="4E5848F1">
        <w:rPr>
          <w:rFonts w:ascii="Arial" w:eastAsia="Arial" w:hAnsi="Arial" w:cs="Arial"/>
        </w:rPr>
        <w:t>indicates</w:t>
      </w:r>
      <w:proofErr w:type="gramEnd"/>
      <w:r w:rsidRPr="4E5848F1">
        <w:rPr>
          <w:rFonts w:ascii="Arial" w:eastAsia="Arial" w:hAnsi="Arial" w:cs="Arial"/>
        </w:rPr>
        <w:t xml:space="preserve"> that such institutional breakdowns can diminish voluntary compliance with police authority, especially among those who feel unfairly targeted or marginalised (Tankebe and Liebling, 2013). </w:t>
      </w:r>
    </w:p>
    <w:p w14:paraId="59F2647E" w14:textId="21C77E52" w:rsidR="7AABDDDF" w:rsidRDefault="72A850F7" w:rsidP="4E5848F1">
      <w:pPr>
        <w:spacing w:before="240" w:after="240" w:line="360" w:lineRule="auto"/>
        <w:jc w:val="both"/>
      </w:pPr>
      <w:r w:rsidRPr="4E5848F1">
        <w:rPr>
          <w:rFonts w:ascii="Arial" w:eastAsia="Arial" w:hAnsi="Arial" w:cs="Arial"/>
        </w:rPr>
        <w:lastRenderedPageBreak/>
        <w:t xml:space="preserve">In a similar vein, </w:t>
      </w:r>
      <w:r w:rsidRPr="006D2F05">
        <w:rPr>
          <w:rFonts w:ascii="Arial" w:eastAsia="Arial" w:hAnsi="Arial" w:cs="Arial"/>
          <w:color w:val="000000" w:themeColor="text1"/>
        </w:rPr>
        <w:t xml:space="preserve">the Hillsborough disaster </w:t>
      </w:r>
      <w:r w:rsidR="006D2F05" w:rsidRPr="006D2F05">
        <w:rPr>
          <w:rFonts w:ascii="Arial" w:eastAsia="Arial" w:hAnsi="Arial" w:cs="Arial"/>
          <w:color w:val="000000" w:themeColor="text1"/>
        </w:rPr>
        <w:t>1989</w:t>
      </w:r>
      <w:r w:rsidR="00C72255" w:rsidRPr="006D2F05">
        <w:rPr>
          <w:rFonts w:ascii="Arial" w:eastAsia="Arial" w:hAnsi="Arial" w:cs="Arial"/>
          <w:color w:val="000000" w:themeColor="text1"/>
        </w:rPr>
        <w:t xml:space="preserve"> </w:t>
      </w:r>
      <w:r w:rsidRPr="006D2F05">
        <w:rPr>
          <w:rFonts w:ascii="Arial" w:eastAsia="Arial" w:hAnsi="Arial" w:cs="Arial"/>
          <w:color w:val="000000" w:themeColor="text1"/>
        </w:rPr>
        <w:t xml:space="preserve">and the subsequent scrutiny of South Yorkshire Police's actions revealed the lasting effects of perceived dishonesty and defensive responses from police </w:t>
      </w:r>
      <w:proofErr w:type="spellStart"/>
      <w:r w:rsidRPr="006D2F05">
        <w:rPr>
          <w:rFonts w:ascii="Arial" w:eastAsia="Arial" w:hAnsi="Arial" w:cs="Arial"/>
          <w:color w:val="000000" w:themeColor="text1"/>
        </w:rPr>
        <w:t>organisations</w:t>
      </w:r>
      <w:proofErr w:type="spellEnd"/>
      <w:r w:rsidR="006D2F05" w:rsidRPr="006D2F05">
        <w:rPr>
          <w:rFonts w:ascii="Arial" w:eastAsia="Arial" w:hAnsi="Arial" w:cs="Arial"/>
          <w:color w:val="000000" w:themeColor="text1"/>
        </w:rPr>
        <w:t xml:space="preserve"> (</w:t>
      </w:r>
      <w:r w:rsidR="006D2F05" w:rsidRPr="006D2F05">
        <w:rPr>
          <w:rFonts w:ascii="Arial" w:eastAsia="Arial" w:hAnsi="Arial" w:cs="Arial"/>
          <w:color w:val="000000" w:themeColor="text1"/>
        </w:rPr>
        <w:t>Loader and Walker, 2021)</w:t>
      </w:r>
      <w:r w:rsidRPr="006D2F05">
        <w:rPr>
          <w:rFonts w:ascii="Arial" w:eastAsia="Arial" w:hAnsi="Arial" w:cs="Arial"/>
          <w:color w:val="000000" w:themeColor="text1"/>
        </w:rPr>
        <w:t xml:space="preserve">. Public inquiries and legal actions revealed significant shortcomings in transparency and accountability, which fueled broader scepticism about police integrity and the trustworthiness of their accounts (Loader and Walker, 2021). These incidents highlighted the crucial role of trustworthy intentions and procedural fairness as essential elements of </w:t>
      </w:r>
      <w:proofErr w:type="gramStart"/>
      <w:r w:rsidRPr="006D2F05">
        <w:rPr>
          <w:rFonts w:ascii="Arial" w:eastAsia="Arial" w:hAnsi="Arial" w:cs="Arial"/>
          <w:color w:val="000000" w:themeColor="text1"/>
        </w:rPr>
        <w:t>legitimacy</w:t>
      </w:r>
      <w:r w:rsidR="006D2F05" w:rsidRPr="006D2F05">
        <w:rPr>
          <w:rFonts w:ascii="Arial" w:eastAsia="Arial" w:hAnsi="Arial" w:cs="Arial"/>
          <w:color w:val="000000" w:themeColor="text1"/>
        </w:rPr>
        <w:t>(</w:t>
      </w:r>
      <w:proofErr w:type="gramEnd"/>
      <w:r w:rsidR="006D2F05" w:rsidRPr="006D2F05">
        <w:rPr>
          <w:rFonts w:ascii="Arial" w:eastAsia="Arial" w:hAnsi="Arial" w:cs="Arial"/>
          <w:color w:val="000000" w:themeColor="text1"/>
        </w:rPr>
        <w:t>Loader and Walker, 2021)</w:t>
      </w:r>
      <w:r w:rsidRPr="006D2F05">
        <w:rPr>
          <w:rFonts w:ascii="Arial" w:eastAsia="Arial" w:hAnsi="Arial" w:cs="Arial"/>
          <w:color w:val="000000" w:themeColor="text1"/>
        </w:rPr>
        <w:t xml:space="preserve">. </w:t>
      </w:r>
    </w:p>
    <w:p w14:paraId="0E994F43" w14:textId="4E6A27B4" w:rsidR="7AABDDDF" w:rsidRPr="006D2F05" w:rsidRDefault="72A850F7" w:rsidP="4E5848F1">
      <w:pPr>
        <w:spacing w:before="240" w:after="240" w:line="360" w:lineRule="auto"/>
        <w:jc w:val="both"/>
        <w:rPr>
          <w:color w:val="000000" w:themeColor="text1"/>
        </w:rPr>
      </w:pPr>
      <w:r w:rsidRPr="4E5848F1">
        <w:rPr>
          <w:rFonts w:ascii="Arial" w:eastAsia="Arial" w:hAnsi="Arial" w:cs="Arial"/>
        </w:rPr>
        <w:t xml:space="preserve">The ongoing challenges in counter-terrorism policing have brought to the forefront the delicate </w:t>
      </w:r>
      <w:r w:rsidRPr="006D2F05">
        <w:rPr>
          <w:rFonts w:ascii="Arial" w:eastAsia="Arial" w:hAnsi="Arial" w:cs="Arial"/>
          <w:color w:val="000000" w:themeColor="text1"/>
        </w:rPr>
        <w:t>balance between security needs and civil liberties</w:t>
      </w:r>
      <w:r w:rsidR="006D2F05" w:rsidRPr="006D2F05">
        <w:rPr>
          <w:rFonts w:ascii="Arial" w:eastAsia="Arial" w:hAnsi="Arial" w:cs="Arial"/>
          <w:color w:val="000000" w:themeColor="text1"/>
        </w:rPr>
        <w:t xml:space="preserve"> (</w:t>
      </w:r>
      <w:r w:rsidR="006D2F05" w:rsidRPr="006D2F05">
        <w:rPr>
          <w:rFonts w:ascii="Arial" w:eastAsia="Arial" w:hAnsi="Arial" w:cs="Arial"/>
          <w:color w:val="000000" w:themeColor="text1"/>
        </w:rPr>
        <w:t>Hillsborough Independent Panel, 2012</w:t>
      </w:r>
      <w:r w:rsidR="006D2F05" w:rsidRPr="006D2F05">
        <w:rPr>
          <w:rFonts w:ascii="Arial" w:eastAsia="Arial" w:hAnsi="Arial" w:cs="Arial"/>
          <w:color w:val="000000" w:themeColor="text1"/>
        </w:rPr>
        <w:t>)</w:t>
      </w:r>
      <w:r w:rsidRPr="006D2F05">
        <w:rPr>
          <w:rFonts w:ascii="Arial" w:eastAsia="Arial" w:hAnsi="Arial" w:cs="Arial"/>
          <w:color w:val="000000" w:themeColor="text1"/>
        </w:rPr>
        <w:t>. The introduction of expanded surveillance powers and preventative measures</w:t>
      </w:r>
      <w:r w:rsidR="006D2F05" w:rsidRPr="006D2F05">
        <w:rPr>
          <w:rFonts w:ascii="Arial" w:eastAsia="Arial" w:hAnsi="Arial" w:cs="Arial"/>
          <w:color w:val="000000" w:themeColor="text1"/>
        </w:rPr>
        <w:t xml:space="preserve"> </w:t>
      </w:r>
      <w:r w:rsidRPr="006D2F05">
        <w:rPr>
          <w:rFonts w:ascii="Arial" w:eastAsia="Arial" w:hAnsi="Arial" w:cs="Arial"/>
          <w:color w:val="000000" w:themeColor="text1"/>
        </w:rPr>
        <w:t>has sparked significant debate about the proportionality of these actions and their potential to stigmatise specific communities, particularly among Muslim populations. Although proponents may argue that these measures are necessary for national security,</w:t>
      </w:r>
      <w:r w:rsidR="00C72255" w:rsidRPr="006D2F05">
        <w:rPr>
          <w:rFonts w:ascii="Arial" w:eastAsia="Arial" w:hAnsi="Arial" w:cs="Arial"/>
          <w:color w:val="000000" w:themeColor="text1"/>
        </w:rPr>
        <w:t xml:space="preserve"> L</w:t>
      </w:r>
      <w:r w:rsidRPr="006D2F05">
        <w:rPr>
          <w:rFonts w:ascii="Arial" w:eastAsia="Arial" w:hAnsi="Arial" w:cs="Arial"/>
          <w:color w:val="000000" w:themeColor="text1"/>
        </w:rPr>
        <w:t xml:space="preserve">egitimacy </w:t>
      </w:r>
      <w:r w:rsidR="00C72255" w:rsidRPr="006D2F05">
        <w:rPr>
          <w:rFonts w:ascii="Arial" w:eastAsia="Arial" w:hAnsi="Arial" w:cs="Arial"/>
          <w:color w:val="000000" w:themeColor="text1"/>
        </w:rPr>
        <w:t>T</w:t>
      </w:r>
      <w:r w:rsidRPr="006D2F05">
        <w:rPr>
          <w:rFonts w:ascii="Arial" w:eastAsia="Arial" w:hAnsi="Arial" w:cs="Arial"/>
          <w:color w:val="000000" w:themeColor="text1"/>
        </w:rPr>
        <w:t xml:space="preserve">heory </w:t>
      </w:r>
      <w:proofErr w:type="spellStart"/>
      <w:r w:rsidRPr="006D2F05">
        <w:rPr>
          <w:rFonts w:ascii="Arial" w:eastAsia="Arial" w:hAnsi="Arial" w:cs="Arial"/>
          <w:color w:val="000000" w:themeColor="text1"/>
        </w:rPr>
        <w:t>emphasises</w:t>
      </w:r>
      <w:proofErr w:type="spellEnd"/>
      <w:r w:rsidRPr="006D2F05">
        <w:rPr>
          <w:rFonts w:ascii="Arial" w:eastAsia="Arial" w:hAnsi="Arial" w:cs="Arial"/>
          <w:color w:val="000000" w:themeColor="text1"/>
        </w:rPr>
        <w:t xml:space="preserve"> the potential dangers of policing approaches perceived as discriminatory</w:t>
      </w:r>
      <w:r w:rsidR="006D2F05" w:rsidRPr="006D2F05">
        <w:rPr>
          <w:rFonts w:ascii="Arial" w:eastAsia="Arial" w:hAnsi="Arial" w:cs="Arial"/>
          <w:color w:val="000000" w:themeColor="text1"/>
        </w:rPr>
        <w:t>.</w:t>
      </w:r>
      <w:r w:rsidRPr="006D2F05">
        <w:rPr>
          <w:rFonts w:ascii="Arial" w:eastAsia="Arial" w:hAnsi="Arial" w:cs="Arial"/>
          <w:color w:val="000000" w:themeColor="text1"/>
        </w:rPr>
        <w:t xml:space="preserve">  </w:t>
      </w:r>
      <w:r w:rsidR="006D2F05" w:rsidRPr="006D2F05">
        <w:rPr>
          <w:rFonts w:ascii="Arial" w:eastAsia="Arial" w:hAnsi="Arial" w:cs="Arial"/>
          <w:color w:val="000000" w:themeColor="text1"/>
        </w:rPr>
        <w:t>(Qurashi, 2018).</w:t>
      </w:r>
    </w:p>
    <w:p w14:paraId="5172E800" w14:textId="0A05F452" w:rsidR="7AABDDDF" w:rsidRPr="006D2F05" w:rsidRDefault="72A850F7" w:rsidP="4E5848F1">
      <w:pPr>
        <w:spacing w:before="240" w:after="240" w:line="360" w:lineRule="auto"/>
        <w:jc w:val="both"/>
        <w:rPr>
          <w:color w:val="000000" w:themeColor="text1"/>
        </w:rPr>
      </w:pPr>
      <w:r w:rsidRPr="006D2F05">
        <w:rPr>
          <w:rFonts w:ascii="Arial" w:eastAsia="Arial" w:hAnsi="Arial" w:cs="Arial"/>
          <w:color w:val="000000" w:themeColor="text1"/>
        </w:rPr>
        <w:t>These historical contexts highlight that public trust in policing is influenced not just by how effectively crime is managed but also by individuals' perceptions of fairness, equality, and accountability within institutions. The legitimacy crises arising from various policing practices underscore the long-term repercussions for public cooperation. This reality reinforces the importance of ongoing reform and genuine engagement as foundational to upholding the principle of policing by consent</w:t>
      </w:r>
      <w:r w:rsidR="006D2F05" w:rsidRPr="006D2F05">
        <w:rPr>
          <w:rFonts w:ascii="Arial" w:eastAsia="Arial" w:hAnsi="Arial" w:cs="Arial"/>
          <w:color w:val="000000" w:themeColor="text1"/>
        </w:rPr>
        <w:t xml:space="preserve"> </w:t>
      </w:r>
      <w:r w:rsidR="006D2F05" w:rsidRPr="006D2F05">
        <w:rPr>
          <w:rFonts w:ascii="Arial" w:eastAsia="Arial" w:hAnsi="Arial" w:cs="Arial"/>
          <w:color w:val="000000" w:themeColor="text1"/>
        </w:rPr>
        <w:t>(Qurashi, 2018)</w:t>
      </w:r>
      <w:r w:rsidRPr="006D2F05">
        <w:rPr>
          <w:rFonts w:ascii="Arial" w:eastAsia="Arial" w:hAnsi="Arial" w:cs="Arial"/>
          <w:color w:val="000000" w:themeColor="text1"/>
        </w:rPr>
        <w:t>.</w:t>
      </w:r>
    </w:p>
    <w:p w14:paraId="4A5E52FD" w14:textId="014D3908" w:rsidR="7AABDDDF" w:rsidRDefault="7AABDDDF" w:rsidP="4E5848F1"/>
    <w:p w14:paraId="607505E6" w14:textId="0DFF321D" w:rsidR="7AABDDDF" w:rsidRDefault="666B6CB3" w:rsidP="4E5848F1">
      <w:pPr>
        <w:pStyle w:val="Heading3"/>
        <w:rPr>
          <w:rFonts w:ascii="Arial" w:eastAsia="Arial" w:hAnsi="Arial" w:cs="Arial"/>
          <w:b/>
          <w:bCs/>
          <w:color w:val="auto"/>
          <w:sz w:val="24"/>
          <w:szCs w:val="24"/>
        </w:rPr>
      </w:pPr>
      <w:bookmarkStart w:id="11" w:name="_Toc1876909120"/>
      <w:bookmarkStart w:id="12" w:name="_Toc1823561580"/>
      <w:r w:rsidRPr="4E5848F1">
        <w:rPr>
          <w:rFonts w:ascii="Arial" w:eastAsia="Arial" w:hAnsi="Arial" w:cs="Arial"/>
          <w:b/>
          <w:bCs/>
          <w:color w:val="auto"/>
        </w:rPr>
        <w:t>Case Study: Stop and Search Reform and Police Legitimacy</w:t>
      </w:r>
      <w:bookmarkEnd w:id="11"/>
      <w:bookmarkEnd w:id="12"/>
    </w:p>
    <w:p w14:paraId="262E0532" w14:textId="0CBB144A" w:rsidR="7AABDDDF" w:rsidRDefault="7AABDDDF" w:rsidP="4E5848F1">
      <w:pPr>
        <w:rPr>
          <w:rFonts w:ascii="Arial" w:eastAsia="Arial" w:hAnsi="Arial" w:cs="Arial"/>
        </w:rPr>
      </w:pPr>
    </w:p>
    <w:p w14:paraId="1F2D32A0" w14:textId="11F7BBDF" w:rsidR="7AABDDDF" w:rsidRDefault="6A4EFB29" w:rsidP="4E5848F1">
      <w:pPr>
        <w:spacing w:line="360" w:lineRule="auto"/>
        <w:jc w:val="both"/>
        <w:rPr>
          <w:rFonts w:ascii="Arial" w:eastAsia="Arial" w:hAnsi="Arial" w:cs="Arial"/>
        </w:rPr>
      </w:pPr>
      <w:r w:rsidRPr="4E5848F1">
        <w:rPr>
          <w:rFonts w:ascii="Arial" w:eastAsia="Arial" w:hAnsi="Arial" w:cs="Arial"/>
        </w:rPr>
        <w:t xml:space="preserve">The implementation and reform of stop-and-search powers constitute a pivotal case study for exploring the intricate relationship between trust, confidence, and police legitimacy in the United Kingdom. Traditionally, stop and search has been defended as an effective crime control strategy designed to deter criminal behaviour, recover weapons, and disrupt </w:t>
      </w:r>
      <w:r w:rsidRPr="4E5848F1">
        <w:rPr>
          <w:rFonts w:ascii="Arial" w:eastAsia="Arial" w:hAnsi="Arial" w:cs="Arial"/>
        </w:rPr>
        <w:lastRenderedPageBreak/>
        <w:t>illicit activities. Nevertheless, ongoing concerns about disproportionality, low arrest rates, and negative experiences during encounters have given rise to challenges regarding legitimacy, particularly within minority communities (Newburn, 2017; Reiner, 2010).</w:t>
      </w:r>
    </w:p>
    <w:p w14:paraId="5A13BCA7" w14:textId="5F7C5BE6" w:rsidR="7AABDDDF" w:rsidRDefault="7ED51660" w:rsidP="4E5848F1">
      <w:pPr>
        <w:spacing w:line="360" w:lineRule="auto"/>
        <w:jc w:val="both"/>
        <w:rPr>
          <w:rFonts w:ascii="Arial" w:eastAsia="Arial" w:hAnsi="Arial" w:cs="Arial"/>
        </w:rPr>
      </w:pPr>
      <w:r w:rsidRPr="4E5848F1">
        <w:rPr>
          <w:rFonts w:ascii="Arial" w:eastAsia="Arial" w:hAnsi="Arial" w:cs="Arial"/>
        </w:rPr>
        <w:t xml:space="preserve"> </w:t>
      </w:r>
    </w:p>
    <w:p w14:paraId="5BC20611" w14:textId="06A87911" w:rsidR="7AABDDDF" w:rsidRDefault="7A089A7A" w:rsidP="4E5848F1">
      <w:pPr>
        <w:spacing w:before="240" w:after="240" w:line="360" w:lineRule="auto"/>
        <w:jc w:val="both"/>
      </w:pPr>
      <w:r w:rsidRPr="4E5848F1">
        <w:rPr>
          <w:rFonts w:ascii="Arial" w:eastAsia="Arial" w:hAnsi="Arial" w:cs="Arial"/>
        </w:rPr>
        <w:t xml:space="preserve">Policy reforms initiated in the 2010s aimed to combat the decline in public confidence and enhance accountability concerning these powers. Initiatives like the Best Use of Stop and Search Scheme were designed to decrease unnecessary searches, improve officer communication, and bolster transparency by implementing better recording practices and community scrutiny mechanisms (Home Office, 2014). From a procedural justice standpoint, these reforms were anticipated to enhance perceptions of fairness, ultimately fostering greater public trust and willingness to cooperate with police authority (Tyler, </w:t>
      </w:r>
      <w:r w:rsidRPr="006D2F05">
        <w:rPr>
          <w:rFonts w:ascii="Arial" w:eastAsia="Arial" w:hAnsi="Arial" w:cs="Arial"/>
          <w:color w:val="000000" w:themeColor="text1"/>
        </w:rPr>
        <w:t xml:space="preserve">2006; Bradford </w:t>
      </w:r>
      <w:r w:rsidRPr="4E5848F1">
        <w:rPr>
          <w:rFonts w:ascii="Arial" w:eastAsia="Arial" w:hAnsi="Arial" w:cs="Arial"/>
        </w:rPr>
        <w:t>et al., 2020). The underlying assumption guiding these reforms was that more respectful interactions and clearer justifications for police actions would encourage normative compliance rather than relying solely on deterrent measures. Empirical evidenc</w:t>
      </w:r>
      <w:r w:rsidR="006D2F05">
        <w:rPr>
          <w:rFonts w:ascii="Arial" w:eastAsia="Arial" w:hAnsi="Arial" w:cs="Arial"/>
        </w:rPr>
        <w:t xml:space="preserve">e </w:t>
      </w:r>
      <w:r w:rsidRPr="4E5848F1">
        <w:rPr>
          <w:rFonts w:ascii="Arial" w:eastAsia="Arial" w:hAnsi="Arial" w:cs="Arial"/>
        </w:rPr>
        <w:t xml:space="preserve">indicates that these reforms led to some noticeable changes in policing practices. Following the updated guidance, there was a significant decline in the overall number of stop and searches, with some studies noting modest improvements in public perceptions of police fairness and professionalism (HMICFRS, 2021; Yesberg and Bradford, 2021).  </w:t>
      </w:r>
    </w:p>
    <w:p w14:paraId="12AE7D11" w14:textId="08392525" w:rsidR="7AABDDDF" w:rsidRDefault="7A089A7A" w:rsidP="4E5848F1">
      <w:pPr>
        <w:spacing w:before="240" w:after="240" w:line="360" w:lineRule="auto"/>
        <w:jc w:val="both"/>
      </w:pPr>
      <w:r w:rsidRPr="4E5848F1">
        <w:rPr>
          <w:rFonts w:ascii="Arial" w:eastAsia="Arial" w:hAnsi="Arial" w:cs="Arial"/>
        </w:rPr>
        <w:t xml:space="preserve">In objective terms, stop and search still plays a role in the recovery of weapons and arrests linked to serious violence, sustaining political backing for its use as a preventative policing strategy (House of Commons Library, 2025). However, the reform's impact on public trust and legitimacy has not been uniform. Government statistics still reveal considerable ethnic disparities in the application of stop and search powers, with Black individuals facing significantly higher stop rates compared to White individuals (Home Office, 2024). This pattern suggests that while reforms may enhance the quality of individual encounters, they might fall short in addressing broader perceptions of structural inequality within policing. Legitimacy theory posits that trust is influenced not only by how police exercise their powers, but also by the perceived fairness of the distribution of that power across society (Tankebe and Liebling, 2013).  </w:t>
      </w:r>
    </w:p>
    <w:p w14:paraId="469A2949" w14:textId="17745FB3" w:rsidR="7AABDDDF" w:rsidRDefault="7A089A7A" w:rsidP="4E5848F1">
      <w:pPr>
        <w:spacing w:before="240" w:after="240" w:line="360" w:lineRule="auto"/>
        <w:jc w:val="both"/>
      </w:pPr>
      <w:r w:rsidRPr="4E5848F1">
        <w:rPr>
          <w:rFonts w:ascii="Arial" w:eastAsia="Arial" w:hAnsi="Arial" w:cs="Arial"/>
        </w:rPr>
        <w:lastRenderedPageBreak/>
        <w:t xml:space="preserve">Additionally, research has found that aggressive or highly visible stop-and-search implementations can yield immediate instrumental compliance while simultaneously eroding long-term community cooperation (Loader and Walker, 2021). Frequent encounters perceived as unjustified can diminish community willingness to report </w:t>
      </w:r>
      <w:proofErr w:type="gramStart"/>
      <w:r w:rsidRPr="4E5848F1">
        <w:rPr>
          <w:rFonts w:ascii="Arial" w:eastAsia="Arial" w:hAnsi="Arial" w:cs="Arial"/>
        </w:rPr>
        <w:t>crimes</w:t>
      </w:r>
      <w:r w:rsidR="006D2F05">
        <w:rPr>
          <w:rFonts w:ascii="Arial" w:eastAsia="Arial" w:hAnsi="Arial" w:cs="Arial"/>
          <w:color w:val="FF0000"/>
        </w:rPr>
        <w:t xml:space="preserve"> </w:t>
      </w:r>
      <w:r w:rsidRPr="4E5848F1">
        <w:rPr>
          <w:rFonts w:ascii="Arial" w:eastAsia="Arial" w:hAnsi="Arial" w:cs="Arial"/>
        </w:rPr>
        <w:t>,</w:t>
      </w:r>
      <w:proofErr w:type="gramEnd"/>
      <w:r w:rsidRPr="4E5848F1">
        <w:rPr>
          <w:rFonts w:ascii="Arial" w:eastAsia="Arial" w:hAnsi="Arial" w:cs="Arial"/>
        </w:rPr>
        <w:t xml:space="preserve"> share intelligence, or participate in investigations, especially in areas marked by concentrated enforcement. This illustrates a critical limitation of reform strategies that primarily emphasise performance outcomes like arrest rates or weapon recoveries</w:t>
      </w:r>
      <w:r w:rsidR="006D2F05">
        <w:rPr>
          <w:rFonts w:ascii="Arial" w:eastAsia="Arial" w:hAnsi="Arial" w:cs="Arial"/>
          <w:color w:val="FF0000"/>
        </w:rPr>
        <w:t xml:space="preserve">. </w:t>
      </w:r>
      <w:r w:rsidRPr="4E5848F1">
        <w:rPr>
          <w:rFonts w:ascii="Arial" w:eastAsia="Arial" w:hAnsi="Arial" w:cs="Arial"/>
        </w:rPr>
        <w:t xml:space="preserve">Procedural </w:t>
      </w:r>
      <w:r w:rsidR="005128F1">
        <w:rPr>
          <w:rFonts w:ascii="Arial" w:eastAsia="Arial" w:hAnsi="Arial" w:cs="Arial"/>
        </w:rPr>
        <w:t>J</w:t>
      </w:r>
      <w:r w:rsidRPr="4E5848F1">
        <w:rPr>
          <w:rFonts w:ascii="Arial" w:eastAsia="Arial" w:hAnsi="Arial" w:cs="Arial"/>
        </w:rPr>
        <w:t xml:space="preserve">ustice theory </w:t>
      </w:r>
      <w:proofErr w:type="spellStart"/>
      <w:r w:rsidRPr="4E5848F1">
        <w:rPr>
          <w:rFonts w:ascii="Arial" w:eastAsia="Arial" w:hAnsi="Arial" w:cs="Arial"/>
        </w:rPr>
        <w:t>sserts</w:t>
      </w:r>
      <w:proofErr w:type="spellEnd"/>
      <w:r w:rsidRPr="4E5848F1">
        <w:rPr>
          <w:rFonts w:ascii="Arial" w:eastAsia="Arial" w:hAnsi="Arial" w:cs="Arial"/>
        </w:rPr>
        <w:t xml:space="preserve"> that legitimacy is established progressively through consistent fair treatment. However, organisational pressures tied to crime reduction targets and political expectations may incentivise enforcement-driven methods that conflict with trust-building aims (Bradford et al., 2020).  </w:t>
      </w:r>
    </w:p>
    <w:p w14:paraId="2B92150B" w14:textId="00B2D881" w:rsidR="7AABDDDF" w:rsidRDefault="7A089A7A" w:rsidP="4E5848F1">
      <w:pPr>
        <w:spacing w:before="240" w:after="240" w:line="360" w:lineRule="auto"/>
        <w:jc w:val="both"/>
      </w:pPr>
      <w:r w:rsidRPr="4E5848F1">
        <w:rPr>
          <w:rFonts w:ascii="Arial" w:eastAsia="Arial" w:hAnsi="Arial" w:cs="Arial"/>
        </w:rPr>
        <w:t>The case of stop-and-search reform, therefore, underscores both the possibilities and the limitations of policy initiatives designed to bolster public confidence. While procedural enhancements can improve perceptions of accountability and professionalism, achieving sustainable legitimacy necessitates bigger organisational changes that address issues of disproportionality, transparency, and community engagement. This implies that restoring trust in policing cannot be accomplished solely through technical adjustments to operational tactics; rather, it requires a broader institutional commitment to fairness and inclusive governance.</w:t>
      </w:r>
    </w:p>
    <w:p w14:paraId="3C2FE6E6" w14:textId="461EAB12" w:rsidR="7AABDDDF" w:rsidRDefault="7AABDDDF" w:rsidP="4E5848F1">
      <w:pPr>
        <w:spacing w:line="360" w:lineRule="auto"/>
        <w:rPr>
          <w:rFonts w:ascii="Arial" w:eastAsia="Arial" w:hAnsi="Arial" w:cs="Arial"/>
        </w:rPr>
      </w:pPr>
    </w:p>
    <w:p w14:paraId="11A29222" w14:textId="4FB59EE6" w:rsidR="7AABDDDF" w:rsidRDefault="5A15DDEA" w:rsidP="4E5848F1">
      <w:pPr>
        <w:pStyle w:val="Heading3"/>
        <w:rPr>
          <w:rFonts w:ascii="Arial" w:eastAsia="Arial" w:hAnsi="Arial" w:cs="Arial"/>
          <w:b/>
          <w:bCs/>
          <w:color w:val="auto"/>
          <w:sz w:val="24"/>
          <w:szCs w:val="24"/>
        </w:rPr>
      </w:pPr>
      <w:bookmarkStart w:id="13" w:name="_Toc1748018257"/>
      <w:r w:rsidRPr="4E5848F1">
        <w:rPr>
          <w:rFonts w:ascii="Arial" w:eastAsia="Arial" w:hAnsi="Arial" w:cs="Arial"/>
          <w:b/>
          <w:bCs/>
          <w:color w:val="auto"/>
        </w:rPr>
        <w:t>Implications for Contemporary Policing Practice</w:t>
      </w:r>
      <w:bookmarkEnd w:id="13"/>
    </w:p>
    <w:p w14:paraId="447ECB54" w14:textId="1CA261D0" w:rsidR="0DA235AB" w:rsidRPr="006D2F05" w:rsidRDefault="0DA235AB" w:rsidP="4E5848F1">
      <w:pPr>
        <w:spacing w:before="240" w:after="240" w:line="360" w:lineRule="auto"/>
        <w:jc w:val="both"/>
        <w:rPr>
          <w:rFonts w:ascii="Arial" w:eastAsia="Arial" w:hAnsi="Arial" w:cs="Arial"/>
          <w:color w:val="000000" w:themeColor="text1"/>
        </w:rPr>
      </w:pPr>
      <w:r w:rsidRPr="006D2F05">
        <w:rPr>
          <w:rFonts w:ascii="Arial" w:eastAsia="Arial" w:hAnsi="Arial" w:cs="Arial"/>
          <w:color w:val="000000" w:themeColor="text1"/>
        </w:rPr>
        <w:t>The analysis of trust, confidence, and legitimacy in UK policing highlights the need for policy approaches that move beyond short-term performance indicators towards sustainable strategies to strengthen public cooperation</w:t>
      </w:r>
      <w:r w:rsidR="006D2F05" w:rsidRPr="006D2F05">
        <w:rPr>
          <w:rFonts w:ascii="Arial" w:eastAsia="Arial" w:hAnsi="Arial" w:cs="Arial"/>
          <w:color w:val="000000" w:themeColor="text1"/>
        </w:rPr>
        <w:t xml:space="preserve"> (</w:t>
      </w:r>
      <w:r w:rsidR="006D2F05" w:rsidRPr="006D2F05">
        <w:rPr>
          <w:rFonts w:ascii="Arial" w:eastAsia="Arial" w:hAnsi="Arial" w:cs="Arial"/>
          <w:color w:val="000000" w:themeColor="text1"/>
        </w:rPr>
        <w:t>Bradford et al., 2017</w:t>
      </w:r>
      <w:r w:rsidR="006D2F05" w:rsidRPr="006D2F05">
        <w:rPr>
          <w:rFonts w:ascii="Arial" w:eastAsia="Arial" w:hAnsi="Arial" w:cs="Arial"/>
          <w:color w:val="000000" w:themeColor="text1"/>
        </w:rPr>
        <w:t>)</w:t>
      </w:r>
      <w:r w:rsidRPr="006D2F05">
        <w:rPr>
          <w:rFonts w:ascii="Arial" w:eastAsia="Arial" w:hAnsi="Arial" w:cs="Arial"/>
          <w:color w:val="000000" w:themeColor="text1"/>
        </w:rPr>
        <w:t xml:space="preserve">. Procedural justice research suggests that legitimacy is primarily constructed through everyday interactions between officers and citizens, indicating that policing practice should prioritise communication skills and relational engagement alongside tactical effectiveness (Tyler, 2006; Bradford et al., 2020). Training programmes that emphasise respectful dialogue, explanation of police actions and recognition of community concerns may therefore </w:t>
      </w:r>
      <w:r w:rsidRPr="006D2F05">
        <w:rPr>
          <w:rFonts w:ascii="Arial" w:eastAsia="Arial" w:hAnsi="Arial" w:cs="Arial"/>
          <w:color w:val="000000" w:themeColor="text1"/>
        </w:rPr>
        <w:lastRenderedPageBreak/>
        <w:t>contribute to improved perceptions of fairness and increased willingness to cooperate with police authority</w:t>
      </w:r>
      <w:r w:rsidR="006D2F05">
        <w:rPr>
          <w:rFonts w:ascii="Arial" w:eastAsia="Arial" w:hAnsi="Arial" w:cs="Arial"/>
          <w:color w:val="000000" w:themeColor="text1"/>
        </w:rPr>
        <w:t xml:space="preserve"> (</w:t>
      </w:r>
      <w:r w:rsidR="006D2F05" w:rsidRPr="006D2F05">
        <w:rPr>
          <w:rFonts w:ascii="Arial" w:eastAsia="Arial" w:hAnsi="Arial" w:cs="Arial"/>
          <w:color w:val="000000" w:themeColor="text1"/>
        </w:rPr>
        <w:t>Bradford et al., 2017</w:t>
      </w:r>
      <w:r w:rsidR="006D2F05">
        <w:rPr>
          <w:rFonts w:ascii="Arial" w:eastAsia="Arial" w:hAnsi="Arial" w:cs="Arial"/>
          <w:color w:val="000000" w:themeColor="text1"/>
        </w:rPr>
        <w:t>).</w:t>
      </w:r>
    </w:p>
    <w:p w14:paraId="43EE8C57" w14:textId="2FEB8C61" w:rsidR="0DA235AB" w:rsidRDefault="0DA235AB" w:rsidP="4E5848F1">
      <w:pPr>
        <w:spacing w:before="240" w:after="240" w:line="360" w:lineRule="auto"/>
        <w:jc w:val="both"/>
        <w:rPr>
          <w:rFonts w:ascii="Arial" w:eastAsia="Arial" w:hAnsi="Arial" w:cs="Arial"/>
        </w:rPr>
      </w:pPr>
      <w:r w:rsidRPr="4E5848F1">
        <w:rPr>
          <w:rFonts w:ascii="Arial" w:eastAsia="Arial" w:hAnsi="Arial" w:cs="Arial"/>
        </w:rPr>
        <w:t xml:space="preserve">  </w:t>
      </w:r>
    </w:p>
    <w:p w14:paraId="48872B1D" w14:textId="3A693612" w:rsidR="0DA235AB" w:rsidRDefault="0DA235AB" w:rsidP="4E5848F1">
      <w:pPr>
        <w:spacing w:before="240" w:after="240" w:line="360" w:lineRule="auto"/>
        <w:jc w:val="both"/>
      </w:pPr>
      <w:r w:rsidRPr="4E5848F1">
        <w:rPr>
          <w:rFonts w:ascii="Arial" w:eastAsia="Arial" w:hAnsi="Arial" w:cs="Arial"/>
        </w:rPr>
        <w:t xml:space="preserve">The importance of sustained community relationships also suggests a renewed focus on long-term </w:t>
      </w:r>
      <w:proofErr w:type="spellStart"/>
      <w:r w:rsidRPr="4E5848F1">
        <w:rPr>
          <w:rFonts w:ascii="Arial" w:eastAsia="Arial" w:hAnsi="Arial" w:cs="Arial"/>
        </w:rPr>
        <w:t>neighbourhood</w:t>
      </w:r>
      <w:proofErr w:type="spellEnd"/>
      <w:r w:rsidRPr="4E5848F1">
        <w:rPr>
          <w:rFonts w:ascii="Arial" w:eastAsia="Arial" w:hAnsi="Arial" w:cs="Arial"/>
        </w:rPr>
        <w:t xml:space="preserve"> policing </w:t>
      </w:r>
      <w:r w:rsidRPr="006D2F05">
        <w:rPr>
          <w:rFonts w:ascii="Arial" w:eastAsia="Arial" w:hAnsi="Arial" w:cs="Arial"/>
          <w:color w:val="000000" w:themeColor="text1"/>
        </w:rPr>
        <w:t>deployment</w:t>
      </w:r>
      <w:r w:rsidR="006D2F05" w:rsidRPr="006D2F05">
        <w:rPr>
          <w:rFonts w:ascii="Arial" w:eastAsia="Arial" w:hAnsi="Arial" w:cs="Arial"/>
          <w:color w:val="000000" w:themeColor="text1"/>
        </w:rPr>
        <w:t xml:space="preserve"> (</w:t>
      </w:r>
      <w:r w:rsidR="006D2F05" w:rsidRPr="006D2F05">
        <w:rPr>
          <w:rFonts w:ascii="Arial" w:eastAsia="Arial" w:hAnsi="Arial" w:cs="Arial"/>
          <w:color w:val="000000" w:themeColor="text1"/>
        </w:rPr>
        <w:t>Newburn, 2017</w:t>
      </w:r>
      <w:proofErr w:type="gramStart"/>
      <w:r w:rsidR="006D2F05" w:rsidRPr="006D2F05">
        <w:rPr>
          <w:rFonts w:ascii="Arial" w:eastAsia="Arial" w:hAnsi="Arial" w:cs="Arial"/>
          <w:color w:val="000000" w:themeColor="text1"/>
        </w:rPr>
        <w:t>).</w:t>
      </w:r>
      <w:r w:rsidRPr="006D2F05">
        <w:rPr>
          <w:rFonts w:ascii="Arial" w:eastAsia="Arial" w:hAnsi="Arial" w:cs="Arial"/>
          <w:color w:val="000000" w:themeColor="text1"/>
        </w:rPr>
        <w:t>.</w:t>
      </w:r>
      <w:proofErr w:type="gramEnd"/>
      <w:r w:rsidRPr="006D2F05">
        <w:rPr>
          <w:rFonts w:ascii="Arial" w:eastAsia="Arial" w:hAnsi="Arial" w:cs="Arial"/>
          <w:color w:val="000000" w:themeColor="text1"/>
        </w:rPr>
        <w:t xml:space="preserve"> Consistent </w:t>
      </w:r>
      <w:proofErr w:type="gramStart"/>
      <w:r w:rsidRPr="006D2F05">
        <w:rPr>
          <w:rFonts w:ascii="Arial" w:eastAsia="Arial" w:hAnsi="Arial" w:cs="Arial"/>
          <w:color w:val="000000" w:themeColor="text1"/>
        </w:rPr>
        <w:t>officer</w:t>
      </w:r>
      <w:proofErr w:type="gramEnd"/>
      <w:r w:rsidRPr="006D2F05">
        <w:rPr>
          <w:rFonts w:ascii="Arial" w:eastAsia="Arial" w:hAnsi="Arial" w:cs="Arial"/>
          <w:color w:val="000000" w:themeColor="text1"/>
        </w:rPr>
        <w:t xml:space="preserve"> presence within defined local areas can foster familiarity, trust, and informal information sharing, reinforcing the normative foundations of policing </w:t>
      </w:r>
      <w:r w:rsidRPr="4E5848F1">
        <w:rPr>
          <w:rFonts w:ascii="Arial" w:eastAsia="Arial" w:hAnsi="Arial" w:cs="Arial"/>
        </w:rPr>
        <w:t>by consent (Newburn, 2017). However, austerity-related reductions in neighbourhood teams have limited police forces' capacity to maintain this model, highlighting the tension between resource constraints and legitimacy-based policing strategies (HMICFRS, 2021). Reinvestment in locally embedded policing</w:t>
      </w:r>
      <w:r w:rsidR="006D4D11">
        <w:rPr>
          <w:rFonts w:ascii="Arial" w:eastAsia="Arial" w:hAnsi="Arial" w:cs="Arial"/>
          <w:color w:val="FF0000"/>
        </w:rPr>
        <w:t xml:space="preserve"> </w:t>
      </w:r>
      <w:r w:rsidRPr="4E5848F1">
        <w:rPr>
          <w:rFonts w:ascii="Arial" w:eastAsia="Arial" w:hAnsi="Arial" w:cs="Arial"/>
        </w:rPr>
        <w:t xml:space="preserve">may therefore represent a necessary condition for rebuilding public confidence in service accessibility and responsiveness. </w:t>
      </w:r>
    </w:p>
    <w:p w14:paraId="7CF3B5C1" w14:textId="26FBD5A7" w:rsidR="0DA235AB" w:rsidRDefault="0DA235AB" w:rsidP="4E5848F1">
      <w:pPr>
        <w:spacing w:before="240" w:after="240" w:line="360" w:lineRule="auto"/>
        <w:jc w:val="both"/>
      </w:pPr>
      <w:r w:rsidRPr="4E5848F1">
        <w:rPr>
          <w:rFonts w:ascii="Arial" w:eastAsia="Arial" w:hAnsi="Arial" w:cs="Arial"/>
        </w:rPr>
        <w:t>Strengthening independent accountability mechanisms is another key implication</w:t>
      </w:r>
      <w:r w:rsidR="006D2F05">
        <w:rPr>
          <w:rFonts w:ascii="Arial" w:eastAsia="Arial" w:hAnsi="Arial" w:cs="Arial"/>
          <w:color w:val="FF0000"/>
        </w:rPr>
        <w:t xml:space="preserve">. </w:t>
      </w:r>
      <w:r w:rsidRPr="4E5848F1">
        <w:rPr>
          <w:rFonts w:ascii="Arial" w:eastAsia="Arial" w:hAnsi="Arial" w:cs="Arial"/>
        </w:rPr>
        <w:t xml:space="preserve">Legitimacy </w:t>
      </w:r>
      <w:proofErr w:type="gramStart"/>
      <w:r w:rsidRPr="4E5848F1">
        <w:rPr>
          <w:rFonts w:ascii="Arial" w:eastAsia="Arial" w:hAnsi="Arial" w:cs="Arial"/>
        </w:rPr>
        <w:t>theory</w:t>
      </w:r>
      <w:r w:rsidR="006D4D11">
        <w:rPr>
          <w:rFonts w:ascii="Arial" w:eastAsia="Arial" w:hAnsi="Arial" w:cs="Arial"/>
        </w:rPr>
        <w:t xml:space="preserve"> </w:t>
      </w:r>
      <w:r w:rsidRPr="4E5848F1">
        <w:rPr>
          <w:rFonts w:ascii="Arial" w:eastAsia="Arial" w:hAnsi="Arial" w:cs="Arial"/>
        </w:rPr>
        <w:t xml:space="preserve"> </w:t>
      </w:r>
      <w:proofErr w:type="spellStart"/>
      <w:r w:rsidRPr="4E5848F1">
        <w:rPr>
          <w:rFonts w:ascii="Arial" w:eastAsia="Arial" w:hAnsi="Arial" w:cs="Arial"/>
        </w:rPr>
        <w:t>emphasises</w:t>
      </w:r>
      <w:proofErr w:type="spellEnd"/>
      <w:proofErr w:type="gramEnd"/>
      <w:r w:rsidRPr="4E5848F1">
        <w:rPr>
          <w:rFonts w:ascii="Arial" w:eastAsia="Arial" w:hAnsi="Arial" w:cs="Arial"/>
        </w:rPr>
        <w:t xml:space="preserve"> that public trust depends not only on fair treatment during encounters but also on confidence that misconduct will be addressed transparently and impartially (Tankebe and Liebling, 2013). High-profile inquiries into policing failures have reinforced the perception that organisational defensiveness can undermine institutional credibility, suggesting the need for robust oversight structures and improved public communication regarding disciplinary processes (Loader and Walker, 2021). Enhancing the visibility and effectiveness of external scrutiny bodies may help to counteract scepticism and demonstrate commitment to procedural fairness at the organisational level. </w:t>
      </w:r>
    </w:p>
    <w:p w14:paraId="4F333416" w14:textId="54D17A1E" w:rsidR="0DA235AB" w:rsidRDefault="0DA235AB" w:rsidP="4E5848F1">
      <w:pPr>
        <w:spacing w:before="240" w:after="240" w:line="360" w:lineRule="auto"/>
        <w:jc w:val="both"/>
      </w:pPr>
      <w:r w:rsidRPr="4E5848F1">
        <w:rPr>
          <w:rFonts w:ascii="Arial" w:eastAsia="Arial" w:hAnsi="Arial" w:cs="Arial"/>
        </w:rPr>
        <w:t xml:space="preserve">Finally, contemporary scholarship increasingly highlights the potential of community co-production </w:t>
      </w:r>
      <w:r w:rsidRPr="006D2F05">
        <w:rPr>
          <w:rFonts w:ascii="Arial" w:eastAsia="Arial" w:hAnsi="Arial" w:cs="Arial"/>
          <w:color w:val="000000" w:themeColor="text1"/>
        </w:rPr>
        <w:t>approaches to policing</w:t>
      </w:r>
      <w:r w:rsidR="006D2F05" w:rsidRPr="006D2F05">
        <w:rPr>
          <w:rFonts w:ascii="Arial" w:eastAsia="Arial" w:hAnsi="Arial" w:cs="Arial"/>
          <w:color w:val="000000" w:themeColor="text1"/>
        </w:rPr>
        <w:t xml:space="preserve">. </w:t>
      </w:r>
      <w:r w:rsidRPr="006D2F05">
        <w:rPr>
          <w:rFonts w:ascii="Arial" w:eastAsia="Arial" w:hAnsi="Arial" w:cs="Arial"/>
          <w:color w:val="000000" w:themeColor="text1"/>
        </w:rPr>
        <w:t>Collaborative problem-solving initiatives involving residents, voluntary organisations and police representatives can facilitate shared ownership of safety priorities and reduce perceptions of imposed enforcement (Bradford et al., 2020). Such strategies align with normative models of compliance by encouraging citizens to view policing as a collective endeavour rather than solely a state-led intervention</w:t>
      </w:r>
      <w:r w:rsidR="006D2F05" w:rsidRPr="006D2F05">
        <w:rPr>
          <w:rFonts w:ascii="Arial" w:eastAsia="Arial" w:hAnsi="Arial" w:cs="Arial"/>
          <w:color w:val="000000" w:themeColor="text1"/>
        </w:rPr>
        <w:t>.</w:t>
      </w:r>
      <w:r w:rsidRPr="006D2F05">
        <w:rPr>
          <w:rFonts w:ascii="Arial" w:eastAsia="Arial" w:hAnsi="Arial" w:cs="Arial"/>
          <w:color w:val="000000" w:themeColor="text1"/>
        </w:rPr>
        <w:t xml:space="preserve"> Nevertheless, the success of co-production depends on meaningful participation rather than symbolic consultation</w:t>
      </w:r>
      <w:r w:rsidRPr="4E5848F1">
        <w:rPr>
          <w:rFonts w:ascii="Arial" w:eastAsia="Arial" w:hAnsi="Arial" w:cs="Arial"/>
        </w:rPr>
        <w:t xml:space="preserve">, requiring police institutions to engage with </w:t>
      </w:r>
      <w:r w:rsidRPr="4E5848F1">
        <w:rPr>
          <w:rFonts w:ascii="Arial" w:eastAsia="Arial" w:hAnsi="Arial" w:cs="Arial"/>
        </w:rPr>
        <w:lastRenderedPageBreak/>
        <w:t>diverse communities in ways that acknowledge historical grievances and structural inequalities</w:t>
      </w:r>
      <w:r w:rsidR="006D2F05">
        <w:rPr>
          <w:rFonts w:ascii="Arial" w:eastAsia="Arial" w:hAnsi="Arial" w:cs="Arial"/>
          <w:color w:val="FF0000"/>
        </w:rPr>
        <w:t>.</w:t>
      </w:r>
    </w:p>
    <w:p w14:paraId="66A86689" w14:textId="510D97BA" w:rsidR="0DA235AB" w:rsidRDefault="0DA235AB" w:rsidP="4E5848F1">
      <w:pPr>
        <w:spacing w:before="240" w:after="240" w:line="360" w:lineRule="auto"/>
        <w:jc w:val="both"/>
      </w:pPr>
      <w:proofErr w:type="gramStart"/>
      <w:r w:rsidRPr="4E5848F1">
        <w:rPr>
          <w:rFonts w:ascii="Arial" w:eastAsia="Arial" w:hAnsi="Arial" w:cs="Arial"/>
        </w:rPr>
        <w:t>Taken</w:t>
      </w:r>
      <w:proofErr w:type="gramEnd"/>
      <w:r w:rsidRPr="4E5848F1">
        <w:rPr>
          <w:rFonts w:ascii="Arial" w:eastAsia="Arial" w:hAnsi="Arial" w:cs="Arial"/>
        </w:rPr>
        <w:t xml:space="preserve"> together, these implications suggest that rebuilding trust in UK policing requires organisational commitment to relational engagement, accountability and inclusive governance. Without sustained efforts to address these areas, policy initiatives aimed at enhancing public confidence may achieve only limited or temporary improvements in legitimacy and cooperation</w:t>
      </w:r>
      <w:r w:rsidR="006D2F05">
        <w:rPr>
          <w:rFonts w:ascii="Arial" w:eastAsia="Arial" w:hAnsi="Arial" w:cs="Arial"/>
        </w:rPr>
        <w:t>.</w:t>
      </w:r>
    </w:p>
    <w:p w14:paraId="5473588F" w14:textId="46290770" w:rsidR="4E5848F1" w:rsidRDefault="4E5848F1" w:rsidP="4E5848F1">
      <w:pPr>
        <w:pStyle w:val="ListParagraph"/>
        <w:spacing w:before="240" w:after="240"/>
        <w:rPr>
          <w:rFonts w:ascii="Aptos" w:eastAsia="Aptos" w:hAnsi="Aptos" w:cs="Aptos"/>
        </w:rPr>
      </w:pPr>
    </w:p>
    <w:p w14:paraId="68AD1A89" w14:textId="3CD76444" w:rsidR="7AABDDDF" w:rsidRDefault="7AABDDDF" w:rsidP="7AABDDDF">
      <w:pPr>
        <w:spacing w:before="240" w:after="240"/>
        <w:rPr>
          <w:rFonts w:ascii="Aptos" w:eastAsia="Aptos" w:hAnsi="Aptos" w:cs="Aptos"/>
          <w:b/>
          <w:bCs/>
        </w:rPr>
      </w:pPr>
    </w:p>
    <w:p w14:paraId="5C763701" w14:textId="4FD786AD" w:rsidR="408FBD83" w:rsidRDefault="6EC81D63" w:rsidP="4E5848F1">
      <w:pPr>
        <w:pStyle w:val="Heading3"/>
        <w:rPr>
          <w:rFonts w:ascii="Arial" w:eastAsia="Arial" w:hAnsi="Arial" w:cs="Arial"/>
          <w:b/>
          <w:bCs/>
          <w:color w:val="auto"/>
          <w:sz w:val="24"/>
          <w:szCs w:val="24"/>
        </w:rPr>
      </w:pPr>
      <w:bookmarkStart w:id="14" w:name="_Toc546225902"/>
      <w:r w:rsidRPr="4E5848F1">
        <w:rPr>
          <w:rFonts w:ascii="Arial" w:eastAsia="Arial" w:hAnsi="Arial" w:cs="Arial"/>
          <w:b/>
          <w:bCs/>
          <w:color w:val="auto"/>
        </w:rPr>
        <w:t>Conclusion</w:t>
      </w:r>
      <w:bookmarkEnd w:id="14"/>
    </w:p>
    <w:p w14:paraId="473C09AD" w14:textId="5545358F" w:rsidR="7AABDDDF" w:rsidRDefault="144D479D" w:rsidP="4E5848F1">
      <w:pPr>
        <w:spacing w:line="360" w:lineRule="auto"/>
        <w:jc w:val="both"/>
        <w:rPr>
          <w:rFonts w:ascii="Arial" w:eastAsia="Arial" w:hAnsi="Arial" w:cs="Arial"/>
          <w:b/>
          <w:bCs/>
        </w:rPr>
      </w:pPr>
      <w:r w:rsidRPr="4E5848F1">
        <w:rPr>
          <w:rFonts w:ascii="Arial" w:eastAsia="Arial" w:hAnsi="Arial" w:cs="Arial"/>
        </w:rPr>
        <w:t xml:space="preserve">  </w:t>
      </w:r>
    </w:p>
    <w:p w14:paraId="7DDB2C5D" w14:textId="70FCB0CE" w:rsidR="7AABDDDF" w:rsidRDefault="144D479D" w:rsidP="4E5848F1">
      <w:pPr>
        <w:spacing w:line="360" w:lineRule="auto"/>
        <w:jc w:val="both"/>
      </w:pPr>
      <w:r w:rsidRPr="4E5848F1">
        <w:rPr>
          <w:rFonts w:ascii="Arial" w:eastAsia="Arial" w:hAnsi="Arial" w:cs="Arial"/>
        </w:rPr>
        <w:t xml:space="preserve">This essay critically evaluates the relationship among trust, confidence, and police legitimacy in contemporary UK policing. It has been demonstrated that while public confidence in policing may be influenced by perceptions of effectiveness and crime control performance, sustainable legitimacy is more fundamentally shaped by normative trust grounded in procedural fairness, accountability and moral alignment with community expectations. Theoretical perspectives on procedural justice and legitimacy highlight that voluntary cooperation with police authority is unlikely to be secured through enforcement strategies alone; instead, it depends on the consistent experience of fair treatment and transparent institutional practice. </w:t>
      </w:r>
    </w:p>
    <w:p w14:paraId="6C0F0A9C" w14:textId="3E47AF9C" w:rsidR="7AABDDDF" w:rsidRDefault="144D479D" w:rsidP="4E5848F1">
      <w:pPr>
        <w:spacing w:line="360" w:lineRule="auto"/>
        <w:jc w:val="both"/>
      </w:pPr>
      <w:r w:rsidRPr="4E5848F1">
        <w:rPr>
          <w:rFonts w:ascii="Arial" w:eastAsia="Arial" w:hAnsi="Arial" w:cs="Arial"/>
        </w:rPr>
        <w:t xml:space="preserve">Historical legitimacy crises, including controversies over discriminatory policing, organisational defensiveness, and failures of accountability, have significantly reshaped public expectations of policing by consent. These developments illustrate that trust is not static but is continually negotiated through interactions between police institutions and the communities they serve. Contemporary challenges such as the disproportionate use of stop-and-search powers, intensified media scrutiny, and the organisational pressures associated with austerity have further complicated efforts to maintain public confidence and cooperation. The case study of stop-and-search reform demonstrates both the </w:t>
      </w:r>
      <w:r w:rsidRPr="4E5848F1">
        <w:rPr>
          <w:rFonts w:ascii="Arial" w:eastAsia="Arial" w:hAnsi="Arial" w:cs="Arial"/>
        </w:rPr>
        <w:lastRenderedPageBreak/>
        <w:t xml:space="preserve">potential and the limitations of policy initiatives aimed at restoring legitimacy. While procedural improvements may enhance the quality of individual encounters and contribute to modest gains in confidence, persistent structural disparities and performance-driven enforcement priorities can undermine long-term trust. This suggests that legitimacy cannot be secured through technical policy adjustments alone but requires broader organisational commitment to equitable policing practices and meaningful community engagement. </w:t>
      </w:r>
    </w:p>
    <w:p w14:paraId="246FEB5A" w14:textId="79B78C1C" w:rsidR="7AABDDDF" w:rsidRDefault="144D479D" w:rsidP="4E5848F1">
      <w:pPr>
        <w:spacing w:line="360" w:lineRule="auto"/>
        <w:jc w:val="both"/>
      </w:pPr>
      <w:r w:rsidRPr="4E5848F1">
        <w:rPr>
          <w:rFonts w:ascii="Arial" w:eastAsia="Arial" w:hAnsi="Arial" w:cs="Arial"/>
        </w:rPr>
        <w:t>Ultimately, effective policing in democratic societies depends on maintaining legitimacy as an operational resource. Where trust is weakened, public cooperation declines, reducing police capacity to prevent crime and maintain social order. Rebuilding sustainable trust, therefore, requires continued investment in relational policing, independent accountability, and inclusive governance approaches that recognise the complex historical and social foundations of public confidence in police authority.</w:t>
      </w:r>
    </w:p>
    <w:p w14:paraId="7719D628" w14:textId="18F2F5C6" w:rsidR="7AABDDDF" w:rsidRDefault="7AABDDDF" w:rsidP="4E5848F1">
      <w:pPr>
        <w:spacing w:line="360" w:lineRule="auto"/>
        <w:jc w:val="both"/>
        <w:rPr>
          <w:rFonts w:ascii="Arial" w:eastAsia="Arial" w:hAnsi="Arial" w:cs="Arial"/>
        </w:rPr>
      </w:pPr>
    </w:p>
    <w:p w14:paraId="34646DBF" w14:textId="059D924A" w:rsidR="7AABDDDF" w:rsidRDefault="341ABF04" w:rsidP="4E5848F1">
      <w:pPr>
        <w:spacing w:line="360" w:lineRule="auto"/>
        <w:jc w:val="both"/>
        <w:rPr>
          <w:rFonts w:ascii="Arial" w:eastAsia="Arial" w:hAnsi="Arial" w:cs="Arial"/>
          <w:b/>
          <w:bCs/>
        </w:rPr>
      </w:pPr>
      <w:bookmarkStart w:id="15" w:name="_Toc1672406684"/>
      <w:r w:rsidRPr="4E5848F1">
        <w:rPr>
          <w:rFonts w:ascii="Arial" w:eastAsia="Arial" w:hAnsi="Arial" w:cs="Arial"/>
          <w:b/>
          <w:bCs/>
        </w:rPr>
        <w:t>Refe</w:t>
      </w:r>
      <w:r w:rsidR="03FF9B42" w:rsidRPr="4E5848F1">
        <w:rPr>
          <w:rFonts w:ascii="Arial" w:eastAsia="Arial" w:hAnsi="Arial" w:cs="Arial"/>
          <w:b/>
          <w:bCs/>
        </w:rPr>
        <w:t>re</w:t>
      </w:r>
      <w:r w:rsidRPr="4E5848F1">
        <w:rPr>
          <w:rFonts w:ascii="Arial" w:eastAsia="Arial" w:hAnsi="Arial" w:cs="Arial"/>
          <w:b/>
          <w:bCs/>
        </w:rPr>
        <w:t>nce List</w:t>
      </w:r>
      <w:bookmarkEnd w:id="15"/>
      <w:r w:rsidRPr="4E5848F1">
        <w:rPr>
          <w:rFonts w:ascii="Arial" w:eastAsia="Arial" w:hAnsi="Arial" w:cs="Arial"/>
          <w:b/>
          <w:bCs/>
        </w:rPr>
        <w:t xml:space="preserve"> </w:t>
      </w:r>
    </w:p>
    <w:p w14:paraId="678E0FC7" w14:textId="312CDC36" w:rsidR="006D2F05" w:rsidRDefault="006D2F05" w:rsidP="4E5848F1">
      <w:pPr>
        <w:spacing w:before="240" w:after="240"/>
        <w:rPr>
          <w:rFonts w:ascii="Arial" w:eastAsia="Arial" w:hAnsi="Arial" w:cs="Arial"/>
        </w:rPr>
      </w:pPr>
      <w:r w:rsidRPr="006D2F05">
        <w:rPr>
          <w:rFonts w:ascii="Arial" w:eastAsia="Arial" w:hAnsi="Arial" w:cs="Arial"/>
        </w:rPr>
        <w:t xml:space="preserve">Bradford, B. (2014) ‘Policing and social identity: Procedural justice, inclusion and cooperation between police and public’, </w:t>
      </w:r>
      <w:r w:rsidRPr="006D2F05">
        <w:rPr>
          <w:rFonts w:ascii="Arial" w:eastAsia="Arial" w:hAnsi="Arial" w:cs="Arial"/>
          <w:i/>
          <w:iCs/>
        </w:rPr>
        <w:t>Policing and Society</w:t>
      </w:r>
      <w:r w:rsidRPr="006D2F05">
        <w:rPr>
          <w:rFonts w:ascii="Arial" w:eastAsia="Arial" w:hAnsi="Arial" w:cs="Arial"/>
        </w:rPr>
        <w:t>, 24(1), pp. 22–43. Available at:</w:t>
      </w:r>
      <w:hyperlink r:id="rId5" w:history="1">
        <w:r w:rsidRPr="006D2F05">
          <w:rPr>
            <w:rStyle w:val="Hyperlink"/>
          </w:rPr>
          <w:t>https://www.tandfonline.com/doi/full/10.1080/10439463.2012.724068</w:t>
        </w:r>
      </w:hyperlink>
      <w:r>
        <w:rPr>
          <w:rFonts w:ascii="Arial" w:eastAsia="Arial" w:hAnsi="Arial" w:cs="Arial"/>
        </w:rPr>
        <w:t xml:space="preserve"> </w:t>
      </w:r>
    </w:p>
    <w:p w14:paraId="6C47219F" w14:textId="34329BBC" w:rsidR="006D2F05" w:rsidRDefault="006D2F05" w:rsidP="4E5848F1">
      <w:pPr>
        <w:spacing w:before="240" w:after="240"/>
        <w:rPr>
          <w:rFonts w:ascii="Arial" w:eastAsia="Arial" w:hAnsi="Arial" w:cs="Arial"/>
        </w:rPr>
      </w:pPr>
      <w:r w:rsidRPr="006D2F05">
        <w:rPr>
          <w:rFonts w:ascii="Arial" w:eastAsia="Arial" w:hAnsi="Arial" w:cs="Arial"/>
        </w:rPr>
        <w:t xml:space="preserve">Bradford, B. and Jackson, J. (2010) ‘Trust and confidence in the police: A conceptual review’, </w:t>
      </w:r>
      <w:r w:rsidRPr="006D2F05">
        <w:rPr>
          <w:rFonts w:ascii="Arial" w:eastAsia="Arial" w:hAnsi="Arial" w:cs="Arial"/>
          <w:i/>
          <w:iCs/>
        </w:rPr>
        <w:t>Policing: A Journal of Policy and Practice</w:t>
      </w:r>
      <w:r w:rsidRPr="006D2F05">
        <w:rPr>
          <w:rFonts w:ascii="Arial" w:eastAsia="Arial" w:hAnsi="Arial" w:cs="Arial"/>
        </w:rPr>
        <w:t xml:space="preserve">, 4(3), pp. 241–248. Available at: </w:t>
      </w:r>
      <w:hyperlink r:id="rId6" w:history="1">
        <w:r w:rsidRPr="00A97319">
          <w:rPr>
            <w:rStyle w:val="Hyperlink"/>
            <w:rFonts w:ascii="Arial" w:eastAsia="Arial" w:hAnsi="Arial" w:cs="Arial"/>
          </w:rPr>
          <w:t>https://doi.org/10.1093/polic</w:t>
        </w:r>
        <w:r w:rsidRPr="00A97319">
          <w:rPr>
            <w:rStyle w:val="Hyperlink"/>
            <w:rFonts w:ascii="Arial" w:eastAsia="Arial" w:hAnsi="Arial" w:cs="Arial"/>
          </w:rPr>
          <w:t>e</w:t>
        </w:r>
        <w:r w:rsidRPr="00A97319">
          <w:rPr>
            <w:rStyle w:val="Hyperlink"/>
            <w:rFonts w:ascii="Arial" w:eastAsia="Arial" w:hAnsi="Arial" w:cs="Arial"/>
          </w:rPr>
          <w:t>/paq004</w:t>
        </w:r>
      </w:hyperlink>
    </w:p>
    <w:p w14:paraId="3B2F505C" w14:textId="1B51FBBB"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Bradford, B., Jackson, J. and Stanko, E. (</w:t>
      </w:r>
      <w:r w:rsidR="00391C8F">
        <w:rPr>
          <w:rFonts w:ascii="Arial" w:eastAsia="Arial" w:hAnsi="Arial" w:cs="Arial"/>
          <w:lang w:val="en-GB"/>
        </w:rPr>
        <w:t>2009</w:t>
      </w:r>
      <w:r w:rsidRPr="006D2F05">
        <w:rPr>
          <w:rFonts w:ascii="Arial" w:eastAsia="Arial" w:hAnsi="Arial" w:cs="Arial"/>
          <w:lang w:val="en-GB"/>
        </w:rPr>
        <w:t xml:space="preserve">) ‘Contact and confidence: Revisiting the impact of public encounters with the police’, </w:t>
      </w:r>
      <w:r w:rsidRPr="006D2F05">
        <w:rPr>
          <w:rFonts w:ascii="Arial" w:eastAsia="Arial" w:hAnsi="Arial" w:cs="Arial"/>
          <w:i/>
          <w:iCs/>
          <w:lang w:val="en-GB"/>
        </w:rPr>
        <w:t>Policing and Society</w:t>
      </w:r>
      <w:r w:rsidRPr="006D2F05">
        <w:rPr>
          <w:rFonts w:ascii="Arial" w:eastAsia="Arial" w:hAnsi="Arial" w:cs="Arial"/>
          <w:lang w:val="en-GB"/>
        </w:rPr>
        <w:t>, 30(9), pp. 1011–1031. Available at</w:t>
      </w:r>
      <w:r w:rsidR="00391C8F">
        <w:rPr>
          <w:rFonts w:ascii="Arial" w:eastAsia="Arial" w:hAnsi="Arial" w:cs="Arial"/>
          <w:lang w:val="en-GB"/>
        </w:rPr>
        <w:t xml:space="preserve"> </w:t>
      </w:r>
      <w:hyperlink r:id="rId7" w:history="1">
        <w:r w:rsidR="00391C8F" w:rsidRPr="00391C8F">
          <w:rPr>
            <w:rStyle w:val="Hyperlink"/>
            <w:rFonts w:ascii="Arial" w:eastAsia="Arial" w:hAnsi="Arial" w:cs="Arial"/>
          </w:rPr>
          <w:t>https://doi.org/10.1080/10439460802457594</w:t>
        </w:r>
      </w:hyperlink>
    </w:p>
    <w:p w14:paraId="4211D714" w14:textId="18129104"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Casey, L. (2023) </w:t>
      </w:r>
      <w:r w:rsidRPr="006D2F05">
        <w:rPr>
          <w:rFonts w:ascii="Arial" w:eastAsia="Arial" w:hAnsi="Arial" w:cs="Arial"/>
          <w:i/>
          <w:iCs/>
          <w:lang w:val="en-GB"/>
        </w:rPr>
        <w:t>Final report of the Casey Review into the Metropolitan Police Service</w:t>
      </w:r>
      <w:r w:rsidRPr="006D2F05">
        <w:rPr>
          <w:rFonts w:ascii="Arial" w:eastAsia="Arial" w:hAnsi="Arial" w:cs="Arial"/>
          <w:lang w:val="en-GB"/>
        </w:rPr>
        <w:t xml:space="preserve">. London: Greater London Authority. Available at: </w:t>
      </w:r>
      <w:r w:rsidR="00391C8F" w:rsidRPr="00391C8F">
        <w:rPr>
          <w:rFonts w:ascii="Arial" w:eastAsia="Arial" w:hAnsi="Arial" w:cs="Arial"/>
          <w:lang w:val="en-GB"/>
        </w:rPr>
        <w:t>https://www.met.police.uk/SysSiteAssets/media/downloads/met/about-us/baroness-casey-review/update-march-2023/baroness-casey-review-press-notice.pdf</w:t>
      </w:r>
      <w:r w:rsidR="00391C8F" w:rsidRPr="00391C8F">
        <w:rPr>
          <w:rFonts w:ascii="Arial" w:eastAsia="Arial" w:hAnsi="Arial" w:cs="Arial"/>
          <w:lang w:val="en-GB"/>
        </w:rPr>
        <w:t xml:space="preserve"> </w:t>
      </w:r>
      <w:r w:rsidRPr="006D2F05">
        <w:rPr>
          <w:rFonts w:ascii="Arial" w:eastAsia="Arial" w:hAnsi="Arial" w:cs="Arial"/>
          <w:lang w:val="en-GB"/>
        </w:rPr>
        <w:t>(Accessed: 1</w:t>
      </w:r>
      <w:r w:rsidR="00391C8F">
        <w:rPr>
          <w:rFonts w:ascii="Arial" w:eastAsia="Arial" w:hAnsi="Arial" w:cs="Arial"/>
          <w:lang w:val="en-GB"/>
        </w:rPr>
        <w:t>4</w:t>
      </w:r>
      <w:r w:rsidRPr="006D2F05">
        <w:rPr>
          <w:rFonts w:ascii="Arial" w:eastAsia="Arial" w:hAnsi="Arial" w:cs="Arial"/>
          <w:lang w:val="en-GB"/>
        </w:rPr>
        <w:t xml:space="preserve"> March 2026).</w:t>
      </w:r>
    </w:p>
    <w:p w14:paraId="4174FBF9"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lastRenderedPageBreak/>
        <w:t xml:space="preserve">Chan, A., Bradford, B. and others (2023) ‘A systematic review and meta-analysis of procedural justice and legitimacy in policing’, </w:t>
      </w:r>
      <w:r w:rsidRPr="006D2F05">
        <w:rPr>
          <w:rFonts w:ascii="Arial" w:eastAsia="Arial" w:hAnsi="Arial" w:cs="Arial"/>
          <w:i/>
          <w:iCs/>
          <w:lang w:val="en-GB"/>
        </w:rPr>
        <w:t>Journal of Experimental Criminology</w:t>
      </w:r>
      <w:r w:rsidRPr="006D2F05">
        <w:rPr>
          <w:rFonts w:ascii="Arial" w:eastAsia="Arial" w:hAnsi="Arial" w:cs="Arial"/>
          <w:lang w:val="en-GB"/>
        </w:rPr>
        <w:t xml:space="preserve">. Available at: </w:t>
      </w:r>
      <w:hyperlink r:id="rId8" w:tgtFrame="_new" w:history="1">
        <w:r w:rsidRPr="006D2F05">
          <w:rPr>
            <w:rStyle w:val="Hyperlink"/>
            <w:rFonts w:ascii="Arial" w:eastAsia="Arial" w:hAnsi="Arial" w:cs="Arial"/>
            <w:lang w:val="en-GB"/>
          </w:rPr>
          <w:t>https://doi.org/10.1007/</w:t>
        </w:r>
        <w:r w:rsidRPr="006D2F05">
          <w:rPr>
            <w:rStyle w:val="Hyperlink"/>
            <w:rFonts w:ascii="Arial" w:eastAsia="Arial" w:hAnsi="Arial" w:cs="Arial"/>
            <w:lang w:val="en-GB"/>
          </w:rPr>
          <w:t>s</w:t>
        </w:r>
        <w:r w:rsidRPr="006D2F05">
          <w:rPr>
            <w:rStyle w:val="Hyperlink"/>
            <w:rFonts w:ascii="Arial" w:eastAsia="Arial" w:hAnsi="Arial" w:cs="Arial"/>
            <w:lang w:val="en-GB"/>
          </w:rPr>
          <w:t>11292-023-09595-5</w:t>
        </w:r>
      </w:hyperlink>
    </w:p>
    <w:p w14:paraId="3FF353E7" w14:textId="2237E14D"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HMICFRS (2021) </w:t>
      </w:r>
      <w:r w:rsidRPr="006D2F05">
        <w:rPr>
          <w:rFonts w:ascii="Arial" w:eastAsia="Arial" w:hAnsi="Arial" w:cs="Arial"/>
          <w:i/>
          <w:iCs/>
          <w:lang w:val="en-GB"/>
        </w:rPr>
        <w:t>State of policing: The annual assessment of policing in England and Wales</w:t>
      </w:r>
      <w:r w:rsidRPr="006D2F05">
        <w:rPr>
          <w:rFonts w:ascii="Arial" w:eastAsia="Arial" w:hAnsi="Arial" w:cs="Arial"/>
          <w:lang w:val="en-GB"/>
        </w:rPr>
        <w:t xml:space="preserve">. London: Her Majesty’s Inspectorate of Constabulary and Fire &amp; Rescue Services. Available at: </w:t>
      </w:r>
      <w:hyperlink r:id="rId9" w:history="1">
        <w:r w:rsidRPr="006D2F05">
          <w:rPr>
            <w:rStyle w:val="Hyperlink"/>
            <w:rFonts w:ascii="Arial" w:eastAsia="Arial" w:hAnsi="Arial" w:cs="Arial"/>
            <w:lang w:val="en-GB"/>
          </w:rPr>
          <w:t>https://www.justiceinspectorates.gov.uk/hmicfrs/publications/state-of-policing-2021/</w:t>
        </w:r>
      </w:hyperlink>
      <w:r w:rsidRPr="006D2F05">
        <w:rPr>
          <w:rFonts w:ascii="Arial" w:eastAsia="Arial" w:hAnsi="Arial" w:cs="Arial"/>
          <w:lang w:val="en-GB"/>
        </w:rPr>
        <w:t xml:space="preserve"> (Accessed: 1</w:t>
      </w:r>
      <w:r w:rsidR="00391C8F">
        <w:rPr>
          <w:rFonts w:ascii="Arial" w:eastAsia="Arial" w:hAnsi="Arial" w:cs="Arial"/>
          <w:lang w:val="en-GB"/>
        </w:rPr>
        <w:t>4</w:t>
      </w:r>
      <w:r w:rsidRPr="006D2F05">
        <w:rPr>
          <w:rFonts w:ascii="Arial" w:eastAsia="Arial" w:hAnsi="Arial" w:cs="Arial"/>
          <w:lang w:val="en-GB"/>
        </w:rPr>
        <w:t xml:space="preserve"> March 2026).</w:t>
      </w:r>
    </w:p>
    <w:p w14:paraId="74E69397" w14:textId="2C345E16"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HMICFRS (2023) </w:t>
      </w:r>
      <w:r w:rsidRPr="006D2F05">
        <w:rPr>
          <w:rFonts w:ascii="Arial" w:eastAsia="Arial" w:hAnsi="Arial" w:cs="Arial"/>
          <w:i/>
          <w:iCs/>
          <w:lang w:val="en-GB"/>
        </w:rPr>
        <w:t>State of policing 2023</w:t>
      </w:r>
      <w:r w:rsidRPr="006D2F05">
        <w:rPr>
          <w:rFonts w:ascii="Arial" w:eastAsia="Arial" w:hAnsi="Arial" w:cs="Arial"/>
          <w:lang w:val="en-GB"/>
        </w:rPr>
        <w:t xml:space="preserve">. London: Her Majesty’s Inspectorate of Constabulary and Fire &amp; Rescue Services. Available at: </w:t>
      </w:r>
      <w:hyperlink r:id="rId10" w:history="1">
        <w:r w:rsidRPr="006D2F05">
          <w:rPr>
            <w:rStyle w:val="Hyperlink"/>
            <w:rFonts w:ascii="Arial" w:eastAsia="Arial" w:hAnsi="Arial" w:cs="Arial"/>
            <w:lang w:val="en-GB"/>
          </w:rPr>
          <w:t>https://www.justiceinspectorates.gov.uk/hmicfrs/publications/state-of-policing-2023/</w:t>
        </w:r>
      </w:hyperlink>
      <w:r w:rsidRPr="006D2F05">
        <w:rPr>
          <w:rFonts w:ascii="Arial" w:eastAsia="Arial" w:hAnsi="Arial" w:cs="Arial"/>
          <w:lang w:val="en-GB"/>
        </w:rPr>
        <w:t xml:space="preserve"> (Accessed: 19 March 2026).</w:t>
      </w:r>
    </w:p>
    <w:p w14:paraId="4CB8FD6B" w14:textId="554E4496"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Home Office (2014) </w:t>
      </w:r>
      <w:r w:rsidRPr="006D2F05">
        <w:rPr>
          <w:rFonts w:ascii="Arial" w:eastAsia="Arial" w:hAnsi="Arial" w:cs="Arial"/>
          <w:i/>
          <w:iCs/>
          <w:lang w:val="en-GB"/>
        </w:rPr>
        <w:t>Best use of stop and search scheme</w:t>
      </w:r>
      <w:r w:rsidRPr="006D2F05">
        <w:rPr>
          <w:rFonts w:ascii="Arial" w:eastAsia="Arial" w:hAnsi="Arial" w:cs="Arial"/>
          <w:lang w:val="en-GB"/>
        </w:rPr>
        <w:t xml:space="preserve">. London: Home Office. Available at: </w:t>
      </w:r>
      <w:hyperlink r:id="rId11" w:tgtFrame="_new" w:history="1">
        <w:r w:rsidRPr="006D2F05">
          <w:rPr>
            <w:rStyle w:val="Hyperlink"/>
            <w:rFonts w:ascii="Arial" w:eastAsia="Arial" w:hAnsi="Arial" w:cs="Arial"/>
            <w:lang w:val="en-GB"/>
          </w:rPr>
          <w:t>https://www.gov.uk/government/pu</w:t>
        </w:r>
        <w:r w:rsidRPr="006D2F05">
          <w:rPr>
            <w:rStyle w:val="Hyperlink"/>
            <w:rFonts w:ascii="Arial" w:eastAsia="Arial" w:hAnsi="Arial" w:cs="Arial"/>
            <w:lang w:val="en-GB"/>
          </w:rPr>
          <w:t>b</w:t>
        </w:r>
        <w:r w:rsidRPr="006D2F05">
          <w:rPr>
            <w:rStyle w:val="Hyperlink"/>
            <w:rFonts w:ascii="Arial" w:eastAsia="Arial" w:hAnsi="Arial" w:cs="Arial"/>
            <w:lang w:val="en-GB"/>
          </w:rPr>
          <w:t>lications/best-use-of-stop-and-search-scheme</w:t>
        </w:r>
      </w:hyperlink>
      <w:r w:rsidRPr="006D2F05">
        <w:rPr>
          <w:rFonts w:ascii="Arial" w:eastAsia="Arial" w:hAnsi="Arial" w:cs="Arial"/>
          <w:lang w:val="en-GB"/>
        </w:rPr>
        <w:t xml:space="preserve"> (Accessed: 1</w:t>
      </w:r>
      <w:r w:rsidR="00391C8F">
        <w:rPr>
          <w:rFonts w:ascii="Arial" w:eastAsia="Arial" w:hAnsi="Arial" w:cs="Arial"/>
          <w:lang w:val="en-GB"/>
        </w:rPr>
        <w:t>7</w:t>
      </w:r>
      <w:r w:rsidRPr="006D2F05">
        <w:rPr>
          <w:rFonts w:ascii="Arial" w:eastAsia="Arial" w:hAnsi="Arial" w:cs="Arial"/>
          <w:lang w:val="en-GB"/>
        </w:rPr>
        <w:t xml:space="preserve"> March 2026).</w:t>
      </w:r>
    </w:p>
    <w:p w14:paraId="6FDECB8F" w14:textId="5C2A1E61"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Home Office (2024) </w:t>
      </w:r>
      <w:r w:rsidRPr="006D2F05">
        <w:rPr>
          <w:rFonts w:ascii="Arial" w:eastAsia="Arial" w:hAnsi="Arial" w:cs="Arial"/>
          <w:i/>
          <w:iCs/>
          <w:lang w:val="en-GB"/>
        </w:rPr>
        <w:t>Police powers and procedures: Stop and search and arrests, England and Wales</w:t>
      </w:r>
      <w:r w:rsidRPr="006D2F05">
        <w:rPr>
          <w:rFonts w:ascii="Arial" w:eastAsia="Arial" w:hAnsi="Arial" w:cs="Arial"/>
          <w:lang w:val="en-GB"/>
        </w:rPr>
        <w:t xml:space="preserve">. London: Home Office. Available at: </w:t>
      </w:r>
      <w:hyperlink r:id="rId12" w:history="1">
        <w:r w:rsidRPr="006D2F05">
          <w:rPr>
            <w:rStyle w:val="Hyperlink"/>
            <w:rFonts w:ascii="Arial" w:eastAsia="Arial" w:hAnsi="Arial" w:cs="Arial"/>
            <w:lang w:val="en-GB"/>
          </w:rPr>
          <w:t>https://www.gov.uk/government/statistics/police-powers-and-procedures</w:t>
        </w:r>
      </w:hyperlink>
      <w:r w:rsidRPr="006D2F05">
        <w:rPr>
          <w:rFonts w:ascii="Arial" w:eastAsia="Arial" w:hAnsi="Arial" w:cs="Arial"/>
          <w:lang w:val="en-GB"/>
        </w:rPr>
        <w:t xml:space="preserve"> (Accessed: </w:t>
      </w:r>
      <w:r w:rsidR="00391C8F">
        <w:rPr>
          <w:rFonts w:ascii="Arial" w:eastAsia="Arial" w:hAnsi="Arial" w:cs="Arial"/>
          <w:lang w:val="en-GB"/>
        </w:rPr>
        <w:t>10</w:t>
      </w:r>
      <w:r w:rsidRPr="006D2F05">
        <w:rPr>
          <w:rFonts w:ascii="Arial" w:eastAsia="Arial" w:hAnsi="Arial" w:cs="Arial"/>
          <w:lang w:val="en-GB"/>
        </w:rPr>
        <w:t xml:space="preserve"> March 2026).</w:t>
      </w:r>
    </w:p>
    <w:p w14:paraId="5134170C" w14:textId="398E2E5B"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House of Commons Library (2025) </w:t>
      </w:r>
      <w:r w:rsidRPr="006D2F05">
        <w:rPr>
          <w:rFonts w:ascii="Arial" w:eastAsia="Arial" w:hAnsi="Arial" w:cs="Arial"/>
          <w:i/>
          <w:iCs/>
          <w:lang w:val="en-GB"/>
        </w:rPr>
        <w:t>Police stop and search statistics</w:t>
      </w:r>
      <w:r w:rsidRPr="006D2F05">
        <w:rPr>
          <w:rFonts w:ascii="Arial" w:eastAsia="Arial" w:hAnsi="Arial" w:cs="Arial"/>
          <w:lang w:val="en-GB"/>
        </w:rPr>
        <w:t xml:space="preserve">. London: UK Parliament. Available at: </w:t>
      </w:r>
      <w:hyperlink r:id="rId13" w:tgtFrame="_new" w:history="1">
        <w:r w:rsidRPr="006D2F05">
          <w:rPr>
            <w:rStyle w:val="Hyperlink"/>
            <w:rFonts w:ascii="Arial" w:eastAsia="Arial" w:hAnsi="Arial" w:cs="Arial"/>
            <w:lang w:val="en-GB"/>
          </w:rPr>
          <w:t>https:</w:t>
        </w:r>
        <w:r w:rsidRPr="006D2F05">
          <w:rPr>
            <w:rStyle w:val="Hyperlink"/>
            <w:rFonts w:ascii="Arial" w:eastAsia="Arial" w:hAnsi="Arial" w:cs="Arial"/>
            <w:lang w:val="en-GB"/>
          </w:rPr>
          <w:t>/</w:t>
        </w:r>
        <w:r w:rsidRPr="006D2F05">
          <w:rPr>
            <w:rStyle w:val="Hyperlink"/>
            <w:rFonts w:ascii="Arial" w:eastAsia="Arial" w:hAnsi="Arial" w:cs="Arial"/>
            <w:lang w:val="en-GB"/>
          </w:rPr>
          <w:t>/commonslibrary.parliament.uk/research-briefings/sn03878/</w:t>
        </w:r>
      </w:hyperlink>
      <w:r w:rsidRPr="006D2F05">
        <w:rPr>
          <w:rFonts w:ascii="Arial" w:eastAsia="Arial" w:hAnsi="Arial" w:cs="Arial"/>
          <w:lang w:val="en-GB"/>
        </w:rPr>
        <w:t xml:space="preserve"> (Accessed: 1</w:t>
      </w:r>
      <w:r w:rsidR="00391C8F">
        <w:rPr>
          <w:rFonts w:ascii="Arial" w:eastAsia="Arial" w:hAnsi="Arial" w:cs="Arial"/>
          <w:lang w:val="en-GB"/>
        </w:rPr>
        <w:t xml:space="preserve">5 </w:t>
      </w:r>
      <w:r w:rsidRPr="006D2F05">
        <w:rPr>
          <w:rFonts w:ascii="Arial" w:eastAsia="Arial" w:hAnsi="Arial" w:cs="Arial"/>
          <w:lang w:val="en-GB"/>
        </w:rPr>
        <w:t>March 2026).</w:t>
      </w:r>
    </w:p>
    <w:p w14:paraId="566508FD"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Jackson, J. and Bradford, B. (2019) ‘Blurring the distinction between trust and legitimacy: Public attitudes towards the police’, </w:t>
      </w:r>
      <w:r w:rsidRPr="006D2F05">
        <w:rPr>
          <w:rFonts w:ascii="Arial" w:eastAsia="Arial" w:hAnsi="Arial" w:cs="Arial"/>
          <w:i/>
          <w:iCs/>
          <w:lang w:val="en-GB"/>
        </w:rPr>
        <w:t>European Journal of Criminology</w:t>
      </w:r>
      <w:r w:rsidRPr="006D2F05">
        <w:rPr>
          <w:rFonts w:ascii="Arial" w:eastAsia="Arial" w:hAnsi="Arial" w:cs="Arial"/>
          <w:lang w:val="en-GB"/>
        </w:rPr>
        <w:t>, 16(3), pp. 329–349. Available at: https://doi.org/10.1177/1477370818770282</w:t>
      </w:r>
    </w:p>
    <w:p w14:paraId="7D16C5BF"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Jackson, J., Bradford, B., Hough, M., Myhill, A., Quinton, P. and Tyler, T.R. (2018) </w:t>
      </w:r>
      <w:r w:rsidRPr="006D2F05">
        <w:rPr>
          <w:rFonts w:ascii="Arial" w:eastAsia="Arial" w:hAnsi="Arial" w:cs="Arial"/>
          <w:i/>
          <w:iCs/>
          <w:lang w:val="en-GB"/>
        </w:rPr>
        <w:t>Police legitimacy and public trust and confidence: A review of the evidence</w:t>
      </w:r>
      <w:r w:rsidRPr="006D2F05">
        <w:rPr>
          <w:rFonts w:ascii="Arial" w:eastAsia="Arial" w:hAnsi="Arial" w:cs="Arial"/>
          <w:lang w:val="en-GB"/>
        </w:rPr>
        <w:t>. London: College of Policing. Available at: https://www.college.police.uk/research/police-legitimacy (Accessed: 19 March 2026).</w:t>
      </w:r>
    </w:p>
    <w:p w14:paraId="6DAD298B"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Loader, I. and Walker, N. (2021) </w:t>
      </w:r>
      <w:r w:rsidRPr="006D2F05">
        <w:rPr>
          <w:rFonts w:ascii="Arial" w:eastAsia="Arial" w:hAnsi="Arial" w:cs="Arial"/>
          <w:i/>
          <w:iCs/>
          <w:lang w:val="en-GB"/>
        </w:rPr>
        <w:t>Policing and the condition of England</w:t>
      </w:r>
      <w:r w:rsidRPr="006D2F05">
        <w:rPr>
          <w:rFonts w:ascii="Arial" w:eastAsia="Arial" w:hAnsi="Arial" w:cs="Arial"/>
          <w:lang w:val="en-GB"/>
        </w:rPr>
        <w:t>. Oxford: Oxford University Press.</w:t>
      </w:r>
    </w:p>
    <w:p w14:paraId="271FAEC3"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Newburn, T. (2017) </w:t>
      </w:r>
      <w:r w:rsidRPr="006D2F05">
        <w:rPr>
          <w:rFonts w:ascii="Arial" w:eastAsia="Arial" w:hAnsi="Arial" w:cs="Arial"/>
          <w:i/>
          <w:iCs/>
          <w:lang w:val="en-GB"/>
        </w:rPr>
        <w:t>Criminology</w:t>
      </w:r>
      <w:r w:rsidRPr="006D2F05">
        <w:rPr>
          <w:rFonts w:ascii="Arial" w:eastAsia="Arial" w:hAnsi="Arial" w:cs="Arial"/>
          <w:lang w:val="en-GB"/>
        </w:rPr>
        <w:t xml:space="preserve">. 3rd </w:t>
      </w:r>
      <w:proofErr w:type="spellStart"/>
      <w:r w:rsidRPr="006D2F05">
        <w:rPr>
          <w:rFonts w:ascii="Arial" w:eastAsia="Arial" w:hAnsi="Arial" w:cs="Arial"/>
          <w:lang w:val="en-GB"/>
        </w:rPr>
        <w:t>edn</w:t>
      </w:r>
      <w:proofErr w:type="spellEnd"/>
      <w:r w:rsidRPr="006D2F05">
        <w:rPr>
          <w:rFonts w:ascii="Arial" w:eastAsia="Arial" w:hAnsi="Arial" w:cs="Arial"/>
          <w:lang w:val="en-GB"/>
        </w:rPr>
        <w:t>. London: Routledge.</w:t>
      </w:r>
    </w:p>
    <w:p w14:paraId="05802CA9"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Reiner, R. (2010) </w:t>
      </w:r>
      <w:r w:rsidRPr="006D2F05">
        <w:rPr>
          <w:rFonts w:ascii="Arial" w:eastAsia="Arial" w:hAnsi="Arial" w:cs="Arial"/>
          <w:i/>
          <w:iCs/>
          <w:lang w:val="en-GB"/>
        </w:rPr>
        <w:t>The politics of the police</w:t>
      </w:r>
      <w:r w:rsidRPr="006D2F05">
        <w:rPr>
          <w:rFonts w:ascii="Arial" w:eastAsia="Arial" w:hAnsi="Arial" w:cs="Arial"/>
          <w:lang w:val="en-GB"/>
        </w:rPr>
        <w:t xml:space="preserve">. 4th </w:t>
      </w:r>
      <w:proofErr w:type="spellStart"/>
      <w:r w:rsidRPr="006D2F05">
        <w:rPr>
          <w:rFonts w:ascii="Arial" w:eastAsia="Arial" w:hAnsi="Arial" w:cs="Arial"/>
          <w:lang w:val="en-GB"/>
        </w:rPr>
        <w:t>edn</w:t>
      </w:r>
      <w:proofErr w:type="spellEnd"/>
      <w:r w:rsidRPr="006D2F05">
        <w:rPr>
          <w:rFonts w:ascii="Arial" w:eastAsia="Arial" w:hAnsi="Arial" w:cs="Arial"/>
          <w:lang w:val="en-GB"/>
        </w:rPr>
        <w:t>. Oxford: Oxford University Press.</w:t>
      </w:r>
    </w:p>
    <w:p w14:paraId="213DFD41" w14:textId="4C999CE0"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lastRenderedPageBreak/>
        <w:t xml:space="preserve">Renshaw, D. (2018) ‘The violent frontline: space, ethnicity and confronting the state in Brixton 1981’, </w:t>
      </w:r>
      <w:r w:rsidRPr="006D2F05">
        <w:rPr>
          <w:rFonts w:ascii="Arial" w:eastAsia="Arial" w:hAnsi="Arial" w:cs="Arial"/>
          <w:i/>
          <w:iCs/>
          <w:lang w:val="en-GB"/>
        </w:rPr>
        <w:t>Immigrants &amp; Minorities</w:t>
      </w:r>
      <w:r w:rsidRPr="006D2F05">
        <w:rPr>
          <w:rFonts w:ascii="Arial" w:eastAsia="Arial" w:hAnsi="Arial" w:cs="Arial"/>
          <w:lang w:val="en-GB"/>
        </w:rPr>
        <w:t xml:space="preserve">, 36(1–2), pp. 1–21. Available at: </w:t>
      </w:r>
      <w:hyperlink r:id="rId14" w:history="1">
        <w:r w:rsidRPr="006D2F05">
          <w:rPr>
            <w:rStyle w:val="Hyperlink"/>
            <w:rFonts w:ascii="Arial" w:eastAsia="Arial" w:hAnsi="Arial" w:cs="Arial"/>
            <w:lang w:val="en-GB"/>
          </w:rPr>
          <w:t>https://doi.org/10.1080/02619288.2018.1434001</w:t>
        </w:r>
      </w:hyperlink>
    </w:p>
    <w:p w14:paraId="62296062"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Rowe, M. (2014) </w:t>
      </w:r>
      <w:r w:rsidRPr="006D2F05">
        <w:rPr>
          <w:rFonts w:ascii="Arial" w:eastAsia="Arial" w:hAnsi="Arial" w:cs="Arial"/>
          <w:i/>
          <w:iCs/>
          <w:lang w:val="en-GB"/>
        </w:rPr>
        <w:t>Policing, Race and Racism</w:t>
      </w:r>
      <w:r w:rsidRPr="006D2F05">
        <w:rPr>
          <w:rFonts w:ascii="Arial" w:eastAsia="Arial" w:hAnsi="Arial" w:cs="Arial"/>
          <w:lang w:val="en-GB"/>
        </w:rPr>
        <w:t>. London: Routledge.</w:t>
      </w:r>
    </w:p>
    <w:p w14:paraId="68636B29" w14:textId="77777777" w:rsidR="006D2F05" w:rsidRPr="006D2F05" w:rsidRDefault="006D2F05" w:rsidP="006D2F05">
      <w:pPr>
        <w:spacing w:before="240" w:after="240"/>
        <w:rPr>
          <w:rFonts w:ascii="Arial" w:eastAsia="Arial" w:hAnsi="Arial" w:cs="Arial"/>
          <w:lang w:val="en-GB"/>
        </w:rPr>
      </w:pPr>
      <w:proofErr w:type="spellStart"/>
      <w:r w:rsidRPr="006D2F05">
        <w:rPr>
          <w:rFonts w:ascii="Arial" w:eastAsia="Arial" w:hAnsi="Arial" w:cs="Arial"/>
          <w:lang w:val="en-GB"/>
        </w:rPr>
        <w:t>Tankebe</w:t>
      </w:r>
      <w:proofErr w:type="spellEnd"/>
      <w:r w:rsidRPr="006D2F05">
        <w:rPr>
          <w:rFonts w:ascii="Arial" w:eastAsia="Arial" w:hAnsi="Arial" w:cs="Arial"/>
          <w:lang w:val="en-GB"/>
        </w:rPr>
        <w:t xml:space="preserve">, J. and Liebling, A. (2013) </w:t>
      </w:r>
      <w:r w:rsidRPr="006D2F05">
        <w:rPr>
          <w:rFonts w:ascii="Arial" w:eastAsia="Arial" w:hAnsi="Arial" w:cs="Arial"/>
          <w:i/>
          <w:iCs/>
          <w:lang w:val="en-GB"/>
        </w:rPr>
        <w:t>Legitimacy and criminal justice: An international exploration</w:t>
      </w:r>
      <w:r w:rsidRPr="006D2F05">
        <w:rPr>
          <w:rFonts w:ascii="Arial" w:eastAsia="Arial" w:hAnsi="Arial" w:cs="Arial"/>
          <w:lang w:val="en-GB"/>
        </w:rPr>
        <w:t>. Oxford: Oxford University Press.</w:t>
      </w:r>
    </w:p>
    <w:p w14:paraId="491302BF" w14:textId="4EBFD3F5"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Trinkner, R. and Tyler, T. (2020) ‘Legal socialisation and procedural justice’, </w:t>
      </w:r>
      <w:r w:rsidRPr="006D2F05">
        <w:rPr>
          <w:rFonts w:ascii="Arial" w:eastAsia="Arial" w:hAnsi="Arial" w:cs="Arial"/>
          <w:i/>
          <w:iCs/>
          <w:lang w:val="en-GB"/>
        </w:rPr>
        <w:t>Annual Review of Law and Social Science</w:t>
      </w:r>
      <w:r w:rsidRPr="006D2F05">
        <w:rPr>
          <w:rFonts w:ascii="Arial" w:eastAsia="Arial" w:hAnsi="Arial" w:cs="Arial"/>
          <w:lang w:val="en-GB"/>
        </w:rPr>
        <w:t xml:space="preserve">, 16, pp. 1–19. Available at: </w:t>
      </w:r>
      <w:hyperlink r:id="rId15" w:history="1">
        <w:r w:rsidRPr="006D2F05">
          <w:rPr>
            <w:rStyle w:val="Hyperlink"/>
            <w:rFonts w:ascii="Arial" w:eastAsia="Arial" w:hAnsi="Arial" w:cs="Arial"/>
            <w:lang w:val="en-GB"/>
          </w:rPr>
          <w:t>https://doi.org/10.1146/annurev-lawsocsci-071719-105318</w:t>
        </w:r>
      </w:hyperlink>
      <w:r w:rsidR="00CE42FA">
        <w:rPr>
          <w:rFonts w:ascii="Arial" w:eastAsia="Arial" w:hAnsi="Arial" w:cs="Arial"/>
          <w:lang w:val="en-GB"/>
        </w:rPr>
        <w:t xml:space="preserve"> </w:t>
      </w:r>
    </w:p>
    <w:p w14:paraId="795D4714" w14:textId="77777777" w:rsidR="006D2F05" w:rsidRP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Tyler, T.R. (2006) </w:t>
      </w:r>
      <w:r w:rsidRPr="006D2F05">
        <w:rPr>
          <w:rFonts w:ascii="Arial" w:eastAsia="Arial" w:hAnsi="Arial" w:cs="Arial"/>
          <w:i/>
          <w:iCs/>
          <w:lang w:val="en-GB"/>
        </w:rPr>
        <w:t>Why people obey the law</w:t>
      </w:r>
      <w:r w:rsidRPr="006D2F05">
        <w:rPr>
          <w:rFonts w:ascii="Arial" w:eastAsia="Arial" w:hAnsi="Arial" w:cs="Arial"/>
          <w:lang w:val="en-GB"/>
        </w:rPr>
        <w:t>. Princeton: Princeton University Press.</w:t>
      </w:r>
    </w:p>
    <w:p w14:paraId="4B4834D5" w14:textId="12D85AFD" w:rsidR="00CE42FA" w:rsidRPr="006D2F05" w:rsidRDefault="006D2F05" w:rsidP="006D2F05">
      <w:pPr>
        <w:spacing w:before="240" w:after="240"/>
        <w:rPr>
          <w:rFonts w:ascii="Arial" w:eastAsia="Arial" w:hAnsi="Arial" w:cs="Arial"/>
          <w:lang w:val="en-GB"/>
        </w:rPr>
      </w:pPr>
      <w:proofErr w:type="spellStart"/>
      <w:r w:rsidRPr="006D2F05">
        <w:rPr>
          <w:rFonts w:ascii="Arial" w:eastAsia="Arial" w:hAnsi="Arial" w:cs="Arial"/>
          <w:lang w:val="en-GB"/>
        </w:rPr>
        <w:t>Yesberg</w:t>
      </w:r>
      <w:proofErr w:type="spellEnd"/>
      <w:r w:rsidRPr="006D2F05">
        <w:rPr>
          <w:rFonts w:ascii="Arial" w:eastAsia="Arial" w:hAnsi="Arial" w:cs="Arial"/>
          <w:lang w:val="en-GB"/>
        </w:rPr>
        <w:t xml:space="preserve">, J.A. and Bradford, B. (2021) ‘Police legitimacy, procedural justice and public cooperation’, </w:t>
      </w:r>
      <w:r w:rsidRPr="006D2F05">
        <w:rPr>
          <w:rFonts w:ascii="Arial" w:eastAsia="Arial" w:hAnsi="Arial" w:cs="Arial"/>
          <w:i/>
          <w:iCs/>
          <w:lang w:val="en-GB"/>
        </w:rPr>
        <w:t>British Journal of Criminology</w:t>
      </w:r>
      <w:r w:rsidRPr="006D2F05">
        <w:rPr>
          <w:rFonts w:ascii="Arial" w:eastAsia="Arial" w:hAnsi="Arial" w:cs="Arial"/>
          <w:lang w:val="en-GB"/>
        </w:rPr>
        <w:t xml:space="preserve">, 61(4), pp. 1045–1065. Available at: </w:t>
      </w:r>
      <w:hyperlink r:id="rId16" w:history="1">
        <w:r w:rsidR="00CE42FA" w:rsidRPr="006D2F05">
          <w:rPr>
            <w:rStyle w:val="Hyperlink"/>
            <w:rFonts w:ascii="Arial" w:eastAsia="Arial" w:hAnsi="Arial" w:cs="Arial"/>
            <w:lang w:val="en-GB"/>
          </w:rPr>
          <w:t>https://doi.org/10.10</w:t>
        </w:r>
        <w:r w:rsidR="00CE42FA" w:rsidRPr="006D2F05">
          <w:rPr>
            <w:rStyle w:val="Hyperlink"/>
            <w:rFonts w:ascii="Arial" w:eastAsia="Arial" w:hAnsi="Arial" w:cs="Arial"/>
            <w:lang w:val="en-GB"/>
          </w:rPr>
          <w:t>9</w:t>
        </w:r>
        <w:r w:rsidR="00CE42FA" w:rsidRPr="006D2F05">
          <w:rPr>
            <w:rStyle w:val="Hyperlink"/>
            <w:rFonts w:ascii="Arial" w:eastAsia="Arial" w:hAnsi="Arial" w:cs="Arial"/>
            <w:lang w:val="en-GB"/>
          </w:rPr>
          <w:t>3/bjc/azaa090</w:t>
        </w:r>
      </w:hyperlink>
    </w:p>
    <w:p w14:paraId="6FFD3483" w14:textId="2899D6E4" w:rsidR="006D2F05" w:rsidRDefault="006D2F05" w:rsidP="006D2F05">
      <w:pPr>
        <w:spacing w:before="240" w:after="240"/>
        <w:rPr>
          <w:rFonts w:ascii="Arial" w:eastAsia="Arial" w:hAnsi="Arial" w:cs="Arial"/>
          <w:lang w:val="en-GB"/>
        </w:rPr>
      </w:pPr>
      <w:r w:rsidRPr="006D2F05">
        <w:rPr>
          <w:rFonts w:ascii="Arial" w:eastAsia="Arial" w:hAnsi="Arial" w:cs="Arial"/>
          <w:lang w:val="en-GB"/>
        </w:rPr>
        <w:t xml:space="preserve">Qurashi, F. (2018) ‘The Prevent strategy and the UK “war on terror”: Embedding infrastructures of surveillance in Muslim communities’, </w:t>
      </w:r>
      <w:r w:rsidRPr="006D2F05">
        <w:rPr>
          <w:rFonts w:ascii="Arial" w:eastAsia="Arial" w:hAnsi="Arial" w:cs="Arial"/>
          <w:i/>
          <w:iCs/>
          <w:lang w:val="en-GB"/>
        </w:rPr>
        <w:t>Palgrave Communications</w:t>
      </w:r>
      <w:r w:rsidRPr="006D2F05">
        <w:rPr>
          <w:rFonts w:ascii="Arial" w:eastAsia="Arial" w:hAnsi="Arial" w:cs="Arial"/>
          <w:lang w:val="en-GB"/>
        </w:rPr>
        <w:t xml:space="preserve">, 4(1). Available at: </w:t>
      </w:r>
      <w:hyperlink r:id="rId17" w:history="1">
        <w:r w:rsidR="00CE42FA" w:rsidRPr="006D2F05">
          <w:rPr>
            <w:rStyle w:val="Hyperlink"/>
            <w:rFonts w:ascii="Arial" w:eastAsia="Arial" w:hAnsi="Arial" w:cs="Arial"/>
            <w:lang w:val="en-GB"/>
          </w:rPr>
          <w:t>https://doi.org/10.1057/s4</w:t>
        </w:r>
        <w:r w:rsidR="00CE42FA" w:rsidRPr="006D2F05">
          <w:rPr>
            <w:rStyle w:val="Hyperlink"/>
            <w:rFonts w:ascii="Arial" w:eastAsia="Arial" w:hAnsi="Arial" w:cs="Arial"/>
            <w:lang w:val="en-GB"/>
          </w:rPr>
          <w:t>1</w:t>
        </w:r>
        <w:r w:rsidR="00CE42FA" w:rsidRPr="006D2F05">
          <w:rPr>
            <w:rStyle w:val="Hyperlink"/>
            <w:rFonts w:ascii="Arial" w:eastAsia="Arial" w:hAnsi="Arial" w:cs="Arial"/>
            <w:lang w:val="en-GB"/>
          </w:rPr>
          <w:t>599-018-0191-y</w:t>
        </w:r>
      </w:hyperlink>
    </w:p>
    <w:p w14:paraId="618E87C4" w14:textId="77777777" w:rsidR="00CE42FA" w:rsidRPr="006D2F05" w:rsidRDefault="00CE42FA" w:rsidP="006D2F05">
      <w:pPr>
        <w:spacing w:before="240" w:after="240"/>
        <w:rPr>
          <w:rFonts w:ascii="Arial" w:eastAsia="Arial" w:hAnsi="Arial" w:cs="Arial"/>
          <w:lang w:val="en-GB"/>
        </w:rPr>
      </w:pPr>
    </w:p>
    <w:p w14:paraId="09C941CE" w14:textId="77777777" w:rsidR="006D2F05" w:rsidRDefault="006D2F05" w:rsidP="4E5848F1">
      <w:pPr>
        <w:spacing w:before="240" w:after="240"/>
        <w:rPr>
          <w:rFonts w:ascii="Arial" w:eastAsia="Arial" w:hAnsi="Arial" w:cs="Arial"/>
        </w:rPr>
      </w:pPr>
    </w:p>
    <w:p w14:paraId="5E831694" w14:textId="77777777" w:rsidR="006D2F05" w:rsidRDefault="006D2F05" w:rsidP="4E5848F1">
      <w:pPr>
        <w:spacing w:before="240" w:after="240"/>
        <w:rPr>
          <w:rFonts w:ascii="Arial" w:eastAsia="Arial" w:hAnsi="Arial" w:cs="Arial"/>
        </w:rPr>
      </w:pPr>
    </w:p>
    <w:p w14:paraId="5AEA46AD" w14:textId="77777777" w:rsidR="006D2F05" w:rsidRDefault="006D2F05" w:rsidP="4E5848F1">
      <w:pPr>
        <w:spacing w:before="240" w:after="240"/>
        <w:rPr>
          <w:rFonts w:ascii="Arial" w:eastAsia="Arial" w:hAnsi="Arial" w:cs="Arial"/>
        </w:rPr>
      </w:pPr>
    </w:p>
    <w:p w14:paraId="653459DE" w14:textId="3A911DB6" w:rsidR="7AABDDDF" w:rsidRDefault="4BBB1005" w:rsidP="4E5848F1">
      <w:pPr>
        <w:spacing w:before="240" w:after="240"/>
        <w:rPr>
          <w:rFonts w:ascii="Arial" w:eastAsia="Arial" w:hAnsi="Arial" w:cs="Arial"/>
          <w:color w:val="000000" w:themeColor="text1"/>
          <w:sz w:val="20"/>
          <w:szCs w:val="20"/>
        </w:rPr>
      </w:pPr>
      <w:r w:rsidRPr="4E5848F1">
        <w:rPr>
          <w:rFonts w:ascii="Arial" w:eastAsia="Arial" w:hAnsi="Arial" w:cs="Arial"/>
          <w:color w:val="000000" w:themeColor="text1"/>
          <w:sz w:val="20"/>
          <w:szCs w:val="20"/>
        </w:rPr>
        <w:t>I acknowledge the use of Grammarly (</w:t>
      </w:r>
      <w:hyperlink r:id="rId18">
        <w:r w:rsidRPr="4E5848F1">
          <w:rPr>
            <w:rStyle w:val="Hyperlink"/>
            <w:rFonts w:ascii="Arial" w:eastAsia="Arial" w:hAnsi="Arial" w:cs="Arial"/>
            <w:color w:val="0000FF"/>
            <w:sz w:val="20"/>
            <w:szCs w:val="20"/>
          </w:rPr>
          <w:t>https://www.grammarly.com/</w:t>
        </w:r>
      </w:hyperlink>
      <w:r w:rsidRPr="4E5848F1">
        <w:rPr>
          <w:rFonts w:ascii="Arial" w:eastAsia="Arial" w:hAnsi="Arial" w:cs="Arial"/>
          <w:color w:val="000000" w:themeColor="text1"/>
          <w:sz w:val="20"/>
          <w:szCs w:val="20"/>
        </w:rPr>
        <w:t xml:space="preserve">) on 18 Feb 2026 to check my work using the prompt(s): </w:t>
      </w:r>
    </w:p>
    <w:p w14:paraId="2DAEAB12" w14:textId="0FD9F072" w:rsidR="7AABDDDF" w:rsidRDefault="4BBB1005" w:rsidP="4E5848F1">
      <w:pPr>
        <w:shd w:val="clear" w:color="auto" w:fill="FFFFFF" w:themeFill="background1"/>
        <w:spacing w:after="172"/>
        <w:ind w:left="370"/>
        <w:jc w:val="both"/>
        <w:rPr>
          <w:rFonts w:ascii="Arial" w:eastAsia="Arial" w:hAnsi="Arial" w:cs="Arial"/>
          <w:color w:val="000000" w:themeColor="text1"/>
          <w:sz w:val="20"/>
          <w:szCs w:val="20"/>
        </w:rPr>
      </w:pPr>
      <w:r w:rsidRPr="4E5848F1">
        <w:rPr>
          <w:rFonts w:ascii="Arial" w:eastAsia="Arial" w:hAnsi="Arial" w:cs="Arial"/>
          <w:color w:val="000000" w:themeColor="text1"/>
          <w:sz w:val="20"/>
          <w:szCs w:val="20"/>
        </w:rPr>
        <w:t xml:space="preserve">1. Please check the following text for readability, grammar and syntax. </w:t>
      </w:r>
    </w:p>
    <w:p w14:paraId="2202FFB1" w14:textId="12E17865" w:rsidR="7AABDDDF" w:rsidRDefault="4BBB1005" w:rsidP="4E5848F1">
      <w:pPr>
        <w:shd w:val="clear" w:color="auto" w:fill="FFFFFF" w:themeFill="background1"/>
        <w:spacing w:after="172"/>
        <w:jc w:val="both"/>
        <w:rPr>
          <w:rFonts w:ascii="Arial" w:eastAsia="Arial" w:hAnsi="Arial" w:cs="Arial"/>
          <w:color w:val="000000" w:themeColor="text1"/>
          <w:sz w:val="20"/>
          <w:szCs w:val="20"/>
        </w:rPr>
      </w:pPr>
      <w:r w:rsidRPr="4E5848F1">
        <w:rPr>
          <w:rFonts w:ascii="Arial" w:eastAsia="Arial" w:hAnsi="Arial" w:cs="Arial"/>
          <w:color w:val="000000" w:themeColor="text1"/>
          <w:sz w:val="20"/>
          <w:szCs w:val="20"/>
        </w:rPr>
        <w:t>I confirm that I have not presented any AI generated text as my own work. I confirm I have copies of my drafts, notes, and other resources I used before, and after the use of AI tools which I may be asked to provide in evidence.</w:t>
      </w:r>
    </w:p>
    <w:p w14:paraId="7EB58FF8" w14:textId="5A1354E0" w:rsidR="7AABDDDF" w:rsidRDefault="7AABDDDF" w:rsidP="7AABDDDF">
      <w:pPr>
        <w:spacing w:before="240" w:after="240"/>
        <w:rPr>
          <w:rFonts w:ascii="Aptos" w:eastAsia="Aptos" w:hAnsi="Aptos" w:cs="Aptos"/>
        </w:rPr>
      </w:pPr>
    </w:p>
    <w:p w14:paraId="6AA78416" w14:textId="4C7158DD" w:rsidR="7AABDDDF" w:rsidRDefault="7AABDDDF" w:rsidP="7AABDDDF"/>
    <w:p w14:paraId="43B6AA4A" w14:textId="75224201" w:rsidR="7AABDDDF" w:rsidRDefault="7AABDDDF" w:rsidP="7AABDDDF"/>
    <w:sectPr w:rsidR="7AABDD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920EF"/>
    <w:multiLevelType w:val="multilevel"/>
    <w:tmpl w:val="4E94F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5AD661"/>
    <w:multiLevelType w:val="hybridMultilevel"/>
    <w:tmpl w:val="B454AD1C"/>
    <w:lvl w:ilvl="0" w:tplc="8E9C840E">
      <w:start w:val="1"/>
      <w:numFmt w:val="bullet"/>
      <w:lvlText w:val=""/>
      <w:lvlJc w:val="left"/>
      <w:pPr>
        <w:ind w:left="720" w:hanging="360"/>
      </w:pPr>
      <w:rPr>
        <w:rFonts w:ascii="Symbol" w:hAnsi="Symbol" w:hint="default"/>
      </w:rPr>
    </w:lvl>
    <w:lvl w:ilvl="1" w:tplc="74CC59B2">
      <w:start w:val="1"/>
      <w:numFmt w:val="bullet"/>
      <w:lvlText w:val="o"/>
      <w:lvlJc w:val="left"/>
      <w:pPr>
        <w:ind w:left="1440" w:hanging="360"/>
      </w:pPr>
      <w:rPr>
        <w:rFonts w:ascii="Courier New" w:hAnsi="Courier New" w:hint="default"/>
      </w:rPr>
    </w:lvl>
    <w:lvl w:ilvl="2" w:tplc="5AA4DA06">
      <w:start w:val="1"/>
      <w:numFmt w:val="bullet"/>
      <w:lvlText w:val=""/>
      <w:lvlJc w:val="left"/>
      <w:pPr>
        <w:ind w:left="2160" w:hanging="360"/>
      </w:pPr>
      <w:rPr>
        <w:rFonts w:ascii="Wingdings" w:hAnsi="Wingdings" w:hint="default"/>
      </w:rPr>
    </w:lvl>
    <w:lvl w:ilvl="3" w:tplc="D63EBFE0">
      <w:start w:val="1"/>
      <w:numFmt w:val="bullet"/>
      <w:lvlText w:val=""/>
      <w:lvlJc w:val="left"/>
      <w:pPr>
        <w:ind w:left="2880" w:hanging="360"/>
      </w:pPr>
      <w:rPr>
        <w:rFonts w:ascii="Symbol" w:hAnsi="Symbol" w:hint="default"/>
      </w:rPr>
    </w:lvl>
    <w:lvl w:ilvl="4" w:tplc="7D9E8FB8">
      <w:start w:val="1"/>
      <w:numFmt w:val="bullet"/>
      <w:lvlText w:val="o"/>
      <w:lvlJc w:val="left"/>
      <w:pPr>
        <w:ind w:left="3600" w:hanging="360"/>
      </w:pPr>
      <w:rPr>
        <w:rFonts w:ascii="Courier New" w:hAnsi="Courier New" w:hint="default"/>
      </w:rPr>
    </w:lvl>
    <w:lvl w:ilvl="5" w:tplc="3382652A">
      <w:start w:val="1"/>
      <w:numFmt w:val="bullet"/>
      <w:lvlText w:val=""/>
      <w:lvlJc w:val="left"/>
      <w:pPr>
        <w:ind w:left="4320" w:hanging="360"/>
      </w:pPr>
      <w:rPr>
        <w:rFonts w:ascii="Wingdings" w:hAnsi="Wingdings" w:hint="default"/>
      </w:rPr>
    </w:lvl>
    <w:lvl w:ilvl="6" w:tplc="90186342">
      <w:start w:val="1"/>
      <w:numFmt w:val="bullet"/>
      <w:lvlText w:val=""/>
      <w:lvlJc w:val="left"/>
      <w:pPr>
        <w:ind w:left="5040" w:hanging="360"/>
      </w:pPr>
      <w:rPr>
        <w:rFonts w:ascii="Symbol" w:hAnsi="Symbol" w:hint="default"/>
      </w:rPr>
    </w:lvl>
    <w:lvl w:ilvl="7" w:tplc="3DB0E692">
      <w:start w:val="1"/>
      <w:numFmt w:val="bullet"/>
      <w:lvlText w:val="o"/>
      <w:lvlJc w:val="left"/>
      <w:pPr>
        <w:ind w:left="5760" w:hanging="360"/>
      </w:pPr>
      <w:rPr>
        <w:rFonts w:ascii="Courier New" w:hAnsi="Courier New" w:hint="default"/>
      </w:rPr>
    </w:lvl>
    <w:lvl w:ilvl="8" w:tplc="F4F0505C">
      <w:start w:val="1"/>
      <w:numFmt w:val="bullet"/>
      <w:lvlText w:val=""/>
      <w:lvlJc w:val="left"/>
      <w:pPr>
        <w:ind w:left="6480" w:hanging="360"/>
      </w:pPr>
      <w:rPr>
        <w:rFonts w:ascii="Wingdings" w:hAnsi="Wingdings" w:hint="default"/>
      </w:rPr>
    </w:lvl>
  </w:abstractNum>
  <w:abstractNum w:abstractNumId="2" w15:restartNumberingAfterBreak="0">
    <w:nsid w:val="19F7AD50"/>
    <w:multiLevelType w:val="hybridMultilevel"/>
    <w:tmpl w:val="D9BA6942"/>
    <w:lvl w:ilvl="0" w:tplc="73F6307E">
      <w:start w:val="1"/>
      <w:numFmt w:val="bullet"/>
      <w:lvlText w:val=""/>
      <w:lvlJc w:val="left"/>
      <w:pPr>
        <w:ind w:left="720" w:hanging="360"/>
      </w:pPr>
      <w:rPr>
        <w:rFonts w:ascii="Symbol" w:hAnsi="Symbol" w:hint="default"/>
      </w:rPr>
    </w:lvl>
    <w:lvl w:ilvl="1" w:tplc="CE1802B4">
      <w:start w:val="1"/>
      <w:numFmt w:val="bullet"/>
      <w:lvlText w:val="o"/>
      <w:lvlJc w:val="left"/>
      <w:pPr>
        <w:ind w:left="1440" w:hanging="360"/>
      </w:pPr>
      <w:rPr>
        <w:rFonts w:ascii="Courier New" w:hAnsi="Courier New" w:hint="default"/>
      </w:rPr>
    </w:lvl>
    <w:lvl w:ilvl="2" w:tplc="103C1D42">
      <w:start w:val="1"/>
      <w:numFmt w:val="bullet"/>
      <w:lvlText w:val=""/>
      <w:lvlJc w:val="left"/>
      <w:pPr>
        <w:ind w:left="2160" w:hanging="360"/>
      </w:pPr>
      <w:rPr>
        <w:rFonts w:ascii="Wingdings" w:hAnsi="Wingdings" w:hint="default"/>
      </w:rPr>
    </w:lvl>
    <w:lvl w:ilvl="3" w:tplc="E2DEF5F0">
      <w:start w:val="1"/>
      <w:numFmt w:val="bullet"/>
      <w:lvlText w:val=""/>
      <w:lvlJc w:val="left"/>
      <w:pPr>
        <w:ind w:left="2880" w:hanging="360"/>
      </w:pPr>
      <w:rPr>
        <w:rFonts w:ascii="Symbol" w:hAnsi="Symbol" w:hint="default"/>
      </w:rPr>
    </w:lvl>
    <w:lvl w:ilvl="4" w:tplc="B38E04DE">
      <w:start w:val="1"/>
      <w:numFmt w:val="bullet"/>
      <w:lvlText w:val="o"/>
      <w:lvlJc w:val="left"/>
      <w:pPr>
        <w:ind w:left="3600" w:hanging="360"/>
      </w:pPr>
      <w:rPr>
        <w:rFonts w:ascii="Courier New" w:hAnsi="Courier New" w:hint="default"/>
      </w:rPr>
    </w:lvl>
    <w:lvl w:ilvl="5" w:tplc="11649378">
      <w:start w:val="1"/>
      <w:numFmt w:val="bullet"/>
      <w:lvlText w:val=""/>
      <w:lvlJc w:val="left"/>
      <w:pPr>
        <w:ind w:left="4320" w:hanging="360"/>
      </w:pPr>
      <w:rPr>
        <w:rFonts w:ascii="Wingdings" w:hAnsi="Wingdings" w:hint="default"/>
      </w:rPr>
    </w:lvl>
    <w:lvl w:ilvl="6" w:tplc="F8E2AD64">
      <w:start w:val="1"/>
      <w:numFmt w:val="bullet"/>
      <w:lvlText w:val=""/>
      <w:lvlJc w:val="left"/>
      <w:pPr>
        <w:ind w:left="5040" w:hanging="360"/>
      </w:pPr>
      <w:rPr>
        <w:rFonts w:ascii="Symbol" w:hAnsi="Symbol" w:hint="default"/>
      </w:rPr>
    </w:lvl>
    <w:lvl w:ilvl="7" w:tplc="631A5BF6">
      <w:start w:val="1"/>
      <w:numFmt w:val="bullet"/>
      <w:lvlText w:val="o"/>
      <w:lvlJc w:val="left"/>
      <w:pPr>
        <w:ind w:left="5760" w:hanging="360"/>
      </w:pPr>
      <w:rPr>
        <w:rFonts w:ascii="Courier New" w:hAnsi="Courier New" w:hint="default"/>
      </w:rPr>
    </w:lvl>
    <w:lvl w:ilvl="8" w:tplc="8968F054">
      <w:start w:val="1"/>
      <w:numFmt w:val="bullet"/>
      <w:lvlText w:val=""/>
      <w:lvlJc w:val="left"/>
      <w:pPr>
        <w:ind w:left="6480" w:hanging="360"/>
      </w:pPr>
      <w:rPr>
        <w:rFonts w:ascii="Wingdings" w:hAnsi="Wingdings" w:hint="default"/>
      </w:rPr>
    </w:lvl>
  </w:abstractNum>
  <w:abstractNum w:abstractNumId="3" w15:restartNumberingAfterBreak="0">
    <w:nsid w:val="2AA01CA9"/>
    <w:multiLevelType w:val="hybridMultilevel"/>
    <w:tmpl w:val="D338C2E2"/>
    <w:lvl w:ilvl="0" w:tplc="FF948536">
      <w:start w:val="1"/>
      <w:numFmt w:val="bullet"/>
      <w:lvlText w:val=""/>
      <w:lvlJc w:val="left"/>
      <w:pPr>
        <w:ind w:left="720" w:hanging="360"/>
      </w:pPr>
      <w:rPr>
        <w:rFonts w:ascii="Symbol" w:hAnsi="Symbol" w:hint="default"/>
      </w:rPr>
    </w:lvl>
    <w:lvl w:ilvl="1" w:tplc="F5240F1A">
      <w:start w:val="1"/>
      <w:numFmt w:val="bullet"/>
      <w:lvlText w:val="o"/>
      <w:lvlJc w:val="left"/>
      <w:pPr>
        <w:ind w:left="1440" w:hanging="360"/>
      </w:pPr>
      <w:rPr>
        <w:rFonts w:ascii="Courier New" w:hAnsi="Courier New" w:hint="default"/>
      </w:rPr>
    </w:lvl>
    <w:lvl w:ilvl="2" w:tplc="BA12E398">
      <w:start w:val="1"/>
      <w:numFmt w:val="bullet"/>
      <w:lvlText w:val=""/>
      <w:lvlJc w:val="left"/>
      <w:pPr>
        <w:ind w:left="2160" w:hanging="360"/>
      </w:pPr>
      <w:rPr>
        <w:rFonts w:ascii="Wingdings" w:hAnsi="Wingdings" w:hint="default"/>
      </w:rPr>
    </w:lvl>
    <w:lvl w:ilvl="3" w:tplc="F92EEE04">
      <w:start w:val="1"/>
      <w:numFmt w:val="bullet"/>
      <w:lvlText w:val=""/>
      <w:lvlJc w:val="left"/>
      <w:pPr>
        <w:ind w:left="2880" w:hanging="360"/>
      </w:pPr>
      <w:rPr>
        <w:rFonts w:ascii="Symbol" w:hAnsi="Symbol" w:hint="default"/>
      </w:rPr>
    </w:lvl>
    <w:lvl w:ilvl="4" w:tplc="8FC8795A">
      <w:start w:val="1"/>
      <w:numFmt w:val="bullet"/>
      <w:lvlText w:val="o"/>
      <w:lvlJc w:val="left"/>
      <w:pPr>
        <w:ind w:left="3600" w:hanging="360"/>
      </w:pPr>
      <w:rPr>
        <w:rFonts w:ascii="Courier New" w:hAnsi="Courier New" w:hint="default"/>
      </w:rPr>
    </w:lvl>
    <w:lvl w:ilvl="5" w:tplc="DE589454">
      <w:start w:val="1"/>
      <w:numFmt w:val="bullet"/>
      <w:lvlText w:val=""/>
      <w:lvlJc w:val="left"/>
      <w:pPr>
        <w:ind w:left="4320" w:hanging="360"/>
      </w:pPr>
      <w:rPr>
        <w:rFonts w:ascii="Wingdings" w:hAnsi="Wingdings" w:hint="default"/>
      </w:rPr>
    </w:lvl>
    <w:lvl w:ilvl="6" w:tplc="057A9476">
      <w:start w:val="1"/>
      <w:numFmt w:val="bullet"/>
      <w:lvlText w:val=""/>
      <w:lvlJc w:val="left"/>
      <w:pPr>
        <w:ind w:left="5040" w:hanging="360"/>
      </w:pPr>
      <w:rPr>
        <w:rFonts w:ascii="Symbol" w:hAnsi="Symbol" w:hint="default"/>
      </w:rPr>
    </w:lvl>
    <w:lvl w:ilvl="7" w:tplc="FF0619E8">
      <w:start w:val="1"/>
      <w:numFmt w:val="bullet"/>
      <w:lvlText w:val="o"/>
      <w:lvlJc w:val="left"/>
      <w:pPr>
        <w:ind w:left="5760" w:hanging="360"/>
      </w:pPr>
      <w:rPr>
        <w:rFonts w:ascii="Courier New" w:hAnsi="Courier New" w:hint="default"/>
      </w:rPr>
    </w:lvl>
    <w:lvl w:ilvl="8" w:tplc="61E62138">
      <w:start w:val="1"/>
      <w:numFmt w:val="bullet"/>
      <w:lvlText w:val=""/>
      <w:lvlJc w:val="left"/>
      <w:pPr>
        <w:ind w:left="6480" w:hanging="360"/>
      </w:pPr>
      <w:rPr>
        <w:rFonts w:ascii="Wingdings" w:hAnsi="Wingdings" w:hint="default"/>
      </w:rPr>
    </w:lvl>
  </w:abstractNum>
  <w:abstractNum w:abstractNumId="4" w15:restartNumberingAfterBreak="0">
    <w:nsid w:val="39F19F45"/>
    <w:multiLevelType w:val="hybridMultilevel"/>
    <w:tmpl w:val="64187C68"/>
    <w:lvl w:ilvl="0" w:tplc="0D62BF00">
      <w:start w:val="1"/>
      <w:numFmt w:val="bullet"/>
      <w:lvlText w:val=""/>
      <w:lvlJc w:val="left"/>
      <w:pPr>
        <w:ind w:left="720" w:hanging="360"/>
      </w:pPr>
      <w:rPr>
        <w:rFonts w:ascii="Symbol" w:hAnsi="Symbol" w:hint="default"/>
      </w:rPr>
    </w:lvl>
    <w:lvl w:ilvl="1" w:tplc="DDC8EEE8">
      <w:start w:val="1"/>
      <w:numFmt w:val="bullet"/>
      <w:lvlText w:val="o"/>
      <w:lvlJc w:val="left"/>
      <w:pPr>
        <w:ind w:left="1440" w:hanging="360"/>
      </w:pPr>
      <w:rPr>
        <w:rFonts w:ascii="Courier New" w:hAnsi="Courier New" w:hint="default"/>
      </w:rPr>
    </w:lvl>
    <w:lvl w:ilvl="2" w:tplc="C370296C">
      <w:start w:val="1"/>
      <w:numFmt w:val="bullet"/>
      <w:lvlText w:val=""/>
      <w:lvlJc w:val="left"/>
      <w:pPr>
        <w:ind w:left="2160" w:hanging="360"/>
      </w:pPr>
      <w:rPr>
        <w:rFonts w:ascii="Wingdings" w:hAnsi="Wingdings" w:hint="default"/>
      </w:rPr>
    </w:lvl>
    <w:lvl w:ilvl="3" w:tplc="7E28542C">
      <w:start w:val="1"/>
      <w:numFmt w:val="bullet"/>
      <w:lvlText w:val=""/>
      <w:lvlJc w:val="left"/>
      <w:pPr>
        <w:ind w:left="2880" w:hanging="360"/>
      </w:pPr>
      <w:rPr>
        <w:rFonts w:ascii="Symbol" w:hAnsi="Symbol" w:hint="default"/>
      </w:rPr>
    </w:lvl>
    <w:lvl w:ilvl="4" w:tplc="ADE2469C">
      <w:start w:val="1"/>
      <w:numFmt w:val="bullet"/>
      <w:lvlText w:val="o"/>
      <w:lvlJc w:val="left"/>
      <w:pPr>
        <w:ind w:left="3600" w:hanging="360"/>
      </w:pPr>
      <w:rPr>
        <w:rFonts w:ascii="Courier New" w:hAnsi="Courier New" w:hint="default"/>
      </w:rPr>
    </w:lvl>
    <w:lvl w:ilvl="5" w:tplc="53EA97B2">
      <w:start w:val="1"/>
      <w:numFmt w:val="bullet"/>
      <w:lvlText w:val=""/>
      <w:lvlJc w:val="left"/>
      <w:pPr>
        <w:ind w:left="4320" w:hanging="360"/>
      </w:pPr>
      <w:rPr>
        <w:rFonts w:ascii="Wingdings" w:hAnsi="Wingdings" w:hint="default"/>
      </w:rPr>
    </w:lvl>
    <w:lvl w:ilvl="6" w:tplc="082A79F0">
      <w:start w:val="1"/>
      <w:numFmt w:val="bullet"/>
      <w:lvlText w:val=""/>
      <w:lvlJc w:val="left"/>
      <w:pPr>
        <w:ind w:left="5040" w:hanging="360"/>
      </w:pPr>
      <w:rPr>
        <w:rFonts w:ascii="Symbol" w:hAnsi="Symbol" w:hint="default"/>
      </w:rPr>
    </w:lvl>
    <w:lvl w:ilvl="7" w:tplc="6C0C82DA">
      <w:start w:val="1"/>
      <w:numFmt w:val="bullet"/>
      <w:lvlText w:val="o"/>
      <w:lvlJc w:val="left"/>
      <w:pPr>
        <w:ind w:left="5760" w:hanging="360"/>
      </w:pPr>
      <w:rPr>
        <w:rFonts w:ascii="Courier New" w:hAnsi="Courier New" w:hint="default"/>
      </w:rPr>
    </w:lvl>
    <w:lvl w:ilvl="8" w:tplc="6DF6DD94">
      <w:start w:val="1"/>
      <w:numFmt w:val="bullet"/>
      <w:lvlText w:val=""/>
      <w:lvlJc w:val="left"/>
      <w:pPr>
        <w:ind w:left="6480" w:hanging="360"/>
      </w:pPr>
      <w:rPr>
        <w:rFonts w:ascii="Wingdings" w:hAnsi="Wingdings" w:hint="default"/>
      </w:rPr>
    </w:lvl>
  </w:abstractNum>
  <w:abstractNum w:abstractNumId="5" w15:restartNumberingAfterBreak="0">
    <w:nsid w:val="4057374B"/>
    <w:multiLevelType w:val="hybridMultilevel"/>
    <w:tmpl w:val="963C08E4"/>
    <w:lvl w:ilvl="0" w:tplc="6C1023D6">
      <w:start w:val="1"/>
      <w:numFmt w:val="bullet"/>
      <w:lvlText w:val=""/>
      <w:lvlJc w:val="left"/>
      <w:pPr>
        <w:ind w:left="720" w:hanging="360"/>
      </w:pPr>
      <w:rPr>
        <w:rFonts w:ascii="Symbol" w:hAnsi="Symbol" w:hint="default"/>
      </w:rPr>
    </w:lvl>
    <w:lvl w:ilvl="1" w:tplc="1A00DA4E">
      <w:start w:val="1"/>
      <w:numFmt w:val="bullet"/>
      <w:lvlText w:val="o"/>
      <w:lvlJc w:val="left"/>
      <w:pPr>
        <w:ind w:left="1440" w:hanging="360"/>
      </w:pPr>
      <w:rPr>
        <w:rFonts w:ascii="Courier New" w:hAnsi="Courier New" w:hint="default"/>
      </w:rPr>
    </w:lvl>
    <w:lvl w:ilvl="2" w:tplc="5F4E87F2">
      <w:start w:val="1"/>
      <w:numFmt w:val="bullet"/>
      <w:lvlText w:val=""/>
      <w:lvlJc w:val="left"/>
      <w:pPr>
        <w:ind w:left="2160" w:hanging="360"/>
      </w:pPr>
      <w:rPr>
        <w:rFonts w:ascii="Wingdings" w:hAnsi="Wingdings" w:hint="default"/>
      </w:rPr>
    </w:lvl>
    <w:lvl w:ilvl="3" w:tplc="DF045EAC">
      <w:start w:val="1"/>
      <w:numFmt w:val="bullet"/>
      <w:lvlText w:val=""/>
      <w:lvlJc w:val="left"/>
      <w:pPr>
        <w:ind w:left="2880" w:hanging="360"/>
      </w:pPr>
      <w:rPr>
        <w:rFonts w:ascii="Symbol" w:hAnsi="Symbol" w:hint="default"/>
      </w:rPr>
    </w:lvl>
    <w:lvl w:ilvl="4" w:tplc="654E01C8">
      <w:start w:val="1"/>
      <w:numFmt w:val="bullet"/>
      <w:lvlText w:val="o"/>
      <w:lvlJc w:val="left"/>
      <w:pPr>
        <w:ind w:left="3600" w:hanging="360"/>
      </w:pPr>
      <w:rPr>
        <w:rFonts w:ascii="Courier New" w:hAnsi="Courier New" w:hint="default"/>
      </w:rPr>
    </w:lvl>
    <w:lvl w:ilvl="5" w:tplc="C3089F9A">
      <w:start w:val="1"/>
      <w:numFmt w:val="bullet"/>
      <w:lvlText w:val=""/>
      <w:lvlJc w:val="left"/>
      <w:pPr>
        <w:ind w:left="4320" w:hanging="360"/>
      </w:pPr>
      <w:rPr>
        <w:rFonts w:ascii="Wingdings" w:hAnsi="Wingdings" w:hint="default"/>
      </w:rPr>
    </w:lvl>
    <w:lvl w:ilvl="6" w:tplc="706EB02C">
      <w:start w:val="1"/>
      <w:numFmt w:val="bullet"/>
      <w:lvlText w:val=""/>
      <w:lvlJc w:val="left"/>
      <w:pPr>
        <w:ind w:left="5040" w:hanging="360"/>
      </w:pPr>
      <w:rPr>
        <w:rFonts w:ascii="Symbol" w:hAnsi="Symbol" w:hint="default"/>
      </w:rPr>
    </w:lvl>
    <w:lvl w:ilvl="7" w:tplc="2536FB74">
      <w:start w:val="1"/>
      <w:numFmt w:val="bullet"/>
      <w:lvlText w:val="o"/>
      <w:lvlJc w:val="left"/>
      <w:pPr>
        <w:ind w:left="5760" w:hanging="360"/>
      </w:pPr>
      <w:rPr>
        <w:rFonts w:ascii="Courier New" w:hAnsi="Courier New" w:hint="default"/>
      </w:rPr>
    </w:lvl>
    <w:lvl w:ilvl="8" w:tplc="4C385B90">
      <w:start w:val="1"/>
      <w:numFmt w:val="bullet"/>
      <w:lvlText w:val=""/>
      <w:lvlJc w:val="left"/>
      <w:pPr>
        <w:ind w:left="6480" w:hanging="360"/>
      </w:pPr>
      <w:rPr>
        <w:rFonts w:ascii="Wingdings" w:hAnsi="Wingdings" w:hint="default"/>
      </w:rPr>
    </w:lvl>
  </w:abstractNum>
  <w:abstractNum w:abstractNumId="6" w15:restartNumberingAfterBreak="0">
    <w:nsid w:val="6571E478"/>
    <w:multiLevelType w:val="hybridMultilevel"/>
    <w:tmpl w:val="92BCAA30"/>
    <w:lvl w:ilvl="0" w:tplc="900A3860">
      <w:start w:val="1"/>
      <w:numFmt w:val="bullet"/>
      <w:lvlText w:val=""/>
      <w:lvlJc w:val="left"/>
      <w:pPr>
        <w:ind w:left="720" w:hanging="360"/>
      </w:pPr>
      <w:rPr>
        <w:rFonts w:ascii="Symbol" w:hAnsi="Symbol" w:hint="default"/>
      </w:rPr>
    </w:lvl>
    <w:lvl w:ilvl="1" w:tplc="073CCF0A">
      <w:start w:val="1"/>
      <w:numFmt w:val="bullet"/>
      <w:lvlText w:val="o"/>
      <w:lvlJc w:val="left"/>
      <w:pPr>
        <w:ind w:left="1440" w:hanging="360"/>
      </w:pPr>
      <w:rPr>
        <w:rFonts w:ascii="Courier New" w:hAnsi="Courier New" w:hint="default"/>
      </w:rPr>
    </w:lvl>
    <w:lvl w:ilvl="2" w:tplc="5CE2C0EC">
      <w:start w:val="1"/>
      <w:numFmt w:val="bullet"/>
      <w:lvlText w:val=""/>
      <w:lvlJc w:val="left"/>
      <w:pPr>
        <w:ind w:left="2160" w:hanging="360"/>
      </w:pPr>
      <w:rPr>
        <w:rFonts w:ascii="Wingdings" w:hAnsi="Wingdings" w:hint="default"/>
      </w:rPr>
    </w:lvl>
    <w:lvl w:ilvl="3" w:tplc="ACCA41A2">
      <w:start w:val="1"/>
      <w:numFmt w:val="bullet"/>
      <w:lvlText w:val=""/>
      <w:lvlJc w:val="left"/>
      <w:pPr>
        <w:ind w:left="2880" w:hanging="360"/>
      </w:pPr>
      <w:rPr>
        <w:rFonts w:ascii="Symbol" w:hAnsi="Symbol" w:hint="default"/>
      </w:rPr>
    </w:lvl>
    <w:lvl w:ilvl="4" w:tplc="5E02EEA8">
      <w:start w:val="1"/>
      <w:numFmt w:val="bullet"/>
      <w:lvlText w:val="o"/>
      <w:lvlJc w:val="left"/>
      <w:pPr>
        <w:ind w:left="3600" w:hanging="360"/>
      </w:pPr>
      <w:rPr>
        <w:rFonts w:ascii="Courier New" w:hAnsi="Courier New" w:hint="default"/>
      </w:rPr>
    </w:lvl>
    <w:lvl w:ilvl="5" w:tplc="610EBAE8">
      <w:start w:val="1"/>
      <w:numFmt w:val="bullet"/>
      <w:lvlText w:val=""/>
      <w:lvlJc w:val="left"/>
      <w:pPr>
        <w:ind w:left="4320" w:hanging="360"/>
      </w:pPr>
      <w:rPr>
        <w:rFonts w:ascii="Wingdings" w:hAnsi="Wingdings" w:hint="default"/>
      </w:rPr>
    </w:lvl>
    <w:lvl w:ilvl="6" w:tplc="F1B67330">
      <w:start w:val="1"/>
      <w:numFmt w:val="bullet"/>
      <w:lvlText w:val=""/>
      <w:lvlJc w:val="left"/>
      <w:pPr>
        <w:ind w:left="5040" w:hanging="360"/>
      </w:pPr>
      <w:rPr>
        <w:rFonts w:ascii="Symbol" w:hAnsi="Symbol" w:hint="default"/>
      </w:rPr>
    </w:lvl>
    <w:lvl w:ilvl="7" w:tplc="8A30F502">
      <w:start w:val="1"/>
      <w:numFmt w:val="bullet"/>
      <w:lvlText w:val="o"/>
      <w:lvlJc w:val="left"/>
      <w:pPr>
        <w:ind w:left="5760" w:hanging="360"/>
      </w:pPr>
      <w:rPr>
        <w:rFonts w:ascii="Courier New" w:hAnsi="Courier New" w:hint="default"/>
      </w:rPr>
    </w:lvl>
    <w:lvl w:ilvl="8" w:tplc="E71C9D22">
      <w:start w:val="1"/>
      <w:numFmt w:val="bullet"/>
      <w:lvlText w:val=""/>
      <w:lvlJc w:val="left"/>
      <w:pPr>
        <w:ind w:left="6480" w:hanging="360"/>
      </w:pPr>
      <w:rPr>
        <w:rFonts w:ascii="Wingdings" w:hAnsi="Wingdings" w:hint="default"/>
      </w:rPr>
    </w:lvl>
  </w:abstractNum>
  <w:num w:numId="1" w16cid:durableId="1597904325">
    <w:abstractNumId w:val="5"/>
  </w:num>
  <w:num w:numId="2" w16cid:durableId="1053843342">
    <w:abstractNumId w:val="2"/>
  </w:num>
  <w:num w:numId="3" w16cid:durableId="1561331861">
    <w:abstractNumId w:val="4"/>
  </w:num>
  <w:num w:numId="4" w16cid:durableId="2031757827">
    <w:abstractNumId w:val="6"/>
  </w:num>
  <w:num w:numId="5" w16cid:durableId="277183660">
    <w:abstractNumId w:val="3"/>
  </w:num>
  <w:num w:numId="6" w16cid:durableId="857352812">
    <w:abstractNumId w:val="1"/>
  </w:num>
  <w:num w:numId="7" w16cid:durableId="516164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BDCDFC"/>
    <w:rsid w:val="00066EE1"/>
    <w:rsid w:val="000F498B"/>
    <w:rsid w:val="00114661"/>
    <w:rsid w:val="002012C7"/>
    <w:rsid w:val="0032615D"/>
    <w:rsid w:val="00334294"/>
    <w:rsid w:val="00370C7D"/>
    <w:rsid w:val="00391C8F"/>
    <w:rsid w:val="00400B80"/>
    <w:rsid w:val="004726B0"/>
    <w:rsid w:val="004C33B0"/>
    <w:rsid w:val="005128F1"/>
    <w:rsid w:val="00526E8F"/>
    <w:rsid w:val="0057161B"/>
    <w:rsid w:val="00582C6B"/>
    <w:rsid w:val="00636E47"/>
    <w:rsid w:val="00644D99"/>
    <w:rsid w:val="0065CE8A"/>
    <w:rsid w:val="006D2F05"/>
    <w:rsid w:val="006D4D11"/>
    <w:rsid w:val="006F78EE"/>
    <w:rsid w:val="00722965"/>
    <w:rsid w:val="0075333B"/>
    <w:rsid w:val="008337DE"/>
    <w:rsid w:val="008A5153"/>
    <w:rsid w:val="008D5514"/>
    <w:rsid w:val="008E19B1"/>
    <w:rsid w:val="008F7DBB"/>
    <w:rsid w:val="00926165"/>
    <w:rsid w:val="009D35BC"/>
    <w:rsid w:val="00A12EEC"/>
    <w:rsid w:val="00A167C9"/>
    <w:rsid w:val="00AD2DF1"/>
    <w:rsid w:val="00C44192"/>
    <w:rsid w:val="00C72255"/>
    <w:rsid w:val="00CE42FA"/>
    <w:rsid w:val="00D26927"/>
    <w:rsid w:val="00DF1C0C"/>
    <w:rsid w:val="00F10682"/>
    <w:rsid w:val="00F319CE"/>
    <w:rsid w:val="01087E52"/>
    <w:rsid w:val="0145657D"/>
    <w:rsid w:val="017A9A00"/>
    <w:rsid w:val="01DB9BEC"/>
    <w:rsid w:val="03FF9B42"/>
    <w:rsid w:val="041E9F57"/>
    <w:rsid w:val="0637D259"/>
    <w:rsid w:val="07371569"/>
    <w:rsid w:val="079DAD9C"/>
    <w:rsid w:val="083BBFBB"/>
    <w:rsid w:val="08B6BC39"/>
    <w:rsid w:val="0A9DB5E3"/>
    <w:rsid w:val="0DA235AB"/>
    <w:rsid w:val="0DC62CB9"/>
    <w:rsid w:val="0E598784"/>
    <w:rsid w:val="0EF993B1"/>
    <w:rsid w:val="0FA2BEDA"/>
    <w:rsid w:val="0FABE6EF"/>
    <w:rsid w:val="105230E4"/>
    <w:rsid w:val="11C66803"/>
    <w:rsid w:val="12016B3D"/>
    <w:rsid w:val="122B6003"/>
    <w:rsid w:val="144D479D"/>
    <w:rsid w:val="1463E1F1"/>
    <w:rsid w:val="1467AE1B"/>
    <w:rsid w:val="14968C6C"/>
    <w:rsid w:val="15F0EBCD"/>
    <w:rsid w:val="1732C6D1"/>
    <w:rsid w:val="1840F12C"/>
    <w:rsid w:val="1A541151"/>
    <w:rsid w:val="1AB287BF"/>
    <w:rsid w:val="1B3C94B4"/>
    <w:rsid w:val="1C6D46DE"/>
    <w:rsid w:val="1E39A07B"/>
    <w:rsid w:val="1E70A534"/>
    <w:rsid w:val="1E86D564"/>
    <w:rsid w:val="1E8CA619"/>
    <w:rsid w:val="1F767237"/>
    <w:rsid w:val="1F867ED0"/>
    <w:rsid w:val="1FC80117"/>
    <w:rsid w:val="209BD426"/>
    <w:rsid w:val="21A6EC9D"/>
    <w:rsid w:val="224CA9A7"/>
    <w:rsid w:val="22CEB3BA"/>
    <w:rsid w:val="22D7FBFF"/>
    <w:rsid w:val="231CDA1D"/>
    <w:rsid w:val="235EB4B7"/>
    <w:rsid w:val="243D30C4"/>
    <w:rsid w:val="2570E81E"/>
    <w:rsid w:val="26284922"/>
    <w:rsid w:val="28C4E0CE"/>
    <w:rsid w:val="29717DEA"/>
    <w:rsid w:val="2AE5DF82"/>
    <w:rsid w:val="2BAE9DC0"/>
    <w:rsid w:val="2BE7E253"/>
    <w:rsid w:val="2EBF733F"/>
    <w:rsid w:val="2F0B451E"/>
    <w:rsid w:val="30E66303"/>
    <w:rsid w:val="3109BD4E"/>
    <w:rsid w:val="311E70FD"/>
    <w:rsid w:val="31F789AD"/>
    <w:rsid w:val="3290C6AA"/>
    <w:rsid w:val="32E8809D"/>
    <w:rsid w:val="33EEC336"/>
    <w:rsid w:val="341ABF04"/>
    <w:rsid w:val="345AF166"/>
    <w:rsid w:val="349109CB"/>
    <w:rsid w:val="354BE844"/>
    <w:rsid w:val="355964D4"/>
    <w:rsid w:val="358FBF3F"/>
    <w:rsid w:val="35CCDEFB"/>
    <w:rsid w:val="36334918"/>
    <w:rsid w:val="3641FB7B"/>
    <w:rsid w:val="3824F526"/>
    <w:rsid w:val="382A89FD"/>
    <w:rsid w:val="3861B918"/>
    <w:rsid w:val="38DAFFFA"/>
    <w:rsid w:val="3915E527"/>
    <w:rsid w:val="3AF069EF"/>
    <w:rsid w:val="3B0BAB33"/>
    <w:rsid w:val="3B621936"/>
    <w:rsid w:val="3BD51801"/>
    <w:rsid w:val="3C082FF3"/>
    <w:rsid w:val="3C829216"/>
    <w:rsid w:val="3CEFC025"/>
    <w:rsid w:val="3D0A1B41"/>
    <w:rsid w:val="3D5D24E6"/>
    <w:rsid w:val="3DB360A9"/>
    <w:rsid w:val="3DC6473B"/>
    <w:rsid w:val="3E769F79"/>
    <w:rsid w:val="3EB00AB0"/>
    <w:rsid w:val="3F036736"/>
    <w:rsid w:val="3F381621"/>
    <w:rsid w:val="3F743161"/>
    <w:rsid w:val="408FBD83"/>
    <w:rsid w:val="41DD372E"/>
    <w:rsid w:val="433CAB55"/>
    <w:rsid w:val="435B1E1B"/>
    <w:rsid w:val="452583F0"/>
    <w:rsid w:val="459B4373"/>
    <w:rsid w:val="45AFF095"/>
    <w:rsid w:val="46578FA0"/>
    <w:rsid w:val="475E9461"/>
    <w:rsid w:val="48B60ECD"/>
    <w:rsid w:val="48D3A0F4"/>
    <w:rsid w:val="494CA488"/>
    <w:rsid w:val="4982735E"/>
    <w:rsid w:val="4B447DB1"/>
    <w:rsid w:val="4BBB1005"/>
    <w:rsid w:val="4C2D4E5E"/>
    <w:rsid w:val="4CCEAD84"/>
    <w:rsid w:val="4DE7A886"/>
    <w:rsid w:val="4E5848F1"/>
    <w:rsid w:val="4F6E942B"/>
    <w:rsid w:val="4F810168"/>
    <w:rsid w:val="507D64BC"/>
    <w:rsid w:val="51CABF0E"/>
    <w:rsid w:val="52578EEA"/>
    <w:rsid w:val="52A9DC2E"/>
    <w:rsid w:val="5419DA79"/>
    <w:rsid w:val="54F170A8"/>
    <w:rsid w:val="550A3D36"/>
    <w:rsid w:val="574D14EF"/>
    <w:rsid w:val="579D3894"/>
    <w:rsid w:val="57D43882"/>
    <w:rsid w:val="5828E170"/>
    <w:rsid w:val="58EEB9A2"/>
    <w:rsid w:val="597D68F7"/>
    <w:rsid w:val="5988084E"/>
    <w:rsid w:val="5A15DDEA"/>
    <w:rsid w:val="5A290191"/>
    <w:rsid w:val="5A4E5C05"/>
    <w:rsid w:val="5A5449BA"/>
    <w:rsid w:val="5AA4092B"/>
    <w:rsid w:val="5ABDCDFC"/>
    <w:rsid w:val="5B746061"/>
    <w:rsid w:val="5B7C70CB"/>
    <w:rsid w:val="5CE96A7B"/>
    <w:rsid w:val="5FAAE778"/>
    <w:rsid w:val="60765DBC"/>
    <w:rsid w:val="612AA7C2"/>
    <w:rsid w:val="61338169"/>
    <w:rsid w:val="629CF825"/>
    <w:rsid w:val="63561C6F"/>
    <w:rsid w:val="6430CF6B"/>
    <w:rsid w:val="64446B07"/>
    <w:rsid w:val="646F6759"/>
    <w:rsid w:val="6532C504"/>
    <w:rsid w:val="65345C36"/>
    <w:rsid w:val="666AB6D5"/>
    <w:rsid w:val="666B6CB3"/>
    <w:rsid w:val="67E7C8DB"/>
    <w:rsid w:val="692F6229"/>
    <w:rsid w:val="69A1C452"/>
    <w:rsid w:val="69E6ACC8"/>
    <w:rsid w:val="6A4EFB29"/>
    <w:rsid w:val="6A73D05B"/>
    <w:rsid w:val="6B8DA1A8"/>
    <w:rsid w:val="6C833D07"/>
    <w:rsid w:val="6CCFD1B8"/>
    <w:rsid w:val="6DAF02A7"/>
    <w:rsid w:val="6EC81D63"/>
    <w:rsid w:val="6EFE1F0D"/>
    <w:rsid w:val="6F332892"/>
    <w:rsid w:val="6FE8DCA1"/>
    <w:rsid w:val="703BD7E3"/>
    <w:rsid w:val="710378DC"/>
    <w:rsid w:val="71452D7E"/>
    <w:rsid w:val="718C8844"/>
    <w:rsid w:val="71EC2FCC"/>
    <w:rsid w:val="723C2F28"/>
    <w:rsid w:val="72A850F7"/>
    <w:rsid w:val="73299021"/>
    <w:rsid w:val="732E5A08"/>
    <w:rsid w:val="74066823"/>
    <w:rsid w:val="74BC1B0A"/>
    <w:rsid w:val="76B14EBA"/>
    <w:rsid w:val="77393860"/>
    <w:rsid w:val="77E704C4"/>
    <w:rsid w:val="78573ED8"/>
    <w:rsid w:val="7880D006"/>
    <w:rsid w:val="78902C28"/>
    <w:rsid w:val="789DDB33"/>
    <w:rsid w:val="7A089A7A"/>
    <w:rsid w:val="7AABDDDF"/>
    <w:rsid w:val="7D04305C"/>
    <w:rsid w:val="7D0FD4DD"/>
    <w:rsid w:val="7D132ADF"/>
    <w:rsid w:val="7E73289E"/>
    <w:rsid w:val="7ED51660"/>
    <w:rsid w:val="7F16D17F"/>
    <w:rsid w:val="7F4D58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DCDFC"/>
  <w15:chartTrackingRefBased/>
  <w15:docId w15:val="{4C910B6D-F0C8-4DEE-B035-0FCAF2AD7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4E5848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E5848F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AABDDDF"/>
    <w:pPr>
      <w:ind w:left="720"/>
      <w:contextualSpacing/>
    </w:pPr>
  </w:style>
  <w:style w:type="character" w:styleId="Hyperlink">
    <w:name w:val="Hyperlink"/>
    <w:basedOn w:val="DefaultParagraphFont"/>
    <w:uiPriority w:val="99"/>
    <w:unhideWhenUsed/>
    <w:rsid w:val="4E5848F1"/>
    <w:rPr>
      <w:color w:val="467886"/>
      <w:u w:val="single"/>
    </w:rPr>
  </w:style>
  <w:style w:type="paragraph" w:styleId="Subtitle">
    <w:name w:val="Subtitle"/>
    <w:basedOn w:val="Normal"/>
    <w:next w:val="Normal"/>
    <w:uiPriority w:val="11"/>
    <w:qFormat/>
    <w:rsid w:val="4E5848F1"/>
    <w:rPr>
      <w:rFonts w:eastAsiaTheme="majorEastAsia" w:cstheme="majorBidi"/>
      <w:color w:val="595959" w:themeColor="text1" w:themeTint="A6"/>
      <w:sz w:val="28"/>
      <w:szCs w:val="28"/>
    </w:rPr>
  </w:style>
  <w:style w:type="paragraph" w:styleId="TOC3">
    <w:name w:val="toc 3"/>
    <w:basedOn w:val="Normal"/>
    <w:next w:val="Normal"/>
    <w:uiPriority w:val="39"/>
    <w:unhideWhenUsed/>
    <w:rsid w:val="4E5848F1"/>
    <w:pPr>
      <w:spacing w:after="100"/>
      <w:ind w:left="440"/>
    </w:pPr>
  </w:style>
  <w:style w:type="character" w:styleId="UnresolvedMention">
    <w:name w:val="Unresolved Mention"/>
    <w:basedOn w:val="DefaultParagraphFont"/>
    <w:uiPriority w:val="99"/>
    <w:semiHidden/>
    <w:unhideWhenUsed/>
    <w:rsid w:val="00C44192"/>
    <w:rPr>
      <w:color w:val="605E5C"/>
      <w:shd w:val="clear" w:color="auto" w:fill="E1DFDD"/>
    </w:rPr>
  </w:style>
  <w:style w:type="character" w:styleId="FollowedHyperlink">
    <w:name w:val="FollowedHyperlink"/>
    <w:basedOn w:val="DefaultParagraphFont"/>
    <w:uiPriority w:val="99"/>
    <w:semiHidden/>
    <w:unhideWhenUsed/>
    <w:rsid w:val="006D2F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292-023-09595-5" TargetMode="External"/><Relationship Id="rId13" Type="http://schemas.openxmlformats.org/officeDocument/2006/relationships/hyperlink" Target="https://commonslibrary.parliament.uk/research-briefings/sn03878/" TargetMode="External"/><Relationship Id="rId18" Type="http://schemas.openxmlformats.org/officeDocument/2006/relationships/hyperlink" Target="https://www.grammarly.com/" TargetMode="Externa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doi.org/10.1080/10439460802457594" TargetMode="External"/><Relationship Id="rId12" Type="http://schemas.openxmlformats.org/officeDocument/2006/relationships/hyperlink" Target="https://www.gov.uk/government/statistics/stop-and-search-arrests-and-mental-health-detentions-march-2024/police-powers-and-procedures-stop-and-search-arrests-and-mental-health-detentions-england-and-wales-year-ending-31-march-2024" TargetMode="External"/><Relationship Id="rId17" Type="http://schemas.openxmlformats.org/officeDocument/2006/relationships/hyperlink" Target="https://doi.org/10.1057/s41599-018-0191-y" TargetMode="External"/><Relationship Id="rId2" Type="http://schemas.openxmlformats.org/officeDocument/2006/relationships/styles" Target="styles.xml"/><Relationship Id="rId16" Type="http://schemas.openxmlformats.org/officeDocument/2006/relationships/hyperlink" Target="https://doi.org/10.1093/bjc/azaa09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93/police/paq004" TargetMode="External"/><Relationship Id="rId11" Type="http://schemas.openxmlformats.org/officeDocument/2006/relationships/hyperlink" Target="https://www.gov.uk/government/publications/best-use-of-stop-and-search-scheme" TargetMode="External"/><Relationship Id="rId5" Type="http://schemas.openxmlformats.org/officeDocument/2006/relationships/hyperlink" Target="https://www.tandfonline.com/doi/full/10.1080/10439463.2012.724068" TargetMode="External"/><Relationship Id="rId15" Type="http://schemas.openxmlformats.org/officeDocument/2006/relationships/hyperlink" Target="https://www.researchgate.net/publication/341163693_Legal_Socialization" TargetMode="External"/><Relationship Id="rId10" Type="http://schemas.openxmlformats.org/officeDocument/2006/relationships/hyperlink" Target="https://hmicfrs.justiceinspectorates.gov.uk/publications/state-of-policing-the-annual-assessment-of-policing-in-england-and-wales-202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micfrs.justiceinspectorates.gov.uk/publications/state-of-policing-the-annual-assessment-of-policing-in-england-and-wales-2021/" TargetMode="External"/><Relationship Id="rId14" Type="http://schemas.openxmlformats.org/officeDocument/2006/relationships/hyperlink" Target="https://doi.org/10.1080/13619462.2018.1434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4515</Words>
  <Characters>25741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Jones (2500925)</dc:creator>
  <cp:keywords/>
  <dc:description/>
  <cp:lastModifiedBy>Leah Jones</cp:lastModifiedBy>
  <cp:revision>2</cp:revision>
  <dcterms:created xsi:type="dcterms:W3CDTF">2026-03-19T20:55:00Z</dcterms:created>
  <dcterms:modified xsi:type="dcterms:W3CDTF">2026-03-19T20:55:00Z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825c7adc-5644-47d7-9b1f-48b93b85ba2f</vt:lpwstr>
  </property>
</Properties>
</file>