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3D6100" w14:textId="5C4A63E2" w:rsidR="00530E16" w:rsidRDefault="004468F8">
      <w:pPr>
        <w:pBdr>
          <w:top w:val="nil"/>
          <w:left w:val="nil"/>
          <w:bottom w:val="nil"/>
          <w:right w:val="nil"/>
          <w:between w:val="nil"/>
        </w:pBdr>
        <w:spacing w:after="0" w:line="240" w:lineRule="auto"/>
        <w:rPr>
          <w:rFonts w:ascii="Arial" w:eastAsia="Arial" w:hAnsi="Arial" w:cs="Arial"/>
          <w:color w:val="000000" w:themeColor="text1"/>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noProof/>
        </w:rPr>
        <mc:AlternateContent>
          <mc:Choice Requires="wps">
            <w:drawing>
              <wp:inline distT="0" distB="0" distL="114300" distR="114300" wp14:anchorId="301ABE98" wp14:editId="4E099AFD">
                <wp:extent cx="3667125" cy="375285"/>
                <wp:effectExtent l="0" t="0" r="0" b="0"/>
                <wp:docPr id="89782961"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inline>
            </w:drawing>
          </mc:Choice>
          <mc:Fallback xmlns:a="http://schemas.openxmlformats.org/drawingml/2006/main" xmlns:arto="http://schemas.microsoft.com/office/word/2006/arto">
            <w:pict xmlns:w="http://schemas.openxmlformats.org/wordprocessingml/2006/main">
              <v:rect xmlns:w14="http://schemas.microsoft.com/office/word/2010/wordml" xmlns:o="urn:schemas-microsoft-com:office:office" xmlns:v="urn:schemas-microsoft-com:vml"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w14:anchorId="0AAFA9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">
                <v:textbox inset="0,0,0,0">
                  <w:txbxContent>
                    <w:p w:rsidR="00530E16" w:rsidRDefault="004468F8" w14:paraId="0CAB1EB1"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1BC5148A" w14:textId="77777777">
                      <w:pPr>
                        <w:spacing w:after="0" w:line="240" w:lineRule="auto"/>
                        <w:textDirection w:val="btLr"/>
                      </w:pPr>
                      <w:r>
                        <w:rPr>
                          <w:rFonts w:ascii="Arial" w:hAnsi="Arial" w:eastAsia="Arial" w:cs="Arial"/>
                          <w:smallCaps/>
                          <w:color w:val="595959"/>
                          <w:sz w:val="20"/>
                        </w:rPr>
                        <w:t>LONDON CAMPUS</w:t>
                      </w:r>
                    </w:p>
                  </w:txbxContent>
                </v:textbox>
                <w10:wrap xmlns:w10="urn:schemas-microsoft-com:office:word" anchorx="page" anchory="page"/>
              </v:rect>
            </w:pict>
          </mc:Fallback>
        </mc:AlternateContent>
      </w:r>
    </w:p>
    <w:p w14:paraId="6DDA4733" w14:textId="3EFFCE63" w:rsidR="00530E16" w:rsidRDefault="004468F8" w:rsidP="3FDAAFBE">
      <w:pPr>
        <w:spacing w:after="0" w:line="240" w:lineRule="auto"/>
        <w:rPr>
          <w:rFonts w:ascii="Play" w:eastAsia="Play" w:hAnsi="Play" w:cs="Play"/>
          <w:color w:val="0F4761"/>
          <w:sz w:val="32"/>
          <w:szCs w:val="32"/>
        </w:rPr>
      </w:pPr>
      <w:r>
        <w:rPr>
          <w:noProof/>
        </w:rPr>
        <mc:AlternateContent>
          <mc:Choice Requires="wps">
            <w:drawing>
              <wp:inline distT="0" distB="0" distL="114300" distR="114300" wp14:anchorId="2CB99DCE" wp14:editId="4AAAA458">
                <wp:extent cx="5791200" cy="3095625"/>
                <wp:effectExtent l="0" t="0" r="0" b="0"/>
                <wp:docPr id="1681899731"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DB63B79" w:rsidR="00530E16" w:rsidRDefault="004468F8">
                            <w:pPr>
                              <w:spacing w:before="120" w:line="277" w:lineRule="auto"/>
                              <w:textDirection w:val="btLr"/>
                            </w:pPr>
                            <w:r>
                              <w:rPr>
                                <w:color w:val="404040"/>
                                <w:sz w:val="36"/>
                              </w:rPr>
                              <w:t xml:space="preserve">Student name: </w:t>
                            </w:r>
                            <w:r w:rsidR="00941CF5">
                              <w:rPr>
                                <w:color w:val="404040"/>
                                <w:sz w:val="36"/>
                              </w:rPr>
                              <w:t xml:space="preserve">MOUSTAPHA NDIAYE </w:t>
                            </w:r>
                          </w:p>
                          <w:p w14:paraId="07714B75" w14:textId="2FA3F76D" w:rsidR="00530E16" w:rsidRDefault="004468F8">
                            <w:pPr>
                              <w:spacing w:before="120" w:line="277" w:lineRule="auto"/>
                              <w:textDirection w:val="btLr"/>
                            </w:pPr>
                            <w:r>
                              <w:rPr>
                                <w:color w:val="404040"/>
                                <w:sz w:val="36"/>
                              </w:rPr>
                              <w:t>Student ID:</w:t>
                            </w:r>
                            <w:r w:rsidR="003510B1">
                              <w:rPr>
                                <w:color w:val="404040"/>
                                <w:sz w:val="36"/>
                              </w:rPr>
                              <w:t>2540504</w:t>
                            </w:r>
                          </w:p>
                          <w:p w14:paraId="20688A91" w14:textId="03414CC3" w:rsidR="00530E16" w:rsidRDefault="004468F8">
                            <w:pPr>
                              <w:spacing w:before="120" w:line="277" w:lineRule="auto"/>
                              <w:textDirection w:val="btLr"/>
                            </w:pPr>
                            <w:r>
                              <w:rPr>
                                <w:color w:val="404040"/>
                                <w:sz w:val="36"/>
                              </w:rPr>
                              <w:t xml:space="preserve">Lecturer’s Name: </w:t>
                            </w:r>
                            <w:r w:rsidR="00702D10">
                              <w:rPr>
                                <w:color w:val="404040"/>
                                <w:sz w:val="36"/>
                              </w:rPr>
                              <w:t xml:space="preserve">Amitave </w:t>
                            </w:r>
                            <w:r w:rsidR="00E60AA6">
                              <w:rPr>
                                <w:color w:val="404040"/>
                                <w:sz w:val="36"/>
                              </w:rPr>
                              <w:t xml:space="preserve">Banik </w:t>
                            </w:r>
                          </w:p>
                        </w:txbxContent>
                      </wps:txbx>
                      <wps:bodyPr spcFirstLastPara="1" wrap="square" lIns="0" tIns="0" rIns="0" bIns="0" anchor="t" anchorCtr="0">
                        <a:noAutofit/>
                      </wps:bodyPr>
                    </wps:wsp>
                  </a:graphicData>
                </a:graphic>
              </wp:inline>
            </w:drawing>
          </mc:Choice>
          <mc:Fallback xmlns:a="http://schemas.openxmlformats.org/drawingml/2006/main" xmlns:arto="http://schemas.microsoft.com/office/word/2006/arto">
            <w:pict xmlns:w="http://schemas.openxmlformats.org/wordprocessingml/2006/main">
              <v:rect xmlns:w14="http://schemas.microsoft.com/office/word/2010/wordml" xmlns:o="urn:schemas-microsoft-com:office:office" xmlns:v="urn:schemas-microsoft-com:vml" id="Rectangle 33"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w14:anchorId="76713F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">
                <v:textbox inset="0,0,0,0">
                  <w:txbxContent>
                    <w:p w:rsidR="00530E16" w:rsidRDefault="004468F8" w14:paraId="27475F86" w14:textId="77777777">
                      <w:pPr>
                        <w:spacing w:after="0" w:line="240" w:lineRule="auto"/>
                        <w:textDirection w:val="btLr"/>
                      </w:pPr>
                      <w:r>
                        <w:rPr>
                          <w:rFonts w:ascii="Play" w:hAnsi="Play" w:eastAsia="Play" w:cs="Play"/>
                          <w:color w:val="262626"/>
                          <w:sz w:val="72"/>
                        </w:rPr>
                        <w:t>Individual Report</w:t>
                      </w:r>
                    </w:p>
                    <w:p w:rsidR="00530E16" w:rsidRDefault="004468F8" w14:paraId="78285425" w14:textId="77777777">
                      <w:pPr>
                        <w:spacing w:before="120" w:line="277" w:lineRule="auto"/>
                        <w:textDirection w:val="btLr"/>
                      </w:pPr>
                      <w:r>
                        <w:rPr>
                          <w:color w:val="404040"/>
                          <w:sz w:val="36"/>
                        </w:rPr>
                        <w:t>Module Name: Digital Skills and Research Methods</w:t>
                      </w:r>
                    </w:p>
                    <w:p w:rsidR="00530E16" w:rsidRDefault="004468F8" w14:paraId="3E30FFAF" w14:textId="77777777">
                      <w:pPr>
                        <w:spacing w:before="120" w:line="277" w:lineRule="auto"/>
                        <w:textDirection w:val="btLr"/>
                      </w:pPr>
                      <w:r>
                        <w:rPr>
                          <w:color w:val="404040"/>
                          <w:sz w:val="36"/>
                        </w:rPr>
                        <w:t>Module Code: LCHS 4007</w:t>
                      </w:r>
                    </w:p>
                    <w:p w:rsidR="00530E16" w:rsidRDefault="004468F8" w14:paraId="78CDBA4E" w14:textId="3DB63B79">
                      <w:pPr>
                        <w:spacing w:before="120" w:line="277" w:lineRule="auto"/>
                        <w:textDirection w:val="btLr"/>
                      </w:pPr>
                      <w:r>
                        <w:rPr>
                          <w:color w:val="404040"/>
                          <w:sz w:val="36"/>
                        </w:rPr>
                        <w:t xml:space="preserve">Student name: </w:t>
                      </w:r>
                      <w:r w:rsidR="00941CF5">
                        <w:rPr>
                          <w:color w:val="404040"/>
                          <w:sz w:val="36"/>
                        </w:rPr>
                        <w:t xml:space="preserve">MOUSTAPHA NDIAYE </w:t>
                      </w:r>
                    </w:p>
                    <w:p w:rsidR="00530E16" w:rsidRDefault="004468F8" w14:paraId="07714B75" w14:textId="2FA3F76D">
                      <w:pPr>
                        <w:spacing w:before="120" w:line="277" w:lineRule="auto"/>
                        <w:textDirection w:val="btLr"/>
                      </w:pPr>
                      <w:r>
                        <w:rPr>
                          <w:color w:val="404040"/>
                          <w:sz w:val="36"/>
                        </w:rPr>
                        <w:t xml:space="preserve">Student </w:t>
                      </w:r>
                      <w:r>
                        <w:rPr>
                          <w:color w:val="404040"/>
                          <w:sz w:val="36"/>
                        </w:rPr>
                        <w:t>ID:</w:t>
                      </w:r>
                      <w:r w:rsidR="003510B1">
                        <w:rPr>
                          <w:color w:val="404040"/>
                          <w:sz w:val="36"/>
                        </w:rPr>
                        <w:t>2540504</w:t>
                      </w:r>
                    </w:p>
                    <w:p w:rsidR="00530E16" w:rsidRDefault="004468F8" w14:paraId="20688A91" w14:textId="03414CC3">
                      <w:pPr>
                        <w:spacing w:before="120" w:line="277" w:lineRule="auto"/>
                        <w:textDirection w:val="btLr"/>
                      </w:pPr>
                      <w:r>
                        <w:rPr>
                          <w:color w:val="404040"/>
                          <w:sz w:val="36"/>
                        </w:rPr>
                        <w:t xml:space="preserve">Lecturer’s Name: </w:t>
                      </w:r>
                      <w:r w:rsidR="00702D10">
                        <w:rPr>
                          <w:color w:val="404040"/>
                          <w:sz w:val="36"/>
                        </w:rPr>
                        <w:t xml:space="preserve">Amitave </w:t>
                      </w:r>
                      <w:r w:rsidR="00E60AA6">
                        <w:rPr>
                          <w:color w:val="404040"/>
                          <w:sz w:val="36"/>
                        </w:rPr>
                        <w:t xml:space="preserve">Banik </w:t>
                      </w:r>
                    </w:p>
                  </w:txbxContent>
                </v:textbox>
                <w10:wrap xmlns:w10="urn:schemas-microsoft-com:office:word" anchorx="page" anchory="page"/>
              </v:rect>
            </w:pict>
          </mc:Fallback>
        </mc:AlternateContent>
      </w:r>
      <w:r>
        <w:br w:type="page"/>
      </w:r>
      <w:r w:rsidRPr="3FDAAFBE">
        <w:rPr>
          <w:rFonts w:ascii="Play" w:eastAsia="Play" w:hAnsi="Play" w:cs="Play"/>
          <w:color w:val="0F4761" w:themeColor="accent1" w:themeShade="BF"/>
          <w:sz w:val="32"/>
          <w:szCs w:val="32"/>
        </w:rPr>
        <w:lastRenderedPageBreak/>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4D5BB744" w:rsidR="00E10231" w:rsidRPr="00C96E8A" w:rsidRDefault="004468F8" w:rsidP="00C96E8A">
      <w:pPr>
        <w:pStyle w:val="Heading1"/>
      </w:pPr>
      <w:bookmarkStart w:id="0" w:name="_Toc203606109"/>
      <w:r>
        <w:lastRenderedPageBreak/>
        <w:t>Section 1: Introducing the Research Paper and Topic Development</w:t>
      </w:r>
      <w:bookmarkStart w:id="1" w:name="_Toc203606110"/>
      <w:bookmarkEnd w:id="0"/>
    </w:p>
    <w:p w14:paraId="065796CB" w14:textId="69408B63" w:rsidR="00493DB8" w:rsidRDefault="00210D5A" w:rsidP="00493DB8">
      <w:pPr>
        <w:pStyle w:val="ListParagraph"/>
        <w:numPr>
          <w:ilvl w:val="1"/>
          <w:numId w:val="5"/>
        </w:numPr>
        <w:spacing w:line="360" w:lineRule="auto"/>
        <w:jc w:val="both"/>
      </w:pPr>
      <w:r>
        <w:t>Paper</w:t>
      </w:r>
      <w:r w:rsidR="004468F8">
        <w:t xml:space="preserve"> Details (Title, Author(s) and Year of Publication</w:t>
      </w:r>
      <w:bookmarkEnd w:id="1"/>
    </w:p>
    <w:p w14:paraId="30FB5D43" w14:textId="7D2F3CFB" w:rsidR="004468F8" w:rsidRPr="004466D3" w:rsidRDefault="004468F8">
      <w:pPr>
        <w:spacing w:line="360" w:lineRule="auto"/>
        <w:jc w:val="both"/>
      </w:pPr>
      <w:r w:rsidRPr="00493DB8">
        <w:rPr>
          <w:rFonts w:ascii="Arial" w:eastAsia="Arial" w:hAnsi="Arial" w:cs="Arial"/>
          <w:i/>
          <w:iCs/>
          <w:color w:val="FF0000"/>
          <w:sz w:val="22"/>
          <w:szCs w:val="22"/>
        </w:rPr>
        <w:t xml:space="preserve"> </w:t>
      </w:r>
      <w:r w:rsidR="004466D3" w:rsidRPr="381E8F91">
        <w:rPr>
          <w:rFonts w:ascii="-webkit-standard" w:eastAsia="Times New Roman" w:hAnsi="-webkit-standard"/>
          <w:color w:val="000000" w:themeColor="text1"/>
          <w:sz w:val="27"/>
          <w:szCs w:val="27"/>
        </w:rPr>
        <w:t xml:space="preserve">This report examines a paper entitled "A qualitative study of organisational resilience in care homes in Scotland", written by Ross et al., and published </w:t>
      </w:r>
      <w:r w:rsidR="566EB551" w:rsidRPr="2DC03DD7">
        <w:rPr>
          <w:rFonts w:ascii="-webkit-standard" w:eastAsia="Times New Roman" w:hAnsi="-webkit-standard"/>
          <w:color w:val="000000" w:themeColor="text1"/>
          <w:sz w:val="27"/>
          <w:szCs w:val="27"/>
        </w:rPr>
        <w:t>on December 20,</w:t>
      </w:r>
      <w:r w:rsidR="004466D3" w:rsidRPr="381E8F91">
        <w:rPr>
          <w:rFonts w:ascii="-webkit-standard" w:eastAsia="Times New Roman" w:hAnsi="-webkit-standard"/>
          <w:color w:val="000000" w:themeColor="text1"/>
          <w:sz w:val="27"/>
          <w:szCs w:val="27"/>
        </w:rPr>
        <w:t xml:space="preserve"> 2022</w:t>
      </w:r>
      <w:r w:rsidR="026191F2" w:rsidRPr="2DC03DD7">
        <w:rPr>
          <w:rFonts w:ascii="-webkit-standard" w:eastAsia="Times New Roman" w:hAnsi="-webkit-standard"/>
          <w:color w:val="000000" w:themeColor="text1"/>
          <w:sz w:val="27"/>
          <w:szCs w:val="27"/>
        </w:rPr>
        <w:t>,</w:t>
      </w:r>
      <w:r w:rsidR="004466D3" w:rsidRPr="381E8F91">
        <w:rPr>
          <w:rFonts w:ascii="-webkit-standard" w:eastAsia="Times New Roman" w:hAnsi="-webkit-standard"/>
          <w:color w:val="000000" w:themeColor="text1"/>
          <w:sz w:val="27"/>
          <w:szCs w:val="27"/>
        </w:rPr>
        <w:t xml:space="preserve"> in</w:t>
      </w:r>
      <w:r w:rsidR="004466D3" w:rsidRPr="381E8F91">
        <w:rPr>
          <w:rStyle w:val="apple-converted-space"/>
          <w:rFonts w:ascii="-webkit-standard" w:eastAsia="Times New Roman" w:hAnsi="-webkit-standard"/>
          <w:color w:val="000000" w:themeColor="text1"/>
          <w:sz w:val="27"/>
          <w:szCs w:val="27"/>
        </w:rPr>
        <w:t> </w:t>
      </w:r>
      <w:r w:rsidR="004466D3" w:rsidRPr="381E8F91">
        <w:rPr>
          <w:rFonts w:ascii="-webkit-standard" w:eastAsia="Times New Roman" w:hAnsi="-webkit-standard"/>
          <w:color w:val="000000" w:themeColor="text1"/>
          <w:sz w:val="27"/>
          <w:szCs w:val="27"/>
        </w:rPr>
        <w:t>PLoS</w:t>
      </w:r>
      <w:r w:rsidR="004466D3" w:rsidRPr="381E8F91">
        <w:rPr>
          <w:rStyle w:val="apple-converted-space"/>
          <w:rFonts w:ascii="-webkit-standard" w:eastAsia="Times New Roman" w:hAnsi="-webkit-standard"/>
          <w:color w:val="000000" w:themeColor="text1"/>
          <w:sz w:val="27"/>
          <w:szCs w:val="27"/>
        </w:rPr>
        <w:t> </w:t>
      </w:r>
      <w:r w:rsidR="004466D3" w:rsidRPr="381E8F91">
        <w:rPr>
          <w:rFonts w:ascii="-webkit-standard" w:eastAsia="Times New Roman" w:hAnsi="-webkit-standard"/>
          <w:color w:val="000000" w:themeColor="text1"/>
          <w:sz w:val="27"/>
          <w:szCs w:val="27"/>
        </w:rPr>
        <w:t>ONE.</w:t>
      </w: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7E06FF6E" w14:textId="08C2A84D" w:rsidR="004468F8" w:rsidRPr="00E10231" w:rsidRDefault="006A50AC">
      <w:pPr>
        <w:spacing w:line="360" w:lineRule="auto"/>
        <w:jc w:val="both"/>
        <w:rPr>
          <w:rFonts w:ascii="Arial" w:eastAsia="Arial" w:hAnsi="Arial" w:cs="Arial"/>
          <w:i/>
          <w:iCs/>
          <w:sz w:val="22"/>
          <w:szCs w:val="22"/>
        </w:rPr>
      </w:pPr>
      <w:r>
        <w:rPr>
          <w:rFonts w:ascii="-webkit-standard" w:eastAsia="Times New Roman" w:hAnsi="-webkit-standard"/>
          <w:color w:val="000000"/>
          <w:sz w:val="27"/>
          <w:szCs w:val="27"/>
        </w:rPr>
        <w:t>The main topic of the paper is organisational resilience within Scottish care homes: how care homes continue to function effectively when they face pressures such as staffing limitations, changing resident needs, administrative demands, and wider system problems. Rather than looking only at failure or poor outcomes, the paper focuses on how staff</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make adjustments</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in daily work so that care can still be delivered. This matters because care homes support older people with complex physical, emotional and social needs, and the quality of that support depends not only on individual staff skills but on how the whole organisation responds to challenge.</w:t>
      </w:r>
    </w:p>
    <w:p w14:paraId="6D821233" w14:textId="62E0F415" w:rsidR="00530E16" w:rsidRDefault="00E10231">
      <w:pPr>
        <w:pStyle w:val="Heading2"/>
        <w:jc w:val="both"/>
      </w:pPr>
      <w:bookmarkStart w:id="3" w:name="_Toc203606112"/>
      <w:r>
        <w:t>1.3 Who</w:t>
      </w:r>
      <w:r w:rsidR="004468F8">
        <w:t xml:space="preserve"> Is the Research About?</w:t>
      </w:r>
      <w:bookmarkEnd w:id="3"/>
    </w:p>
    <w:p w14:paraId="49BA2ED4" w14:textId="01E893DD" w:rsidR="004468F8" w:rsidRPr="00E10231" w:rsidRDefault="00490478">
      <w:pPr>
        <w:spacing w:line="360" w:lineRule="auto"/>
        <w:jc w:val="both"/>
        <w:rPr>
          <w:rFonts w:ascii="Arial" w:eastAsia="Arial" w:hAnsi="Arial" w:cs="Arial"/>
          <w:i/>
          <w:iCs/>
          <w:sz w:val="22"/>
          <w:szCs w:val="22"/>
        </w:rPr>
      </w:pPr>
      <w:r>
        <w:rPr>
          <w:rFonts w:ascii="-webkit-standard" w:eastAsia="Times New Roman" w:hAnsi="-webkit-standard"/>
          <w:color w:val="000000"/>
          <w:sz w:val="27"/>
          <w:szCs w:val="27"/>
        </w:rPr>
        <w:t>The research is mainly about people working in and around care homes. Participants included care staff, senior staff, inspectors and multidisciplinary stakeholders, while resident and family perspectives were included through facilitated interviews. The study therefore did not focus narrowly on one professional group; it examined care homes as systems in which many people contribute to outcomes. This broad focus suited the study because resilience in care is not created by one worker alone, but emerges through communication, coordination, leadership, documentation, the physical environment and relationships with families and outside services.</w:t>
      </w:r>
    </w:p>
    <w:p w14:paraId="06A36977" w14:textId="174ECD6F" w:rsidR="00530E16" w:rsidRDefault="00E10231">
      <w:pPr>
        <w:pStyle w:val="Heading2"/>
        <w:jc w:val="both"/>
      </w:pPr>
      <w:bookmarkStart w:id="4" w:name="_Toc203606113"/>
      <w:r>
        <w:lastRenderedPageBreak/>
        <w:t>1.4 Why</w:t>
      </w:r>
      <w:r w:rsidR="004468F8">
        <w:t xml:space="preserve"> Is This Topic Important in UK Health and Social Care?</w:t>
      </w:r>
      <w:bookmarkEnd w:id="4"/>
    </w:p>
    <w:p w14:paraId="6EDF5A18" w14:textId="263D22EF" w:rsidR="004468F8" w:rsidRPr="00A37DD1" w:rsidRDefault="00A37DD1">
      <w:pPr>
        <w:spacing w:line="360" w:lineRule="auto"/>
        <w:jc w:val="both"/>
        <w:rPr>
          <w:rFonts w:ascii="Arial" w:eastAsia="Arial" w:hAnsi="Arial" w:cs="Arial"/>
          <w:i/>
          <w:iCs/>
          <w:sz w:val="22"/>
          <w:szCs w:val="22"/>
        </w:rPr>
      </w:pPr>
      <w:r>
        <w:rPr>
          <w:rFonts w:ascii="-webkit-standard" w:eastAsia="Times New Roman" w:hAnsi="-webkit-standard"/>
          <w:color w:val="000000"/>
          <w:sz w:val="27"/>
          <w:szCs w:val="27"/>
        </w:rPr>
        <w:t>This topic matters greatly in UK health and social care because care homes operate under intense pressure and support a growing older population with increasingly complex needs. Research on UK care services has shown that the pandemic exposed staffing shortages, emotional strain, sickness absence, workload increases and weaknesses in support systems across social care (</w:t>
      </w:r>
      <w:proofErr w:type="spellStart"/>
      <w:r>
        <w:rPr>
          <w:rFonts w:ascii="-webkit-standard" w:eastAsia="Times New Roman" w:hAnsi="-webkit-standard"/>
          <w:color w:val="000000"/>
          <w:sz w:val="27"/>
          <w:szCs w:val="27"/>
        </w:rPr>
        <w:t>Ravalier</w:t>
      </w:r>
      <w:proofErr w:type="spellEnd"/>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et al., 2022). Other UK research has also shown that care home managers often had to take on new responsibilities, cope with unclear guidance, secure scarce resources and rely on local networks</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in order to</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keep services going (Devi et al., 2021). In the UK policy context, where person-centred care, service integration and quality improvement are central goals, understanding resilience is essential because it helps explain how organisations can continue to provide safe and compassionate care even when circumstances are difficult (Ross et al., 2022; Devi et al., 2021;</w:t>
      </w:r>
      <w:r>
        <w:rPr>
          <w:rStyle w:val="apple-converted-space"/>
          <w:rFonts w:ascii="-webkit-standard" w:eastAsia="Times New Roman" w:hAnsi="-webkit-standard"/>
          <w:color w:val="000000"/>
          <w:sz w:val="27"/>
          <w:szCs w:val="27"/>
        </w:rPr>
        <w:t> </w:t>
      </w:r>
      <w:proofErr w:type="spellStart"/>
      <w:r>
        <w:rPr>
          <w:rFonts w:ascii="-webkit-standard" w:eastAsia="Times New Roman" w:hAnsi="-webkit-standard"/>
          <w:color w:val="000000"/>
          <w:sz w:val="27"/>
          <w:szCs w:val="27"/>
        </w:rPr>
        <w:t>Ravalier</w:t>
      </w:r>
      <w:proofErr w:type="spellEnd"/>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et al., 2022).</w:t>
      </w:r>
    </w:p>
    <w:p w14:paraId="7EC53AFE" w14:textId="32DD78CA" w:rsidR="004468F8" w:rsidRPr="001D1EA9" w:rsidRDefault="004468F8" w:rsidP="001D1EA9">
      <w:pPr>
        <w:pStyle w:val="Heading1"/>
        <w:jc w:val="both"/>
      </w:pPr>
      <w:bookmarkStart w:id="5" w:name="_Toc203606114"/>
      <w:r>
        <w:t>Section 2: Understanding the Purpose and Research Question</w:t>
      </w:r>
      <w:bookmarkEnd w:id="5"/>
    </w:p>
    <w:p w14:paraId="6F7529E4" w14:textId="04CF172D" w:rsidR="004468F8" w:rsidRDefault="00210D5A">
      <w:pPr>
        <w:pStyle w:val="Heading2"/>
        <w:jc w:val="both"/>
      </w:pPr>
      <w:bookmarkStart w:id="6" w:name="_Toc203606115"/>
      <w:r>
        <w:t>2.1 Research</w:t>
      </w:r>
      <w:r w:rsidR="004468F8">
        <w:t xml:space="preserve"> Question(s) or Objectives</w:t>
      </w:r>
      <w:bookmarkEnd w:id="6"/>
    </w:p>
    <w:p w14:paraId="0F6882D7" w14:textId="6A36CBD6" w:rsidR="004468F8" w:rsidRPr="00E10231" w:rsidRDefault="00F32CE4">
      <w:pPr>
        <w:spacing w:line="360" w:lineRule="auto"/>
        <w:jc w:val="both"/>
        <w:rPr>
          <w:rFonts w:ascii="Arial" w:eastAsia="Arial" w:hAnsi="Arial" w:cs="Arial"/>
          <w:i/>
          <w:iCs/>
          <w:sz w:val="22"/>
          <w:szCs w:val="22"/>
        </w:rPr>
      </w:pPr>
      <w:r>
        <w:rPr>
          <w:rFonts w:ascii="-webkit-standard" w:eastAsia="Times New Roman" w:hAnsi="-webkit-standard"/>
          <w:color w:val="000000"/>
          <w:sz w:val="27"/>
          <w:szCs w:val="27"/>
        </w:rPr>
        <w:t>The purpose of the study was to understand how care homes in Scotland deliver care in everyday practice and how staff adapt when demands and resources do not fully match. In other words, the researchers wanted to find out what resilient performance looks like in real care home settings and what features of organisations help staff maintain good care under pressure, while also identifying areas where improvement could strengthen resilience in future. The study was therefore not simply asking whether care homes had problems; it was asking how they managed complexity and what lessons could be learned for safer, higher-quality care.</w:t>
      </w:r>
    </w:p>
    <w:p w14:paraId="63BD9E0B" w14:textId="66D93B1C" w:rsidR="004468F8" w:rsidRPr="00F32CE4" w:rsidRDefault="004468F8" w:rsidP="00F32CE4">
      <w:pPr>
        <w:pStyle w:val="Heading1"/>
        <w:jc w:val="both"/>
      </w:pPr>
      <w:bookmarkStart w:id="7" w:name="_Toc203606116"/>
      <w:r>
        <w:lastRenderedPageBreak/>
        <w:t>Section 3: Understanding the Research Methods</w:t>
      </w:r>
      <w:bookmarkEnd w:id="7"/>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64BB1FB6" w14:textId="5CEACA91" w:rsidR="002D303D" w:rsidRDefault="002D303D">
      <w:pPr>
        <w:pStyle w:val="s18"/>
        <w:spacing w:before="0" w:beforeAutospacing="0" w:after="150" w:afterAutospacing="0"/>
        <w:rPr>
          <w:rFonts w:ascii="-webkit-standard" w:hAnsi="-webkit-standard" w:hint="eastAsia"/>
          <w:color w:val="000000"/>
          <w:sz w:val="27"/>
          <w:szCs w:val="27"/>
        </w:rPr>
      </w:pPr>
      <w:r w:rsidRPr="2DC03DD7">
        <w:rPr>
          <w:rFonts w:ascii="-webkit-standard" w:hAnsi="-webkit-standard"/>
          <w:color w:val="000000" w:themeColor="text1"/>
          <w:sz w:val="27"/>
          <w:szCs w:val="27"/>
        </w:rPr>
        <w:t>Quantitative research collects numerical data and usually analyses it using</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statistics and</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is commonly used when researchers want to measure variables, compare groups or identify patterns that can be counted. For example, a quantitative study in health and social care might use a survey to measure staff burnout across many care</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homes or</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compare fall rates before and after a safety intervention. This approach is useful when the aim is measurable evidence and trends across a wider population (Bloomfield and Fisher, 2019).</w:t>
      </w:r>
    </w:p>
    <w:p w14:paraId="79BC7649" w14:textId="77777777" w:rsidR="002D303D" w:rsidRDefault="002D303D">
      <w:pPr>
        <w:pStyle w:val="s18"/>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Qualitative research is different because it focuses on meanings, experiences, views and social processes rather than numbers.</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Hammarberg</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Kirkman</w:t>
      </w:r>
      <w:proofErr w:type="spellEnd"/>
      <w:r>
        <w:rPr>
          <w:rFonts w:ascii="-webkit-standard" w:hAnsi="-webkit-standard"/>
          <w:color w:val="000000"/>
          <w:sz w:val="27"/>
          <w:szCs w:val="27"/>
        </w:rPr>
        <w:t xml:space="preserve"> and de Lacey (2016) explain that qualitative methods are especially useful when a researcher wants to understand how people experience events, why they behave in certain ways, or how they make sense of a situation. In health and social care, this may involve interviews with carers about end-of-life care or focus groups with service users about dignity and choice. This approach is particularly valuable when an issue is complex and cannot be fully understood through statistics alone.</w:t>
      </w:r>
    </w:p>
    <w:p w14:paraId="4E12C14F" w14:textId="43B45D5D" w:rsidR="002D303D" w:rsidRDefault="002D303D">
      <w:pPr>
        <w:pStyle w:val="s18"/>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Mixed-methods research combines both approaches within the same study.</w:t>
      </w:r>
      <w:r>
        <w:rPr>
          <w:rStyle w:val="apple-converted-space"/>
          <w:rFonts w:ascii="-webkit-standard" w:hAnsi="-webkit-standard"/>
          <w:color w:val="000000"/>
          <w:sz w:val="27"/>
          <w:szCs w:val="27"/>
        </w:rPr>
        <w:t> </w:t>
      </w:r>
      <w:r w:rsidR="007F26F5">
        <w:rPr>
          <w:rFonts w:ascii="-webkit-standard" w:hAnsi="-webkit-standard"/>
          <w:color w:val="000000"/>
          <w:sz w:val="27"/>
          <w:szCs w:val="27"/>
        </w:rPr>
        <w:t>O’Cathrin</w:t>
      </w:r>
      <w:r>
        <w:rPr>
          <w:rFonts w:ascii="-webkit-standard" w:hAnsi="-webkit-standard"/>
          <w:color w:val="000000"/>
          <w:sz w:val="27"/>
          <w:szCs w:val="27"/>
        </w:rPr>
        <w:t xml:space="preserve">, Murphy and </w:t>
      </w:r>
      <w:proofErr w:type="spellStart"/>
      <w:r>
        <w:rPr>
          <w:rFonts w:ascii="-webkit-standard" w:hAnsi="-webkit-standard"/>
          <w:color w:val="000000"/>
          <w:sz w:val="27"/>
          <w:szCs w:val="27"/>
        </w:rPr>
        <w:t>Nicholl</w:t>
      </w:r>
      <w:proofErr w:type="spellEnd"/>
      <w:r>
        <w:rPr>
          <w:rFonts w:ascii="-webkit-standard" w:hAnsi="-webkit-standard"/>
          <w:color w:val="000000"/>
          <w:sz w:val="27"/>
          <w:szCs w:val="27"/>
        </w:rPr>
        <w:t xml:space="preserve"> (2007) describe it as the use of both qualitative and quantitative methods in one project, chosen when researchers want both breadth and depth: numerical evidence shows how common something is, while qualitative data explains why it happens. In health and social care, a mixed-methods study might measure patient satisfaction scores and then interview patients to understand the reasons behind them.</w:t>
      </w:r>
    </w:p>
    <w:p w14:paraId="408ED807" w14:textId="77777777" w:rsidR="002D303D" w:rsidRDefault="002D303D">
      <w:pPr>
        <w:pStyle w:val="s18"/>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Together, these approaches serve different purposes. Quantitative research is strongest when measurement and comparison are central; qualitative research is strongest when interpretation and lived experience are central; and mixed methods are useful when both kinds of understanding are needed. In health and social care, choosing between them depends on the research question rather than on which method seems easier or more familiar.</w:t>
      </w:r>
    </w:p>
    <w:p w14:paraId="0F9E6373" w14:textId="18376C0D" w:rsidR="00E10231" w:rsidRPr="00210D5A" w:rsidRDefault="00E10231" w:rsidP="00E10231">
      <w:pPr>
        <w:spacing w:line="360" w:lineRule="auto"/>
        <w:jc w:val="both"/>
        <w:rPr>
          <w:rFonts w:ascii="Arial" w:eastAsia="Arial" w:hAnsi="Arial" w:cs="Arial"/>
          <w:i/>
          <w:iCs/>
          <w:sz w:val="22"/>
          <w:szCs w:val="22"/>
        </w:rPr>
      </w:pP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9" w:name="_Toc203606118"/>
      <w:r>
        <w:lastRenderedPageBreak/>
        <w:t>3.2 Research</w:t>
      </w:r>
      <w:r w:rsidR="004468F8">
        <w:t xml:space="preserve"> Methodology Used in Your Chosen Paper and Why</w:t>
      </w:r>
      <w:bookmarkEnd w:id="9"/>
    </w:p>
    <w:p w14:paraId="6861E0E4" w14:textId="77777777" w:rsidR="0018446A" w:rsidRDefault="0018446A">
      <w:pPr>
        <w:pStyle w:val="s18"/>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Ross et al. (2022) used a qualitative methodology. This is clear from the methods section, which describes non-participant observation, one-to-one interviews, focus groups, workshop discussions and thematic analysis using </w:t>
      </w:r>
      <w:proofErr w:type="spellStart"/>
      <w:r>
        <w:rPr>
          <w:rFonts w:ascii="-webkit-standard" w:hAnsi="-webkit-standard"/>
          <w:color w:val="000000"/>
          <w:sz w:val="27"/>
          <w:szCs w:val="27"/>
        </w:rPr>
        <w:t>NVivo</w:t>
      </w:r>
      <w:proofErr w:type="spellEnd"/>
      <w:r>
        <w:rPr>
          <w:rFonts w:ascii="-webkit-standard" w:hAnsi="-webkit-standard"/>
          <w:color w:val="000000"/>
          <w:sz w:val="27"/>
          <w:szCs w:val="27"/>
        </w:rPr>
        <w:t xml:space="preserve"> software. These methods aim to</w:t>
      </w:r>
      <w:r>
        <w:rPr>
          <w:rStyle w:val="apple-converted-space"/>
          <w:rFonts w:ascii="-webkit-standard" w:hAnsi="-webkit-standard"/>
          <w:color w:val="000000"/>
          <w:sz w:val="27"/>
          <w:szCs w:val="27"/>
        </w:rPr>
        <w:t> </w:t>
      </w:r>
      <w:r>
        <w:rPr>
          <w:rFonts w:ascii="-webkit-standard" w:hAnsi="-webkit-standard"/>
          <w:color w:val="000000"/>
          <w:sz w:val="27"/>
          <w:szCs w:val="27"/>
        </w:rPr>
        <w:t>gather detailed descriptions of practice, relationships and decision-making rather than numerical results, which suited the researchers' interest in how care is</w:t>
      </w:r>
      <w:r>
        <w:rPr>
          <w:rStyle w:val="apple-converted-space"/>
          <w:rFonts w:ascii="-webkit-standard" w:hAnsi="-webkit-standard"/>
          <w:color w:val="000000"/>
          <w:sz w:val="27"/>
          <w:szCs w:val="27"/>
        </w:rPr>
        <w:t> </w:t>
      </w:r>
      <w:r>
        <w:rPr>
          <w:rFonts w:ascii="-webkit-standard" w:hAnsi="-webkit-standard"/>
          <w:color w:val="000000"/>
          <w:sz w:val="27"/>
          <w:szCs w:val="27"/>
        </w:rPr>
        <w:t>actually delivered</w:t>
      </w:r>
      <w:r>
        <w:rPr>
          <w:rStyle w:val="apple-converted-space"/>
          <w:rFonts w:ascii="-webkit-standard" w:hAnsi="-webkit-standard"/>
          <w:color w:val="000000"/>
          <w:sz w:val="27"/>
          <w:szCs w:val="27"/>
        </w:rPr>
        <w:t> </w:t>
      </w:r>
      <w:r>
        <w:rPr>
          <w:rFonts w:ascii="-webkit-standard" w:hAnsi="-webkit-standard"/>
          <w:color w:val="000000"/>
          <w:sz w:val="27"/>
          <w:szCs w:val="27"/>
        </w:rPr>
        <w:t>and how staff adapt to pressures in daily work.</w:t>
      </w:r>
    </w:p>
    <w:p w14:paraId="0DFD7A7A" w14:textId="77777777" w:rsidR="0018446A" w:rsidRDefault="0018446A">
      <w:pPr>
        <w:pStyle w:val="s18"/>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This approach suited the research because organisational resilience is a complex social phenomenon involving human judgement, communication, priorities and trade-offs. These are difficult to capture through questionnaires or statistical measures alone. A survey might show that staff feel under pressure, but it would not show how they adjust routines, share information or balance safety with residents' quality of life. Qualitative methods allowed the researchers to examine "work-as-done" rather than only "work-as-imagined", meaning they could see the difference between official procedures and what staff</w:t>
      </w:r>
      <w:r>
        <w:rPr>
          <w:rStyle w:val="apple-converted-space"/>
          <w:rFonts w:ascii="-webkit-standard" w:hAnsi="-webkit-standard"/>
          <w:color w:val="000000"/>
          <w:sz w:val="27"/>
          <w:szCs w:val="27"/>
        </w:rPr>
        <w:t> </w:t>
      </w:r>
      <w:r>
        <w:rPr>
          <w:rFonts w:ascii="-webkit-standard" w:hAnsi="-webkit-standard"/>
          <w:color w:val="000000"/>
          <w:sz w:val="27"/>
          <w:szCs w:val="27"/>
        </w:rPr>
        <w:t>actually do</w:t>
      </w:r>
      <w:r>
        <w:rPr>
          <w:rStyle w:val="apple-converted-space"/>
          <w:rFonts w:ascii="-webkit-standard" w:hAnsi="-webkit-standard"/>
          <w:color w:val="000000"/>
          <w:sz w:val="27"/>
          <w:szCs w:val="27"/>
        </w:rPr>
        <w:t> </w:t>
      </w:r>
      <w:r>
        <w:rPr>
          <w:rFonts w:ascii="-webkit-standard" w:hAnsi="-webkit-standard"/>
          <w:color w:val="000000"/>
          <w:sz w:val="27"/>
          <w:szCs w:val="27"/>
        </w:rPr>
        <w:t>in practice.</w:t>
      </w:r>
    </w:p>
    <w:p w14:paraId="50504029" w14:textId="77777777" w:rsidR="0018446A" w:rsidRDefault="0018446A">
      <w:pPr>
        <w:pStyle w:val="s18"/>
        <w:spacing w:before="0" w:beforeAutospacing="0" w:after="150" w:afterAutospacing="0"/>
        <w:rPr>
          <w:rFonts w:ascii="-webkit-standard" w:hAnsi="-webkit-standard"/>
          <w:color w:val="000000"/>
          <w:sz w:val="28"/>
          <w:szCs w:val="28"/>
        </w:rPr>
      </w:pPr>
      <w:r w:rsidRPr="2DC03DD7">
        <w:rPr>
          <w:rFonts w:ascii="-webkit-standard" w:hAnsi="-webkit-standard"/>
          <w:color w:val="000000" w:themeColor="text1"/>
          <w:sz w:val="28"/>
          <w:szCs w:val="28"/>
        </w:rPr>
        <w:t>The study was also grounded in resilient healthcare theory and the CARE model, frameworks focused on adaptation within complex systems, which needed rich contextual evidence from real settings. Observations showed everyday care in action, while interviews and focus groups explained why staff acted as they did. The themes that emerged — care planning and information use, coordination of everyday care, and person-centred care — required interpretation and context, which are core strengths of qualitative research.</w:t>
      </w:r>
    </w:p>
    <w:p w14:paraId="61FABF86" w14:textId="7C6D97B7" w:rsidR="004468F8" w:rsidRPr="002F4AE8" w:rsidRDefault="0018446A" w:rsidP="002F4AE8">
      <w:pPr>
        <w:pStyle w:val="s18"/>
        <w:spacing w:before="0" w:beforeAutospacing="0" w:after="150" w:afterAutospacing="0"/>
        <w:rPr>
          <w:rFonts w:ascii="-webkit-standard" w:hAnsi="-webkit-standard"/>
          <w:color w:val="000000"/>
          <w:sz w:val="28"/>
          <w:szCs w:val="28"/>
        </w:rPr>
      </w:pPr>
      <w:r w:rsidRPr="2DC03DD7">
        <w:rPr>
          <w:rFonts w:ascii="-webkit-standard" w:hAnsi="-webkit-standard"/>
          <w:color w:val="000000" w:themeColor="text1"/>
          <w:sz w:val="28"/>
          <w:szCs w:val="28"/>
        </w:rPr>
        <w:t>The qualitative design also helped the researchers include different perspectives. Staff, inspectors, residents and families experience care homes differently, and resilience is shaped by</w:t>
      </w:r>
      <w:r w:rsidRPr="2DC03DD7">
        <w:rPr>
          <w:rStyle w:val="apple-converted-space"/>
          <w:rFonts w:ascii="-webkit-standard" w:hAnsi="-webkit-standard"/>
          <w:color w:val="000000" w:themeColor="text1"/>
          <w:sz w:val="28"/>
          <w:szCs w:val="28"/>
        </w:rPr>
        <w:t> </w:t>
      </w:r>
      <w:r w:rsidRPr="2DC03DD7">
        <w:rPr>
          <w:rFonts w:ascii="-webkit-standard" w:hAnsi="-webkit-standard"/>
          <w:color w:val="000000" w:themeColor="text1"/>
          <w:sz w:val="28"/>
          <w:szCs w:val="28"/>
        </w:rPr>
        <w:t>all of</w:t>
      </w:r>
      <w:r w:rsidRPr="2DC03DD7">
        <w:rPr>
          <w:rStyle w:val="apple-converted-space"/>
          <w:rFonts w:ascii="-webkit-standard" w:hAnsi="-webkit-standard"/>
          <w:color w:val="000000" w:themeColor="text1"/>
          <w:sz w:val="28"/>
          <w:szCs w:val="28"/>
        </w:rPr>
        <w:t> </w:t>
      </w:r>
      <w:r w:rsidRPr="2DC03DD7">
        <w:rPr>
          <w:rFonts w:ascii="-webkit-standard" w:hAnsi="-webkit-standard"/>
          <w:color w:val="000000" w:themeColor="text1"/>
          <w:sz w:val="28"/>
          <w:szCs w:val="28"/>
        </w:rPr>
        <w:t>these interactions. By gathering these voices, the study produced a more realistic account of how organisational resilience works, matching the method closely to a research aim centred on understanding processes and adaptations rather than measuring or testing statistically.</w:t>
      </w:r>
    </w:p>
    <w:p w14:paraId="6B925483" w14:textId="18AC6F32" w:rsidR="004468F8" w:rsidRDefault="004468F8">
      <w:pPr>
        <w:pStyle w:val="Heading2"/>
        <w:jc w:val="both"/>
      </w:pPr>
      <w:bookmarkStart w:id="10" w:name="_Toc203606119"/>
      <w:r>
        <w:t>3.3 Primary and Secondary Data: Definitions, Differences, and Application to Your Paper</w:t>
      </w:r>
      <w:bookmarkEnd w:id="10"/>
    </w:p>
    <w:p w14:paraId="277DCEFD" w14:textId="77777777" w:rsidR="00C25492" w:rsidRDefault="00C25492">
      <w:pPr>
        <w:pStyle w:val="s18"/>
        <w:spacing w:before="0" w:beforeAutospacing="0" w:after="150" w:afterAutospacing="0"/>
        <w:rPr>
          <w:rFonts w:ascii="-webkit-standard" w:hAnsi="-webkit-standard"/>
          <w:color w:val="000000"/>
          <w:sz w:val="28"/>
          <w:szCs w:val="28"/>
        </w:rPr>
      </w:pPr>
      <w:r w:rsidRPr="2DC03DD7">
        <w:rPr>
          <w:rFonts w:ascii="-webkit-standard" w:hAnsi="-webkit-standard"/>
          <w:color w:val="000000" w:themeColor="text1"/>
          <w:sz w:val="28"/>
          <w:szCs w:val="28"/>
        </w:rPr>
        <w:t xml:space="preserve">Primary data are collected directly by researchers for the specific purpose of answering their own research question, while secondary data already exist and were originally collected by someone else, often for a different purpose. Wickham (2019) explains that secondary data analysis involves using existing datasets to answer new questions, whereas primary research </w:t>
      </w:r>
      <w:r w:rsidRPr="2DC03DD7">
        <w:rPr>
          <w:rFonts w:ascii="-webkit-standard" w:hAnsi="-webkit-standard"/>
          <w:color w:val="000000" w:themeColor="text1"/>
          <w:sz w:val="28"/>
          <w:szCs w:val="28"/>
        </w:rPr>
        <w:lastRenderedPageBreak/>
        <w:t>requires the researcher to design the study and gather original evidence directly from participants or observations. Primary data tend to align more closely with the exact research aim, while secondary data can save time but may not perfectly fit a new question.</w:t>
      </w:r>
    </w:p>
    <w:p w14:paraId="207A7DF4" w14:textId="77777777" w:rsidR="00C25492" w:rsidRDefault="00C25492">
      <w:pPr>
        <w:pStyle w:val="s18"/>
        <w:spacing w:before="0" w:beforeAutospacing="0" w:after="150" w:afterAutospacing="0"/>
        <w:rPr>
          <w:rFonts w:ascii="-webkit-standard" w:hAnsi="-webkit-standard"/>
          <w:color w:val="000000"/>
          <w:sz w:val="28"/>
          <w:szCs w:val="28"/>
        </w:rPr>
      </w:pPr>
      <w:r w:rsidRPr="2DC03DD7">
        <w:rPr>
          <w:rFonts w:ascii="-webkit-standard" w:hAnsi="-webkit-standard"/>
          <w:color w:val="000000" w:themeColor="text1"/>
          <w:sz w:val="28"/>
          <w:szCs w:val="28"/>
        </w:rPr>
        <w:t xml:space="preserve">Ross et al. (2022) used primary data. The team collected 68 hours of non-participant observation, 33 one-to-one interviews, three focus groups, round-table discussions at a final workshop, and resident and family interviews facilitated through emotional </w:t>
      </w:r>
      <w:proofErr w:type="spellStart"/>
      <w:r w:rsidRPr="2DC03DD7">
        <w:rPr>
          <w:rFonts w:ascii="-webkit-standard" w:hAnsi="-webkit-standard"/>
          <w:color w:val="000000" w:themeColor="text1"/>
          <w:sz w:val="28"/>
          <w:szCs w:val="28"/>
        </w:rPr>
        <w:t>touchpoints</w:t>
      </w:r>
      <w:proofErr w:type="spellEnd"/>
      <w:r w:rsidRPr="2DC03DD7">
        <w:rPr>
          <w:rFonts w:ascii="-webkit-standard" w:hAnsi="-webkit-standard"/>
          <w:color w:val="000000" w:themeColor="text1"/>
          <w:sz w:val="28"/>
          <w:szCs w:val="28"/>
        </w:rPr>
        <w:t>. These data were gathered specifically for the I-SCOPE study, so they are clearly primary rather than secondary. Sampling was purposive and theoretical, which is common in qualitative research because the goal is depth and variation of perspective rather than statistical representativeness.</w:t>
      </w:r>
    </w:p>
    <w:p w14:paraId="5A3678B1" w14:textId="16C95A01" w:rsidR="00E10231" w:rsidRPr="002F4AE8" w:rsidRDefault="00C25492" w:rsidP="002F4AE8">
      <w:pPr>
        <w:pStyle w:val="s18"/>
        <w:spacing w:before="0" w:beforeAutospacing="0" w:after="150" w:afterAutospacing="0"/>
        <w:rPr>
          <w:rFonts w:ascii="-webkit-standard" w:hAnsi="-webkit-standard" w:hint="eastAsia"/>
          <w:color w:val="000000"/>
          <w:sz w:val="27"/>
          <w:szCs w:val="27"/>
        </w:rPr>
      </w:pPr>
      <w:r w:rsidRPr="2DC03DD7">
        <w:rPr>
          <w:rFonts w:ascii="-webkit-standard" w:hAnsi="-webkit-standard"/>
          <w:color w:val="000000" w:themeColor="text1"/>
          <w:sz w:val="27"/>
          <w:szCs w:val="27"/>
        </w:rPr>
        <w:t xml:space="preserve">Analysis was also clearly qualitative. The researchers used QSR </w:t>
      </w:r>
      <w:proofErr w:type="spellStart"/>
      <w:r w:rsidRPr="2DC03DD7">
        <w:rPr>
          <w:rFonts w:ascii="-webkit-standard" w:hAnsi="-webkit-standard"/>
          <w:color w:val="000000" w:themeColor="text1"/>
          <w:sz w:val="27"/>
          <w:szCs w:val="27"/>
        </w:rPr>
        <w:t>NVivo</w:t>
      </w:r>
      <w:proofErr w:type="spellEnd"/>
      <w:r w:rsidRPr="2DC03DD7">
        <w:rPr>
          <w:rFonts w:ascii="-webkit-standard" w:hAnsi="-webkit-standard"/>
          <w:color w:val="000000" w:themeColor="text1"/>
          <w:sz w:val="27"/>
          <w:szCs w:val="27"/>
        </w:rPr>
        <w:t xml:space="preserve"> 12.0 to organise transcripts and field notes, then carried out a two-stage analysis: first capturing examples of everyday work in terms of demand, capacity, adaptation and outcomes, and second developing a higher-level thematic description of resilient performance across the system,</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informed throughout by the CARE model. One strength of this method is that it produced rich, triangulated evidence: observation showed what happened in practice, interviews provided personal</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insight and</w:t>
      </w:r>
      <w:r w:rsidRPr="2DC03DD7">
        <w:rPr>
          <w:rStyle w:val="apple-converted-space"/>
          <w:rFonts w:ascii="-webkit-standard" w:hAnsi="-webkit-standard"/>
          <w:color w:val="000000" w:themeColor="text1"/>
          <w:sz w:val="27"/>
          <w:szCs w:val="27"/>
        </w:rPr>
        <w:t> </w:t>
      </w:r>
      <w:r w:rsidRPr="2DC03DD7">
        <w:rPr>
          <w:rFonts w:ascii="-webkit-standard" w:hAnsi="-webkit-standard"/>
          <w:color w:val="000000" w:themeColor="text1"/>
          <w:sz w:val="27"/>
          <w:szCs w:val="27"/>
        </w:rPr>
        <w:t>focus groups and workshop discussions allowed the researchers to test and refine interpretations, improving the credibility of the findings.</w:t>
      </w:r>
    </w:p>
    <w:p w14:paraId="5625A96E" w14:textId="77777777" w:rsidR="00530E16" w:rsidRDefault="004468F8">
      <w:pPr>
        <w:pStyle w:val="Heading1"/>
        <w:jc w:val="both"/>
      </w:pPr>
      <w:bookmarkStart w:id="11" w:name="_Toc203606120"/>
      <w:r>
        <w:t>Section 4: Conclusion</w:t>
      </w:r>
      <w:bookmarkEnd w:id="11"/>
    </w:p>
    <w:p w14:paraId="30D51267" w14:textId="77777777" w:rsidR="001A1DF7" w:rsidRDefault="001A1DF7">
      <w:pPr>
        <w:pStyle w:val="s18"/>
        <w:spacing w:before="0" w:beforeAutospacing="0" w:after="150" w:afterAutospacing="0"/>
        <w:rPr>
          <w:rFonts w:ascii="-webkit-standard" w:hAnsi="-webkit-standard"/>
          <w:color w:val="000000"/>
          <w:sz w:val="28"/>
          <w:szCs w:val="28"/>
        </w:rPr>
      </w:pPr>
      <w:r w:rsidRPr="2DC03DD7">
        <w:rPr>
          <w:rFonts w:ascii="-webkit-standard" w:hAnsi="-webkit-standard"/>
          <w:color w:val="000000" w:themeColor="text1"/>
          <w:sz w:val="28"/>
          <w:szCs w:val="28"/>
        </w:rPr>
        <w:t>This report has examined Ross et al.'s (2022) study of organisational resilience in Scottish care homes and shown why it is an important contribution to health and social care research. Section 1 introduced the paper, explained that it focuses on how care homes adapt to complexity, identified the participants involved, and discussed why the subject matters in the UK context, where staffing pressures and increasingly complex resident needs make resilience highly relevant. Section 2 clarified that the researchers wanted to understand how care is delivered in real life and what supports resilient performance. Section 3 explained the differences between quantitative, qualitative and mixed-methods research, then showed that Ross et al. used a qualitative design because they wanted to study lived practice, adaptation and organisational processes. It also distinguished between primary and secondary data and demonstrated that the study relied on rich primary data gathered through observation, interviews and group discussion.</w:t>
      </w:r>
    </w:p>
    <w:p w14:paraId="296044E5" w14:textId="0A3124CD" w:rsidR="004468F8" w:rsidRPr="007B5AA7" w:rsidRDefault="001A1DF7" w:rsidP="007B5AA7">
      <w:pPr>
        <w:pStyle w:val="s18"/>
        <w:spacing w:before="0" w:beforeAutospacing="0" w:after="150" w:afterAutospacing="0"/>
        <w:rPr>
          <w:rFonts w:ascii="-webkit-standard" w:hAnsi="-webkit-standard" w:hint="eastAsia"/>
          <w:color w:val="000000"/>
          <w:sz w:val="27"/>
          <w:szCs w:val="27"/>
        </w:rPr>
      </w:pPr>
      <w:r w:rsidRPr="2DC03DD7">
        <w:rPr>
          <w:rFonts w:ascii="-webkit-standard" w:hAnsi="-webkit-standard"/>
          <w:color w:val="000000" w:themeColor="text1"/>
          <w:sz w:val="28"/>
          <w:szCs w:val="28"/>
        </w:rPr>
        <w:lastRenderedPageBreak/>
        <w:t>From completing this analysis, I have learned that research skills involve more than identifying results; it is necessary to understand why a method was chosen, how data were collected, and whether the design was suitable for the research aim. This is valuable for future study because it helps me read academic literature more critically and judge the quality of evidence. It is also important for future professional practice in health and social care, where decisions should be informed not only by policy but also by sound research that reflects the complexity of real care environments.</w:t>
      </w:r>
    </w:p>
    <w:p w14:paraId="6D3FD30A" w14:textId="77777777" w:rsidR="00530E16" w:rsidRDefault="004468F8">
      <w:pPr>
        <w:pStyle w:val="Heading1"/>
      </w:pPr>
      <w:bookmarkStart w:id="12" w:name="_Toc203606121"/>
      <w:r>
        <w:t>References</w:t>
      </w:r>
      <w:bookmarkEnd w:id="12"/>
    </w:p>
    <w:p w14:paraId="0299CE36" w14:textId="77777777" w:rsidR="00702D10" w:rsidRDefault="00702D10">
      <w:pPr>
        <w:pStyle w:val="s20"/>
        <w:spacing w:before="0" w:beforeAutospacing="0" w:after="120" w:afterAutospacing="0"/>
        <w:ind w:left="540" w:hanging="540"/>
        <w:rPr>
          <w:rFonts w:ascii="-webkit-standard" w:hAnsi="-webkit-standard"/>
          <w:color w:val="000000"/>
        </w:rPr>
      </w:pPr>
      <w:r w:rsidRPr="2DC03DD7">
        <w:rPr>
          <w:rStyle w:val="bumpedfont15"/>
          <w:rFonts w:ascii="-webkit-standard" w:hAnsi="-webkit-standard"/>
          <w:color w:val="000000" w:themeColor="text1"/>
        </w:rPr>
        <w:t>Bloomfield, J. and Fisher, M.J. (2019) 'Quantitative research design', Journal of the Australasian Rehabilitation Nurses' Association, 22(2), pp. 27–30. Available at: https://doi.org/10.33235/jarna.22.2.27-30</w:t>
      </w:r>
    </w:p>
    <w:p w14:paraId="6188A969" w14:textId="5825BB09" w:rsidR="00702D10" w:rsidRDefault="00702D10">
      <w:pPr>
        <w:pStyle w:val="s20"/>
        <w:spacing w:before="0" w:beforeAutospacing="0" w:after="120" w:afterAutospacing="0"/>
        <w:ind w:left="540" w:hanging="540"/>
        <w:rPr>
          <w:rFonts w:ascii="-webkit-standard" w:hAnsi="-webkit-standard"/>
          <w:color w:val="000000"/>
        </w:rPr>
      </w:pPr>
      <w:r w:rsidRPr="3FDAAFBE">
        <w:rPr>
          <w:rStyle w:val="bumpedfont15"/>
          <w:rFonts w:ascii="-webkit-standard" w:hAnsi="-webkit-standard"/>
          <w:color w:val="000000" w:themeColor="text1"/>
        </w:rPr>
        <w:t>Devi, R.,</w:t>
      </w:r>
      <w:r w:rsidRPr="3FDAAFBE">
        <w:rPr>
          <w:rStyle w:val="apple-converted-space"/>
          <w:rFonts w:ascii="-webkit-standard" w:hAnsi="-webkit-standard"/>
          <w:color w:val="000000" w:themeColor="text1"/>
        </w:rPr>
        <w:t> </w:t>
      </w:r>
      <w:proofErr w:type="spellStart"/>
      <w:r w:rsidRPr="3FDAAFBE">
        <w:rPr>
          <w:rStyle w:val="bumpedfont15"/>
          <w:rFonts w:ascii="-webkit-standard" w:hAnsi="-webkit-standard"/>
          <w:color w:val="000000" w:themeColor="text1"/>
        </w:rPr>
        <w:t>Hinsliff-Smith</w:t>
      </w:r>
      <w:proofErr w:type="spellEnd"/>
      <w:r w:rsidRPr="3FDAAFBE">
        <w:rPr>
          <w:rStyle w:val="bumpedfont15"/>
          <w:rFonts w:ascii="-webkit-standard" w:hAnsi="-webkit-standard"/>
          <w:color w:val="000000" w:themeColor="text1"/>
        </w:rPr>
        <w:t>, K., Goodman, C. et al. (2021) 'The COVID-19 pandemic in UK care homes - a systems analysis of the experience of care home managers', BMC Geriatrics, 21, 114. Available at: https://doi.org/10.1186/s12877-021-02053-9</w:t>
      </w:r>
    </w:p>
    <w:p w14:paraId="52D7F909" w14:textId="793EE478" w:rsidR="00702D10" w:rsidRDefault="00702D10">
      <w:pPr>
        <w:pStyle w:val="s20"/>
        <w:spacing w:before="0" w:beforeAutospacing="0" w:after="120" w:afterAutospacing="0"/>
        <w:ind w:left="540" w:hanging="540"/>
        <w:rPr>
          <w:rFonts w:ascii="-webkit-standard" w:hAnsi="-webkit-standard"/>
          <w:color w:val="000000"/>
          <w:sz w:val="28"/>
          <w:szCs w:val="28"/>
        </w:rPr>
      </w:pPr>
      <w:proofErr w:type="spellStart"/>
      <w:r w:rsidRPr="3FDAAFBE">
        <w:rPr>
          <w:rStyle w:val="bumpedfont15"/>
          <w:rFonts w:ascii="-webkit-standard" w:hAnsi="-webkit-standard"/>
          <w:color w:val="000000" w:themeColor="text1"/>
        </w:rPr>
        <w:t>Hammarberg</w:t>
      </w:r>
      <w:proofErr w:type="spellEnd"/>
      <w:r w:rsidRPr="3FDAAFBE">
        <w:rPr>
          <w:rStyle w:val="bumpedfont15"/>
          <w:rFonts w:ascii="-webkit-standard" w:hAnsi="-webkit-standard"/>
          <w:color w:val="000000" w:themeColor="text1"/>
        </w:rPr>
        <w:t xml:space="preserve">, K., </w:t>
      </w:r>
      <w:proofErr w:type="spellStart"/>
      <w:r w:rsidRPr="3FDAAFBE">
        <w:rPr>
          <w:rStyle w:val="bumpedfont15"/>
          <w:rFonts w:ascii="-webkit-standard" w:hAnsi="-webkit-standard"/>
          <w:color w:val="000000" w:themeColor="text1"/>
        </w:rPr>
        <w:t>Kirkman</w:t>
      </w:r>
      <w:proofErr w:type="spellEnd"/>
      <w:r w:rsidRPr="3FDAAFBE">
        <w:rPr>
          <w:rStyle w:val="bumpedfont15"/>
          <w:rFonts w:ascii="-webkit-standard" w:hAnsi="-webkit-standard"/>
          <w:color w:val="000000" w:themeColor="text1"/>
        </w:rPr>
        <w:t>, M. and de Lacey, S. (2016) 'Qualitative research methods: when to use them and how to judge them', Human Reproduction, 31(3), pp. 498–501. Available at: https://doi.org/10.1093/humrep/dev334</w:t>
      </w:r>
    </w:p>
    <w:p w14:paraId="4279C196" w14:textId="4135BABB" w:rsidR="00702D10" w:rsidRDefault="006E5D0D">
      <w:pPr>
        <w:pStyle w:val="s20"/>
        <w:spacing w:before="0" w:beforeAutospacing="0" w:after="120" w:afterAutospacing="0"/>
        <w:ind w:left="540" w:hanging="540"/>
        <w:rPr>
          <w:rFonts w:ascii="-webkit-standard" w:hAnsi="-webkit-standard"/>
          <w:color w:val="000000"/>
          <w:sz w:val="28"/>
          <w:szCs w:val="28"/>
        </w:rPr>
      </w:pPr>
      <w:r w:rsidRPr="3FDAAFBE">
        <w:rPr>
          <w:rStyle w:val="bumpedfont15"/>
          <w:rFonts w:ascii="-webkit-standard" w:hAnsi="-webkit-standard"/>
          <w:color w:val="000000" w:themeColor="text1"/>
        </w:rPr>
        <w:t>O’Cathrin</w:t>
      </w:r>
      <w:r w:rsidR="00702D10" w:rsidRPr="3FDAAFBE">
        <w:rPr>
          <w:rStyle w:val="bumpedfont15"/>
          <w:rFonts w:ascii="-webkit-standard" w:hAnsi="-webkit-standard"/>
          <w:color w:val="000000" w:themeColor="text1"/>
        </w:rPr>
        <w:t xml:space="preserve">, A., Murphy, E. and </w:t>
      </w:r>
      <w:proofErr w:type="spellStart"/>
      <w:r w:rsidR="00702D10" w:rsidRPr="3FDAAFBE">
        <w:rPr>
          <w:rStyle w:val="bumpedfont15"/>
          <w:rFonts w:ascii="-webkit-standard" w:hAnsi="-webkit-standard"/>
          <w:color w:val="000000" w:themeColor="text1"/>
        </w:rPr>
        <w:t>Nicholl</w:t>
      </w:r>
      <w:proofErr w:type="spellEnd"/>
      <w:r w:rsidR="00702D10" w:rsidRPr="3FDAAFBE">
        <w:rPr>
          <w:rStyle w:val="bumpedfont15"/>
          <w:rFonts w:ascii="-webkit-standard" w:hAnsi="-webkit-standard"/>
          <w:color w:val="000000" w:themeColor="text1"/>
        </w:rPr>
        <w:t>, J. (2007) 'Why, and how, mixed methods research is undertaken in health services research in England: a mixed methods study', BMC Health Services Research, 7, 85. Available at: https://doi.org/10.1186/1472-6963-7-85</w:t>
      </w:r>
    </w:p>
    <w:p w14:paraId="54045FDF" w14:textId="1F0BA873" w:rsidR="00702D10" w:rsidRDefault="00702D10">
      <w:pPr>
        <w:pStyle w:val="s20"/>
        <w:spacing w:before="0" w:beforeAutospacing="0" w:after="120" w:afterAutospacing="0"/>
        <w:ind w:left="540" w:hanging="540"/>
        <w:rPr>
          <w:rFonts w:ascii="-webkit-standard" w:hAnsi="-webkit-standard"/>
          <w:color w:val="000000"/>
          <w:sz w:val="28"/>
          <w:szCs w:val="28"/>
        </w:rPr>
      </w:pPr>
      <w:proofErr w:type="spellStart"/>
      <w:r w:rsidRPr="3FDAAFBE">
        <w:rPr>
          <w:rStyle w:val="bumpedfont15"/>
          <w:rFonts w:ascii="-webkit-standard" w:hAnsi="-webkit-standard"/>
          <w:color w:val="000000" w:themeColor="text1"/>
        </w:rPr>
        <w:t>Ravalier</w:t>
      </w:r>
      <w:proofErr w:type="spellEnd"/>
      <w:r w:rsidRPr="3FDAAFBE">
        <w:rPr>
          <w:rStyle w:val="bumpedfont15"/>
          <w:rFonts w:ascii="-webkit-standard" w:hAnsi="-webkit-standard"/>
          <w:color w:val="000000" w:themeColor="text1"/>
        </w:rPr>
        <w:t>, J., Neill, R.,</w:t>
      </w:r>
      <w:r w:rsidRPr="3FDAAFBE">
        <w:rPr>
          <w:rStyle w:val="apple-converted-space"/>
          <w:rFonts w:ascii="-webkit-standard" w:hAnsi="-webkit-standard"/>
          <w:color w:val="000000" w:themeColor="text1"/>
        </w:rPr>
        <w:t> </w:t>
      </w:r>
      <w:proofErr w:type="spellStart"/>
      <w:r w:rsidRPr="3FDAAFBE">
        <w:rPr>
          <w:rStyle w:val="bumpedfont15"/>
          <w:rFonts w:ascii="-webkit-standard" w:hAnsi="-webkit-standard"/>
          <w:color w:val="000000" w:themeColor="text1"/>
        </w:rPr>
        <w:t>Manthorpe</w:t>
      </w:r>
      <w:proofErr w:type="spellEnd"/>
      <w:r w:rsidRPr="3FDAAFBE">
        <w:rPr>
          <w:rStyle w:val="bumpedfont15"/>
          <w:rFonts w:ascii="-webkit-standard" w:hAnsi="-webkit-standard"/>
          <w:color w:val="000000" w:themeColor="text1"/>
        </w:rPr>
        <w:t>, J. and Curry, D. (2022) 'Social care and social work during the COVID-19 pandemic: a survey of the UK workforce', Journal of Social Work, 22(5), pp. 1146–1166. Available at: https://pmc.ncbi.nlm.nih.gov/articles/PMC9264376/</w:t>
      </w:r>
    </w:p>
    <w:p w14:paraId="46DED9AF" w14:textId="00B07BE6" w:rsidR="00702D10" w:rsidRDefault="00702D10">
      <w:pPr>
        <w:pStyle w:val="s20"/>
        <w:spacing w:before="0" w:beforeAutospacing="0" w:after="120" w:afterAutospacing="0"/>
        <w:ind w:left="540" w:hanging="540"/>
        <w:rPr>
          <w:rFonts w:ascii="-webkit-standard" w:hAnsi="-webkit-standard"/>
          <w:color w:val="000000"/>
          <w:sz w:val="28"/>
          <w:szCs w:val="28"/>
        </w:rPr>
      </w:pPr>
      <w:r w:rsidRPr="3FDAAFBE">
        <w:rPr>
          <w:rStyle w:val="bumpedfont15"/>
          <w:rFonts w:ascii="-webkit-standard" w:hAnsi="-webkit-standard"/>
          <w:color w:val="000000" w:themeColor="text1"/>
        </w:rPr>
        <w:t>Ross, A., Anderson, J.E.,</w:t>
      </w:r>
      <w:r w:rsidRPr="3FDAAFBE">
        <w:rPr>
          <w:rStyle w:val="apple-converted-space"/>
          <w:rFonts w:ascii="-webkit-standard" w:hAnsi="-webkit-standard"/>
          <w:color w:val="000000" w:themeColor="text1"/>
        </w:rPr>
        <w:t> </w:t>
      </w:r>
      <w:proofErr w:type="spellStart"/>
      <w:r w:rsidRPr="3FDAAFBE">
        <w:rPr>
          <w:rStyle w:val="bumpedfont15"/>
          <w:rFonts w:ascii="-webkit-standard" w:hAnsi="-webkit-standard"/>
          <w:color w:val="000000" w:themeColor="text1"/>
        </w:rPr>
        <w:t>Selveindran</w:t>
      </w:r>
      <w:proofErr w:type="spellEnd"/>
      <w:r w:rsidRPr="3FDAAFBE">
        <w:rPr>
          <w:rStyle w:val="bumpedfont15"/>
          <w:rFonts w:ascii="-webkit-standard" w:hAnsi="-webkit-standard"/>
          <w:color w:val="000000" w:themeColor="text1"/>
        </w:rPr>
        <w:t xml:space="preserve">, S., MacBride, T., Bowie, P., </w:t>
      </w:r>
      <w:proofErr w:type="spellStart"/>
      <w:r w:rsidRPr="3FDAAFBE">
        <w:rPr>
          <w:rStyle w:val="bumpedfont15"/>
          <w:rFonts w:ascii="-webkit-standard" w:hAnsi="-webkit-standard"/>
          <w:color w:val="000000" w:themeColor="text1"/>
        </w:rPr>
        <w:t>Sherriff</w:t>
      </w:r>
      <w:proofErr w:type="spellEnd"/>
      <w:r w:rsidRPr="3FDAAFBE">
        <w:rPr>
          <w:rStyle w:val="bumpedfont15"/>
          <w:rFonts w:ascii="-webkit-standard" w:hAnsi="-webkit-standard"/>
          <w:color w:val="000000" w:themeColor="text1"/>
        </w:rPr>
        <w:t>, A. et al. (2022) 'A qualitative study of organisational resilience in care homes in Scotland',</w:t>
      </w:r>
      <w:r w:rsidRPr="3FDAAFBE">
        <w:rPr>
          <w:rStyle w:val="apple-converted-space"/>
          <w:rFonts w:ascii="-webkit-standard" w:hAnsi="-webkit-standard"/>
          <w:color w:val="000000" w:themeColor="text1"/>
        </w:rPr>
        <w:t> </w:t>
      </w:r>
      <w:r w:rsidRPr="3FDAAFBE">
        <w:rPr>
          <w:rStyle w:val="bumpedfont15"/>
          <w:rFonts w:ascii="-webkit-standard" w:hAnsi="-webkit-standard"/>
          <w:color w:val="000000" w:themeColor="text1"/>
        </w:rPr>
        <w:t>PLoS</w:t>
      </w:r>
      <w:r w:rsidRPr="3FDAAFBE">
        <w:rPr>
          <w:rStyle w:val="apple-converted-space"/>
          <w:rFonts w:ascii="-webkit-standard" w:hAnsi="-webkit-standard"/>
          <w:color w:val="000000" w:themeColor="text1"/>
        </w:rPr>
        <w:t> </w:t>
      </w:r>
      <w:r w:rsidRPr="3FDAAFBE">
        <w:rPr>
          <w:rStyle w:val="bumpedfont15"/>
          <w:rFonts w:ascii="-webkit-standard" w:hAnsi="-webkit-standard"/>
          <w:color w:val="000000" w:themeColor="text1"/>
        </w:rPr>
        <w:t>ONE, 17(12), e0279376. Available at: https://doi.org/10.1371/journal.pone.0279376</w:t>
      </w:r>
    </w:p>
    <w:p w14:paraId="7C73DB79" w14:textId="52792635" w:rsidR="004468F8" w:rsidRDefault="00702D10" w:rsidP="3FDAAFBE">
      <w:pPr>
        <w:pStyle w:val="s20"/>
        <w:spacing w:before="0" w:beforeAutospacing="0" w:after="120" w:afterAutospacing="0" w:line="360" w:lineRule="auto"/>
        <w:ind w:left="540" w:hanging="540"/>
      </w:pPr>
      <w:r w:rsidRPr="3FDAAFBE">
        <w:rPr>
          <w:rStyle w:val="bumpedfont15"/>
          <w:rFonts w:ascii="-webkit-standard" w:hAnsi="-webkit-standard"/>
          <w:color w:val="000000" w:themeColor="text1"/>
        </w:rPr>
        <w:t xml:space="preserve">Wickham, R.J. (2019) 'Secondary analysis research', Journal of the Advanced Practitioner in Oncology, 10(4), pp. 395–400. Available at: </w:t>
      </w:r>
      <w:r w:rsidR="60CF160D" w:rsidRPr="3FDAAFBE">
        <w:rPr>
          <w:rStyle w:val="bumpedfont15"/>
          <w:rFonts w:ascii="-webkit-standard" w:hAnsi="-webkit-standard"/>
          <w:color w:val="000000" w:themeColor="text1"/>
        </w:rPr>
        <w:t>http</w:t>
      </w:r>
      <w:r w:rsidRPr="3FDAAFBE">
        <w:rPr>
          <w:rStyle w:val="bumpedfont15"/>
          <w:rFonts w:ascii="-webkit-standard" w:hAnsi="-webkit-standard"/>
          <w:color w:val="000000" w:themeColor="text1"/>
        </w:rPr>
        <w:t>://doi.org/10.6004/jadpro.2019.10.4.7</w:t>
      </w:r>
    </w:p>
    <w:p w14:paraId="03B7A58D" w14:textId="77777777" w:rsidR="004468F8" w:rsidRDefault="004468F8">
      <w:pPr>
        <w:spacing w:line="360" w:lineRule="auto"/>
        <w:jc w:val="both"/>
        <w:rPr>
          <w:rFonts w:ascii="Arial" w:eastAsia="Arial" w:hAnsi="Arial" w:cs="Arial"/>
          <w:sz w:val="22"/>
          <w:szCs w:val="22"/>
        </w:rPr>
      </w:pPr>
    </w:p>
    <w:p w14:paraId="1FD109FA" w14:textId="5A713425" w:rsidR="00530E16" w:rsidRDefault="00530E16" w:rsidP="3FDAAFBE">
      <w:pPr>
        <w:spacing w:line="360" w:lineRule="auto"/>
        <w:jc w:val="both"/>
        <w:rPr>
          <w:rFonts w:ascii="Arial" w:eastAsia="Arial" w:hAnsi="Arial" w:cs="Arial"/>
          <w:sz w:val="22"/>
          <w:szCs w:val="22"/>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E9E0F1" w14:textId="77777777" w:rsidR="00495F98" w:rsidRDefault="00495F98" w:rsidP="002A1842">
      <w:pPr>
        <w:spacing w:after="0" w:line="240" w:lineRule="auto"/>
      </w:pPr>
      <w:r>
        <w:separator/>
      </w:r>
    </w:p>
  </w:endnote>
  <w:endnote w:type="continuationSeparator" w:id="0">
    <w:p w14:paraId="389FCD6A" w14:textId="77777777" w:rsidR="00495F98" w:rsidRDefault="00495F9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A0BA02" w14:textId="77777777" w:rsidR="00495F98" w:rsidRDefault="00495F98" w:rsidP="002A1842">
      <w:pPr>
        <w:spacing w:after="0" w:line="240" w:lineRule="auto"/>
      </w:pPr>
      <w:r>
        <w:separator/>
      </w:r>
    </w:p>
  </w:footnote>
  <w:footnote w:type="continuationSeparator" w:id="0">
    <w:p w14:paraId="5DCCBE78" w14:textId="77777777" w:rsidR="00495F98" w:rsidRDefault="00495F9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53F562B"/>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 w:numId="5" w16cid:durableId="168907735">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327E1"/>
    <w:rsid w:val="00172AD1"/>
    <w:rsid w:val="001813E7"/>
    <w:rsid w:val="0018446A"/>
    <w:rsid w:val="00186E86"/>
    <w:rsid w:val="001A1DF7"/>
    <w:rsid w:val="001D1EA9"/>
    <w:rsid w:val="001E040E"/>
    <w:rsid w:val="0020581C"/>
    <w:rsid w:val="00210D5A"/>
    <w:rsid w:val="002A1842"/>
    <w:rsid w:val="002A46BB"/>
    <w:rsid w:val="002D303D"/>
    <w:rsid w:val="002F4AE8"/>
    <w:rsid w:val="003510B1"/>
    <w:rsid w:val="003B54A1"/>
    <w:rsid w:val="003D03F2"/>
    <w:rsid w:val="004269CC"/>
    <w:rsid w:val="004466D3"/>
    <w:rsid w:val="004468F8"/>
    <w:rsid w:val="00473E0A"/>
    <w:rsid w:val="00490478"/>
    <w:rsid w:val="00493DB8"/>
    <w:rsid w:val="00495F98"/>
    <w:rsid w:val="004F2FD1"/>
    <w:rsid w:val="00516457"/>
    <w:rsid w:val="00530E16"/>
    <w:rsid w:val="00560E01"/>
    <w:rsid w:val="0058309C"/>
    <w:rsid w:val="00662C5A"/>
    <w:rsid w:val="006935D3"/>
    <w:rsid w:val="006A50AC"/>
    <w:rsid w:val="006E5D0D"/>
    <w:rsid w:val="006F34BF"/>
    <w:rsid w:val="00702D10"/>
    <w:rsid w:val="00722EFE"/>
    <w:rsid w:val="00742F54"/>
    <w:rsid w:val="007A2630"/>
    <w:rsid w:val="007B5AA7"/>
    <w:rsid w:val="007C4E7A"/>
    <w:rsid w:val="007F26F5"/>
    <w:rsid w:val="008370E5"/>
    <w:rsid w:val="00880DF1"/>
    <w:rsid w:val="00891918"/>
    <w:rsid w:val="008E3E78"/>
    <w:rsid w:val="00941CF5"/>
    <w:rsid w:val="00985228"/>
    <w:rsid w:val="009F75E0"/>
    <w:rsid w:val="00A13358"/>
    <w:rsid w:val="00A37DD1"/>
    <w:rsid w:val="00A75B15"/>
    <w:rsid w:val="00A767E4"/>
    <w:rsid w:val="00AD7221"/>
    <w:rsid w:val="00AE06EA"/>
    <w:rsid w:val="00B10C2A"/>
    <w:rsid w:val="00B10F84"/>
    <w:rsid w:val="00B63B99"/>
    <w:rsid w:val="00C25492"/>
    <w:rsid w:val="00C34EE4"/>
    <w:rsid w:val="00C87E2E"/>
    <w:rsid w:val="00C96E8A"/>
    <w:rsid w:val="00CD7B4A"/>
    <w:rsid w:val="00CF1351"/>
    <w:rsid w:val="00CF650B"/>
    <w:rsid w:val="00D4318D"/>
    <w:rsid w:val="00E10231"/>
    <w:rsid w:val="00E218BE"/>
    <w:rsid w:val="00E60AA6"/>
    <w:rsid w:val="00EE17B2"/>
    <w:rsid w:val="00EE2B21"/>
    <w:rsid w:val="00F03629"/>
    <w:rsid w:val="00F26916"/>
    <w:rsid w:val="00F32CE4"/>
    <w:rsid w:val="00F36C59"/>
    <w:rsid w:val="00F618F2"/>
    <w:rsid w:val="00FB1636"/>
    <w:rsid w:val="00FB210D"/>
    <w:rsid w:val="00FD701F"/>
    <w:rsid w:val="026191F2"/>
    <w:rsid w:val="09BB311D"/>
    <w:rsid w:val="0B085217"/>
    <w:rsid w:val="0C327CF0"/>
    <w:rsid w:val="0D6F4F93"/>
    <w:rsid w:val="0DBCA168"/>
    <w:rsid w:val="194CB7C8"/>
    <w:rsid w:val="1EA875BA"/>
    <w:rsid w:val="1F41AE92"/>
    <w:rsid w:val="212B5F2F"/>
    <w:rsid w:val="26613383"/>
    <w:rsid w:val="2D8DD93E"/>
    <w:rsid w:val="2DC03DD7"/>
    <w:rsid w:val="2ECDCD26"/>
    <w:rsid w:val="381E8F91"/>
    <w:rsid w:val="3C4D129E"/>
    <w:rsid w:val="3FDAAFBE"/>
    <w:rsid w:val="45AF58FB"/>
    <w:rsid w:val="5394FF57"/>
    <w:rsid w:val="5630FC6E"/>
    <w:rsid w:val="566EB551"/>
    <w:rsid w:val="59015A4B"/>
    <w:rsid w:val="5A1FD63D"/>
    <w:rsid w:val="5AD149B9"/>
    <w:rsid w:val="5C52D4E8"/>
    <w:rsid w:val="5D63968D"/>
    <w:rsid w:val="60CF160D"/>
    <w:rsid w:val="61CCC111"/>
    <w:rsid w:val="64075F26"/>
    <w:rsid w:val="68916685"/>
    <w:rsid w:val="6A4CF31E"/>
    <w:rsid w:val="70279109"/>
    <w:rsid w:val="70D26C9C"/>
    <w:rsid w:val="77CF8048"/>
    <w:rsid w:val="795AEDE0"/>
    <w:rsid w:val="79AE1D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1F733353-FEF8-F04B-B123-B8A9FC780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customStyle="1" w:styleId="apple-converted-space">
    <w:name w:val="apple-converted-space"/>
    <w:basedOn w:val="DefaultParagraphFont"/>
    <w:rsid w:val="004466D3"/>
  </w:style>
  <w:style w:type="paragraph" w:customStyle="1" w:styleId="s18">
    <w:name w:val="s18"/>
    <w:basedOn w:val="Normal"/>
    <w:rsid w:val="002D303D"/>
    <w:pPr>
      <w:spacing w:before="100" w:beforeAutospacing="1" w:after="100" w:afterAutospacing="1" w:line="240" w:lineRule="auto"/>
    </w:pPr>
    <w:rPr>
      <w:rFonts w:ascii="Times New Roman" w:eastAsiaTheme="minorEastAsia" w:hAnsi="Times New Roman" w:cs="Times New Roman"/>
    </w:rPr>
  </w:style>
  <w:style w:type="paragraph" w:customStyle="1" w:styleId="s20">
    <w:name w:val="s20"/>
    <w:basedOn w:val="Normal"/>
    <w:rsid w:val="00702D10"/>
    <w:pPr>
      <w:spacing w:before="100" w:beforeAutospacing="1" w:after="100" w:afterAutospacing="1" w:line="240" w:lineRule="auto"/>
    </w:pPr>
    <w:rPr>
      <w:rFonts w:ascii="Times New Roman" w:eastAsiaTheme="minorEastAsia" w:hAnsi="Times New Roman" w:cs="Times New Roman"/>
    </w:rPr>
  </w:style>
  <w:style w:type="character" w:customStyle="1" w:styleId="bumpedfont15">
    <w:name w:val="bumpedfont15"/>
    <w:basedOn w:val="DefaultParagraphFont"/>
    <w:rsid w:val="00702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Moustapha Ndiaye (2540504)</cp:lastModifiedBy>
  <cp:revision>9</cp:revision>
  <dcterms:created xsi:type="dcterms:W3CDTF">2026-08-13T13:20:00Z</dcterms:created>
  <dcterms:modified xsi:type="dcterms:W3CDTF">2026-08-14T23:52:00Z</dcterms:modified>
</cp:coreProperties>
</file>