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F4D930" w14:textId="77777777" w:rsidR="00714B46" w:rsidRDefault="00F86E64" w:rsidP="00F86E64">
      <w:pPr>
        <w:jc w:val="center"/>
        <w:rPr>
          <w:sz w:val="24"/>
          <w:u w:val="single"/>
        </w:rPr>
      </w:pPr>
      <w:r>
        <w:rPr>
          <w:sz w:val="24"/>
          <w:u w:val="single"/>
        </w:rPr>
        <w:t>What was the Peplos of Athena and What was its Religious and Social Significance?</w:t>
      </w:r>
    </w:p>
    <w:p w14:paraId="72480C6E" w14:textId="0CEA75DE" w:rsidR="00643E2C" w:rsidRDefault="00643E2C" w:rsidP="00F86E64">
      <w:r>
        <w:t>The Peplos of Athena was a saffron</w:t>
      </w:r>
      <w:r>
        <w:rPr>
          <w:rStyle w:val="FootnoteReference"/>
        </w:rPr>
        <w:footnoteReference w:id="1"/>
      </w:r>
      <w:r>
        <w:t xml:space="preserve"> robe made from a woven, woollen material</w:t>
      </w:r>
      <w:r>
        <w:rPr>
          <w:rStyle w:val="FootnoteReference"/>
        </w:rPr>
        <w:footnoteReference w:id="2"/>
      </w:r>
      <w:r>
        <w:t>.</w:t>
      </w:r>
      <w:r w:rsidR="00660F81">
        <w:t xml:space="preserve"> This robe </w:t>
      </w:r>
      <w:r w:rsidR="00193757">
        <w:t>wa</w:t>
      </w:r>
      <w:r w:rsidR="00660F81">
        <w:t>s usually depicted with images of the Olympians Gods in battle with the Giants</w:t>
      </w:r>
      <w:r w:rsidR="00660F81">
        <w:rPr>
          <w:rStyle w:val="FootnoteReference"/>
        </w:rPr>
        <w:footnoteReference w:id="3"/>
      </w:r>
      <w:r w:rsidR="00A25915">
        <w:t xml:space="preserve">. </w:t>
      </w:r>
      <w:r w:rsidR="00C65D3B">
        <w:t>Unlike other garments, the Peplos of Athena held both religious and social importance.</w:t>
      </w:r>
    </w:p>
    <w:p w14:paraId="3F5E64A3" w14:textId="00901C50" w:rsidR="00F86E64" w:rsidRDefault="000B6B90" w:rsidP="00F86E64">
      <w:r>
        <w:t>The Peplos was offered to Athena at the Panathenaea</w:t>
      </w:r>
      <w:r>
        <w:rPr>
          <w:rStyle w:val="FootnoteReference"/>
        </w:rPr>
        <w:footnoteReference w:id="4"/>
      </w:r>
      <w:r>
        <w:t>.</w:t>
      </w:r>
      <w:r w:rsidR="0078535E">
        <w:t xml:space="preserve"> This was a festival celebrated in Athens </w:t>
      </w:r>
      <w:r w:rsidR="00C65D3B">
        <w:t>to celebrate</w:t>
      </w:r>
      <w:r w:rsidR="0078535E">
        <w:t xml:space="preserve"> their patro</w:t>
      </w:r>
      <w:r w:rsidR="00937952">
        <w:t>n goddess and included many events such as athletics and musical performances</w:t>
      </w:r>
      <w:r w:rsidR="00937952">
        <w:rPr>
          <w:rStyle w:val="FootnoteReference"/>
        </w:rPr>
        <w:footnoteReference w:id="5"/>
      </w:r>
      <w:r w:rsidR="00937952">
        <w:t xml:space="preserve">. The Peplos held significance here as it was a gift given to Athena from the people of Athens. </w:t>
      </w:r>
      <w:r w:rsidR="00C65D3B">
        <w:t>The Peplos crafted every year with a similar design for the lesser Panathenaea</w:t>
      </w:r>
      <w:r w:rsidR="00C65D3B">
        <w:rPr>
          <w:rStyle w:val="FootnoteReference"/>
        </w:rPr>
        <w:footnoteReference w:id="6"/>
      </w:r>
      <w:r w:rsidR="00C65D3B">
        <w:t>. This annual Peplos was crafted by Athenian maidens and offered as a robe</w:t>
      </w:r>
      <w:r w:rsidR="004F4ACE">
        <w:t xml:space="preserve"> to the Athena Polias</w:t>
      </w:r>
      <w:r w:rsidR="00C65D3B">
        <w:rPr>
          <w:rStyle w:val="FootnoteReference"/>
        </w:rPr>
        <w:footnoteReference w:id="7"/>
      </w:r>
      <w:r w:rsidR="00C65D3B">
        <w:t>. An additional Peplos was crafted once every four years for the greater Panathenaea</w:t>
      </w:r>
      <w:r w:rsidR="004F4ACE">
        <w:rPr>
          <w:rStyle w:val="FootnoteReference"/>
        </w:rPr>
        <w:footnoteReference w:id="8"/>
      </w:r>
      <w:r w:rsidR="004F4ACE">
        <w:t>. This Peplos was larger than the annual one and was crafted by professional male weavers</w:t>
      </w:r>
      <w:r w:rsidR="004F4ACE">
        <w:rPr>
          <w:rStyle w:val="FootnoteReference"/>
        </w:rPr>
        <w:footnoteReference w:id="9"/>
      </w:r>
      <w:r w:rsidR="004F4ACE">
        <w:t xml:space="preserve">. It was displayed as a sail and taken through the city on a vehicle </w:t>
      </w:r>
      <w:proofErr w:type="gramStart"/>
      <w:r w:rsidR="004F4ACE">
        <w:t>similar to</w:t>
      </w:r>
      <w:proofErr w:type="gramEnd"/>
      <w:r w:rsidR="004F4ACE">
        <w:t xml:space="preserve"> a wheeled boat</w:t>
      </w:r>
      <w:r w:rsidR="004F4ACE">
        <w:rPr>
          <w:rStyle w:val="FootnoteReference"/>
        </w:rPr>
        <w:footnoteReference w:id="10"/>
      </w:r>
      <w:r w:rsidR="004F4ACE">
        <w:t xml:space="preserve"> before being presented to Athena. </w:t>
      </w:r>
      <w:r w:rsidR="00F66620">
        <w:t xml:space="preserve">The frieze of the Parthenon depicts the twelve Olympian gods as members of the audience for the </w:t>
      </w:r>
      <w:bookmarkStart w:id="0" w:name="_GoBack"/>
      <w:bookmarkEnd w:id="0"/>
      <w:r w:rsidR="00F66620">
        <w:t>presentation of the Peplos</w:t>
      </w:r>
      <w:r w:rsidR="00F66620">
        <w:rPr>
          <w:rStyle w:val="FootnoteReference"/>
        </w:rPr>
        <w:footnoteReference w:id="11"/>
      </w:r>
      <w:r w:rsidR="00F66620">
        <w:t>. This is the crafter showing that the Peplos was an important gift for Athena. The gods being present shows that it was thought of in very high regards.</w:t>
      </w:r>
    </w:p>
    <w:p w14:paraId="195A6FAD" w14:textId="0347E221" w:rsidR="00F66620" w:rsidRPr="00F66620" w:rsidRDefault="001B45DF" w:rsidP="00F86E64">
      <w:r>
        <w:t>The social significance held by the Peplos can be see</w:t>
      </w:r>
      <w:r w:rsidR="00C039B3">
        <w:t>n</w:t>
      </w:r>
      <w:r>
        <w:t xml:space="preserve"> by the fact it was presented at a festival rather than solely as a religious offering. The festival would have involved the whole Athenian population, including women and slaves</w:t>
      </w:r>
      <w:r>
        <w:rPr>
          <w:rStyle w:val="FootnoteReference"/>
        </w:rPr>
        <w:footnoteReference w:id="12"/>
      </w:r>
      <w:r>
        <w:t xml:space="preserve">. </w:t>
      </w:r>
      <w:r w:rsidR="00E06F43">
        <w:t>Being a major public event, the festival would have had a large audience in attendance</w:t>
      </w:r>
      <w:r w:rsidR="00E06F43">
        <w:rPr>
          <w:rStyle w:val="FootnoteReference"/>
        </w:rPr>
        <w:footnoteReference w:id="13"/>
      </w:r>
      <w:r w:rsidR="00E06F43">
        <w:t xml:space="preserve">. This means that a lot of people would witness the gifting of the Peplos to Athena. The Athenian population would see it as an important item within the festival, meaning it was perceived </w:t>
      </w:r>
      <w:r w:rsidR="00C039B3">
        <w:t>to have religious significance and was respected as part of the ceremony.</w:t>
      </w:r>
      <w:r w:rsidR="004F4ACE">
        <w:t xml:space="preserve"> </w:t>
      </w:r>
      <w:r w:rsidR="008018A5">
        <w:t>The Peplos is show on the frieze of the Parthenon in a central position on the eastern section</w:t>
      </w:r>
      <w:r w:rsidR="008018A5">
        <w:rPr>
          <w:rStyle w:val="FootnoteReference"/>
        </w:rPr>
        <w:footnoteReference w:id="14"/>
      </w:r>
      <w:r w:rsidR="008018A5">
        <w:t>. This shows its importance as</w:t>
      </w:r>
      <w:r w:rsidR="001E0C40">
        <w:t xml:space="preserve"> the creator of the</w:t>
      </w:r>
      <w:r w:rsidR="008018A5">
        <w:t xml:space="preserve"> frieze </w:t>
      </w:r>
      <w:r w:rsidR="001E0C40">
        <w:t xml:space="preserve">has built up to the presentation and has placed the </w:t>
      </w:r>
      <w:r w:rsidR="00BE0716">
        <w:t>Peplos</w:t>
      </w:r>
      <w:r w:rsidR="001E0C40">
        <w:t xml:space="preserve"> as the </w:t>
      </w:r>
      <w:proofErr w:type="gramStart"/>
      <w:r w:rsidR="001E0C40">
        <w:t>main focus</w:t>
      </w:r>
      <w:proofErr w:type="gramEnd"/>
      <w:r w:rsidR="00BE0716">
        <w:t>, drawing the viewer to it.</w:t>
      </w:r>
      <w:r w:rsidR="001E0C40">
        <w:t xml:space="preserve"> </w:t>
      </w:r>
      <w:r w:rsidR="00C039B3">
        <w:t xml:space="preserve">The Peplos’ significance can also be seen </w:t>
      </w:r>
      <w:r w:rsidR="00F66620">
        <w:t xml:space="preserve">in Euripides play </w:t>
      </w:r>
      <w:r w:rsidR="00F66620">
        <w:rPr>
          <w:i/>
        </w:rPr>
        <w:t>Iphigenia in Tauris</w:t>
      </w:r>
      <w:r w:rsidR="00F66620">
        <w:t>. Within the play, Iphigeneia states “</w:t>
      </w:r>
      <w:r w:rsidR="00F66620" w:rsidRPr="000B6B90">
        <w:t>nor embroidering with my shuttle, in the singing loom, the likeness of Athenian Pallas and the Titans</w:t>
      </w:r>
      <w:r w:rsidR="00F66620">
        <w:t>”</w:t>
      </w:r>
      <w:r w:rsidR="00F66620">
        <w:rPr>
          <w:rStyle w:val="FootnoteReference"/>
        </w:rPr>
        <w:footnoteReference w:id="15"/>
      </w:r>
      <w:r w:rsidR="00F66620">
        <w:t xml:space="preserve">. This shows that the weaving of the Peplos was viewed </w:t>
      </w:r>
      <w:r w:rsidR="008F7504">
        <w:t>as a significant event by the women of Athens. However, as this is an extract from a play, the feelings portrayed could be the authors idea on the importance of the event to the women of Athens and not an accurate portrayal of their views.</w:t>
      </w:r>
    </w:p>
    <w:p w14:paraId="711BED59" w14:textId="06E08A44" w:rsidR="00F86E64" w:rsidRPr="00F86E64" w:rsidRDefault="00F86E64" w:rsidP="00F86E64">
      <w:pPr>
        <w:rPr>
          <w:u w:val="single"/>
        </w:rPr>
      </w:pPr>
      <w:r w:rsidRPr="00F86E64">
        <w:rPr>
          <w:u w:val="single"/>
        </w:rPr>
        <w:t>Bibliography</w:t>
      </w:r>
    </w:p>
    <w:p w14:paraId="6F24FFCF" w14:textId="42B87BD8" w:rsidR="00F86E64" w:rsidRDefault="00660F81" w:rsidP="00F86E64">
      <w:r>
        <w:lastRenderedPageBreak/>
        <w:t xml:space="preserve">Neils, J. et al. (1992) </w:t>
      </w:r>
      <w:r>
        <w:rPr>
          <w:i/>
        </w:rPr>
        <w:t>Goddess and Polis: The Panathenaic Festival in Ancient Athens</w:t>
      </w:r>
      <w:r w:rsidR="00A25915">
        <w:rPr>
          <w:i/>
        </w:rPr>
        <w:t>.</w:t>
      </w:r>
      <w:r>
        <w:t xml:space="preserve"> New Jersey: Princeton University Press</w:t>
      </w:r>
      <w:r w:rsidR="00A25915">
        <w:t>.</w:t>
      </w:r>
    </w:p>
    <w:p w14:paraId="1ADF7461" w14:textId="00C8EF4F" w:rsidR="00A25915" w:rsidRDefault="00A25915" w:rsidP="00F86E64">
      <w:r>
        <w:t xml:space="preserve">Stamatopoulou, Z. (2012) ‘Weaving Titans for Athena: Euripides and The Panathenaic Peplos’, </w:t>
      </w:r>
      <w:r>
        <w:rPr>
          <w:i/>
        </w:rPr>
        <w:t>The Classical Quarterly</w:t>
      </w:r>
      <w:r>
        <w:t>, 62(1), pp.72-80.</w:t>
      </w:r>
      <w:r>
        <w:br/>
        <w:t>Accessed: 01/10/2018</w:t>
      </w:r>
      <w:r>
        <w:br/>
        <w:t>DOI: 10.1017/S0009838811000668</w:t>
      </w:r>
    </w:p>
    <w:p w14:paraId="37915B14" w14:textId="4A4EE13C" w:rsidR="0078535E" w:rsidRDefault="0078535E" w:rsidP="00F86E64">
      <w:r>
        <w:t xml:space="preserve">Sourvinou-Inwood, C. (2012) </w:t>
      </w:r>
      <w:r>
        <w:rPr>
          <w:i/>
        </w:rPr>
        <w:t>Oxford Reference.</w:t>
      </w:r>
      <w:r>
        <w:rPr>
          <w:i/>
        </w:rPr>
        <w:br/>
      </w:r>
      <w:r>
        <w:t xml:space="preserve">Available at: </w:t>
      </w:r>
      <w:hyperlink r:id="rId7" w:history="1">
        <w:r w:rsidRPr="00401CED">
          <w:rPr>
            <w:rStyle w:val="Hyperlink"/>
          </w:rPr>
          <w:t>http://www.oxfordreference.com.ezproxy.uwtsd.ac.uk/view/10.1093/acref/9780199545568.001.0001/acref-9780199545568-e-786?rskey=JN70n9&amp;result=1</w:t>
        </w:r>
      </w:hyperlink>
      <w:r>
        <w:br/>
        <w:t>Accessed: 01/10/2018</w:t>
      </w:r>
    </w:p>
    <w:p w14:paraId="4F23A92A" w14:textId="74ACF80B" w:rsidR="00937952" w:rsidRDefault="00937952" w:rsidP="00F86E64">
      <w:r>
        <w:t xml:space="preserve">Parker, R. C. T. (2012) </w:t>
      </w:r>
      <w:r>
        <w:rPr>
          <w:i/>
        </w:rPr>
        <w:t>Oxford Reference.</w:t>
      </w:r>
      <w:r>
        <w:rPr>
          <w:i/>
        </w:rPr>
        <w:br/>
      </w:r>
      <w:r>
        <w:t xml:space="preserve">Available at: </w:t>
      </w:r>
      <w:hyperlink r:id="rId8" w:history="1">
        <w:r w:rsidRPr="00401CED">
          <w:rPr>
            <w:rStyle w:val="Hyperlink"/>
          </w:rPr>
          <w:t>http://www.oxfordreference.com.ezproxy.uwtsd.ac.uk/view/10.1093/acref/9780199545568.001.0001/acref-9780199545568-e-4689?rskey=YeceBn&amp;result=1</w:t>
        </w:r>
      </w:hyperlink>
      <w:r>
        <w:br/>
        <w:t>Accessed: 02/10/2018</w:t>
      </w:r>
    </w:p>
    <w:p w14:paraId="2AB4AB8B" w14:textId="617D77D4" w:rsidR="007558FF" w:rsidRPr="00B80B20" w:rsidRDefault="00B80B20" w:rsidP="00F86E64">
      <w:r>
        <w:t>Rasmus Brandt, J. and Iddeng, J. W.</w:t>
      </w:r>
      <w:r w:rsidR="007558FF">
        <w:t xml:space="preserve"> (2012) </w:t>
      </w:r>
      <w:r w:rsidR="007558FF">
        <w:rPr>
          <w:i/>
        </w:rPr>
        <w:t>Greek and Roman Festivals</w:t>
      </w:r>
      <w:r>
        <w:rPr>
          <w:i/>
        </w:rPr>
        <w:t xml:space="preserve">: Context, Meaning and Practice. </w:t>
      </w:r>
      <w:r>
        <w:t>London: Oxford University Press</w:t>
      </w:r>
    </w:p>
    <w:p w14:paraId="59899580" w14:textId="1617FE16" w:rsidR="008F7504" w:rsidRPr="008F7504" w:rsidRDefault="008F7504" w:rsidP="00F86E64">
      <w:r>
        <w:t xml:space="preserve">Euripides, </w:t>
      </w:r>
      <w:r>
        <w:rPr>
          <w:i/>
        </w:rPr>
        <w:t>Iphigenia In Tauris</w:t>
      </w:r>
      <w:r>
        <w:t>. R. Potter (trans). 1938. New York: Random House</w:t>
      </w:r>
    </w:p>
    <w:sectPr w:rsidR="008F7504" w:rsidRPr="008F7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756BE0" w14:textId="77777777" w:rsidR="009D2A14" w:rsidRDefault="009D2A14" w:rsidP="00643E2C">
      <w:pPr>
        <w:spacing w:after="0" w:line="240" w:lineRule="auto"/>
      </w:pPr>
      <w:r>
        <w:separator/>
      </w:r>
    </w:p>
  </w:endnote>
  <w:endnote w:type="continuationSeparator" w:id="0">
    <w:p w14:paraId="22200265" w14:textId="77777777" w:rsidR="009D2A14" w:rsidRDefault="009D2A14" w:rsidP="00643E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2F62D5" w14:textId="77777777" w:rsidR="009D2A14" w:rsidRDefault="009D2A14" w:rsidP="00643E2C">
      <w:pPr>
        <w:spacing w:after="0" w:line="240" w:lineRule="auto"/>
      </w:pPr>
      <w:r>
        <w:separator/>
      </w:r>
    </w:p>
  </w:footnote>
  <w:footnote w:type="continuationSeparator" w:id="0">
    <w:p w14:paraId="21D4BF2B" w14:textId="77777777" w:rsidR="009D2A14" w:rsidRDefault="009D2A14" w:rsidP="00643E2C">
      <w:pPr>
        <w:spacing w:after="0" w:line="240" w:lineRule="auto"/>
      </w:pPr>
      <w:r>
        <w:continuationSeparator/>
      </w:r>
    </w:p>
  </w:footnote>
  <w:footnote w:id="1">
    <w:p w14:paraId="5E72E4AD" w14:textId="0DE2E33C" w:rsidR="00643E2C" w:rsidRDefault="00643E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0F81">
        <w:t>Neils et al.</w:t>
      </w:r>
      <w:r w:rsidR="00C65D3B">
        <w:t>,</w:t>
      </w:r>
      <w:r w:rsidR="00660F81">
        <w:t xml:space="preserve"> 1992</w:t>
      </w:r>
      <w:r>
        <w:t>, p.116</w:t>
      </w:r>
    </w:p>
  </w:footnote>
  <w:footnote w:id="2">
    <w:p w14:paraId="4C687369" w14:textId="227156F2" w:rsidR="00643E2C" w:rsidRDefault="00643E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0F81">
        <w:t>Neils et al.</w:t>
      </w:r>
      <w:r w:rsidR="00C65D3B">
        <w:t>,</w:t>
      </w:r>
      <w:r w:rsidR="00660F81">
        <w:t xml:space="preserve"> 1992</w:t>
      </w:r>
      <w:r>
        <w:t>, p. 103</w:t>
      </w:r>
    </w:p>
  </w:footnote>
  <w:footnote w:id="3">
    <w:p w14:paraId="19F8ECF2" w14:textId="29C9081A" w:rsidR="00660F81" w:rsidRDefault="00660F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5915">
        <w:t>Stamatopoulou, 2012, p.72</w:t>
      </w:r>
    </w:p>
  </w:footnote>
  <w:footnote w:id="4">
    <w:p w14:paraId="6C0A5F2A" w14:textId="4E648180" w:rsidR="000B6B90" w:rsidRDefault="000B6B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535E">
        <w:t>Sourvinou-Inwood, 2012</w:t>
      </w:r>
    </w:p>
  </w:footnote>
  <w:footnote w:id="5">
    <w:p w14:paraId="4AEC0D8A" w14:textId="71EDC942" w:rsidR="00937952" w:rsidRDefault="00937952">
      <w:pPr>
        <w:pStyle w:val="FootnoteText"/>
      </w:pPr>
      <w:r>
        <w:rPr>
          <w:rStyle w:val="FootnoteReference"/>
        </w:rPr>
        <w:footnoteRef/>
      </w:r>
      <w:r>
        <w:t xml:space="preserve"> Parker, 2012</w:t>
      </w:r>
    </w:p>
  </w:footnote>
  <w:footnote w:id="6">
    <w:p w14:paraId="5865DAA0" w14:textId="60E003C6" w:rsidR="00C65D3B" w:rsidRDefault="00C65D3B">
      <w:pPr>
        <w:pStyle w:val="FootnoteText"/>
      </w:pPr>
      <w:r>
        <w:rPr>
          <w:rStyle w:val="FootnoteReference"/>
        </w:rPr>
        <w:footnoteRef/>
      </w:r>
      <w:r>
        <w:t xml:space="preserve"> Neils et al., 1992, p.113</w:t>
      </w:r>
    </w:p>
  </w:footnote>
  <w:footnote w:id="7">
    <w:p w14:paraId="5C081361" w14:textId="46C5CBAE" w:rsidR="00C65D3B" w:rsidRDefault="00C65D3B">
      <w:pPr>
        <w:pStyle w:val="FootnoteText"/>
      </w:pPr>
      <w:r>
        <w:rPr>
          <w:rStyle w:val="FootnoteReference"/>
        </w:rPr>
        <w:footnoteRef/>
      </w:r>
      <w:r>
        <w:t xml:space="preserve"> Neils et al., 1992, p.113</w:t>
      </w:r>
    </w:p>
  </w:footnote>
  <w:footnote w:id="8">
    <w:p w14:paraId="52BCA55C" w14:textId="3FA97EB3" w:rsidR="004F4ACE" w:rsidRDefault="004F4ACE">
      <w:pPr>
        <w:pStyle w:val="FootnoteText"/>
      </w:pPr>
      <w:r>
        <w:rPr>
          <w:rStyle w:val="FootnoteReference"/>
        </w:rPr>
        <w:footnoteRef/>
      </w:r>
      <w:r>
        <w:t xml:space="preserve"> Neils et al., 1992, p.133</w:t>
      </w:r>
    </w:p>
  </w:footnote>
  <w:footnote w:id="9">
    <w:p w14:paraId="4DF7B4AF" w14:textId="4AA5B012" w:rsidR="004F4ACE" w:rsidRDefault="004F4ACE">
      <w:pPr>
        <w:pStyle w:val="FootnoteText"/>
      </w:pPr>
      <w:r>
        <w:rPr>
          <w:rStyle w:val="FootnoteReference"/>
        </w:rPr>
        <w:footnoteRef/>
      </w:r>
      <w:r>
        <w:t xml:space="preserve"> Neils et al., 1992, p.113</w:t>
      </w:r>
    </w:p>
  </w:footnote>
  <w:footnote w:id="10">
    <w:p w14:paraId="355CFB46" w14:textId="3D0624BF" w:rsidR="004F4ACE" w:rsidRDefault="004F4ACE">
      <w:pPr>
        <w:pStyle w:val="FootnoteText"/>
      </w:pPr>
      <w:r>
        <w:rPr>
          <w:rStyle w:val="FootnoteReference"/>
        </w:rPr>
        <w:footnoteRef/>
      </w:r>
      <w:r>
        <w:t xml:space="preserve"> Neils et al., 2012, p.114</w:t>
      </w:r>
    </w:p>
  </w:footnote>
  <w:footnote w:id="11">
    <w:p w14:paraId="62B13BB7" w14:textId="7B7E0313" w:rsidR="00F66620" w:rsidRDefault="00F666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80B20">
        <w:t>Rasmus and Iddeng, 2012, p.209</w:t>
      </w:r>
    </w:p>
  </w:footnote>
  <w:footnote w:id="12">
    <w:p w14:paraId="2027C6C5" w14:textId="7E47F781" w:rsidR="001B45DF" w:rsidRDefault="001B45DF">
      <w:pPr>
        <w:pStyle w:val="FootnoteText"/>
      </w:pPr>
      <w:r>
        <w:rPr>
          <w:rStyle w:val="FootnoteReference"/>
        </w:rPr>
        <w:footnoteRef/>
      </w:r>
      <w:r>
        <w:t xml:space="preserve"> Rasmus and Iddeng, 2012, p.200</w:t>
      </w:r>
    </w:p>
  </w:footnote>
  <w:footnote w:id="13">
    <w:p w14:paraId="1F16891B" w14:textId="20103227" w:rsidR="00E06F43" w:rsidRDefault="00E06F43">
      <w:pPr>
        <w:pStyle w:val="FootnoteText"/>
      </w:pPr>
      <w:r>
        <w:rPr>
          <w:rStyle w:val="FootnoteReference"/>
        </w:rPr>
        <w:footnoteRef/>
      </w:r>
      <w:r>
        <w:t xml:space="preserve"> Rasmus and Iddeng, 2012, p.201</w:t>
      </w:r>
    </w:p>
  </w:footnote>
  <w:footnote w:id="14">
    <w:p w14:paraId="7A03C456" w14:textId="177D70F7" w:rsidR="008018A5" w:rsidRDefault="008018A5">
      <w:pPr>
        <w:pStyle w:val="FootnoteText"/>
      </w:pPr>
      <w:r>
        <w:rPr>
          <w:rStyle w:val="FootnoteReference"/>
        </w:rPr>
        <w:footnoteRef/>
      </w:r>
      <w:r>
        <w:t xml:space="preserve"> Rasmus and Iddeng, 2012, p.209</w:t>
      </w:r>
    </w:p>
  </w:footnote>
  <w:footnote w:id="15">
    <w:p w14:paraId="22F9B169" w14:textId="77777777" w:rsidR="00F66620" w:rsidRDefault="00F66620" w:rsidP="00F66620">
      <w:pPr>
        <w:pStyle w:val="FootnoteText"/>
      </w:pPr>
      <w:r>
        <w:rPr>
          <w:rStyle w:val="FootnoteReference"/>
        </w:rPr>
        <w:footnoteRef/>
      </w:r>
      <w:r>
        <w:t xml:space="preserve"> Eur. IT. 222-224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E64"/>
    <w:rsid w:val="000B6B90"/>
    <w:rsid w:val="00193757"/>
    <w:rsid w:val="001B45DF"/>
    <w:rsid w:val="001E0C40"/>
    <w:rsid w:val="00221EF2"/>
    <w:rsid w:val="003E29CD"/>
    <w:rsid w:val="004F4ACE"/>
    <w:rsid w:val="00502AAC"/>
    <w:rsid w:val="00643E2C"/>
    <w:rsid w:val="00660F81"/>
    <w:rsid w:val="00673C38"/>
    <w:rsid w:val="006C6E94"/>
    <w:rsid w:val="00732046"/>
    <w:rsid w:val="007558FF"/>
    <w:rsid w:val="0078535E"/>
    <w:rsid w:val="008018A5"/>
    <w:rsid w:val="00847789"/>
    <w:rsid w:val="00851A4C"/>
    <w:rsid w:val="008A4DFC"/>
    <w:rsid w:val="008F7504"/>
    <w:rsid w:val="00937952"/>
    <w:rsid w:val="009D2A14"/>
    <w:rsid w:val="00A25915"/>
    <w:rsid w:val="00AC1DD2"/>
    <w:rsid w:val="00B80B20"/>
    <w:rsid w:val="00BE0716"/>
    <w:rsid w:val="00C039B3"/>
    <w:rsid w:val="00C65D3B"/>
    <w:rsid w:val="00CD6AA7"/>
    <w:rsid w:val="00D115A2"/>
    <w:rsid w:val="00DB3043"/>
    <w:rsid w:val="00E06F43"/>
    <w:rsid w:val="00E1371C"/>
    <w:rsid w:val="00EE6030"/>
    <w:rsid w:val="00F31AB3"/>
    <w:rsid w:val="00F66620"/>
    <w:rsid w:val="00F86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5AA96"/>
  <w15:chartTrackingRefBased/>
  <w15:docId w15:val="{E7AE7D79-34E0-455F-AF50-96BAE989D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43E2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3E2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43E2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853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53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xfordreference.com.ezproxy.uwtsd.ac.uk/view/10.1093/acref/9780199545568.001.0001/acref-9780199545568-e-4689?rskey=YeceBn&amp;result=1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oxfordreference.com.ezproxy.uwtsd.ac.uk/view/10.1093/acref/9780199545568.001.0001/acref-9780199545568-e-786?rskey=JN70n9&amp;result=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36D415-1449-4B2A-A92C-830F9259EA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309</TotalTime>
  <Pages>2</Pages>
  <Words>603</Words>
  <Characters>3439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Watts-Robinson</dc:creator>
  <cp:keywords/>
  <dc:description/>
  <cp:lastModifiedBy>Rhiannon Watts-Robinson</cp:lastModifiedBy>
  <cp:revision>2</cp:revision>
  <dcterms:created xsi:type="dcterms:W3CDTF">2018-10-02T17:20:00Z</dcterms:created>
  <dcterms:modified xsi:type="dcterms:W3CDTF">2018-10-03T13:19:00Z</dcterms:modified>
</cp:coreProperties>
</file>