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D3039" w14:textId="77777777" w:rsidR="00BC1935" w:rsidRPr="00BC1935" w:rsidRDefault="00BC1935" w:rsidP="00BC1935">
      <w:pPr>
        <w:spacing w:line="360" w:lineRule="auto"/>
        <w:jc w:val="center"/>
        <w:rPr>
          <w:rFonts w:ascii="Arial" w:eastAsia="Times New Roman" w:hAnsi="Arial" w:cs="Arial"/>
          <w:b/>
          <w:bCs/>
          <w:sz w:val="28"/>
          <w:szCs w:val="28"/>
          <w14:ligatures w14:val="none"/>
        </w:rPr>
      </w:pPr>
      <w:r w:rsidRPr="00BC1935">
        <w:rPr>
          <w:rFonts w:ascii="Arial" w:eastAsia="Times New Roman" w:hAnsi="Arial" w:cs="Arial"/>
          <w:b/>
          <w:bCs/>
          <w:sz w:val="28"/>
          <w:szCs w:val="28"/>
          <w14:ligatures w14:val="none"/>
        </w:rPr>
        <w:t>Organisational Consultancy</w:t>
      </w:r>
    </w:p>
    <w:p w14:paraId="5F2FF690" w14:textId="77777777" w:rsidR="00BC1935" w:rsidRPr="00BC1935" w:rsidRDefault="00BC1935" w:rsidP="00BC1935">
      <w:pPr>
        <w:spacing w:line="360" w:lineRule="auto"/>
        <w:jc w:val="center"/>
        <w:rPr>
          <w:rFonts w:ascii="Arial" w:eastAsia="Times New Roman" w:hAnsi="Arial" w:cs="Arial"/>
          <w:b/>
          <w:bCs/>
          <w:sz w:val="28"/>
          <w:szCs w:val="28"/>
          <w14:ligatures w14:val="none"/>
        </w:rPr>
      </w:pPr>
      <w:r w:rsidRPr="00BC1935">
        <w:rPr>
          <w:rFonts w:ascii="Arial" w:eastAsia="Times New Roman" w:hAnsi="Arial" w:cs="Arial"/>
          <w:b/>
          <w:bCs/>
          <w:sz w:val="28"/>
          <w:szCs w:val="28"/>
          <w14:ligatures w14:val="none"/>
        </w:rPr>
        <w:t>BMIH6005</w:t>
      </w:r>
    </w:p>
    <w:p w14:paraId="4E12D5E4" w14:textId="77777777" w:rsidR="00BC1935" w:rsidRDefault="00BC1935" w:rsidP="00BC1935">
      <w:pPr>
        <w:spacing w:line="360" w:lineRule="auto"/>
        <w:jc w:val="center"/>
        <w:rPr>
          <w:rFonts w:ascii="Arial" w:eastAsia="Times New Roman" w:hAnsi="Arial" w:cs="Arial"/>
          <w:b/>
          <w:bCs/>
          <w:sz w:val="28"/>
          <w:szCs w:val="28"/>
          <w14:ligatures w14:val="none"/>
        </w:rPr>
      </w:pPr>
      <w:r w:rsidRPr="00BC1935">
        <w:rPr>
          <w:rFonts w:ascii="Arial" w:eastAsia="Times New Roman" w:hAnsi="Arial" w:cs="Arial"/>
          <w:b/>
          <w:bCs/>
          <w:sz w:val="28"/>
          <w:szCs w:val="28"/>
          <w14:ligatures w14:val="none"/>
        </w:rPr>
        <w:t>Consultancy report</w:t>
      </w:r>
    </w:p>
    <w:p w14:paraId="55F7E016" w14:textId="709DF6AE" w:rsidR="00BC1935" w:rsidRDefault="00BC1935" w:rsidP="00BC1935">
      <w:pPr>
        <w:spacing w:line="360" w:lineRule="auto"/>
        <w:jc w:val="center"/>
        <w:rPr>
          <w:rFonts w:ascii="Arial" w:eastAsia="Times New Roman" w:hAnsi="Arial" w:cs="Arial"/>
          <w:b/>
          <w:bCs/>
          <w:sz w:val="28"/>
          <w:szCs w:val="28"/>
          <w14:ligatures w14:val="none"/>
        </w:rPr>
      </w:pPr>
      <w:r>
        <w:rPr>
          <w:rFonts w:ascii="Arial" w:eastAsia="Times New Roman" w:hAnsi="Arial" w:cs="Arial"/>
          <w:b/>
          <w:bCs/>
          <w:sz w:val="28"/>
          <w:szCs w:val="28"/>
          <w14:ligatures w14:val="none"/>
        </w:rPr>
        <w:t>04/03/2025</w:t>
      </w:r>
    </w:p>
    <w:p w14:paraId="57971A58" w14:textId="0ADDC519" w:rsidR="00BC1935" w:rsidRDefault="00BC1935" w:rsidP="00BC1935">
      <w:pPr>
        <w:spacing w:line="360" w:lineRule="auto"/>
        <w:jc w:val="center"/>
        <w:rPr>
          <w:rFonts w:ascii="Arial" w:eastAsia="Times New Roman" w:hAnsi="Arial" w:cs="Arial"/>
          <w:b/>
          <w:bCs/>
          <w:sz w:val="28"/>
          <w:szCs w:val="28"/>
          <w14:ligatures w14:val="none"/>
        </w:rPr>
      </w:pPr>
      <w:r>
        <w:rPr>
          <w:rFonts w:ascii="Arial" w:eastAsia="Times New Roman" w:hAnsi="Arial" w:cs="Arial"/>
          <w:b/>
          <w:bCs/>
          <w:noProof/>
          <w:sz w:val="28"/>
          <w:szCs w:val="28"/>
        </w:rPr>
        <w:drawing>
          <wp:inline distT="0" distB="0" distL="0" distR="0" wp14:anchorId="78DF10BE" wp14:editId="588F7DCF">
            <wp:extent cx="5200650" cy="3651250"/>
            <wp:effectExtent l="0" t="0" r="0" b="6350"/>
            <wp:docPr id="1931722225" name="Picture 1"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722225" name="Picture 1" descr="A logo for a company&#10;&#10;Description automatically generated"/>
                    <pic:cNvPicPr/>
                  </pic:nvPicPr>
                  <pic:blipFill rotWithShape="1">
                    <a:blip r:embed="rId8">
                      <a:extLst>
                        <a:ext uri="{28A0092B-C50C-407E-A947-70E740481C1C}">
                          <a14:useLocalDpi xmlns:a14="http://schemas.microsoft.com/office/drawing/2010/main" val="0"/>
                        </a:ext>
                      </a:extLst>
                    </a:blip>
                    <a:srcRect l="1" r="-1237" b="28925"/>
                    <a:stretch/>
                  </pic:blipFill>
                  <pic:spPr bwMode="auto">
                    <a:xfrm>
                      <a:off x="0" y="0"/>
                      <a:ext cx="5200650" cy="3651250"/>
                    </a:xfrm>
                    <a:prstGeom prst="rect">
                      <a:avLst/>
                    </a:prstGeom>
                    <a:ln>
                      <a:noFill/>
                    </a:ln>
                    <a:extLst>
                      <a:ext uri="{53640926-AAD7-44D8-BBD7-CCE9431645EC}">
                        <a14:shadowObscured xmlns:a14="http://schemas.microsoft.com/office/drawing/2010/main"/>
                      </a:ext>
                    </a:extLst>
                  </pic:spPr>
                </pic:pic>
              </a:graphicData>
            </a:graphic>
          </wp:inline>
        </w:drawing>
      </w:r>
    </w:p>
    <w:p w14:paraId="39972775" w14:textId="77777777" w:rsidR="00BC1935" w:rsidRDefault="00BC1935" w:rsidP="00BC1935">
      <w:pPr>
        <w:spacing w:line="360" w:lineRule="auto"/>
        <w:jc w:val="center"/>
        <w:rPr>
          <w:rFonts w:ascii="Arial" w:eastAsia="Times New Roman" w:hAnsi="Arial" w:cs="Arial"/>
          <w:b/>
          <w:bCs/>
          <w:sz w:val="28"/>
          <w:szCs w:val="28"/>
          <w14:ligatures w14:val="none"/>
        </w:rPr>
      </w:pPr>
    </w:p>
    <w:p w14:paraId="6119AFC7" w14:textId="2649FABD" w:rsidR="00BC1935" w:rsidRDefault="00A85D6D" w:rsidP="00BC1935">
      <w:pPr>
        <w:spacing w:line="360" w:lineRule="auto"/>
        <w:jc w:val="center"/>
        <w:rPr>
          <w:rFonts w:ascii="Arial" w:eastAsia="Times New Roman" w:hAnsi="Arial" w:cs="Arial"/>
          <w:b/>
          <w:bCs/>
          <w:sz w:val="28"/>
          <w:szCs w:val="28"/>
          <w14:ligatures w14:val="none"/>
        </w:rPr>
      </w:pPr>
      <w:r>
        <w:rPr>
          <w:rFonts w:ascii="Arial" w:eastAsia="Times New Roman" w:hAnsi="Arial" w:cs="Arial"/>
          <w:b/>
          <w:bCs/>
          <w:sz w:val="28"/>
          <w:szCs w:val="28"/>
          <w14:ligatures w14:val="none"/>
        </w:rPr>
        <w:t>Student name:</w:t>
      </w:r>
      <w:r w:rsidRPr="00A85D6D">
        <w:t xml:space="preserve"> </w:t>
      </w:r>
      <w:r w:rsidRPr="00A85D6D">
        <w:rPr>
          <w:rFonts w:ascii="Arial" w:eastAsia="Times New Roman" w:hAnsi="Arial" w:cs="Arial"/>
          <w:b/>
          <w:bCs/>
          <w:sz w:val="28"/>
          <w:szCs w:val="28"/>
          <w14:ligatures w14:val="none"/>
        </w:rPr>
        <w:t>Ionela Lacramioara Balta</w:t>
      </w:r>
    </w:p>
    <w:p w14:paraId="61A1AEAA" w14:textId="383563DF" w:rsidR="00A85D6D" w:rsidRDefault="00A85D6D" w:rsidP="00BC1935">
      <w:pPr>
        <w:spacing w:line="360" w:lineRule="auto"/>
        <w:jc w:val="center"/>
        <w:rPr>
          <w:rFonts w:ascii="Arial" w:eastAsia="Times New Roman" w:hAnsi="Arial" w:cs="Arial"/>
          <w:b/>
          <w:bCs/>
          <w:sz w:val="28"/>
          <w:szCs w:val="28"/>
          <w14:ligatures w14:val="none"/>
        </w:rPr>
      </w:pPr>
      <w:r>
        <w:rPr>
          <w:rFonts w:ascii="Arial" w:eastAsia="Times New Roman" w:hAnsi="Arial" w:cs="Arial"/>
          <w:b/>
          <w:bCs/>
          <w:sz w:val="28"/>
          <w:szCs w:val="28"/>
          <w14:ligatures w14:val="none"/>
        </w:rPr>
        <w:t xml:space="preserve">Student id: </w:t>
      </w:r>
      <w:r w:rsidRPr="00A85D6D">
        <w:rPr>
          <w:rFonts w:ascii="Arial" w:eastAsia="Times New Roman" w:hAnsi="Arial" w:cs="Arial"/>
          <w:b/>
          <w:bCs/>
          <w:sz w:val="28"/>
          <w:szCs w:val="28"/>
          <w14:ligatures w14:val="none"/>
        </w:rPr>
        <w:t>2208099</w:t>
      </w:r>
    </w:p>
    <w:p w14:paraId="1349CF18" w14:textId="77777777" w:rsidR="00BC1935" w:rsidRDefault="00BC1935" w:rsidP="00BC1935">
      <w:pPr>
        <w:spacing w:line="360" w:lineRule="auto"/>
        <w:jc w:val="center"/>
        <w:rPr>
          <w:rFonts w:ascii="Arial" w:eastAsia="Times New Roman" w:hAnsi="Arial" w:cs="Arial"/>
          <w:b/>
          <w:bCs/>
          <w:sz w:val="28"/>
          <w:szCs w:val="28"/>
          <w14:ligatures w14:val="none"/>
        </w:rPr>
      </w:pPr>
    </w:p>
    <w:p w14:paraId="731F0404" w14:textId="77777777" w:rsidR="00BC1935" w:rsidRDefault="00BC1935" w:rsidP="00BC1935">
      <w:pPr>
        <w:spacing w:line="360" w:lineRule="auto"/>
        <w:jc w:val="center"/>
        <w:rPr>
          <w:rFonts w:ascii="Arial" w:eastAsia="Times New Roman" w:hAnsi="Arial" w:cs="Arial"/>
          <w:b/>
          <w:bCs/>
          <w:sz w:val="28"/>
          <w:szCs w:val="28"/>
          <w14:ligatures w14:val="none"/>
        </w:rPr>
      </w:pPr>
    </w:p>
    <w:p w14:paraId="39B0310E" w14:textId="77777777" w:rsidR="00BC1935" w:rsidRDefault="00BC1935" w:rsidP="00BC1935">
      <w:pPr>
        <w:spacing w:line="360" w:lineRule="auto"/>
        <w:jc w:val="center"/>
        <w:rPr>
          <w:rFonts w:ascii="Arial" w:eastAsia="Times New Roman" w:hAnsi="Arial" w:cs="Arial"/>
          <w:b/>
          <w:bCs/>
          <w:sz w:val="28"/>
          <w:szCs w:val="28"/>
          <w14:ligatures w14:val="none"/>
        </w:rPr>
      </w:pPr>
    </w:p>
    <w:p w14:paraId="13A97452" w14:textId="77777777" w:rsidR="00BC1935" w:rsidRDefault="00BC1935" w:rsidP="00BC1935">
      <w:pPr>
        <w:spacing w:line="360" w:lineRule="auto"/>
        <w:jc w:val="center"/>
        <w:rPr>
          <w:rFonts w:ascii="Arial" w:eastAsia="Times New Roman" w:hAnsi="Arial" w:cs="Arial"/>
          <w:b/>
          <w:bCs/>
          <w:sz w:val="28"/>
          <w:szCs w:val="28"/>
          <w14:ligatures w14:val="none"/>
        </w:rPr>
      </w:pPr>
    </w:p>
    <w:p w14:paraId="3EA8680A" w14:textId="77777777" w:rsidR="00BC1935" w:rsidRDefault="00BC1935" w:rsidP="00BC1935">
      <w:pPr>
        <w:spacing w:line="360" w:lineRule="auto"/>
        <w:jc w:val="center"/>
        <w:rPr>
          <w:rFonts w:ascii="Arial" w:eastAsia="Times New Roman" w:hAnsi="Arial" w:cs="Arial"/>
          <w:b/>
          <w:bCs/>
          <w:sz w:val="28"/>
          <w:szCs w:val="28"/>
          <w14:ligatures w14:val="none"/>
        </w:rPr>
      </w:pPr>
    </w:p>
    <w:sdt>
      <w:sdtPr>
        <w:id w:val="204910225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18AE31E" w14:textId="15B7890E" w:rsidR="00A85D6D" w:rsidRPr="00304344" w:rsidRDefault="00A85D6D" w:rsidP="00304344">
          <w:pPr>
            <w:pStyle w:val="TOCHeading"/>
            <w:spacing w:line="360" w:lineRule="auto"/>
            <w:rPr>
              <w:rFonts w:ascii="Arial" w:hAnsi="Arial" w:cs="Arial"/>
            </w:rPr>
          </w:pPr>
          <w:r w:rsidRPr="00304344">
            <w:rPr>
              <w:rFonts w:ascii="Arial" w:hAnsi="Arial" w:cs="Arial"/>
            </w:rPr>
            <w:t>Table of Contents</w:t>
          </w:r>
        </w:p>
        <w:p w14:paraId="13FD9F4B" w14:textId="5CF8AB58" w:rsidR="00304344" w:rsidRPr="00304344" w:rsidRDefault="00A85D6D" w:rsidP="00304344">
          <w:pPr>
            <w:pStyle w:val="TOC1"/>
            <w:tabs>
              <w:tab w:val="right" w:leader="dot" w:pos="9016"/>
            </w:tabs>
            <w:spacing w:line="360" w:lineRule="auto"/>
            <w:rPr>
              <w:rFonts w:ascii="Arial" w:eastAsiaTheme="minorEastAsia" w:hAnsi="Arial" w:cs="Arial"/>
              <w:noProof/>
              <w:sz w:val="24"/>
              <w:szCs w:val="24"/>
              <w:lang w:eastAsia="en-GB"/>
            </w:rPr>
          </w:pPr>
          <w:r w:rsidRPr="00304344">
            <w:rPr>
              <w:rFonts w:ascii="Arial" w:hAnsi="Arial" w:cs="Arial"/>
            </w:rPr>
            <w:fldChar w:fldCharType="begin"/>
          </w:r>
          <w:r w:rsidRPr="00304344">
            <w:rPr>
              <w:rFonts w:ascii="Arial" w:hAnsi="Arial" w:cs="Arial"/>
            </w:rPr>
            <w:instrText xml:space="preserve"> TOC \o "1-3" \h \z \u </w:instrText>
          </w:r>
          <w:r w:rsidRPr="00304344">
            <w:rPr>
              <w:rFonts w:ascii="Arial" w:hAnsi="Arial" w:cs="Arial"/>
            </w:rPr>
            <w:fldChar w:fldCharType="separate"/>
          </w:r>
          <w:hyperlink w:anchor="_Toc192038551" w:history="1">
            <w:r w:rsidR="00304344" w:rsidRPr="00304344">
              <w:rPr>
                <w:rStyle w:val="Hyperlink"/>
                <w:rFonts w:ascii="Arial" w:eastAsia="Times New Roman" w:hAnsi="Arial" w:cs="Arial"/>
                <w:noProof/>
              </w:rPr>
              <w:t>Executive summary</w:t>
            </w:r>
            <w:r w:rsidR="00304344" w:rsidRPr="00304344">
              <w:rPr>
                <w:rFonts w:ascii="Arial" w:hAnsi="Arial" w:cs="Arial"/>
                <w:noProof/>
                <w:webHidden/>
              </w:rPr>
              <w:tab/>
            </w:r>
            <w:r w:rsidR="00304344" w:rsidRPr="00304344">
              <w:rPr>
                <w:rFonts w:ascii="Arial" w:hAnsi="Arial" w:cs="Arial"/>
                <w:noProof/>
                <w:webHidden/>
              </w:rPr>
              <w:fldChar w:fldCharType="begin"/>
            </w:r>
            <w:r w:rsidR="00304344" w:rsidRPr="00304344">
              <w:rPr>
                <w:rFonts w:ascii="Arial" w:hAnsi="Arial" w:cs="Arial"/>
                <w:noProof/>
                <w:webHidden/>
              </w:rPr>
              <w:instrText xml:space="preserve"> PAGEREF _Toc192038551 \h </w:instrText>
            </w:r>
            <w:r w:rsidR="00304344" w:rsidRPr="00304344">
              <w:rPr>
                <w:rFonts w:ascii="Arial" w:hAnsi="Arial" w:cs="Arial"/>
                <w:noProof/>
                <w:webHidden/>
              </w:rPr>
            </w:r>
            <w:r w:rsidR="00304344" w:rsidRPr="00304344">
              <w:rPr>
                <w:rFonts w:ascii="Arial" w:hAnsi="Arial" w:cs="Arial"/>
                <w:noProof/>
                <w:webHidden/>
              </w:rPr>
              <w:fldChar w:fldCharType="separate"/>
            </w:r>
            <w:r w:rsidR="00304344" w:rsidRPr="00304344">
              <w:rPr>
                <w:rFonts w:ascii="Arial" w:hAnsi="Arial" w:cs="Arial"/>
                <w:noProof/>
                <w:webHidden/>
              </w:rPr>
              <w:t>3</w:t>
            </w:r>
            <w:r w:rsidR="00304344" w:rsidRPr="00304344">
              <w:rPr>
                <w:rFonts w:ascii="Arial" w:hAnsi="Arial" w:cs="Arial"/>
                <w:noProof/>
                <w:webHidden/>
              </w:rPr>
              <w:fldChar w:fldCharType="end"/>
            </w:r>
          </w:hyperlink>
        </w:p>
        <w:p w14:paraId="03D4CACE" w14:textId="37A7BA97" w:rsidR="00304344" w:rsidRPr="00304344" w:rsidRDefault="00304344" w:rsidP="00304344">
          <w:pPr>
            <w:pStyle w:val="TOC1"/>
            <w:tabs>
              <w:tab w:val="right" w:leader="dot" w:pos="9016"/>
            </w:tabs>
            <w:spacing w:line="360" w:lineRule="auto"/>
            <w:rPr>
              <w:rFonts w:ascii="Arial" w:eastAsiaTheme="minorEastAsia" w:hAnsi="Arial" w:cs="Arial"/>
              <w:noProof/>
              <w:sz w:val="24"/>
              <w:szCs w:val="24"/>
              <w:lang w:eastAsia="en-GB"/>
            </w:rPr>
          </w:pPr>
          <w:hyperlink w:anchor="_Toc192038552" w:history="1">
            <w:r w:rsidRPr="00304344">
              <w:rPr>
                <w:rStyle w:val="Hyperlink"/>
                <w:rFonts w:ascii="Arial" w:eastAsia="Times New Roman" w:hAnsi="Arial" w:cs="Arial"/>
                <w:noProof/>
              </w:rPr>
              <w:t>Introduction</w:t>
            </w:r>
            <w:r w:rsidRPr="00304344">
              <w:rPr>
                <w:rFonts w:ascii="Arial" w:hAnsi="Arial" w:cs="Arial"/>
                <w:noProof/>
                <w:webHidden/>
              </w:rPr>
              <w:tab/>
            </w:r>
            <w:r w:rsidRPr="00304344">
              <w:rPr>
                <w:rFonts w:ascii="Arial" w:hAnsi="Arial" w:cs="Arial"/>
                <w:noProof/>
                <w:webHidden/>
              </w:rPr>
              <w:fldChar w:fldCharType="begin"/>
            </w:r>
            <w:r w:rsidRPr="00304344">
              <w:rPr>
                <w:rFonts w:ascii="Arial" w:hAnsi="Arial" w:cs="Arial"/>
                <w:noProof/>
                <w:webHidden/>
              </w:rPr>
              <w:instrText xml:space="preserve"> PAGEREF _Toc192038552 \h </w:instrText>
            </w:r>
            <w:r w:rsidRPr="00304344">
              <w:rPr>
                <w:rFonts w:ascii="Arial" w:hAnsi="Arial" w:cs="Arial"/>
                <w:noProof/>
                <w:webHidden/>
              </w:rPr>
            </w:r>
            <w:r w:rsidRPr="00304344">
              <w:rPr>
                <w:rFonts w:ascii="Arial" w:hAnsi="Arial" w:cs="Arial"/>
                <w:noProof/>
                <w:webHidden/>
              </w:rPr>
              <w:fldChar w:fldCharType="separate"/>
            </w:r>
            <w:r w:rsidRPr="00304344">
              <w:rPr>
                <w:rFonts w:ascii="Arial" w:hAnsi="Arial" w:cs="Arial"/>
                <w:noProof/>
                <w:webHidden/>
              </w:rPr>
              <w:t>6</w:t>
            </w:r>
            <w:r w:rsidRPr="00304344">
              <w:rPr>
                <w:rFonts w:ascii="Arial" w:hAnsi="Arial" w:cs="Arial"/>
                <w:noProof/>
                <w:webHidden/>
              </w:rPr>
              <w:fldChar w:fldCharType="end"/>
            </w:r>
          </w:hyperlink>
        </w:p>
        <w:p w14:paraId="1574EA0D" w14:textId="451D299C" w:rsidR="00304344" w:rsidRPr="00304344" w:rsidRDefault="00304344" w:rsidP="00304344">
          <w:pPr>
            <w:pStyle w:val="TOC1"/>
            <w:tabs>
              <w:tab w:val="right" w:leader="dot" w:pos="9016"/>
            </w:tabs>
            <w:spacing w:line="360" w:lineRule="auto"/>
            <w:rPr>
              <w:rFonts w:ascii="Arial" w:eastAsiaTheme="minorEastAsia" w:hAnsi="Arial" w:cs="Arial"/>
              <w:noProof/>
              <w:sz w:val="24"/>
              <w:szCs w:val="24"/>
              <w:lang w:eastAsia="en-GB"/>
            </w:rPr>
          </w:pPr>
          <w:hyperlink w:anchor="_Toc192038553" w:history="1">
            <w:r w:rsidRPr="00304344">
              <w:rPr>
                <w:rStyle w:val="Hyperlink"/>
                <w:rFonts w:ascii="Arial" w:eastAsia="Times New Roman" w:hAnsi="Arial" w:cs="Arial"/>
                <w:noProof/>
              </w:rPr>
              <w:t>Analysis</w:t>
            </w:r>
            <w:r w:rsidRPr="00304344">
              <w:rPr>
                <w:rFonts w:ascii="Arial" w:hAnsi="Arial" w:cs="Arial"/>
                <w:noProof/>
                <w:webHidden/>
              </w:rPr>
              <w:tab/>
            </w:r>
            <w:r w:rsidRPr="00304344">
              <w:rPr>
                <w:rFonts w:ascii="Arial" w:hAnsi="Arial" w:cs="Arial"/>
                <w:noProof/>
                <w:webHidden/>
              </w:rPr>
              <w:fldChar w:fldCharType="begin"/>
            </w:r>
            <w:r w:rsidRPr="00304344">
              <w:rPr>
                <w:rFonts w:ascii="Arial" w:hAnsi="Arial" w:cs="Arial"/>
                <w:noProof/>
                <w:webHidden/>
              </w:rPr>
              <w:instrText xml:space="preserve"> PAGEREF _Toc192038553 \h </w:instrText>
            </w:r>
            <w:r w:rsidRPr="00304344">
              <w:rPr>
                <w:rFonts w:ascii="Arial" w:hAnsi="Arial" w:cs="Arial"/>
                <w:noProof/>
                <w:webHidden/>
              </w:rPr>
            </w:r>
            <w:r w:rsidRPr="00304344">
              <w:rPr>
                <w:rFonts w:ascii="Arial" w:hAnsi="Arial" w:cs="Arial"/>
                <w:noProof/>
                <w:webHidden/>
              </w:rPr>
              <w:fldChar w:fldCharType="separate"/>
            </w:r>
            <w:r w:rsidRPr="00304344">
              <w:rPr>
                <w:rFonts w:ascii="Arial" w:hAnsi="Arial" w:cs="Arial"/>
                <w:noProof/>
                <w:webHidden/>
              </w:rPr>
              <w:t>7</w:t>
            </w:r>
            <w:r w:rsidRPr="00304344">
              <w:rPr>
                <w:rFonts w:ascii="Arial" w:hAnsi="Arial" w:cs="Arial"/>
                <w:noProof/>
                <w:webHidden/>
              </w:rPr>
              <w:fldChar w:fldCharType="end"/>
            </w:r>
          </w:hyperlink>
        </w:p>
        <w:p w14:paraId="4143A474" w14:textId="6849BABE" w:rsidR="00304344" w:rsidRPr="00304344" w:rsidRDefault="00304344" w:rsidP="00304344">
          <w:pPr>
            <w:pStyle w:val="TOC1"/>
            <w:tabs>
              <w:tab w:val="right" w:leader="dot" w:pos="9016"/>
            </w:tabs>
            <w:spacing w:line="360" w:lineRule="auto"/>
            <w:rPr>
              <w:rFonts w:ascii="Arial" w:eastAsiaTheme="minorEastAsia" w:hAnsi="Arial" w:cs="Arial"/>
              <w:noProof/>
              <w:sz w:val="24"/>
              <w:szCs w:val="24"/>
              <w:lang w:eastAsia="en-GB"/>
            </w:rPr>
          </w:pPr>
          <w:hyperlink w:anchor="_Toc192038554" w:history="1">
            <w:r w:rsidRPr="00304344">
              <w:rPr>
                <w:rStyle w:val="Hyperlink"/>
                <w:rFonts w:ascii="Arial" w:hAnsi="Arial" w:cs="Arial"/>
                <w:noProof/>
              </w:rPr>
              <w:t>Recommendations and Change Management</w:t>
            </w:r>
            <w:r w:rsidRPr="00304344">
              <w:rPr>
                <w:rFonts w:ascii="Arial" w:hAnsi="Arial" w:cs="Arial"/>
                <w:noProof/>
                <w:webHidden/>
              </w:rPr>
              <w:tab/>
            </w:r>
            <w:r w:rsidRPr="00304344">
              <w:rPr>
                <w:rFonts w:ascii="Arial" w:hAnsi="Arial" w:cs="Arial"/>
                <w:noProof/>
                <w:webHidden/>
              </w:rPr>
              <w:fldChar w:fldCharType="begin"/>
            </w:r>
            <w:r w:rsidRPr="00304344">
              <w:rPr>
                <w:rFonts w:ascii="Arial" w:hAnsi="Arial" w:cs="Arial"/>
                <w:noProof/>
                <w:webHidden/>
              </w:rPr>
              <w:instrText xml:space="preserve"> PAGEREF _Toc192038554 \h </w:instrText>
            </w:r>
            <w:r w:rsidRPr="00304344">
              <w:rPr>
                <w:rFonts w:ascii="Arial" w:hAnsi="Arial" w:cs="Arial"/>
                <w:noProof/>
                <w:webHidden/>
              </w:rPr>
            </w:r>
            <w:r w:rsidRPr="00304344">
              <w:rPr>
                <w:rFonts w:ascii="Arial" w:hAnsi="Arial" w:cs="Arial"/>
                <w:noProof/>
                <w:webHidden/>
              </w:rPr>
              <w:fldChar w:fldCharType="separate"/>
            </w:r>
            <w:r w:rsidRPr="00304344">
              <w:rPr>
                <w:rFonts w:ascii="Arial" w:hAnsi="Arial" w:cs="Arial"/>
                <w:noProof/>
                <w:webHidden/>
              </w:rPr>
              <w:t>14</w:t>
            </w:r>
            <w:r w:rsidRPr="00304344">
              <w:rPr>
                <w:rFonts w:ascii="Arial" w:hAnsi="Arial" w:cs="Arial"/>
                <w:noProof/>
                <w:webHidden/>
              </w:rPr>
              <w:fldChar w:fldCharType="end"/>
            </w:r>
          </w:hyperlink>
        </w:p>
        <w:p w14:paraId="5B08C4AA" w14:textId="6AA9AF70" w:rsidR="00304344" w:rsidRPr="00304344" w:rsidRDefault="00304344" w:rsidP="00304344">
          <w:pPr>
            <w:pStyle w:val="TOC1"/>
            <w:tabs>
              <w:tab w:val="right" w:leader="dot" w:pos="9016"/>
            </w:tabs>
            <w:spacing w:line="360" w:lineRule="auto"/>
            <w:rPr>
              <w:rFonts w:ascii="Arial" w:eastAsiaTheme="minorEastAsia" w:hAnsi="Arial" w:cs="Arial"/>
              <w:noProof/>
              <w:sz w:val="24"/>
              <w:szCs w:val="24"/>
              <w:lang w:eastAsia="en-GB"/>
            </w:rPr>
          </w:pPr>
          <w:hyperlink w:anchor="_Toc192038555" w:history="1">
            <w:r w:rsidRPr="00304344">
              <w:rPr>
                <w:rStyle w:val="Hyperlink"/>
                <w:rFonts w:ascii="Arial" w:hAnsi="Arial" w:cs="Arial"/>
                <w:noProof/>
              </w:rPr>
              <w:t>KPI</w:t>
            </w:r>
            <w:r w:rsidRPr="00304344">
              <w:rPr>
                <w:rFonts w:ascii="Arial" w:hAnsi="Arial" w:cs="Arial"/>
                <w:noProof/>
                <w:webHidden/>
              </w:rPr>
              <w:tab/>
            </w:r>
            <w:r w:rsidRPr="00304344">
              <w:rPr>
                <w:rFonts w:ascii="Arial" w:hAnsi="Arial" w:cs="Arial"/>
                <w:noProof/>
                <w:webHidden/>
              </w:rPr>
              <w:fldChar w:fldCharType="begin"/>
            </w:r>
            <w:r w:rsidRPr="00304344">
              <w:rPr>
                <w:rFonts w:ascii="Arial" w:hAnsi="Arial" w:cs="Arial"/>
                <w:noProof/>
                <w:webHidden/>
              </w:rPr>
              <w:instrText xml:space="preserve"> PAGEREF _Toc192038555 \h </w:instrText>
            </w:r>
            <w:r w:rsidRPr="00304344">
              <w:rPr>
                <w:rFonts w:ascii="Arial" w:hAnsi="Arial" w:cs="Arial"/>
                <w:noProof/>
                <w:webHidden/>
              </w:rPr>
            </w:r>
            <w:r w:rsidRPr="00304344">
              <w:rPr>
                <w:rFonts w:ascii="Arial" w:hAnsi="Arial" w:cs="Arial"/>
                <w:noProof/>
                <w:webHidden/>
              </w:rPr>
              <w:fldChar w:fldCharType="separate"/>
            </w:r>
            <w:r w:rsidRPr="00304344">
              <w:rPr>
                <w:rFonts w:ascii="Arial" w:hAnsi="Arial" w:cs="Arial"/>
                <w:noProof/>
                <w:webHidden/>
              </w:rPr>
              <w:t>16</w:t>
            </w:r>
            <w:r w:rsidRPr="00304344">
              <w:rPr>
                <w:rFonts w:ascii="Arial" w:hAnsi="Arial" w:cs="Arial"/>
                <w:noProof/>
                <w:webHidden/>
              </w:rPr>
              <w:fldChar w:fldCharType="end"/>
            </w:r>
          </w:hyperlink>
        </w:p>
        <w:p w14:paraId="7A6D9561" w14:textId="339631FE" w:rsidR="00304344" w:rsidRPr="00304344" w:rsidRDefault="00304344" w:rsidP="00304344">
          <w:pPr>
            <w:pStyle w:val="TOC1"/>
            <w:tabs>
              <w:tab w:val="right" w:leader="dot" w:pos="9016"/>
            </w:tabs>
            <w:spacing w:line="360" w:lineRule="auto"/>
            <w:rPr>
              <w:rFonts w:ascii="Arial" w:eastAsiaTheme="minorEastAsia" w:hAnsi="Arial" w:cs="Arial"/>
              <w:noProof/>
              <w:sz w:val="24"/>
              <w:szCs w:val="24"/>
              <w:lang w:eastAsia="en-GB"/>
            </w:rPr>
          </w:pPr>
          <w:hyperlink w:anchor="_Toc192038556" w:history="1">
            <w:r w:rsidRPr="00304344">
              <w:rPr>
                <w:rStyle w:val="Hyperlink"/>
                <w:rFonts w:ascii="Arial" w:hAnsi="Arial" w:cs="Arial"/>
                <w:noProof/>
              </w:rPr>
              <w:t>Potential Benefits and Associated Costs of Implementing Recommended Strategies</w:t>
            </w:r>
            <w:r w:rsidRPr="00304344">
              <w:rPr>
                <w:rFonts w:ascii="Arial" w:hAnsi="Arial" w:cs="Arial"/>
                <w:noProof/>
                <w:webHidden/>
              </w:rPr>
              <w:tab/>
            </w:r>
            <w:r w:rsidRPr="00304344">
              <w:rPr>
                <w:rFonts w:ascii="Arial" w:hAnsi="Arial" w:cs="Arial"/>
                <w:noProof/>
                <w:webHidden/>
              </w:rPr>
              <w:fldChar w:fldCharType="begin"/>
            </w:r>
            <w:r w:rsidRPr="00304344">
              <w:rPr>
                <w:rFonts w:ascii="Arial" w:hAnsi="Arial" w:cs="Arial"/>
                <w:noProof/>
                <w:webHidden/>
              </w:rPr>
              <w:instrText xml:space="preserve"> PAGEREF _Toc192038556 \h </w:instrText>
            </w:r>
            <w:r w:rsidRPr="00304344">
              <w:rPr>
                <w:rFonts w:ascii="Arial" w:hAnsi="Arial" w:cs="Arial"/>
                <w:noProof/>
                <w:webHidden/>
              </w:rPr>
            </w:r>
            <w:r w:rsidRPr="00304344">
              <w:rPr>
                <w:rFonts w:ascii="Arial" w:hAnsi="Arial" w:cs="Arial"/>
                <w:noProof/>
                <w:webHidden/>
              </w:rPr>
              <w:fldChar w:fldCharType="separate"/>
            </w:r>
            <w:r w:rsidRPr="00304344">
              <w:rPr>
                <w:rFonts w:ascii="Arial" w:hAnsi="Arial" w:cs="Arial"/>
                <w:noProof/>
                <w:webHidden/>
              </w:rPr>
              <w:t>17</w:t>
            </w:r>
            <w:r w:rsidRPr="00304344">
              <w:rPr>
                <w:rFonts w:ascii="Arial" w:hAnsi="Arial" w:cs="Arial"/>
                <w:noProof/>
                <w:webHidden/>
              </w:rPr>
              <w:fldChar w:fldCharType="end"/>
            </w:r>
          </w:hyperlink>
        </w:p>
        <w:p w14:paraId="5908B275" w14:textId="65180623" w:rsidR="00304344" w:rsidRPr="00304344" w:rsidRDefault="00304344" w:rsidP="00304344">
          <w:pPr>
            <w:pStyle w:val="TOC1"/>
            <w:tabs>
              <w:tab w:val="right" w:leader="dot" w:pos="9016"/>
            </w:tabs>
            <w:spacing w:line="360" w:lineRule="auto"/>
            <w:rPr>
              <w:rFonts w:ascii="Arial" w:eastAsiaTheme="minorEastAsia" w:hAnsi="Arial" w:cs="Arial"/>
              <w:noProof/>
              <w:sz w:val="24"/>
              <w:szCs w:val="24"/>
              <w:lang w:eastAsia="en-GB"/>
            </w:rPr>
          </w:pPr>
          <w:hyperlink w:anchor="_Toc192038557" w:history="1">
            <w:r w:rsidRPr="00304344">
              <w:rPr>
                <w:rStyle w:val="Hyperlink"/>
                <w:rFonts w:ascii="Arial" w:hAnsi="Arial" w:cs="Arial"/>
                <w:noProof/>
              </w:rPr>
              <w:t>Conclusion</w:t>
            </w:r>
            <w:r w:rsidRPr="00304344">
              <w:rPr>
                <w:rFonts w:ascii="Arial" w:hAnsi="Arial" w:cs="Arial"/>
                <w:noProof/>
                <w:webHidden/>
              </w:rPr>
              <w:tab/>
            </w:r>
            <w:r w:rsidRPr="00304344">
              <w:rPr>
                <w:rFonts w:ascii="Arial" w:hAnsi="Arial" w:cs="Arial"/>
                <w:noProof/>
                <w:webHidden/>
              </w:rPr>
              <w:fldChar w:fldCharType="begin"/>
            </w:r>
            <w:r w:rsidRPr="00304344">
              <w:rPr>
                <w:rFonts w:ascii="Arial" w:hAnsi="Arial" w:cs="Arial"/>
                <w:noProof/>
                <w:webHidden/>
              </w:rPr>
              <w:instrText xml:space="preserve"> PAGEREF _Toc192038557 \h </w:instrText>
            </w:r>
            <w:r w:rsidRPr="00304344">
              <w:rPr>
                <w:rFonts w:ascii="Arial" w:hAnsi="Arial" w:cs="Arial"/>
                <w:noProof/>
                <w:webHidden/>
              </w:rPr>
            </w:r>
            <w:r w:rsidRPr="00304344">
              <w:rPr>
                <w:rFonts w:ascii="Arial" w:hAnsi="Arial" w:cs="Arial"/>
                <w:noProof/>
                <w:webHidden/>
              </w:rPr>
              <w:fldChar w:fldCharType="separate"/>
            </w:r>
            <w:r w:rsidRPr="00304344">
              <w:rPr>
                <w:rFonts w:ascii="Arial" w:hAnsi="Arial" w:cs="Arial"/>
                <w:noProof/>
                <w:webHidden/>
              </w:rPr>
              <w:t>20</w:t>
            </w:r>
            <w:r w:rsidRPr="00304344">
              <w:rPr>
                <w:rFonts w:ascii="Arial" w:hAnsi="Arial" w:cs="Arial"/>
                <w:noProof/>
                <w:webHidden/>
              </w:rPr>
              <w:fldChar w:fldCharType="end"/>
            </w:r>
          </w:hyperlink>
        </w:p>
        <w:p w14:paraId="3DB31509" w14:textId="3A8A19BA" w:rsidR="00304344" w:rsidRPr="00304344" w:rsidRDefault="00304344" w:rsidP="00304344">
          <w:pPr>
            <w:pStyle w:val="TOC1"/>
            <w:tabs>
              <w:tab w:val="right" w:leader="dot" w:pos="9016"/>
            </w:tabs>
            <w:spacing w:line="360" w:lineRule="auto"/>
            <w:rPr>
              <w:rFonts w:ascii="Arial" w:eastAsiaTheme="minorEastAsia" w:hAnsi="Arial" w:cs="Arial"/>
              <w:noProof/>
              <w:sz w:val="24"/>
              <w:szCs w:val="24"/>
              <w:lang w:eastAsia="en-GB"/>
            </w:rPr>
          </w:pPr>
          <w:hyperlink w:anchor="_Toc192038558" w:history="1">
            <w:r w:rsidRPr="00304344">
              <w:rPr>
                <w:rStyle w:val="Hyperlink"/>
                <w:rFonts w:ascii="Arial" w:hAnsi="Arial" w:cs="Arial"/>
                <w:noProof/>
              </w:rPr>
              <w:t>Action Plan</w:t>
            </w:r>
            <w:r w:rsidRPr="00304344">
              <w:rPr>
                <w:rFonts w:ascii="Arial" w:hAnsi="Arial" w:cs="Arial"/>
                <w:noProof/>
                <w:webHidden/>
              </w:rPr>
              <w:tab/>
            </w:r>
            <w:r w:rsidRPr="00304344">
              <w:rPr>
                <w:rFonts w:ascii="Arial" w:hAnsi="Arial" w:cs="Arial"/>
                <w:noProof/>
                <w:webHidden/>
              </w:rPr>
              <w:fldChar w:fldCharType="begin"/>
            </w:r>
            <w:r w:rsidRPr="00304344">
              <w:rPr>
                <w:rFonts w:ascii="Arial" w:hAnsi="Arial" w:cs="Arial"/>
                <w:noProof/>
                <w:webHidden/>
              </w:rPr>
              <w:instrText xml:space="preserve"> PAGEREF _Toc192038558 \h </w:instrText>
            </w:r>
            <w:r w:rsidRPr="00304344">
              <w:rPr>
                <w:rFonts w:ascii="Arial" w:hAnsi="Arial" w:cs="Arial"/>
                <w:noProof/>
                <w:webHidden/>
              </w:rPr>
            </w:r>
            <w:r w:rsidRPr="00304344">
              <w:rPr>
                <w:rFonts w:ascii="Arial" w:hAnsi="Arial" w:cs="Arial"/>
                <w:noProof/>
                <w:webHidden/>
              </w:rPr>
              <w:fldChar w:fldCharType="separate"/>
            </w:r>
            <w:r w:rsidRPr="00304344">
              <w:rPr>
                <w:rFonts w:ascii="Arial" w:hAnsi="Arial" w:cs="Arial"/>
                <w:noProof/>
                <w:webHidden/>
              </w:rPr>
              <w:t>22</w:t>
            </w:r>
            <w:r w:rsidRPr="00304344">
              <w:rPr>
                <w:rFonts w:ascii="Arial" w:hAnsi="Arial" w:cs="Arial"/>
                <w:noProof/>
                <w:webHidden/>
              </w:rPr>
              <w:fldChar w:fldCharType="end"/>
            </w:r>
          </w:hyperlink>
        </w:p>
        <w:p w14:paraId="1A3ACEA4" w14:textId="43AB7BFA" w:rsidR="00304344" w:rsidRPr="00304344" w:rsidRDefault="00304344" w:rsidP="00304344">
          <w:pPr>
            <w:pStyle w:val="TOC1"/>
            <w:tabs>
              <w:tab w:val="right" w:leader="dot" w:pos="9016"/>
            </w:tabs>
            <w:spacing w:line="360" w:lineRule="auto"/>
            <w:rPr>
              <w:rFonts w:ascii="Arial" w:eastAsiaTheme="minorEastAsia" w:hAnsi="Arial" w:cs="Arial"/>
              <w:noProof/>
              <w:sz w:val="24"/>
              <w:szCs w:val="24"/>
              <w:lang w:eastAsia="en-GB"/>
            </w:rPr>
          </w:pPr>
          <w:hyperlink w:anchor="_Toc192038559" w:history="1">
            <w:r w:rsidRPr="00304344">
              <w:rPr>
                <w:rStyle w:val="Hyperlink"/>
                <w:rFonts w:ascii="Arial" w:hAnsi="Arial" w:cs="Arial"/>
                <w:noProof/>
              </w:rPr>
              <w:t>References</w:t>
            </w:r>
            <w:r w:rsidRPr="00304344">
              <w:rPr>
                <w:rFonts w:ascii="Arial" w:hAnsi="Arial" w:cs="Arial"/>
                <w:noProof/>
                <w:webHidden/>
              </w:rPr>
              <w:tab/>
            </w:r>
            <w:r w:rsidRPr="00304344">
              <w:rPr>
                <w:rFonts w:ascii="Arial" w:hAnsi="Arial" w:cs="Arial"/>
                <w:noProof/>
                <w:webHidden/>
              </w:rPr>
              <w:fldChar w:fldCharType="begin"/>
            </w:r>
            <w:r w:rsidRPr="00304344">
              <w:rPr>
                <w:rFonts w:ascii="Arial" w:hAnsi="Arial" w:cs="Arial"/>
                <w:noProof/>
                <w:webHidden/>
              </w:rPr>
              <w:instrText xml:space="preserve"> PAGEREF _Toc192038559 \h </w:instrText>
            </w:r>
            <w:r w:rsidRPr="00304344">
              <w:rPr>
                <w:rFonts w:ascii="Arial" w:hAnsi="Arial" w:cs="Arial"/>
                <w:noProof/>
                <w:webHidden/>
              </w:rPr>
            </w:r>
            <w:r w:rsidRPr="00304344">
              <w:rPr>
                <w:rFonts w:ascii="Arial" w:hAnsi="Arial" w:cs="Arial"/>
                <w:noProof/>
                <w:webHidden/>
              </w:rPr>
              <w:fldChar w:fldCharType="separate"/>
            </w:r>
            <w:r w:rsidRPr="00304344">
              <w:rPr>
                <w:rFonts w:ascii="Arial" w:hAnsi="Arial" w:cs="Arial"/>
                <w:noProof/>
                <w:webHidden/>
              </w:rPr>
              <w:t>24</w:t>
            </w:r>
            <w:r w:rsidRPr="00304344">
              <w:rPr>
                <w:rFonts w:ascii="Arial" w:hAnsi="Arial" w:cs="Arial"/>
                <w:noProof/>
                <w:webHidden/>
              </w:rPr>
              <w:fldChar w:fldCharType="end"/>
            </w:r>
          </w:hyperlink>
        </w:p>
        <w:p w14:paraId="2837E744" w14:textId="5D163148" w:rsidR="00A85D6D" w:rsidRDefault="00A85D6D" w:rsidP="00304344">
          <w:pPr>
            <w:spacing w:line="360" w:lineRule="auto"/>
          </w:pPr>
          <w:r w:rsidRPr="00304344">
            <w:rPr>
              <w:rFonts w:ascii="Arial" w:hAnsi="Arial" w:cs="Arial"/>
              <w:b/>
              <w:bCs/>
              <w:noProof/>
            </w:rPr>
            <w:fldChar w:fldCharType="end"/>
          </w:r>
        </w:p>
      </w:sdtContent>
    </w:sdt>
    <w:p w14:paraId="309E0458" w14:textId="77777777" w:rsidR="00BC1935" w:rsidRDefault="00BC1935" w:rsidP="00BC1935">
      <w:pPr>
        <w:spacing w:line="360" w:lineRule="auto"/>
        <w:jc w:val="center"/>
        <w:rPr>
          <w:rFonts w:ascii="Arial" w:eastAsia="Times New Roman" w:hAnsi="Arial" w:cs="Arial"/>
          <w:b/>
          <w:bCs/>
          <w:sz w:val="28"/>
          <w:szCs w:val="28"/>
          <w14:ligatures w14:val="none"/>
        </w:rPr>
      </w:pPr>
    </w:p>
    <w:p w14:paraId="20BD2E3A" w14:textId="77777777" w:rsidR="00BC1935" w:rsidRDefault="00BC1935" w:rsidP="00BC1935">
      <w:pPr>
        <w:spacing w:line="360" w:lineRule="auto"/>
        <w:jc w:val="center"/>
        <w:rPr>
          <w:rFonts w:ascii="Arial" w:eastAsia="Times New Roman" w:hAnsi="Arial" w:cs="Arial"/>
          <w:b/>
          <w:bCs/>
          <w:sz w:val="28"/>
          <w:szCs w:val="28"/>
          <w14:ligatures w14:val="none"/>
        </w:rPr>
      </w:pPr>
    </w:p>
    <w:p w14:paraId="557CA223" w14:textId="77777777" w:rsidR="00BC1935" w:rsidRDefault="00BC1935" w:rsidP="00BC1935">
      <w:pPr>
        <w:spacing w:line="360" w:lineRule="auto"/>
        <w:jc w:val="center"/>
        <w:rPr>
          <w:rFonts w:ascii="Arial" w:eastAsia="Times New Roman" w:hAnsi="Arial" w:cs="Arial"/>
          <w:b/>
          <w:bCs/>
          <w:sz w:val="28"/>
          <w:szCs w:val="28"/>
          <w14:ligatures w14:val="none"/>
        </w:rPr>
      </w:pPr>
    </w:p>
    <w:p w14:paraId="1FB46F07" w14:textId="77777777" w:rsidR="00BC1935" w:rsidRDefault="00BC1935" w:rsidP="00BC1935">
      <w:pPr>
        <w:spacing w:line="360" w:lineRule="auto"/>
        <w:jc w:val="center"/>
        <w:rPr>
          <w:rFonts w:ascii="Arial" w:eastAsia="Times New Roman" w:hAnsi="Arial" w:cs="Arial"/>
          <w:b/>
          <w:bCs/>
          <w:sz w:val="28"/>
          <w:szCs w:val="28"/>
          <w14:ligatures w14:val="none"/>
        </w:rPr>
      </w:pPr>
    </w:p>
    <w:p w14:paraId="698E65EB" w14:textId="77777777" w:rsidR="00BC1935" w:rsidRDefault="00BC1935" w:rsidP="00BC1935">
      <w:pPr>
        <w:spacing w:line="360" w:lineRule="auto"/>
        <w:jc w:val="center"/>
        <w:rPr>
          <w:rFonts w:ascii="Arial" w:eastAsia="Times New Roman" w:hAnsi="Arial" w:cs="Arial"/>
          <w:b/>
          <w:bCs/>
          <w:sz w:val="28"/>
          <w:szCs w:val="28"/>
          <w14:ligatures w14:val="none"/>
        </w:rPr>
      </w:pPr>
    </w:p>
    <w:p w14:paraId="001B01FC" w14:textId="77777777" w:rsidR="00BC1935" w:rsidRDefault="00BC1935" w:rsidP="00BC1935">
      <w:pPr>
        <w:spacing w:line="360" w:lineRule="auto"/>
        <w:jc w:val="center"/>
        <w:rPr>
          <w:rFonts w:ascii="Arial" w:eastAsia="Times New Roman" w:hAnsi="Arial" w:cs="Arial"/>
          <w:b/>
          <w:bCs/>
          <w:sz w:val="28"/>
          <w:szCs w:val="28"/>
          <w14:ligatures w14:val="none"/>
        </w:rPr>
      </w:pPr>
    </w:p>
    <w:p w14:paraId="3C7F6D0E" w14:textId="77777777" w:rsidR="00BC1935" w:rsidRDefault="00BC1935" w:rsidP="00BC1935">
      <w:pPr>
        <w:spacing w:line="360" w:lineRule="auto"/>
        <w:jc w:val="center"/>
        <w:rPr>
          <w:rFonts w:ascii="Arial" w:eastAsia="Times New Roman" w:hAnsi="Arial" w:cs="Arial"/>
          <w:b/>
          <w:bCs/>
          <w:sz w:val="28"/>
          <w:szCs w:val="28"/>
          <w14:ligatures w14:val="none"/>
        </w:rPr>
      </w:pPr>
    </w:p>
    <w:p w14:paraId="0C0D4BEC" w14:textId="77777777" w:rsidR="00BC1935" w:rsidRDefault="00BC1935" w:rsidP="00BC1935">
      <w:pPr>
        <w:spacing w:line="360" w:lineRule="auto"/>
        <w:jc w:val="center"/>
        <w:rPr>
          <w:rFonts w:ascii="Arial" w:eastAsia="Times New Roman" w:hAnsi="Arial" w:cs="Arial"/>
          <w:b/>
          <w:bCs/>
          <w:sz w:val="28"/>
          <w:szCs w:val="28"/>
          <w14:ligatures w14:val="none"/>
        </w:rPr>
      </w:pPr>
    </w:p>
    <w:p w14:paraId="5B21EACE" w14:textId="77777777" w:rsidR="00BC1935" w:rsidRDefault="00BC1935" w:rsidP="00BC1935">
      <w:pPr>
        <w:spacing w:line="360" w:lineRule="auto"/>
        <w:jc w:val="center"/>
        <w:rPr>
          <w:rFonts w:ascii="Arial" w:eastAsia="Times New Roman" w:hAnsi="Arial" w:cs="Arial"/>
          <w:b/>
          <w:bCs/>
          <w:sz w:val="28"/>
          <w:szCs w:val="28"/>
          <w14:ligatures w14:val="none"/>
        </w:rPr>
      </w:pPr>
    </w:p>
    <w:p w14:paraId="2481D31C" w14:textId="77777777" w:rsidR="00BC1935" w:rsidRDefault="00BC1935" w:rsidP="00BC1935">
      <w:pPr>
        <w:spacing w:line="360" w:lineRule="auto"/>
        <w:jc w:val="center"/>
        <w:rPr>
          <w:rFonts w:ascii="Arial" w:eastAsia="Times New Roman" w:hAnsi="Arial" w:cs="Arial"/>
          <w:b/>
          <w:bCs/>
          <w:sz w:val="28"/>
          <w:szCs w:val="28"/>
          <w14:ligatures w14:val="none"/>
        </w:rPr>
      </w:pPr>
    </w:p>
    <w:p w14:paraId="62C5C4EC" w14:textId="77777777" w:rsidR="00BC1935" w:rsidRDefault="00BC1935" w:rsidP="00BC1935">
      <w:pPr>
        <w:spacing w:line="360" w:lineRule="auto"/>
        <w:jc w:val="center"/>
        <w:rPr>
          <w:rFonts w:ascii="Arial" w:eastAsia="Times New Roman" w:hAnsi="Arial" w:cs="Arial"/>
          <w:b/>
          <w:bCs/>
          <w:sz w:val="28"/>
          <w:szCs w:val="28"/>
          <w14:ligatures w14:val="none"/>
        </w:rPr>
      </w:pPr>
    </w:p>
    <w:p w14:paraId="717D9909" w14:textId="77777777" w:rsidR="00BC1935" w:rsidRDefault="00BC1935" w:rsidP="00BC1935">
      <w:pPr>
        <w:spacing w:line="360" w:lineRule="auto"/>
        <w:jc w:val="center"/>
        <w:rPr>
          <w:rFonts w:ascii="Arial" w:eastAsia="Times New Roman" w:hAnsi="Arial" w:cs="Arial"/>
          <w:b/>
          <w:bCs/>
          <w:sz w:val="28"/>
          <w:szCs w:val="28"/>
          <w14:ligatures w14:val="none"/>
        </w:rPr>
      </w:pPr>
    </w:p>
    <w:p w14:paraId="088E5E37" w14:textId="77777777" w:rsidR="00BC1935" w:rsidRDefault="00BC1935" w:rsidP="00BC1935">
      <w:pPr>
        <w:spacing w:line="360" w:lineRule="auto"/>
        <w:jc w:val="center"/>
        <w:rPr>
          <w:rFonts w:ascii="Arial" w:eastAsia="Times New Roman" w:hAnsi="Arial" w:cs="Arial"/>
          <w:b/>
          <w:bCs/>
          <w:sz w:val="28"/>
          <w:szCs w:val="28"/>
          <w14:ligatures w14:val="none"/>
        </w:rPr>
      </w:pPr>
    </w:p>
    <w:p w14:paraId="5AC6377E" w14:textId="77777777" w:rsidR="00BC1935" w:rsidRPr="00304344" w:rsidRDefault="00BC1935" w:rsidP="00304344">
      <w:pPr>
        <w:spacing w:line="360" w:lineRule="auto"/>
        <w:rPr>
          <w:rFonts w:ascii="Arial" w:eastAsia="Times New Roman" w:hAnsi="Arial" w:cs="Arial"/>
          <w:b/>
          <w:bCs/>
          <w:sz w:val="24"/>
          <w:szCs w:val="24"/>
          <w14:ligatures w14:val="none"/>
        </w:rPr>
      </w:pPr>
    </w:p>
    <w:p w14:paraId="02E93197" w14:textId="625D1D2F" w:rsidR="00BC1935" w:rsidRPr="00304344" w:rsidRDefault="00BC1935" w:rsidP="00304344">
      <w:pPr>
        <w:pStyle w:val="EU"/>
        <w:spacing w:line="360" w:lineRule="auto"/>
        <w:rPr>
          <w:rFonts w:eastAsia="Times New Roman"/>
          <w:color w:val="auto"/>
        </w:rPr>
      </w:pPr>
      <w:bookmarkStart w:id="0" w:name="_Toc192038551"/>
      <w:r w:rsidRPr="00304344">
        <w:rPr>
          <w:rFonts w:eastAsia="Times New Roman"/>
          <w:color w:val="auto"/>
        </w:rPr>
        <w:t>Executive summary</w:t>
      </w:r>
      <w:bookmarkEnd w:id="0"/>
      <w:r w:rsidRPr="00304344">
        <w:rPr>
          <w:rFonts w:eastAsia="Times New Roman"/>
          <w:color w:val="auto"/>
        </w:rPr>
        <w:t xml:space="preserve"> </w:t>
      </w:r>
    </w:p>
    <w:p w14:paraId="68968EC2" w14:textId="5D79F9E8"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r w:rsidRPr="00304344">
        <w:rPr>
          <w:rFonts w:ascii="Arial" w:eastAsia="Times New Roman" w:hAnsi="Arial" w:cs="Arial"/>
          <w:sz w:val="24"/>
          <w:szCs w:val="24"/>
          <w14:ligatures w14:val="none"/>
        </w:rPr>
        <w:t xml:space="preserve">The Chedi </w:t>
      </w:r>
      <w:proofErr w:type="spellStart"/>
      <w:r w:rsidRPr="00304344">
        <w:rPr>
          <w:rFonts w:ascii="Arial" w:eastAsia="Times New Roman" w:hAnsi="Arial" w:cs="Arial"/>
          <w:sz w:val="24"/>
          <w:szCs w:val="24"/>
          <w14:ligatures w14:val="none"/>
        </w:rPr>
        <w:t>Andermatt</w:t>
      </w:r>
      <w:proofErr w:type="spellEnd"/>
      <w:r w:rsidRPr="00304344">
        <w:rPr>
          <w:rFonts w:ascii="Arial" w:eastAsia="Times New Roman" w:hAnsi="Arial" w:cs="Arial"/>
          <w:sz w:val="24"/>
          <w:szCs w:val="24"/>
          <w14:ligatures w14:val="none"/>
        </w:rPr>
        <w:t>, a prestigious luxury hotel located in the Swiss Alps, is renowned for its outstanding service, lavish suites, and a distinctive fusion of contemporary elegance and alpine history</w:t>
      </w:r>
      <w:r w:rsidR="00A85D6D" w:rsidRPr="00304344">
        <w:rPr>
          <w:rFonts w:ascii="Arial" w:hAnsi="Arial" w:cs="Arial"/>
          <w:sz w:val="24"/>
          <w:szCs w:val="24"/>
        </w:rPr>
        <w:t xml:space="preserve"> </w:t>
      </w:r>
      <w:r w:rsidR="00A85D6D" w:rsidRPr="00304344">
        <w:rPr>
          <w:rFonts w:ascii="Arial" w:eastAsia="Times New Roman" w:hAnsi="Arial" w:cs="Arial"/>
          <w:sz w:val="24"/>
          <w:szCs w:val="24"/>
          <w14:ligatures w14:val="none"/>
        </w:rPr>
        <w:t>(The Chedi, n.d.)</w:t>
      </w:r>
      <w:r w:rsidRPr="00304344">
        <w:rPr>
          <w:rFonts w:ascii="Arial" w:eastAsia="Times New Roman" w:hAnsi="Arial" w:cs="Arial"/>
          <w:sz w:val="24"/>
          <w:szCs w:val="24"/>
          <w14:ligatures w14:val="none"/>
        </w:rPr>
        <w:t>. Notwithstanding its esteemed image and capacity to draw an international clientele in pursuit of a premium experience, the hotel confronts a significant operational challenge: consistently elevated workforce turnover. This problem not only interrupts service continuity but also increases recruiting and training expenses, eventually compromising profitability and client happiness.</w:t>
      </w:r>
      <w:r w:rsidRPr="00304344">
        <w:rPr>
          <w:rFonts w:ascii="Arial" w:eastAsia="Times New Roman" w:hAnsi="Arial" w:cs="Arial"/>
          <w:sz w:val="24"/>
          <w:szCs w:val="24"/>
          <w14:ligatures w14:val="none"/>
        </w:rPr>
        <w:t xml:space="preserve"> </w:t>
      </w:r>
      <w:proofErr w:type="spellStart"/>
      <w:r w:rsidRPr="00304344">
        <w:rPr>
          <w:rFonts w:ascii="Arial" w:eastAsia="Times New Roman" w:hAnsi="Arial" w:cs="Arial"/>
          <w:sz w:val="24"/>
          <w:szCs w:val="24"/>
          <w14:ligatures w14:val="none"/>
        </w:rPr>
        <w:t>Andermatt</w:t>
      </w:r>
      <w:proofErr w:type="spellEnd"/>
      <w:r w:rsidRPr="00304344">
        <w:rPr>
          <w:rFonts w:ascii="Arial" w:eastAsia="Times New Roman" w:hAnsi="Arial" w:cs="Arial"/>
          <w:sz w:val="24"/>
          <w:szCs w:val="24"/>
          <w14:ligatures w14:val="none"/>
        </w:rPr>
        <w:t xml:space="preserve"> Advisory was commissioned to examine the root reasons of the turnover issue and to formulate sustainable, practical measures to enhance employee retention and operational efficiency. </w:t>
      </w:r>
      <w:r w:rsidR="00AE24CF" w:rsidRPr="00304344">
        <w:rPr>
          <w:rFonts w:ascii="Arial" w:eastAsia="Times New Roman" w:hAnsi="Arial" w:cs="Arial"/>
          <w:sz w:val="24"/>
          <w:szCs w:val="24"/>
          <w14:ligatures w14:val="none"/>
        </w:rPr>
        <w:t>The</w:t>
      </w:r>
      <w:r w:rsidRPr="00304344">
        <w:rPr>
          <w:rFonts w:ascii="Arial" w:eastAsia="Times New Roman" w:hAnsi="Arial" w:cs="Arial"/>
          <w:sz w:val="24"/>
          <w:szCs w:val="24"/>
          <w14:ligatures w14:val="none"/>
        </w:rPr>
        <w:t xml:space="preserve"> extensive research utilises two primary analytical frameworks: a STEEPLED analysis to evaluate external issues and a thorough SOAR analysis to analyse the hotel's internal strengths, goals, opportunities, and intended outcomes. This integrated approach allows</w:t>
      </w:r>
      <w:r w:rsidR="00AE24CF"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to get a comprehensive understanding of the outside influences and internal dynamics that contribute to the existing workforce difficulties.</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 xml:space="preserve">The STEEPLED research uncovers a multifaceted external environment for The Chedi </w:t>
      </w:r>
      <w:proofErr w:type="spellStart"/>
      <w:r w:rsidRPr="00304344">
        <w:rPr>
          <w:rFonts w:ascii="Arial" w:eastAsia="Times New Roman" w:hAnsi="Arial" w:cs="Arial"/>
          <w:sz w:val="24"/>
          <w:szCs w:val="24"/>
          <w14:ligatures w14:val="none"/>
        </w:rPr>
        <w:t>Andermatt</w:t>
      </w:r>
      <w:proofErr w:type="spellEnd"/>
      <w:r w:rsidRPr="00304344">
        <w:rPr>
          <w:rFonts w:ascii="Arial" w:eastAsia="Times New Roman" w:hAnsi="Arial" w:cs="Arial"/>
          <w:sz w:val="24"/>
          <w:szCs w:val="24"/>
          <w14:ligatures w14:val="none"/>
        </w:rPr>
        <w:t>. The political stability of Switzerland and its robust regulatory structure provide a conducive environment for international tourism. Economically, the hotel is susceptible to the impacts of escalating operating expenses and inflationary pressures that jeopardise profit margins</w:t>
      </w:r>
      <w:r w:rsidR="0011036A" w:rsidRPr="00304344">
        <w:rPr>
          <w:rFonts w:ascii="Arial" w:eastAsia="Times New Roman" w:hAnsi="Arial" w:cs="Arial"/>
          <w:sz w:val="24"/>
          <w:szCs w:val="24"/>
          <w14:ligatures w14:val="none"/>
        </w:rPr>
        <w:t xml:space="preserve"> (Sone, 2025)</w:t>
      </w:r>
      <w:r w:rsidRPr="00304344">
        <w:rPr>
          <w:rFonts w:ascii="Arial" w:eastAsia="Times New Roman" w:hAnsi="Arial" w:cs="Arial"/>
          <w:sz w:val="24"/>
          <w:szCs w:val="24"/>
          <w14:ligatures w14:val="none"/>
        </w:rPr>
        <w:t>. Social trends reveal an increasing need for genuine, sustainable experiences among contemporary travellers, presenting the hotel with a substantial potential to distinguish itself in a competitive market. Technological innovations are continually transforming visitor expectations and operating procedures, while environmental demands, such as rigorous municipal legislation and an increased consumer emphasis on sustainability, need the implementation of eco-friendly methods. The examination encompasses legal, ethical, and demographic considerations, highlighting the need for strategic response to worker expectations and market demands.</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 xml:space="preserve">Internally, our SOAR study has transitioned from a conventional problem-oriented assessment to one that highlights the hotel’s intrinsic potential. The Chedi </w:t>
      </w:r>
      <w:proofErr w:type="spellStart"/>
      <w:r w:rsidRPr="00304344">
        <w:rPr>
          <w:rFonts w:ascii="Arial" w:eastAsia="Times New Roman" w:hAnsi="Arial" w:cs="Arial"/>
          <w:sz w:val="24"/>
          <w:szCs w:val="24"/>
          <w14:ligatures w14:val="none"/>
        </w:rPr>
        <w:t>Andermatt</w:t>
      </w:r>
      <w:proofErr w:type="spellEnd"/>
      <w:r w:rsidRPr="00304344">
        <w:rPr>
          <w:rFonts w:ascii="Arial" w:eastAsia="Times New Roman" w:hAnsi="Arial" w:cs="Arial"/>
          <w:sz w:val="24"/>
          <w:szCs w:val="24"/>
          <w14:ligatures w14:val="none"/>
        </w:rPr>
        <w:t xml:space="preserve"> has many advantages, such as its exceptional alpine setting, historical significance, and esteemed reputation for superior, individualised service. These elements provide a strong brand identity that distinguishes the property from its rivals. The hotel aims to address its existing labour difficulties by cultivating a stable, engaged, and professionally fulfilled personnel. The objective is to foster an atmosphere where workers are motivated by competitive remuneration and inspired by distinct chances for personal and professional development.</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 xml:space="preserve">The external opportunities recognised correspond well with the hotel's internal capabilities. The expanding market for sustainable and experiential tourism presents a unique opportunity for the hotel to deliver immersive guest experiences that showcase its exceptional alpine allure and cultural history. By investing in contemporary human resource methods and extensive employee development programs, The Chedi </w:t>
      </w:r>
      <w:proofErr w:type="spellStart"/>
      <w:r w:rsidRPr="00304344">
        <w:rPr>
          <w:rFonts w:ascii="Arial" w:eastAsia="Times New Roman" w:hAnsi="Arial" w:cs="Arial"/>
          <w:sz w:val="24"/>
          <w:szCs w:val="24"/>
          <w14:ligatures w14:val="none"/>
        </w:rPr>
        <w:t>Andermatt</w:t>
      </w:r>
      <w:proofErr w:type="spellEnd"/>
      <w:r w:rsidRPr="00304344">
        <w:rPr>
          <w:rFonts w:ascii="Arial" w:eastAsia="Times New Roman" w:hAnsi="Arial" w:cs="Arial"/>
          <w:sz w:val="24"/>
          <w:szCs w:val="24"/>
          <w14:ligatures w14:val="none"/>
        </w:rPr>
        <w:t xml:space="preserve"> can tackle the fundamental reasons of worker turnover. The anticipated outcomes include a quantifiable decrease in personnel turnover, elevated work happiness, better visitor experiences, and a fortified overall financial performance. By synchronising its internal strengths with external prospects, the hotel is strategically positioned to tackle its existing issues and attain a competitive advantage in the premium hospitality sector.</w:t>
      </w:r>
      <w:r w:rsidRPr="00304344">
        <w:rPr>
          <w:rFonts w:ascii="Arial" w:eastAsia="Times New Roman" w:hAnsi="Arial" w:cs="Arial"/>
          <w:sz w:val="24"/>
          <w:szCs w:val="24"/>
          <w14:ligatures w14:val="none"/>
        </w:rPr>
        <w:t xml:space="preserve"> </w:t>
      </w:r>
      <w:proofErr w:type="spellStart"/>
      <w:r w:rsidRPr="00304344">
        <w:rPr>
          <w:rFonts w:ascii="Arial" w:eastAsia="Times New Roman" w:hAnsi="Arial" w:cs="Arial"/>
          <w:sz w:val="24"/>
          <w:szCs w:val="24"/>
          <w14:ligatures w14:val="none"/>
        </w:rPr>
        <w:t>Andermatt</w:t>
      </w:r>
      <w:proofErr w:type="spellEnd"/>
      <w:r w:rsidRPr="00304344">
        <w:rPr>
          <w:rFonts w:ascii="Arial" w:eastAsia="Times New Roman" w:hAnsi="Arial" w:cs="Arial"/>
          <w:sz w:val="24"/>
          <w:szCs w:val="24"/>
          <w14:ligatures w14:val="none"/>
        </w:rPr>
        <w:t xml:space="preserve"> Advisory proposes a four-pronged plan to enhance the hotel’s personnel dynamics. The hotel should design a comprehensive Employee Retention Program that emphasises competitive salary, delineates clear career advancement opportunities, and cultivates a culture of employee involvement. This approach must begin with a comprehensive evaluation of existing wage frameworks to guarantee that remuneration is competitive in relation to industry benchmarks. The program must include frequent training sessions, mentoring opportunities, and team-building activities aimed at fostering a pleasant work environment in which workers feel appreciated and encouraged.</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Secondly, the hotel should implement flexible work arrangements. Given that burnout and work-life imbalance are major contributors to employee turnover, it is essential to consider flexible schedule alternatives, including staggered shifts, part-time positions, and remote work arrangements for administrative jobs. These steps will mitigate workplace stress and foster a healthy work-life balance, so enhancing employee retention and overall productivity.</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Third, it is essential to augment training and development opportunities. Investing in ongoing professional development via workshops, seminars, and leadership training enables the hotel to empower its people to provide outstanding service. Well-defined career trajectories will incentivise workers to engage in their positions and persist with the organisation, thereby reducing the need for recurrent recruiting and retraining. This enhances service quality and bolsters the hotel’s image as a preferred employment.</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The hotel should use sustainable operating procedures. Incorporating sustainability into its fundamental operations via energy-efficient renovations, waste reduction initiatives, and local product sourcing may provide enduring cost savings and elevate the hotel's brand reputation among environmentally aware travellers. Furthermore, educating staff on sustainable practices may reinforce a culture of accountability and involvement, therefore advancing both environmental and financial objectives.</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 xml:space="preserve">The success of these projects hinges on the execution of a stringent change management approach. </w:t>
      </w:r>
      <w:proofErr w:type="spellStart"/>
      <w:r w:rsidRPr="00304344">
        <w:rPr>
          <w:rFonts w:ascii="Arial" w:eastAsia="Times New Roman" w:hAnsi="Arial" w:cs="Arial"/>
          <w:sz w:val="24"/>
          <w:szCs w:val="24"/>
          <w14:ligatures w14:val="none"/>
        </w:rPr>
        <w:t>Andermatt</w:t>
      </w:r>
      <w:proofErr w:type="spellEnd"/>
      <w:r w:rsidRPr="00304344">
        <w:rPr>
          <w:rFonts w:ascii="Arial" w:eastAsia="Times New Roman" w:hAnsi="Arial" w:cs="Arial"/>
          <w:sz w:val="24"/>
          <w:szCs w:val="24"/>
          <w14:ligatures w14:val="none"/>
        </w:rPr>
        <w:t xml:space="preserve"> Advisory advocates for a methodical strategy that prioritises clear communication with workers, active participation in the change process, and the implementation of consistent feedback channels. By evaluating key performance measures like as attrition rates, employee satisfaction, and recruiting expenses quarterly, The Chedi </w:t>
      </w:r>
      <w:proofErr w:type="spellStart"/>
      <w:r w:rsidRPr="00304344">
        <w:rPr>
          <w:rFonts w:ascii="Arial" w:eastAsia="Times New Roman" w:hAnsi="Arial" w:cs="Arial"/>
          <w:sz w:val="24"/>
          <w:szCs w:val="24"/>
          <w14:ligatures w14:val="none"/>
        </w:rPr>
        <w:t>Andermatt</w:t>
      </w:r>
      <w:proofErr w:type="spellEnd"/>
      <w:r w:rsidRPr="00304344">
        <w:rPr>
          <w:rFonts w:ascii="Arial" w:eastAsia="Times New Roman" w:hAnsi="Arial" w:cs="Arial"/>
          <w:sz w:val="24"/>
          <w:szCs w:val="24"/>
          <w14:ligatures w14:val="none"/>
        </w:rPr>
        <w:t xml:space="preserve"> may gauge the efficacy of these initiatives and implement real-time modifications as needed.</w:t>
      </w:r>
    </w:p>
    <w:p w14:paraId="34FE64F4"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570F20FF"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7738823B"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7EBB89F6"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0FF8A6C9"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4D62E5A2"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1C6DF5B7"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3A6113FC"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2CE668D4"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0D3634DB"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6C429033"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11FEB073"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5F55B26A"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25B4EF8A"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6EB96D79" w14:textId="77777777"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p>
    <w:p w14:paraId="3CBD22CC" w14:textId="26F73ABC" w:rsidR="00E966E5" w:rsidRPr="00304344" w:rsidRDefault="00E966E5" w:rsidP="00304344">
      <w:pPr>
        <w:pStyle w:val="EU"/>
        <w:spacing w:line="360" w:lineRule="auto"/>
        <w:rPr>
          <w:rFonts w:eastAsia="Times New Roman"/>
          <w:color w:val="auto"/>
        </w:rPr>
      </w:pPr>
      <w:bookmarkStart w:id="1" w:name="_Toc192038552"/>
      <w:r w:rsidRPr="00304344">
        <w:rPr>
          <w:rFonts w:eastAsia="Times New Roman"/>
          <w:color w:val="auto"/>
        </w:rPr>
        <w:t>Introduction</w:t>
      </w:r>
      <w:bookmarkEnd w:id="1"/>
      <w:r w:rsidRPr="00304344">
        <w:rPr>
          <w:rFonts w:eastAsia="Times New Roman"/>
          <w:color w:val="auto"/>
        </w:rPr>
        <w:t xml:space="preserve"> </w:t>
      </w:r>
    </w:p>
    <w:p w14:paraId="72EF96EB" w14:textId="15C6619E" w:rsidR="00E966E5" w:rsidRPr="00304344" w:rsidRDefault="00E966E5" w:rsidP="00304344">
      <w:pPr>
        <w:tabs>
          <w:tab w:val="left" w:pos="360"/>
        </w:tabs>
        <w:spacing w:line="360" w:lineRule="auto"/>
        <w:jc w:val="both"/>
        <w:rPr>
          <w:rFonts w:ascii="Arial" w:eastAsia="Times New Roman" w:hAnsi="Arial" w:cs="Arial"/>
          <w:sz w:val="24"/>
          <w:szCs w:val="24"/>
          <w14:ligatures w14:val="none"/>
        </w:rPr>
      </w:pPr>
      <w:r w:rsidRPr="00304344">
        <w:rPr>
          <w:rFonts w:ascii="Arial" w:eastAsia="Times New Roman" w:hAnsi="Arial" w:cs="Arial"/>
          <w:sz w:val="24"/>
          <w:szCs w:val="24"/>
          <w14:ligatures w14:val="none"/>
        </w:rPr>
        <w:t>This research analyses the significant problem of elevated personnel turnover that compromises operational efficiency and service quality, necessitating immediate strategic action (Kotter, 2012).</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 xml:space="preserve">The Chedi </w:t>
      </w:r>
      <w:proofErr w:type="spellStart"/>
      <w:r w:rsidRPr="00304344">
        <w:rPr>
          <w:rFonts w:ascii="Arial" w:eastAsia="Times New Roman" w:hAnsi="Arial" w:cs="Arial"/>
          <w:sz w:val="24"/>
          <w:szCs w:val="24"/>
          <w14:ligatures w14:val="none"/>
        </w:rPr>
        <w:t>Andermatt</w:t>
      </w:r>
      <w:proofErr w:type="spellEnd"/>
      <w:r w:rsidRPr="00304344">
        <w:rPr>
          <w:rFonts w:ascii="Arial" w:eastAsia="Times New Roman" w:hAnsi="Arial" w:cs="Arial"/>
          <w:sz w:val="24"/>
          <w:szCs w:val="24"/>
          <w14:ligatures w14:val="none"/>
        </w:rPr>
        <w:t xml:space="preserve"> is a prestigious luxury hotel situated in the Swiss Alps, including a storied history, 350 exquisitely built rooms, and special suites with stunning mountain vistas (Van Dam, 2013).</w:t>
      </w:r>
      <w:r w:rsidRPr="00304344">
        <w:rPr>
          <w:rFonts w:ascii="Arial" w:eastAsia="Times New Roman" w:hAnsi="Arial" w:cs="Arial"/>
          <w:sz w:val="24"/>
          <w:szCs w:val="24"/>
          <w14:ligatures w14:val="none"/>
        </w:rPr>
        <w:t xml:space="preserve"> </w:t>
      </w:r>
      <w:proofErr w:type="spellStart"/>
      <w:r w:rsidRPr="00304344">
        <w:rPr>
          <w:rFonts w:ascii="Arial" w:eastAsia="Times New Roman" w:hAnsi="Arial" w:cs="Arial"/>
          <w:sz w:val="24"/>
          <w:szCs w:val="24"/>
          <w14:ligatures w14:val="none"/>
        </w:rPr>
        <w:t>Andermatt</w:t>
      </w:r>
      <w:proofErr w:type="spellEnd"/>
      <w:r w:rsidRPr="00304344">
        <w:rPr>
          <w:rFonts w:ascii="Arial" w:eastAsia="Times New Roman" w:hAnsi="Arial" w:cs="Arial"/>
          <w:sz w:val="24"/>
          <w:szCs w:val="24"/>
          <w14:ligatures w14:val="none"/>
        </w:rPr>
        <w:t xml:space="preserve"> Advisory, a consulting business focused on organisational development and human resource optimisation, has been engaged to identify and address these workforce difficulties with rigorous, data-driven techniques (</w:t>
      </w:r>
      <w:r w:rsidR="00AE24CF" w:rsidRPr="00304344">
        <w:rPr>
          <w:rFonts w:ascii="Arial" w:eastAsia="Times New Roman" w:hAnsi="Arial" w:cs="Arial"/>
          <w:sz w:val="24"/>
          <w:szCs w:val="24"/>
          <w14:ligatures w14:val="none"/>
        </w:rPr>
        <w:t>Buttrick, 2009</w:t>
      </w:r>
      <w:r w:rsidRPr="00304344">
        <w:rPr>
          <w:rFonts w:ascii="Arial" w:eastAsia="Times New Roman" w:hAnsi="Arial" w:cs="Arial"/>
          <w:sz w:val="24"/>
          <w:szCs w:val="24"/>
          <w14:ligatures w14:val="none"/>
        </w:rPr>
        <w:t>).</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Elevated staff turnover in the hotel sector increases recruiting and training expenses while disrupting service continuity, thereby affecting visitor pleasure and total profitability (Kotter, 2012).</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The study will examine the fundamental reasons of turnover by analysing external pressures and internal inefficiencies via thorough analytical frameworks (Van Dam, 2013).</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Our research will use the STEEPLED framework to evaluate external factors—namely Political, Economic, Social, Technological, Environmental, Legal, Ethical, and Demographic influences—that define the industrial landscape (Gurl, 2017).</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A comprehensive SOAR study will transition the emphasis from deficiencies to the hotel’s Strengths, Aspirations, Opportunities, and Results, therefore illuminating avenues for sustainable development (Kotter, 2012).</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A TOWS matrix will be created to strategically connect internal strengths with external issues, enabling the development of actionable solutions (Van Dam, 2013).</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The incorporation of these frameworks guarantees that the report provides a comprehensive perspective on both the macro-environment and the internal factors influencing staff retention (Gurl, 2017).</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Elevated staff turnover poses significant challenges in the hotel industry since it undermines the constancy of personalised care, an essential element of premium client experiences (Kotter, 2012).</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Furthermore, frequent personnel turnover escalates operating expenses and intensifies stress on existing workers, resulting in burnout and subsequent attrition (Van Dam, 2013).</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 xml:space="preserve">It is essential for The Chedi </w:t>
      </w:r>
      <w:proofErr w:type="spellStart"/>
      <w:r w:rsidRPr="00304344">
        <w:rPr>
          <w:rFonts w:ascii="Arial" w:eastAsia="Times New Roman" w:hAnsi="Arial" w:cs="Arial"/>
          <w:sz w:val="24"/>
          <w:szCs w:val="24"/>
          <w14:ligatures w14:val="none"/>
        </w:rPr>
        <w:t>Andermatt</w:t>
      </w:r>
      <w:proofErr w:type="spellEnd"/>
      <w:r w:rsidRPr="00304344">
        <w:rPr>
          <w:rFonts w:ascii="Arial" w:eastAsia="Times New Roman" w:hAnsi="Arial" w:cs="Arial"/>
          <w:sz w:val="24"/>
          <w:szCs w:val="24"/>
          <w14:ligatures w14:val="none"/>
        </w:rPr>
        <w:t xml:space="preserve"> to resolve these difficulties in order to sustain its competitive advantage in a market where guest expectations for quality are always increasing (Gurl, 2017).</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The consulting firm's proficiency in change management and human resource strategies will be used to provide solutions that are both pragmatic and sustainable (Kotter, 2012).</w:t>
      </w:r>
      <w:r w:rsidRPr="00304344">
        <w:rPr>
          <w:rFonts w:ascii="Arial" w:eastAsia="Times New Roman" w:hAnsi="Arial" w:cs="Arial"/>
          <w:sz w:val="24"/>
          <w:szCs w:val="24"/>
          <w14:ligatures w14:val="none"/>
        </w:rPr>
        <w:t xml:space="preserve"> </w:t>
      </w:r>
      <w:proofErr w:type="spellStart"/>
      <w:r w:rsidRPr="00304344">
        <w:rPr>
          <w:rFonts w:ascii="Arial" w:eastAsia="Times New Roman" w:hAnsi="Arial" w:cs="Arial"/>
          <w:sz w:val="24"/>
          <w:szCs w:val="24"/>
          <w14:ligatures w14:val="none"/>
        </w:rPr>
        <w:t>Andermatt</w:t>
      </w:r>
      <w:proofErr w:type="spellEnd"/>
      <w:r w:rsidRPr="00304344">
        <w:rPr>
          <w:rFonts w:ascii="Arial" w:eastAsia="Times New Roman" w:hAnsi="Arial" w:cs="Arial"/>
          <w:sz w:val="24"/>
          <w:szCs w:val="24"/>
          <w14:ligatures w14:val="none"/>
        </w:rPr>
        <w:t xml:space="preserve"> Advisory's methodology is based on thorough research, guaranteeing that all proposed solutions are underpinned by contemporary best practices in organisational behaviour (Van Dam, 2013).</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 xml:space="preserve">The study will begin by delineating a thorough history of the hotel and the consultant business, so furnishing critical context for the subsequent </w:t>
      </w:r>
      <w:proofErr w:type="spellStart"/>
      <w:r w:rsidRPr="00304344">
        <w:rPr>
          <w:rFonts w:ascii="Arial" w:eastAsia="Times New Roman" w:hAnsi="Arial" w:cs="Arial"/>
          <w:sz w:val="24"/>
          <w:szCs w:val="24"/>
          <w14:ligatures w14:val="none"/>
        </w:rPr>
        <w:t>analysi</w:t>
      </w:r>
      <w:proofErr w:type="spellEnd"/>
      <w:r w:rsidRPr="00304344">
        <w:rPr>
          <w:rFonts w:ascii="Arial" w:eastAsia="Times New Roman" w:hAnsi="Arial" w:cs="Arial"/>
          <w:sz w:val="24"/>
          <w:szCs w:val="24"/>
          <w14:ligatures w14:val="none"/>
        </w:rPr>
        <w:t>.</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It will thereafter conduct a thorough analysis of external environmental elements using the STEEPLED framework, which encompasses the many difficulties and possibilities present in the contemporary hospitality sector (Kotter, 2012).</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 xml:space="preserve">Consequently, the SOAR study will elucidate the internal strengths and ambitions of The Chedi </w:t>
      </w:r>
      <w:proofErr w:type="spellStart"/>
      <w:r w:rsidRPr="00304344">
        <w:rPr>
          <w:rFonts w:ascii="Arial" w:eastAsia="Times New Roman" w:hAnsi="Arial" w:cs="Arial"/>
          <w:sz w:val="24"/>
          <w:szCs w:val="24"/>
          <w14:ligatures w14:val="none"/>
        </w:rPr>
        <w:t>Andermatt</w:t>
      </w:r>
      <w:proofErr w:type="spellEnd"/>
      <w:r w:rsidRPr="00304344">
        <w:rPr>
          <w:rFonts w:ascii="Arial" w:eastAsia="Times New Roman" w:hAnsi="Arial" w:cs="Arial"/>
          <w:sz w:val="24"/>
          <w:szCs w:val="24"/>
          <w14:ligatures w14:val="none"/>
        </w:rPr>
        <w:t>, providing an optimistic perspective on prospective development sectors (Van Dam, 2013).</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The TOWS analysis will include these insights, facilitating the formulation of strategic recommendations that connect internal capabilities with external requirements (Gurl, 2017)</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This multi-framework strategy aims to provide practical suggestions that decrease turnover while simultaneously improving employee engagement and service quality (Kotter, 2012).</w:t>
      </w:r>
      <w:r w:rsidRPr="00304344">
        <w:rPr>
          <w:rFonts w:ascii="Arial" w:eastAsia="Times New Roman" w:hAnsi="Arial" w:cs="Arial"/>
          <w:sz w:val="24"/>
          <w:szCs w:val="24"/>
          <w14:ligatures w14:val="none"/>
        </w:rPr>
        <w:t xml:space="preserve"> </w:t>
      </w:r>
      <w:r w:rsidRPr="00304344">
        <w:rPr>
          <w:rFonts w:ascii="Arial" w:eastAsia="Times New Roman" w:hAnsi="Arial" w:cs="Arial"/>
          <w:sz w:val="24"/>
          <w:szCs w:val="24"/>
          <w14:ligatures w14:val="none"/>
        </w:rPr>
        <w:t>The paper seeks to provide a comprehensive strategy that addresses external challenges and internal inadequacies, so ensuring long-term organisational resilience and enhanced guest experiences (Van Dam, 2013).</w:t>
      </w:r>
    </w:p>
    <w:p w14:paraId="34A268DF" w14:textId="47236384" w:rsidR="00E966E5" w:rsidRPr="00304344" w:rsidRDefault="00E966E5" w:rsidP="00304344">
      <w:pPr>
        <w:pStyle w:val="EU"/>
        <w:spacing w:line="360" w:lineRule="auto"/>
        <w:rPr>
          <w:rFonts w:eastAsia="Times New Roman"/>
          <w:color w:val="auto"/>
        </w:rPr>
      </w:pPr>
      <w:bookmarkStart w:id="2" w:name="_Toc192038553"/>
      <w:r w:rsidRPr="00304344">
        <w:rPr>
          <w:rFonts w:eastAsia="Times New Roman"/>
          <w:color w:val="auto"/>
        </w:rPr>
        <w:t>Analysis</w:t>
      </w:r>
      <w:bookmarkEnd w:id="2"/>
    </w:p>
    <w:p w14:paraId="6C993244" w14:textId="6221D9A4" w:rsidR="007765DC" w:rsidRPr="00304344" w:rsidRDefault="00DC18B9" w:rsidP="00304344">
      <w:pPr>
        <w:spacing w:line="360" w:lineRule="auto"/>
        <w:jc w:val="both"/>
        <w:rPr>
          <w:rFonts w:ascii="Arial" w:hAnsi="Arial" w:cs="Arial"/>
          <w:sz w:val="24"/>
          <w:szCs w:val="24"/>
        </w:rPr>
      </w:pPr>
      <w:r w:rsidRPr="00304344">
        <w:rPr>
          <w:rFonts w:ascii="Arial" w:hAnsi="Arial" w:cs="Arial"/>
          <w:sz w:val="24"/>
          <w:szCs w:val="24"/>
        </w:rPr>
        <w:t xml:space="preserve">The Chedi </w:t>
      </w:r>
      <w:proofErr w:type="spellStart"/>
      <w:r w:rsidRPr="00304344">
        <w:rPr>
          <w:rFonts w:ascii="Arial" w:hAnsi="Arial" w:cs="Arial"/>
          <w:sz w:val="24"/>
          <w:szCs w:val="24"/>
        </w:rPr>
        <w:t>Andermatt</w:t>
      </w:r>
      <w:proofErr w:type="spellEnd"/>
      <w:r w:rsidRPr="00304344">
        <w:rPr>
          <w:rFonts w:ascii="Arial" w:hAnsi="Arial" w:cs="Arial"/>
          <w:sz w:val="24"/>
          <w:szCs w:val="24"/>
        </w:rPr>
        <w:t xml:space="preserve"> is presently confronting a significant issue due to consistently elevated personnel turnover, adversely affecting all facets of its operations. Elevated turnover breaks service continuity and compels the hotel to bear increasing recruiting and training expenses, thus compromising its capacity to provide the consistent, high-quality service anticipated in a premium hospitality setting (Michael and Fotiadis, 2022). Employee losses lead to a depletion of institutional knowledge and increase the burden for remaining staff, exacerbating stress and perhaps causing more attrition (Abdou et al., 2022). In a competitive labour market, workers are presented with several options that provide superior compensation and enhanced circumstances, hence exacerbating the turnover problem (</w:t>
      </w:r>
      <w:proofErr w:type="spellStart"/>
      <w:r w:rsidRPr="00304344">
        <w:rPr>
          <w:rFonts w:ascii="Arial" w:hAnsi="Arial" w:cs="Arial"/>
          <w:sz w:val="24"/>
          <w:szCs w:val="24"/>
        </w:rPr>
        <w:t>Dwesini</w:t>
      </w:r>
      <w:proofErr w:type="spellEnd"/>
      <w:r w:rsidRPr="00304344">
        <w:rPr>
          <w:rFonts w:ascii="Arial" w:hAnsi="Arial" w:cs="Arial"/>
          <w:sz w:val="24"/>
          <w:szCs w:val="24"/>
        </w:rPr>
        <w:t>, 2019). Moreover, restricted prospects for professional advancement result in workers feeling unappreciated, prompting them to choose other jobs (Bartik et al., 2020). These characteristics together undermine team cohesiveness and tarnish the hotel's image among clients who prioritise consistent and personalised service (Han, 2020).</w:t>
      </w:r>
      <w:r w:rsidR="00AE24CF" w:rsidRPr="00304344">
        <w:rPr>
          <w:rFonts w:ascii="Arial" w:hAnsi="Arial" w:cs="Arial"/>
          <w:sz w:val="24"/>
          <w:szCs w:val="24"/>
        </w:rPr>
        <w:t xml:space="preserve"> </w:t>
      </w:r>
      <w:r w:rsidR="007765DC" w:rsidRPr="00304344">
        <w:rPr>
          <w:rFonts w:ascii="Arial" w:hAnsi="Arial" w:cs="Arial"/>
          <w:sz w:val="24"/>
          <w:szCs w:val="24"/>
        </w:rPr>
        <w:t xml:space="preserve">The external operating environment of The Chedi </w:t>
      </w:r>
      <w:proofErr w:type="spellStart"/>
      <w:r w:rsidR="007765DC" w:rsidRPr="00304344">
        <w:rPr>
          <w:rFonts w:ascii="Arial" w:hAnsi="Arial" w:cs="Arial"/>
          <w:sz w:val="24"/>
          <w:szCs w:val="24"/>
        </w:rPr>
        <w:t>Andermatt</w:t>
      </w:r>
      <w:proofErr w:type="spellEnd"/>
      <w:r w:rsidR="007765DC" w:rsidRPr="00304344">
        <w:rPr>
          <w:rFonts w:ascii="Arial" w:hAnsi="Arial" w:cs="Arial"/>
          <w:sz w:val="24"/>
          <w:szCs w:val="24"/>
        </w:rPr>
        <w:t xml:space="preserve"> may be methodically analysed using the STEEPLED paradigm, which encompasses Political, Economic, Social, Technological, Environmental, Legal, Ethical, and Demographic variables. Switzerland's stable governance and robust regulatory structures provide a conducive climate for tourism, guaranteeing legal and economic stability for hospitality enterprises. Local rules, like tourist taxes and sustainability standards, may place extra financial pressures on the hotel, necessitating meticulous cost control to ensure profitability (GOV.UK, n.d.). The Swiss government has historically promoted sustainable tourism via tax incentives and environmental restrictions; yet, these initiatives often elevate operating costs for enterprises required to adhere to more stringent standards. Additionally, policy alterations or regulatory modifications, such as changes to minimum wage legislation or more stringent environmental regulations, might further affect hotel operations, requiring strategic adjustments in labour and resource management</w:t>
      </w:r>
      <w:r w:rsidR="0011036A" w:rsidRPr="00304344">
        <w:rPr>
          <w:rFonts w:ascii="Arial" w:hAnsi="Arial" w:cs="Arial"/>
          <w:sz w:val="24"/>
          <w:szCs w:val="24"/>
        </w:rPr>
        <w:t xml:space="preserve"> (Ren, Zhu and Lyu, 2024)</w:t>
      </w:r>
      <w:r w:rsidR="007765DC" w:rsidRPr="00304344">
        <w:rPr>
          <w:rFonts w:ascii="Arial" w:hAnsi="Arial" w:cs="Arial"/>
          <w:sz w:val="24"/>
          <w:szCs w:val="24"/>
        </w:rPr>
        <w:t>.</w:t>
      </w:r>
      <w:r w:rsidR="007765DC" w:rsidRPr="00304344">
        <w:rPr>
          <w:rFonts w:ascii="Arial" w:hAnsi="Arial" w:cs="Arial"/>
          <w:sz w:val="24"/>
          <w:szCs w:val="24"/>
        </w:rPr>
        <w:t xml:space="preserve"> </w:t>
      </w:r>
      <w:r w:rsidR="007765DC" w:rsidRPr="00304344">
        <w:rPr>
          <w:rFonts w:ascii="Arial" w:hAnsi="Arial" w:cs="Arial"/>
          <w:sz w:val="24"/>
          <w:szCs w:val="24"/>
        </w:rPr>
        <w:t>Rising inflation and escalating prices for utilities, labour, and supplies exert pressure on profit margins, requiring careful financial planning and enhancements in operational efficiency to ensure long-term survival (</w:t>
      </w:r>
      <w:proofErr w:type="spellStart"/>
      <w:r w:rsidR="007765DC" w:rsidRPr="00304344">
        <w:rPr>
          <w:rFonts w:ascii="Arial" w:hAnsi="Arial" w:cs="Arial"/>
          <w:sz w:val="24"/>
          <w:szCs w:val="24"/>
        </w:rPr>
        <w:t>Pacce</w:t>
      </w:r>
      <w:proofErr w:type="spellEnd"/>
      <w:r w:rsidR="007765DC" w:rsidRPr="00304344">
        <w:rPr>
          <w:rFonts w:ascii="Arial" w:hAnsi="Arial" w:cs="Arial"/>
          <w:sz w:val="24"/>
          <w:szCs w:val="24"/>
        </w:rPr>
        <w:t xml:space="preserve">, Río, and Sánchez, 2022). Switzerland is recognised for its elevated cost of living and robust labour regulations, which result in increased payroll expenditures for enterprises. Wage inflation, especially in the hotel industry, necessitates that The Chedi </w:t>
      </w:r>
      <w:proofErr w:type="spellStart"/>
      <w:r w:rsidR="007765DC" w:rsidRPr="00304344">
        <w:rPr>
          <w:rFonts w:ascii="Arial" w:hAnsi="Arial" w:cs="Arial"/>
          <w:sz w:val="24"/>
          <w:szCs w:val="24"/>
        </w:rPr>
        <w:t>Andermatt</w:t>
      </w:r>
      <w:proofErr w:type="spellEnd"/>
      <w:r w:rsidR="007765DC" w:rsidRPr="00304344">
        <w:rPr>
          <w:rFonts w:ascii="Arial" w:hAnsi="Arial" w:cs="Arial"/>
          <w:sz w:val="24"/>
          <w:szCs w:val="24"/>
        </w:rPr>
        <w:t xml:space="preserve"> provide competitive compensation to retain proficient personnel while effectively managing its cost structure. Moreover, variable currency exchange rates might influence the cost-effectiveness of Swiss locations for foreign tourists, especially those from economically disadvantaged countries. In times of economic recession, expenditure on luxury travel may diminish, </w:t>
      </w:r>
      <w:r w:rsidR="007F546D" w:rsidRPr="00304344">
        <w:rPr>
          <w:rFonts w:ascii="Arial" w:hAnsi="Arial" w:cs="Arial"/>
          <w:sz w:val="24"/>
          <w:szCs w:val="24"/>
        </w:rPr>
        <w:t>by this means</w:t>
      </w:r>
      <w:r w:rsidR="007765DC" w:rsidRPr="00304344">
        <w:rPr>
          <w:rFonts w:ascii="Arial" w:hAnsi="Arial" w:cs="Arial"/>
          <w:sz w:val="24"/>
          <w:szCs w:val="24"/>
        </w:rPr>
        <w:t xml:space="preserve"> impacting occupancy rates and revenue production. Therefore, the hotel must use adaptable pricing strategies and cost-reduction methods to maintain profitability under fluctuating economic situations</w:t>
      </w:r>
      <w:r w:rsidR="007F546D" w:rsidRPr="00304344">
        <w:rPr>
          <w:rFonts w:ascii="Arial" w:hAnsi="Arial" w:cs="Arial"/>
          <w:sz w:val="24"/>
          <w:szCs w:val="24"/>
        </w:rPr>
        <w:t xml:space="preserve"> </w:t>
      </w:r>
      <w:r w:rsidR="007F546D" w:rsidRPr="00304344">
        <w:rPr>
          <w:rFonts w:ascii="Arial" w:hAnsi="Arial" w:cs="Arial"/>
          <w:sz w:val="24"/>
          <w:szCs w:val="24"/>
        </w:rPr>
        <w:t>(CEPR, 2025)</w:t>
      </w:r>
      <w:r w:rsidR="007765DC" w:rsidRPr="00304344">
        <w:rPr>
          <w:rFonts w:ascii="Arial" w:hAnsi="Arial" w:cs="Arial"/>
          <w:sz w:val="24"/>
          <w:szCs w:val="24"/>
        </w:rPr>
        <w:t>.</w:t>
      </w:r>
      <w:r w:rsidR="007765DC" w:rsidRPr="00304344">
        <w:rPr>
          <w:rFonts w:ascii="Arial" w:hAnsi="Arial" w:cs="Arial"/>
          <w:sz w:val="24"/>
          <w:szCs w:val="24"/>
        </w:rPr>
        <w:t xml:space="preserve"> </w:t>
      </w:r>
      <w:r w:rsidR="007765DC" w:rsidRPr="00304344">
        <w:rPr>
          <w:rFonts w:ascii="Arial" w:hAnsi="Arial" w:cs="Arial"/>
          <w:sz w:val="24"/>
          <w:szCs w:val="24"/>
        </w:rPr>
        <w:t>Social trends reveal an increasing need for immersive, sustainable, and personalised travel experiences, prompting hotels to adapt their offers and integrate services with changing visitor expectations (</w:t>
      </w:r>
      <w:proofErr w:type="spellStart"/>
      <w:r w:rsidR="007765DC" w:rsidRPr="00304344">
        <w:rPr>
          <w:rFonts w:ascii="Arial" w:hAnsi="Arial" w:cs="Arial"/>
          <w:sz w:val="24"/>
          <w:szCs w:val="24"/>
        </w:rPr>
        <w:t>Tufft</w:t>
      </w:r>
      <w:proofErr w:type="spellEnd"/>
      <w:r w:rsidR="007765DC" w:rsidRPr="00304344">
        <w:rPr>
          <w:rFonts w:ascii="Arial" w:hAnsi="Arial" w:cs="Arial"/>
          <w:sz w:val="24"/>
          <w:szCs w:val="24"/>
        </w:rPr>
        <w:t xml:space="preserve"> et al., 2024). Contemporary visitors, especially Millennials and Generation Z, emphasise experiences above material goods and want places that provide genuine cultural engagement</w:t>
      </w:r>
      <w:r w:rsidR="007F546D" w:rsidRPr="00304344">
        <w:rPr>
          <w:rFonts w:ascii="Arial" w:hAnsi="Arial" w:cs="Arial"/>
          <w:sz w:val="24"/>
          <w:szCs w:val="24"/>
        </w:rPr>
        <w:t>(Francis and Hoefel, 2018)</w:t>
      </w:r>
      <w:r w:rsidR="007765DC" w:rsidRPr="00304344">
        <w:rPr>
          <w:rFonts w:ascii="Arial" w:hAnsi="Arial" w:cs="Arial"/>
          <w:sz w:val="24"/>
          <w:szCs w:val="24"/>
        </w:rPr>
        <w:t xml:space="preserve">. This transition offers The Chedi </w:t>
      </w:r>
      <w:proofErr w:type="spellStart"/>
      <w:r w:rsidR="007765DC" w:rsidRPr="00304344">
        <w:rPr>
          <w:rFonts w:ascii="Arial" w:hAnsi="Arial" w:cs="Arial"/>
          <w:sz w:val="24"/>
          <w:szCs w:val="24"/>
        </w:rPr>
        <w:t>Andermatt</w:t>
      </w:r>
      <w:proofErr w:type="spellEnd"/>
      <w:r w:rsidR="007765DC" w:rsidRPr="00304344">
        <w:rPr>
          <w:rFonts w:ascii="Arial" w:hAnsi="Arial" w:cs="Arial"/>
          <w:sz w:val="24"/>
          <w:szCs w:val="24"/>
        </w:rPr>
        <w:t xml:space="preserve"> the chance to elevate its guest experience by incorporating local history, culinary customs, and adventure tourism into its service provisions. Moreover, the growing significance of sustainability in consumer choices compels eco-conscious tourists to choose hotels that exhibit a dedication to environmental stewardship. Hotels that do not conform to these demands risk their market share to rivals that effectively incorporate sustainability into their operations</w:t>
      </w:r>
      <w:r w:rsidR="007F546D" w:rsidRPr="00304344">
        <w:rPr>
          <w:rFonts w:ascii="Arial" w:hAnsi="Arial" w:cs="Arial"/>
          <w:sz w:val="24"/>
          <w:szCs w:val="24"/>
        </w:rPr>
        <w:t xml:space="preserve"> </w:t>
      </w:r>
      <w:r w:rsidR="007F546D" w:rsidRPr="00304344">
        <w:rPr>
          <w:rFonts w:ascii="Arial" w:hAnsi="Arial" w:cs="Arial"/>
          <w:sz w:val="24"/>
          <w:szCs w:val="24"/>
        </w:rPr>
        <w:t>(Deloitte, 2024)</w:t>
      </w:r>
      <w:r w:rsidR="007765DC" w:rsidRPr="00304344">
        <w:rPr>
          <w:rFonts w:ascii="Arial" w:hAnsi="Arial" w:cs="Arial"/>
          <w:sz w:val="24"/>
          <w:szCs w:val="24"/>
        </w:rPr>
        <w:t>. Furthermore, as societal trends increasingly favour digital interaction, hotels must allocate resources to social media marketing, influencer partnerships, and online reputation management to sustain a robust brand presence in a competitive landscape.</w:t>
      </w:r>
      <w:r w:rsidR="007765DC" w:rsidRPr="00304344">
        <w:rPr>
          <w:rFonts w:ascii="Arial" w:hAnsi="Arial" w:cs="Arial"/>
          <w:sz w:val="24"/>
          <w:szCs w:val="24"/>
        </w:rPr>
        <w:t xml:space="preserve"> </w:t>
      </w:r>
      <w:r w:rsidR="007765DC" w:rsidRPr="00304344">
        <w:rPr>
          <w:rFonts w:ascii="Arial" w:hAnsi="Arial" w:cs="Arial"/>
          <w:sz w:val="24"/>
          <w:szCs w:val="24"/>
        </w:rPr>
        <w:t>Technological breakthroughs are continuously transforming the hotel sector, with innovations like online booking systems, AI-driven guest services, and contactless check-ins becoming industry norms (</w:t>
      </w:r>
      <w:proofErr w:type="spellStart"/>
      <w:r w:rsidR="007765DC" w:rsidRPr="00304344">
        <w:rPr>
          <w:rFonts w:ascii="Arial" w:hAnsi="Arial" w:cs="Arial"/>
          <w:sz w:val="24"/>
          <w:szCs w:val="24"/>
        </w:rPr>
        <w:t>Adekuajo</w:t>
      </w:r>
      <w:proofErr w:type="spellEnd"/>
      <w:r w:rsidR="007765DC" w:rsidRPr="00304344">
        <w:rPr>
          <w:rFonts w:ascii="Arial" w:hAnsi="Arial" w:cs="Arial"/>
          <w:sz w:val="24"/>
          <w:szCs w:val="24"/>
        </w:rPr>
        <w:t xml:space="preserve"> et al., 2023). The emergence of mobile technology has revolutionised guest interactions with hotels, including reservation procedures and in-stay experiences. Artificial intelligence and data analytics empower hotels to customise visitor experiences by providing personalised suggestions and anticipating client requirements. Implementing these technologies requires substantial investment in digital infrastructure, cybersecurity, and personnel training to guarantee smooth adoption</w:t>
      </w:r>
      <w:r w:rsidR="007F546D" w:rsidRPr="00304344">
        <w:rPr>
          <w:rFonts w:ascii="Arial" w:hAnsi="Arial" w:cs="Arial"/>
          <w:sz w:val="24"/>
          <w:szCs w:val="24"/>
        </w:rPr>
        <w:t xml:space="preserve"> (Said, 2023)</w:t>
      </w:r>
      <w:r w:rsidR="007765DC" w:rsidRPr="00304344">
        <w:rPr>
          <w:rFonts w:ascii="Arial" w:hAnsi="Arial" w:cs="Arial"/>
          <w:sz w:val="24"/>
          <w:szCs w:val="24"/>
        </w:rPr>
        <w:t>. Contactless technology, including digital room keys and automated check-ins, has become more significant, especially due to health and safety apprehensions arising from the COVID-19 epidemic. Although these advances improve convenience and efficiency, they may diminish human connection, possibly impacting the individualised service that characterises premium hospitality. Achieving equilibrium between technology efficiency and human interaction is essential for sustaining elevated levels of visitor pleasure</w:t>
      </w:r>
      <w:r w:rsidR="006C7715" w:rsidRPr="00304344">
        <w:rPr>
          <w:rFonts w:ascii="Arial" w:hAnsi="Arial" w:cs="Arial"/>
          <w:sz w:val="24"/>
          <w:szCs w:val="24"/>
        </w:rPr>
        <w:t xml:space="preserve"> (Kim et al., 2025)</w:t>
      </w:r>
      <w:r w:rsidR="007765DC" w:rsidRPr="00304344">
        <w:rPr>
          <w:rFonts w:ascii="Arial" w:hAnsi="Arial" w:cs="Arial"/>
          <w:sz w:val="24"/>
          <w:szCs w:val="24"/>
        </w:rPr>
        <w:t>.</w:t>
      </w:r>
      <w:r w:rsidR="007765DC" w:rsidRPr="00304344">
        <w:rPr>
          <w:rFonts w:ascii="Arial" w:hAnsi="Arial" w:cs="Arial"/>
          <w:sz w:val="24"/>
          <w:szCs w:val="24"/>
        </w:rPr>
        <w:t xml:space="preserve"> </w:t>
      </w:r>
      <w:r w:rsidR="007765DC" w:rsidRPr="00304344">
        <w:rPr>
          <w:rFonts w:ascii="Arial" w:hAnsi="Arial" w:cs="Arial"/>
          <w:sz w:val="24"/>
          <w:szCs w:val="24"/>
        </w:rPr>
        <w:t xml:space="preserve">Environmental sustainability is an escalating concern, as rising consumer demand for eco-friendly accommodations and more stringent municipal regulations compel hotels to adopt green initiatives, including energy-efficient infrastructure and waste reduction programs (de Oliveira Menezes and Cavagnaro, 2021). Switzerland has rigorous environmental regulations mandating enterprises to use energy-efficient practices, reduce waste generation, and procure sustainable products. Integrating sustainable practices into everyday operations at The Chedi </w:t>
      </w:r>
      <w:proofErr w:type="spellStart"/>
      <w:r w:rsidR="007765DC" w:rsidRPr="00304344">
        <w:rPr>
          <w:rFonts w:ascii="Arial" w:hAnsi="Arial" w:cs="Arial"/>
          <w:sz w:val="24"/>
          <w:szCs w:val="24"/>
        </w:rPr>
        <w:t>Andermatt</w:t>
      </w:r>
      <w:proofErr w:type="spellEnd"/>
      <w:r w:rsidR="007765DC" w:rsidRPr="00304344">
        <w:rPr>
          <w:rFonts w:ascii="Arial" w:hAnsi="Arial" w:cs="Arial"/>
          <w:sz w:val="24"/>
          <w:szCs w:val="24"/>
        </w:rPr>
        <w:t xml:space="preserve"> may </w:t>
      </w:r>
      <w:r w:rsidR="000E7886" w:rsidRPr="00304344">
        <w:rPr>
          <w:rFonts w:ascii="Arial" w:hAnsi="Arial" w:cs="Arial"/>
          <w:sz w:val="24"/>
          <w:szCs w:val="24"/>
        </w:rPr>
        <w:t>boost</w:t>
      </w:r>
      <w:r w:rsidR="007765DC" w:rsidRPr="00304344">
        <w:rPr>
          <w:rFonts w:ascii="Arial" w:hAnsi="Arial" w:cs="Arial"/>
          <w:sz w:val="24"/>
          <w:szCs w:val="24"/>
        </w:rPr>
        <w:t xml:space="preserve"> its brand name and appeal to environmentally aware travellers. Measures such as energy-efficient lighting, water conservation systems, and sustainable sourcing of food and facilities may substantially reduce the hotel's ecological footprint. These strategies need initial investment and ongoing oversight to guarantee adherence to changing sustainability standards</w:t>
      </w:r>
      <w:r w:rsidR="006C7715" w:rsidRPr="00304344">
        <w:rPr>
          <w:rFonts w:ascii="Arial" w:hAnsi="Arial" w:cs="Arial"/>
          <w:sz w:val="24"/>
          <w:szCs w:val="24"/>
        </w:rPr>
        <w:t xml:space="preserve"> (</w:t>
      </w:r>
      <w:r w:rsidR="006C7715" w:rsidRPr="00304344">
        <w:rPr>
          <w:rFonts w:ascii="Arial" w:hAnsi="Arial" w:cs="Arial"/>
          <w:sz w:val="24"/>
          <w:szCs w:val="24"/>
        </w:rPr>
        <w:t>Singh, Mishra,</w:t>
      </w:r>
      <w:r w:rsidR="006C7715" w:rsidRPr="00304344">
        <w:rPr>
          <w:rFonts w:ascii="Arial" w:hAnsi="Arial" w:cs="Arial"/>
          <w:sz w:val="24"/>
          <w:szCs w:val="24"/>
        </w:rPr>
        <w:t xml:space="preserve"> </w:t>
      </w:r>
      <w:r w:rsidR="006C7715" w:rsidRPr="00304344">
        <w:rPr>
          <w:rFonts w:ascii="Arial" w:hAnsi="Arial" w:cs="Arial"/>
          <w:sz w:val="24"/>
          <w:szCs w:val="24"/>
        </w:rPr>
        <w:t>and Yadav,</w:t>
      </w:r>
      <w:r w:rsidR="006C7715" w:rsidRPr="00304344">
        <w:rPr>
          <w:rFonts w:ascii="Arial" w:hAnsi="Arial" w:cs="Arial"/>
          <w:sz w:val="24"/>
          <w:szCs w:val="24"/>
        </w:rPr>
        <w:t xml:space="preserve"> </w:t>
      </w:r>
      <w:r w:rsidR="006C7715" w:rsidRPr="00304344">
        <w:rPr>
          <w:rFonts w:ascii="Arial" w:hAnsi="Arial" w:cs="Arial"/>
          <w:sz w:val="24"/>
          <w:szCs w:val="24"/>
        </w:rPr>
        <w:t>2024</w:t>
      </w:r>
      <w:r w:rsidR="006C7715" w:rsidRPr="00304344">
        <w:rPr>
          <w:rFonts w:ascii="Arial" w:hAnsi="Arial" w:cs="Arial"/>
          <w:sz w:val="24"/>
          <w:szCs w:val="24"/>
        </w:rPr>
        <w:t>)</w:t>
      </w:r>
      <w:r w:rsidR="007765DC" w:rsidRPr="00304344">
        <w:rPr>
          <w:rFonts w:ascii="Arial" w:hAnsi="Arial" w:cs="Arial"/>
          <w:sz w:val="24"/>
          <w:szCs w:val="24"/>
        </w:rPr>
        <w:t>. Noncompliance with environmental standards may result in brand harm, a decline in eco-aware clientele, and even financial sanctions from regulatory authorities.</w:t>
      </w:r>
      <w:r w:rsidR="007765DC" w:rsidRPr="00304344">
        <w:rPr>
          <w:rFonts w:ascii="Arial" w:hAnsi="Arial" w:cs="Arial"/>
          <w:sz w:val="24"/>
          <w:szCs w:val="24"/>
        </w:rPr>
        <w:t xml:space="preserve"> </w:t>
      </w:r>
      <w:r w:rsidR="007765DC" w:rsidRPr="00304344">
        <w:rPr>
          <w:rFonts w:ascii="Arial" w:hAnsi="Arial" w:cs="Arial"/>
          <w:sz w:val="24"/>
          <w:szCs w:val="24"/>
        </w:rPr>
        <w:t xml:space="preserve">The Swiss hospitality sector is governed by rigorous labour laws and data protection rules, requiring ongoing compliance to maintain equitable work practices and secure client data (Zaken, 2017). Labour laws impose stringent constraints on working hours, employee perks, and workplace safety, thereby elevating operating expenses. Adhering to these legal obligations is crucial to prevent possible penalties and reputational damage related to labour conflicts. Moreover, data protection legislation, including the General Data Protection Regulation (GDPR) relevant to European enterprises, mandates that hotels establish stringent cybersecurity protocols to safeguard visitor </w:t>
      </w:r>
      <w:r w:rsidR="006C7715" w:rsidRPr="00304344">
        <w:rPr>
          <w:rFonts w:ascii="Arial" w:hAnsi="Arial" w:cs="Arial"/>
          <w:sz w:val="24"/>
          <w:szCs w:val="24"/>
        </w:rPr>
        <w:t>information (</w:t>
      </w:r>
      <w:r w:rsidR="006C7715" w:rsidRPr="00304344">
        <w:rPr>
          <w:rFonts w:ascii="Arial" w:hAnsi="Arial" w:cs="Arial"/>
          <w:sz w:val="24"/>
          <w:szCs w:val="24"/>
        </w:rPr>
        <w:t>GLI, n.d.)</w:t>
      </w:r>
      <w:r w:rsidR="007765DC" w:rsidRPr="00304344">
        <w:rPr>
          <w:rFonts w:ascii="Arial" w:hAnsi="Arial" w:cs="Arial"/>
          <w:sz w:val="24"/>
          <w:szCs w:val="24"/>
        </w:rPr>
        <w:t>. Failure to adhere to data security standards may lead to substantial financial fines and erosion of customer confidence. With the proliferation of digital transactions and online reservations, hotels must allocate resources towards sophisticated cybersecurity measures and personnel training to reduce the likelihood of data breaches.</w:t>
      </w:r>
      <w:r w:rsidR="007765DC" w:rsidRPr="00304344">
        <w:rPr>
          <w:rFonts w:ascii="Arial" w:hAnsi="Arial" w:cs="Arial"/>
          <w:sz w:val="24"/>
          <w:szCs w:val="24"/>
        </w:rPr>
        <w:t xml:space="preserve"> </w:t>
      </w:r>
      <w:r w:rsidR="007765DC" w:rsidRPr="00304344">
        <w:rPr>
          <w:rFonts w:ascii="Arial" w:hAnsi="Arial" w:cs="Arial"/>
          <w:sz w:val="24"/>
          <w:szCs w:val="24"/>
        </w:rPr>
        <w:t>Ethical factors, such as corporate social responsibility, fair work practices, and community involvement, are progressively shaping customer choices and brand perceptions (</w:t>
      </w:r>
      <w:proofErr w:type="spellStart"/>
      <w:r w:rsidR="007765DC" w:rsidRPr="00304344">
        <w:rPr>
          <w:rFonts w:ascii="Arial" w:hAnsi="Arial" w:cs="Arial"/>
          <w:sz w:val="24"/>
          <w:szCs w:val="24"/>
        </w:rPr>
        <w:t>Dinica</w:t>
      </w:r>
      <w:proofErr w:type="spellEnd"/>
      <w:r w:rsidR="007765DC" w:rsidRPr="00304344">
        <w:rPr>
          <w:rFonts w:ascii="Arial" w:hAnsi="Arial" w:cs="Arial"/>
          <w:sz w:val="24"/>
          <w:szCs w:val="24"/>
        </w:rPr>
        <w:t xml:space="preserve">, 2006). Ethical business practices have become essential and serve as a crucial difference in the competitive hospitality sector. Patrons are more likely to endorse hotels that exhibit a dedication to ethical labour practices, diversity and inclusion, and community development. For The Chedi </w:t>
      </w:r>
      <w:proofErr w:type="spellStart"/>
      <w:r w:rsidR="007765DC" w:rsidRPr="00304344">
        <w:rPr>
          <w:rFonts w:ascii="Arial" w:hAnsi="Arial" w:cs="Arial"/>
          <w:sz w:val="24"/>
          <w:szCs w:val="24"/>
        </w:rPr>
        <w:t>Andermatt</w:t>
      </w:r>
      <w:proofErr w:type="spellEnd"/>
      <w:r w:rsidR="007765DC" w:rsidRPr="00304344">
        <w:rPr>
          <w:rFonts w:ascii="Arial" w:hAnsi="Arial" w:cs="Arial"/>
          <w:sz w:val="24"/>
          <w:szCs w:val="24"/>
        </w:rPr>
        <w:t xml:space="preserve">, bolstering corporate social responsibility (CSR) initiatives—such as aiding local enterprises, ensuring equitable compensation, and participating in philanthropic </w:t>
      </w:r>
      <w:proofErr w:type="spellStart"/>
      <w:r w:rsidR="007765DC" w:rsidRPr="00304344">
        <w:rPr>
          <w:rFonts w:ascii="Arial" w:hAnsi="Arial" w:cs="Arial"/>
          <w:sz w:val="24"/>
          <w:szCs w:val="24"/>
        </w:rPr>
        <w:t>endeavors</w:t>
      </w:r>
      <w:proofErr w:type="spellEnd"/>
      <w:r w:rsidR="007765DC" w:rsidRPr="00304344">
        <w:rPr>
          <w:rFonts w:ascii="Arial" w:hAnsi="Arial" w:cs="Arial"/>
          <w:sz w:val="24"/>
          <w:szCs w:val="24"/>
        </w:rPr>
        <w:t>—can augment brand loyalty and confidence</w:t>
      </w:r>
      <w:r w:rsidR="003446B7" w:rsidRPr="00304344">
        <w:rPr>
          <w:rFonts w:ascii="Arial" w:hAnsi="Arial" w:cs="Arial"/>
          <w:sz w:val="24"/>
          <w:szCs w:val="24"/>
        </w:rPr>
        <w:t xml:space="preserve"> </w:t>
      </w:r>
      <w:r w:rsidR="003446B7" w:rsidRPr="00304344">
        <w:rPr>
          <w:rFonts w:ascii="Arial" w:hAnsi="Arial" w:cs="Arial"/>
          <w:sz w:val="24"/>
          <w:szCs w:val="24"/>
        </w:rPr>
        <w:t>(Santos et al., 2023)</w:t>
      </w:r>
      <w:r w:rsidR="007765DC" w:rsidRPr="00304344">
        <w:rPr>
          <w:rFonts w:ascii="Arial" w:hAnsi="Arial" w:cs="Arial"/>
          <w:sz w:val="24"/>
          <w:szCs w:val="24"/>
        </w:rPr>
        <w:t>. Moreover, cultivating an inclusive and varied working culture enhances employee happiness and attracts socially aware travellers who choose morally responsible enterprises.</w:t>
      </w:r>
      <w:r w:rsidR="007765DC" w:rsidRPr="00304344">
        <w:rPr>
          <w:rFonts w:ascii="Arial" w:hAnsi="Arial" w:cs="Arial"/>
          <w:sz w:val="24"/>
          <w:szCs w:val="24"/>
        </w:rPr>
        <w:t xml:space="preserve"> </w:t>
      </w:r>
      <w:r w:rsidR="007765DC" w:rsidRPr="00304344">
        <w:rPr>
          <w:rFonts w:ascii="Arial" w:hAnsi="Arial" w:cs="Arial"/>
          <w:sz w:val="24"/>
          <w:szCs w:val="24"/>
        </w:rPr>
        <w:t>Demographic changes, such as an ageing workforce and fluctuating tourist demographics, need modifications in workforce management strategies and service delivery models to adapt to shifting market dynamics (IRENA, 2023). The hospitality sector is undergoing a transformation in workforce demographics, characterised by the retirement of older workers and the influx of new generations into the employment market, who possess distinct expectations. Millennials and Generation Z workers prioritise work-life balance, professional advancement, and flexibility, necessitating hotels to modify their human resource strategy to attract and retain talent</w:t>
      </w:r>
      <w:r w:rsidR="0041335C" w:rsidRPr="00304344">
        <w:rPr>
          <w:rFonts w:ascii="Arial" w:hAnsi="Arial" w:cs="Arial"/>
          <w:sz w:val="24"/>
          <w:szCs w:val="24"/>
        </w:rPr>
        <w:t xml:space="preserve"> (</w:t>
      </w:r>
      <w:r w:rsidR="0041335C" w:rsidRPr="00304344">
        <w:rPr>
          <w:rFonts w:ascii="Arial" w:hAnsi="Arial" w:cs="Arial"/>
          <w:sz w:val="24"/>
          <w:szCs w:val="24"/>
        </w:rPr>
        <w:t>Seyfi,</w:t>
      </w:r>
      <w:r w:rsidR="0041335C" w:rsidRPr="00304344">
        <w:rPr>
          <w:rFonts w:ascii="Arial" w:hAnsi="Arial" w:cs="Arial"/>
          <w:sz w:val="24"/>
          <w:szCs w:val="24"/>
        </w:rPr>
        <w:t xml:space="preserve"> </w:t>
      </w:r>
      <w:r w:rsidR="0041335C" w:rsidRPr="00304344">
        <w:rPr>
          <w:rFonts w:ascii="Arial" w:hAnsi="Arial" w:cs="Arial"/>
          <w:sz w:val="24"/>
          <w:szCs w:val="24"/>
        </w:rPr>
        <w:t>Vo-Thanh, and Zaman,</w:t>
      </w:r>
      <w:r w:rsidR="0041335C" w:rsidRPr="00304344">
        <w:rPr>
          <w:rFonts w:ascii="Arial" w:hAnsi="Arial" w:cs="Arial"/>
          <w:sz w:val="24"/>
          <w:szCs w:val="24"/>
        </w:rPr>
        <w:t xml:space="preserve"> </w:t>
      </w:r>
      <w:r w:rsidR="0041335C" w:rsidRPr="00304344">
        <w:rPr>
          <w:rFonts w:ascii="Arial" w:hAnsi="Arial" w:cs="Arial"/>
          <w:sz w:val="24"/>
          <w:szCs w:val="24"/>
        </w:rPr>
        <w:t>2024</w:t>
      </w:r>
      <w:r w:rsidR="0041335C" w:rsidRPr="00304344">
        <w:rPr>
          <w:rFonts w:ascii="Arial" w:hAnsi="Arial" w:cs="Arial"/>
          <w:sz w:val="24"/>
          <w:szCs w:val="24"/>
        </w:rPr>
        <w:t>)</w:t>
      </w:r>
      <w:r w:rsidR="007765DC" w:rsidRPr="00304344">
        <w:rPr>
          <w:rFonts w:ascii="Arial" w:hAnsi="Arial" w:cs="Arial"/>
          <w:sz w:val="24"/>
          <w:szCs w:val="24"/>
        </w:rPr>
        <w:t xml:space="preserve">. Implementing professional development programs, mentoring efforts, and flexible work arrangements may reduce employee turnover and foster a motivated team. The visitor demography is growing, with a rising number of single travellers, digital nomads, and multi-generational families seeking unique and tailored experiences. Comprehending these evolving demographics enables The Chedi </w:t>
      </w:r>
      <w:proofErr w:type="spellStart"/>
      <w:r w:rsidR="007765DC" w:rsidRPr="00304344">
        <w:rPr>
          <w:rFonts w:ascii="Arial" w:hAnsi="Arial" w:cs="Arial"/>
          <w:sz w:val="24"/>
          <w:szCs w:val="24"/>
        </w:rPr>
        <w:t>Andermatt</w:t>
      </w:r>
      <w:proofErr w:type="spellEnd"/>
      <w:r w:rsidR="007765DC" w:rsidRPr="00304344">
        <w:rPr>
          <w:rFonts w:ascii="Arial" w:hAnsi="Arial" w:cs="Arial"/>
          <w:sz w:val="24"/>
          <w:szCs w:val="24"/>
        </w:rPr>
        <w:t xml:space="preserve"> to customise its services, marketing initiatives, and operational plans to meet varied guest expectations.</w:t>
      </w:r>
      <w:r w:rsidR="007765DC" w:rsidRPr="00304344">
        <w:rPr>
          <w:rFonts w:ascii="Arial" w:hAnsi="Arial" w:cs="Arial"/>
          <w:sz w:val="24"/>
          <w:szCs w:val="24"/>
        </w:rPr>
        <w:t xml:space="preserve"> </w:t>
      </w:r>
      <w:r w:rsidR="007765DC" w:rsidRPr="00304344">
        <w:rPr>
          <w:rFonts w:ascii="Arial" w:hAnsi="Arial" w:cs="Arial"/>
          <w:sz w:val="24"/>
          <w:szCs w:val="24"/>
        </w:rPr>
        <w:t xml:space="preserve">Proactively addressing external challenges and opportunities through strategic planning, investment, and adaptive management will allow The Chedi </w:t>
      </w:r>
      <w:proofErr w:type="spellStart"/>
      <w:r w:rsidR="007765DC" w:rsidRPr="00304344">
        <w:rPr>
          <w:rFonts w:ascii="Arial" w:hAnsi="Arial" w:cs="Arial"/>
          <w:sz w:val="24"/>
          <w:szCs w:val="24"/>
        </w:rPr>
        <w:t>Andermatt</w:t>
      </w:r>
      <w:proofErr w:type="spellEnd"/>
      <w:r w:rsidR="007765DC" w:rsidRPr="00304344">
        <w:rPr>
          <w:rFonts w:ascii="Arial" w:hAnsi="Arial" w:cs="Arial"/>
          <w:sz w:val="24"/>
          <w:szCs w:val="24"/>
        </w:rPr>
        <w:t xml:space="preserve"> to fortify its market position, improve guest satisfaction, and attain long-term sustainability in the competitive luxury hospitality industry. By conforming to governmental restrictions, implementing economic resilience strategies, addressing social and technical trends, committing to environmental stewardship, assuring legal and ethical adherence, and adjusting to demographic shifts, the hotel can sustain its competitive edge. </w:t>
      </w:r>
      <w:r w:rsidR="0041335C" w:rsidRPr="00304344">
        <w:rPr>
          <w:rFonts w:ascii="Arial" w:hAnsi="Arial" w:cs="Arial"/>
          <w:sz w:val="24"/>
          <w:szCs w:val="24"/>
        </w:rPr>
        <w:t>Initiative-taking</w:t>
      </w:r>
      <w:r w:rsidR="007765DC" w:rsidRPr="00304344">
        <w:rPr>
          <w:rFonts w:ascii="Arial" w:hAnsi="Arial" w:cs="Arial"/>
          <w:sz w:val="24"/>
          <w:szCs w:val="24"/>
        </w:rPr>
        <w:t xml:space="preserve"> involvement with developing market trends will enable the hotel to safeguard its operations, enhance resource allocation, and establish a robust business model capable of enduring external challenges. By means of ongoing assessment and strategic modification, The Chedi </w:t>
      </w:r>
      <w:proofErr w:type="spellStart"/>
      <w:r w:rsidR="007765DC" w:rsidRPr="00304344">
        <w:rPr>
          <w:rFonts w:ascii="Arial" w:hAnsi="Arial" w:cs="Arial"/>
          <w:sz w:val="24"/>
          <w:szCs w:val="24"/>
        </w:rPr>
        <w:t>Andermatt</w:t>
      </w:r>
      <w:proofErr w:type="spellEnd"/>
      <w:r w:rsidR="007765DC" w:rsidRPr="00304344">
        <w:rPr>
          <w:rFonts w:ascii="Arial" w:hAnsi="Arial" w:cs="Arial"/>
          <w:sz w:val="24"/>
          <w:szCs w:val="24"/>
        </w:rPr>
        <w:t xml:space="preserve"> may strengthen its brand identity, maintain service quality, and address the changing demands of contemporary travellers while ensuring long-term profitability.</w:t>
      </w:r>
    </w:p>
    <w:p w14:paraId="313970DD" w14:textId="27F5F70C" w:rsidR="00DC18B9" w:rsidRPr="00304344" w:rsidRDefault="00DC18B9" w:rsidP="00304344">
      <w:pPr>
        <w:spacing w:line="360" w:lineRule="auto"/>
        <w:jc w:val="both"/>
        <w:rPr>
          <w:rFonts w:ascii="Arial" w:hAnsi="Arial" w:cs="Arial"/>
          <w:sz w:val="24"/>
          <w:szCs w:val="24"/>
        </w:rPr>
      </w:pPr>
      <w:r w:rsidRPr="00304344">
        <w:rPr>
          <w:rFonts w:ascii="Arial" w:hAnsi="Arial" w:cs="Arial"/>
          <w:sz w:val="24"/>
          <w:szCs w:val="24"/>
        </w:rPr>
        <w:t>A SOAR study internally offers a constructive framework that emphasises the hotel’s strengths, goals, opportunities, and intended outcomes</w:t>
      </w:r>
      <w:r w:rsidR="0041335C" w:rsidRPr="00304344">
        <w:rPr>
          <w:rFonts w:ascii="Arial" w:hAnsi="Arial" w:cs="Arial"/>
          <w:sz w:val="24"/>
          <w:szCs w:val="24"/>
        </w:rPr>
        <w:t xml:space="preserve"> (</w:t>
      </w:r>
      <w:r w:rsidR="0041335C" w:rsidRPr="00304344">
        <w:rPr>
          <w:rFonts w:ascii="Arial" w:hAnsi="Arial" w:cs="Arial"/>
          <w:sz w:val="24"/>
          <w:szCs w:val="24"/>
        </w:rPr>
        <w:t>Cole, Cox, and Stavros, 2019</w:t>
      </w:r>
      <w:r w:rsidR="0041335C" w:rsidRPr="00304344">
        <w:rPr>
          <w:rFonts w:ascii="Arial" w:hAnsi="Arial" w:cs="Arial"/>
          <w:sz w:val="24"/>
          <w:szCs w:val="24"/>
        </w:rPr>
        <w:t>)</w:t>
      </w:r>
      <w:r w:rsidRPr="00304344">
        <w:rPr>
          <w:rFonts w:ascii="Arial" w:hAnsi="Arial" w:cs="Arial"/>
          <w:sz w:val="24"/>
          <w:szCs w:val="24"/>
        </w:rPr>
        <w:t xml:space="preserve">. The Chedi </w:t>
      </w:r>
      <w:proofErr w:type="spellStart"/>
      <w:r w:rsidRPr="00304344">
        <w:rPr>
          <w:rFonts w:ascii="Arial" w:hAnsi="Arial" w:cs="Arial"/>
          <w:sz w:val="24"/>
          <w:szCs w:val="24"/>
        </w:rPr>
        <w:t>Andermatt's</w:t>
      </w:r>
      <w:proofErr w:type="spellEnd"/>
      <w:r w:rsidRPr="00304344">
        <w:rPr>
          <w:rFonts w:ascii="Arial" w:hAnsi="Arial" w:cs="Arial"/>
          <w:sz w:val="24"/>
          <w:szCs w:val="24"/>
        </w:rPr>
        <w:t xml:space="preserve"> principal advantage is in its esteemed brand, rooted in its distinctive legacy and ideal position in the Swiss Alps, which constantly draws a luxury clientele (The Chedi </w:t>
      </w:r>
      <w:proofErr w:type="spellStart"/>
      <w:r w:rsidRPr="00304344">
        <w:rPr>
          <w:rFonts w:ascii="Arial" w:hAnsi="Arial" w:cs="Arial"/>
          <w:sz w:val="24"/>
          <w:szCs w:val="24"/>
        </w:rPr>
        <w:t>Andermatt</w:t>
      </w:r>
      <w:proofErr w:type="spellEnd"/>
      <w:r w:rsidRPr="00304344">
        <w:rPr>
          <w:rFonts w:ascii="Arial" w:hAnsi="Arial" w:cs="Arial"/>
          <w:sz w:val="24"/>
          <w:szCs w:val="24"/>
        </w:rPr>
        <w:t xml:space="preserve">, n.d.). The hotel's </w:t>
      </w:r>
      <w:r w:rsidR="007765DC" w:rsidRPr="00304344">
        <w:rPr>
          <w:rFonts w:ascii="Arial" w:hAnsi="Arial" w:cs="Arial"/>
          <w:sz w:val="24"/>
          <w:szCs w:val="24"/>
        </w:rPr>
        <w:t>innovative</w:t>
      </w:r>
      <w:r w:rsidRPr="00304344">
        <w:rPr>
          <w:rFonts w:ascii="Arial" w:hAnsi="Arial" w:cs="Arial"/>
          <w:sz w:val="24"/>
          <w:szCs w:val="24"/>
        </w:rPr>
        <w:t xml:space="preserve"> amenities and tailored service enhance its robust market standing. Notwithstanding these advantages, the hotel aims to address internal difficulties by minimising employee turnover and fostering an atmosphere where personnel are more engaged and see distinct prospects for career advancement (Kotter, 2012). This objective entails developing comprehensive training programs and delineating clear career trajectories that not only bolster employee retention but also elevate the overall visitor experience. The hotel has considerable chances to capitalise on its strengths by investing in extensive professional development and adaptable work arrangements that can recruit and retain elite talent (Morrison, 2022). Moreover, adopting sustainable practices in operations may increase the hotel's attractiveness to environmentally concerned travellers while decreasing long-term operating expenses. The anticipated outcomes of these measures include reduced attrition rates, better staff happiness, and elevated visitor pleasure, eventually resulting in greater revenue and improved competitive positioning (Van Dam, 2013).</w:t>
      </w:r>
      <w:r w:rsidR="007765DC" w:rsidRPr="00304344">
        <w:rPr>
          <w:rFonts w:ascii="Arial" w:hAnsi="Arial" w:cs="Arial"/>
          <w:sz w:val="24"/>
          <w:szCs w:val="24"/>
        </w:rPr>
        <w:t xml:space="preserve"> </w:t>
      </w:r>
      <w:r w:rsidRPr="00304344">
        <w:rPr>
          <w:rFonts w:ascii="Arial" w:hAnsi="Arial" w:cs="Arial"/>
          <w:sz w:val="24"/>
          <w:szCs w:val="24"/>
        </w:rPr>
        <w:t>The amalgamation of external and internal assessments is further accomplished via a TOWS study, which connects the hotel's strengths and ambitions with the possibilities and challenges delineated in the STEEPLED framework. One technique is using the hotel's distinctive location and esteemed brand to provide exclusive, immersive guest experiences that simultaneously foster staff pride and motivation (Amin and Goyal, 2023). This approach tackles the external trend of experiencing travel and the inside need for enhanced employee engagement. An alternative strategy involves alleviating the risks associated with a competitive labour market by investing in extensive training and career development initiatives that enhance the hotel's appeal as an employer. Such efforts may decrease turnover by offering staff explicit progression options and by fostering a culture of continuous improvement (Baron and Armstrong, 2007). The TOWS study recommends that the hotel diversify its income sources by offering supplementary services such as corporate event hosting or local cultural programming, which may mitigate the financial effects of high turnover and labour shortages (Johnson et al., 2020). This diversification reduces dependence on hotel income while simultaneously improving the overall visitor experience via the provision of more diverse and interesting services.</w:t>
      </w:r>
      <w:r w:rsidR="007765DC" w:rsidRPr="00304344">
        <w:rPr>
          <w:rFonts w:ascii="Arial" w:hAnsi="Arial" w:cs="Arial"/>
          <w:sz w:val="24"/>
          <w:szCs w:val="24"/>
        </w:rPr>
        <w:t xml:space="preserve"> </w:t>
      </w:r>
      <w:r w:rsidRPr="00304344">
        <w:rPr>
          <w:rFonts w:ascii="Arial" w:hAnsi="Arial" w:cs="Arial"/>
          <w:sz w:val="24"/>
          <w:szCs w:val="24"/>
        </w:rPr>
        <w:t>The external environment, analysed using the STEEPLED framework, indicates that while political and legal elements provide a solid basis for tourism, economic pressures and swiftly changing technology trends present considerable problems. Switzerland's political stability guarantees a solid operational environment for the hotel; nonetheless, laws like tourist taxes may necessitate adjustments in pricing methods, thereby affecting occupancy rates (</w:t>
      </w:r>
      <w:proofErr w:type="spellStart"/>
      <w:r w:rsidRPr="00304344">
        <w:rPr>
          <w:rFonts w:ascii="Arial" w:hAnsi="Arial" w:cs="Arial"/>
          <w:sz w:val="24"/>
          <w:szCs w:val="24"/>
        </w:rPr>
        <w:t>Dinica</w:t>
      </w:r>
      <w:proofErr w:type="spellEnd"/>
      <w:r w:rsidRPr="00304344">
        <w:rPr>
          <w:rFonts w:ascii="Arial" w:hAnsi="Arial" w:cs="Arial"/>
          <w:sz w:val="24"/>
          <w:szCs w:val="24"/>
        </w:rPr>
        <w:t>, 2006). The economic environment, characterised by elevated inflation and increasing expenses, requires rigorous cost management strategies that may restrict investment in employee retention initiatives (</w:t>
      </w:r>
      <w:proofErr w:type="spellStart"/>
      <w:r w:rsidRPr="00304344">
        <w:rPr>
          <w:rFonts w:ascii="Arial" w:hAnsi="Arial" w:cs="Arial"/>
          <w:sz w:val="24"/>
          <w:szCs w:val="24"/>
        </w:rPr>
        <w:t>Pacce</w:t>
      </w:r>
      <w:proofErr w:type="spellEnd"/>
      <w:r w:rsidRPr="00304344">
        <w:rPr>
          <w:rFonts w:ascii="Arial" w:hAnsi="Arial" w:cs="Arial"/>
          <w:sz w:val="24"/>
          <w:szCs w:val="24"/>
        </w:rPr>
        <w:t>, Río, and Sánchez, 2022). Social considerations, such as the increasing need for genuine and sustainable experiences, provide a significant potential; nevertheless, fulfilling these expectations requires a stable and well-trained staff, which is already hindered by high turnover rates (</w:t>
      </w:r>
      <w:proofErr w:type="spellStart"/>
      <w:r w:rsidRPr="00304344">
        <w:rPr>
          <w:rFonts w:ascii="Arial" w:hAnsi="Arial" w:cs="Arial"/>
          <w:sz w:val="24"/>
          <w:szCs w:val="24"/>
        </w:rPr>
        <w:t>Tufft</w:t>
      </w:r>
      <w:proofErr w:type="spellEnd"/>
      <w:r w:rsidRPr="00304344">
        <w:rPr>
          <w:rFonts w:ascii="Arial" w:hAnsi="Arial" w:cs="Arial"/>
          <w:sz w:val="24"/>
          <w:szCs w:val="24"/>
        </w:rPr>
        <w:t xml:space="preserve"> et al., 2024). Technological developments provide substantial advantages via improved service delivery and operational efficiency; yet, they also establish elevated performance standards that may be undermined by frequent personnel turnover (</w:t>
      </w:r>
      <w:proofErr w:type="spellStart"/>
      <w:r w:rsidRPr="00304344">
        <w:rPr>
          <w:rFonts w:ascii="Arial" w:hAnsi="Arial" w:cs="Arial"/>
          <w:sz w:val="24"/>
          <w:szCs w:val="24"/>
        </w:rPr>
        <w:t>Adekuajo</w:t>
      </w:r>
      <w:proofErr w:type="spellEnd"/>
      <w:r w:rsidRPr="00304344">
        <w:rPr>
          <w:rFonts w:ascii="Arial" w:hAnsi="Arial" w:cs="Arial"/>
          <w:sz w:val="24"/>
          <w:szCs w:val="24"/>
        </w:rPr>
        <w:t xml:space="preserve"> et al., 2023). Environmental pressures necessitate that the hotel implement sustainable practices, a problem that, if properly addressed, may also operate as a distinguishing factor in a competitive market (de Oliveira Menezes and Cavagnaro, 2021). The regulatory framework, characterised by stringent labour and data protection mandates, adds an additional layer of complexity necessitating continuous compliance and resource allocation (Zaken, 2017). Ethical standards and demographic shifts highlight the need for a contemporary, employee-focused strategy that meets the requirements of the workforce and the changing expectations of guests (IRENA, 2023).</w:t>
      </w:r>
    </w:p>
    <w:p w14:paraId="68B463F2" w14:textId="70FC8210" w:rsidR="00DC18B9" w:rsidRPr="00304344" w:rsidRDefault="00DC18B9" w:rsidP="00304344">
      <w:pPr>
        <w:spacing w:line="360" w:lineRule="auto"/>
        <w:jc w:val="both"/>
        <w:rPr>
          <w:rFonts w:ascii="Arial" w:hAnsi="Arial" w:cs="Arial"/>
          <w:sz w:val="24"/>
          <w:szCs w:val="24"/>
        </w:rPr>
      </w:pPr>
      <w:r w:rsidRPr="00304344">
        <w:rPr>
          <w:rFonts w:ascii="Arial" w:hAnsi="Arial" w:cs="Arial"/>
          <w:sz w:val="24"/>
          <w:szCs w:val="24"/>
        </w:rPr>
        <w:t xml:space="preserve">The SOAR study internally transitions from just finding issues to using the hotel’s current strengths for strategic enhancement. The Chedi </w:t>
      </w:r>
      <w:proofErr w:type="spellStart"/>
      <w:r w:rsidRPr="00304344">
        <w:rPr>
          <w:rFonts w:ascii="Arial" w:hAnsi="Arial" w:cs="Arial"/>
          <w:sz w:val="24"/>
          <w:szCs w:val="24"/>
        </w:rPr>
        <w:t>Andermatt’s</w:t>
      </w:r>
      <w:proofErr w:type="spellEnd"/>
      <w:r w:rsidRPr="00304344">
        <w:rPr>
          <w:rFonts w:ascii="Arial" w:hAnsi="Arial" w:cs="Arial"/>
          <w:sz w:val="24"/>
          <w:szCs w:val="24"/>
        </w:rPr>
        <w:t xml:space="preserve"> extensive history and strong brand identification provide significant assets that may be used to enhance operational excellence. The hotel aims to provide an atmosphere in which workers get enough compensation and see distinct opportunities for professional progression. This aspiration is bolstered by the chance to execute specialised professional development initiatives and adaptable work arrangements that directly tackle the challenges of burnout and attrition</w:t>
      </w:r>
      <w:r w:rsidR="007765DC" w:rsidRPr="00304344">
        <w:rPr>
          <w:rFonts w:ascii="Arial" w:hAnsi="Arial" w:cs="Arial"/>
          <w:sz w:val="24"/>
          <w:szCs w:val="24"/>
        </w:rPr>
        <w:t>(The Chedi, n.d.)</w:t>
      </w:r>
      <w:r w:rsidRPr="00304344">
        <w:rPr>
          <w:rFonts w:ascii="Arial" w:hAnsi="Arial" w:cs="Arial"/>
          <w:sz w:val="24"/>
          <w:szCs w:val="24"/>
        </w:rPr>
        <w:t>. The amalgamation of corporate ambitions with external prospects, including the increasing desire for experience travel and sustainability, establishes the foundation for dramatic enhancements. The anticipated outcomes include a decrease in turnover rates, improved staff morale, and, eventually, a heightened degree of service consistency that bolsters the hotel’s brand and expands its market share (Van Dam, 2013).</w:t>
      </w:r>
    </w:p>
    <w:p w14:paraId="4B0AE6AD" w14:textId="0FDF8789" w:rsidR="00B151A8" w:rsidRPr="00304344" w:rsidRDefault="00DC18B9" w:rsidP="00304344">
      <w:pPr>
        <w:spacing w:line="360" w:lineRule="auto"/>
        <w:jc w:val="both"/>
        <w:rPr>
          <w:rFonts w:ascii="Arial" w:hAnsi="Arial" w:cs="Arial"/>
          <w:sz w:val="24"/>
          <w:szCs w:val="24"/>
        </w:rPr>
      </w:pPr>
      <w:r w:rsidRPr="00304344">
        <w:rPr>
          <w:rFonts w:ascii="Arial" w:hAnsi="Arial" w:cs="Arial"/>
          <w:sz w:val="24"/>
          <w:szCs w:val="24"/>
        </w:rPr>
        <w:t>The TOWS study serves as a conduit between internal and external environments, offering a strategy framework to transform recognised difficulties into opportunities</w:t>
      </w:r>
      <w:r w:rsidR="007765DC" w:rsidRPr="00304344">
        <w:rPr>
          <w:rFonts w:ascii="Arial" w:hAnsi="Arial" w:cs="Arial"/>
          <w:sz w:val="24"/>
          <w:szCs w:val="24"/>
        </w:rPr>
        <w:t xml:space="preserve"> (</w:t>
      </w:r>
      <w:proofErr w:type="spellStart"/>
      <w:r w:rsidR="007765DC" w:rsidRPr="00304344">
        <w:rPr>
          <w:rFonts w:ascii="Arial" w:hAnsi="Arial" w:cs="Arial"/>
          <w:sz w:val="24"/>
          <w:szCs w:val="24"/>
        </w:rPr>
        <w:t>Dandage</w:t>
      </w:r>
      <w:proofErr w:type="spellEnd"/>
      <w:r w:rsidR="007765DC" w:rsidRPr="00304344">
        <w:rPr>
          <w:rFonts w:ascii="Arial" w:hAnsi="Arial" w:cs="Arial"/>
          <w:sz w:val="24"/>
          <w:szCs w:val="24"/>
        </w:rPr>
        <w:t>, Mantha,</w:t>
      </w:r>
      <w:r w:rsidR="007765DC" w:rsidRPr="00304344">
        <w:rPr>
          <w:rFonts w:ascii="Arial" w:hAnsi="Arial" w:cs="Arial"/>
          <w:sz w:val="24"/>
          <w:szCs w:val="24"/>
        </w:rPr>
        <w:t xml:space="preserve"> </w:t>
      </w:r>
      <w:r w:rsidR="007765DC" w:rsidRPr="00304344">
        <w:rPr>
          <w:rFonts w:ascii="Arial" w:hAnsi="Arial" w:cs="Arial"/>
          <w:sz w:val="24"/>
          <w:szCs w:val="24"/>
        </w:rPr>
        <w:t>and Rane, 2019</w:t>
      </w:r>
      <w:r w:rsidR="007765DC" w:rsidRPr="00304344">
        <w:rPr>
          <w:rFonts w:ascii="Arial" w:hAnsi="Arial" w:cs="Arial"/>
          <w:sz w:val="24"/>
          <w:szCs w:val="24"/>
        </w:rPr>
        <w:t>)</w:t>
      </w:r>
      <w:r w:rsidR="007765DC" w:rsidRPr="00304344">
        <w:rPr>
          <w:rFonts w:ascii="Arial" w:hAnsi="Arial" w:cs="Arial"/>
          <w:sz w:val="24"/>
          <w:szCs w:val="24"/>
        </w:rPr>
        <w:t>. </w:t>
      </w:r>
      <w:r w:rsidRPr="00304344">
        <w:rPr>
          <w:rFonts w:ascii="Arial" w:hAnsi="Arial" w:cs="Arial"/>
          <w:sz w:val="24"/>
          <w:szCs w:val="24"/>
        </w:rPr>
        <w:t xml:space="preserve"> A primary solution identified from the TOWS investigation is to establish extensive staff retention programs that integrate competitive compensation with career advancement and flexible work arrangements</w:t>
      </w:r>
      <w:r w:rsidR="00993E53" w:rsidRPr="00304344">
        <w:rPr>
          <w:rFonts w:ascii="Arial" w:hAnsi="Arial" w:cs="Arial"/>
          <w:sz w:val="24"/>
          <w:szCs w:val="24"/>
        </w:rPr>
        <w:t xml:space="preserve"> (</w:t>
      </w:r>
      <w:r w:rsidR="00993E53" w:rsidRPr="00304344">
        <w:rPr>
          <w:rFonts w:ascii="Arial" w:hAnsi="Arial" w:cs="Arial"/>
          <w:sz w:val="24"/>
          <w:szCs w:val="24"/>
        </w:rPr>
        <w:t>Weideman</w:t>
      </w:r>
      <w:r w:rsidR="00993E53" w:rsidRPr="00304344">
        <w:rPr>
          <w:rFonts w:ascii="Arial" w:hAnsi="Arial" w:cs="Arial"/>
          <w:sz w:val="24"/>
          <w:szCs w:val="24"/>
        </w:rPr>
        <w:t xml:space="preserve"> </w:t>
      </w:r>
      <w:r w:rsidR="00993E53" w:rsidRPr="00304344">
        <w:rPr>
          <w:rFonts w:ascii="Arial" w:hAnsi="Arial" w:cs="Arial"/>
          <w:sz w:val="24"/>
          <w:szCs w:val="24"/>
        </w:rPr>
        <w:t>and Hofmeyr, 2020</w:t>
      </w:r>
      <w:r w:rsidR="00993E53" w:rsidRPr="00304344">
        <w:rPr>
          <w:rFonts w:ascii="Arial" w:hAnsi="Arial" w:cs="Arial"/>
          <w:sz w:val="24"/>
          <w:szCs w:val="24"/>
        </w:rPr>
        <w:t>)</w:t>
      </w:r>
      <w:r w:rsidRPr="00304344">
        <w:rPr>
          <w:rFonts w:ascii="Arial" w:hAnsi="Arial" w:cs="Arial"/>
          <w:sz w:val="24"/>
          <w:szCs w:val="24"/>
        </w:rPr>
        <w:t>. This technique immediately mitigates the adverse effects of high turnover while conforming to the external trend of heightened labour market competitiveness</w:t>
      </w:r>
      <w:r w:rsidR="006C7715" w:rsidRPr="00304344">
        <w:rPr>
          <w:rFonts w:ascii="Arial" w:hAnsi="Arial" w:cs="Arial"/>
          <w:sz w:val="24"/>
          <w:szCs w:val="24"/>
        </w:rPr>
        <w:t xml:space="preserve"> (Kumar, 2022)</w:t>
      </w:r>
      <w:r w:rsidRPr="00304344">
        <w:rPr>
          <w:rFonts w:ascii="Arial" w:hAnsi="Arial" w:cs="Arial"/>
          <w:sz w:val="24"/>
          <w:szCs w:val="24"/>
        </w:rPr>
        <w:t>. A further strategy objective involves investing in digital and sustainable technologies that boost operational efficiency and improve the visitor experience. By synchronising technical investments with sustainable practices, the hotel may diminish operating expenses over time and appeal to an expanding demographic of environmentally aware travellers</w:t>
      </w:r>
      <w:r w:rsidR="007765DC" w:rsidRPr="00304344">
        <w:rPr>
          <w:rFonts w:ascii="Arial" w:hAnsi="Arial" w:cs="Arial"/>
          <w:sz w:val="24"/>
          <w:szCs w:val="24"/>
        </w:rPr>
        <w:t xml:space="preserve"> </w:t>
      </w:r>
      <w:r w:rsidR="007765DC" w:rsidRPr="00304344">
        <w:rPr>
          <w:rFonts w:ascii="Arial" w:hAnsi="Arial" w:cs="Arial"/>
          <w:sz w:val="24"/>
          <w:szCs w:val="24"/>
        </w:rPr>
        <w:t>(Dwivedi et al., 2021)</w:t>
      </w:r>
      <w:r w:rsidRPr="00304344">
        <w:rPr>
          <w:rFonts w:ascii="Arial" w:hAnsi="Arial" w:cs="Arial"/>
          <w:sz w:val="24"/>
          <w:szCs w:val="24"/>
        </w:rPr>
        <w:t>. Additionally, a varied service portfolio that encompasses event hosting and local cultural experiences may provide an alternative income source, diminishing the hotel's reliance on conventional room reservations and alleviating the risks linked to economic volatility (Johnson et al., 2020).</w:t>
      </w:r>
      <w:r w:rsidR="00454B04" w:rsidRPr="00304344">
        <w:rPr>
          <w:rFonts w:ascii="Arial" w:hAnsi="Arial" w:cs="Arial"/>
          <w:sz w:val="24"/>
          <w:szCs w:val="24"/>
        </w:rPr>
        <w:t xml:space="preserve"> </w:t>
      </w:r>
      <w:r w:rsidRPr="00304344">
        <w:rPr>
          <w:rFonts w:ascii="Arial" w:hAnsi="Arial" w:cs="Arial"/>
          <w:sz w:val="24"/>
          <w:szCs w:val="24"/>
        </w:rPr>
        <w:t xml:space="preserve">The investigation indicates that the complex problem of elevated staff turnover at The Chedi </w:t>
      </w:r>
      <w:proofErr w:type="spellStart"/>
      <w:r w:rsidRPr="00304344">
        <w:rPr>
          <w:rFonts w:ascii="Arial" w:hAnsi="Arial" w:cs="Arial"/>
          <w:sz w:val="24"/>
          <w:szCs w:val="24"/>
        </w:rPr>
        <w:t>Andermatt</w:t>
      </w:r>
      <w:proofErr w:type="spellEnd"/>
      <w:r w:rsidRPr="00304344">
        <w:rPr>
          <w:rFonts w:ascii="Arial" w:hAnsi="Arial" w:cs="Arial"/>
          <w:sz w:val="24"/>
          <w:szCs w:val="24"/>
        </w:rPr>
        <w:t xml:space="preserve"> is affected by both internal inefficiencies and external influences. The STEEPLED framework illustrates that economic, technical, and environmental issues provide considerable obstacles, yet political, legal, and social circumstances provide both stability and opportunity. The SOAR framework redirects the conversation by pinpointing the hotel’s intrinsic strengths and ambitions, along with the potential to convert its human resource difficulties into strategic advantages. The TOWS research consolidates these findings, providing practical options that include extensive personnel retention programs, diverse revenue efforts, and sustainable operational enhancements. By tackling the problem of elevated turnover with these specific initiatives, The Chedi </w:t>
      </w:r>
      <w:proofErr w:type="spellStart"/>
      <w:r w:rsidRPr="00304344">
        <w:rPr>
          <w:rFonts w:ascii="Arial" w:hAnsi="Arial" w:cs="Arial"/>
          <w:sz w:val="24"/>
          <w:szCs w:val="24"/>
        </w:rPr>
        <w:t>Andermatt</w:t>
      </w:r>
      <w:proofErr w:type="spellEnd"/>
      <w:r w:rsidRPr="00304344">
        <w:rPr>
          <w:rFonts w:ascii="Arial" w:hAnsi="Arial" w:cs="Arial"/>
          <w:sz w:val="24"/>
          <w:szCs w:val="24"/>
        </w:rPr>
        <w:t xml:space="preserve"> may raise service quality, diminish operating expenses, and strengthen its competitive stance in the premium hotel sector (Michael and Fotiadis, 2022).</w:t>
      </w:r>
    </w:p>
    <w:p w14:paraId="663B0BE7" w14:textId="129C4394" w:rsidR="00DC18B9" w:rsidRPr="00304344" w:rsidRDefault="00DC18B9" w:rsidP="00304344">
      <w:pPr>
        <w:pStyle w:val="EU"/>
        <w:spacing w:line="360" w:lineRule="auto"/>
        <w:rPr>
          <w:color w:val="auto"/>
        </w:rPr>
      </w:pPr>
      <w:bookmarkStart w:id="3" w:name="_Toc192038554"/>
      <w:r w:rsidRPr="00304344">
        <w:rPr>
          <w:color w:val="auto"/>
        </w:rPr>
        <w:t>Recommendations and Change Management</w:t>
      </w:r>
      <w:bookmarkEnd w:id="3"/>
    </w:p>
    <w:p w14:paraId="08F417F1" w14:textId="70B09168" w:rsidR="00DC18B9" w:rsidRPr="00304344" w:rsidRDefault="00DC18B9" w:rsidP="00304344">
      <w:pPr>
        <w:spacing w:line="360" w:lineRule="auto"/>
        <w:jc w:val="both"/>
        <w:rPr>
          <w:rFonts w:ascii="Arial" w:hAnsi="Arial" w:cs="Arial"/>
          <w:sz w:val="24"/>
          <w:szCs w:val="24"/>
          <w:lang w:eastAsia="en-GB"/>
        </w:rPr>
      </w:pPr>
      <w:r w:rsidRPr="00304344">
        <w:rPr>
          <w:rFonts w:ascii="Arial" w:hAnsi="Arial" w:cs="Arial"/>
          <w:sz w:val="24"/>
          <w:szCs w:val="24"/>
          <w:lang w:eastAsia="en-GB"/>
        </w:rPr>
        <w:t xml:space="preserve">The Chedi </w:t>
      </w:r>
      <w:proofErr w:type="spellStart"/>
      <w:r w:rsidRPr="00304344">
        <w:rPr>
          <w:rFonts w:ascii="Arial" w:hAnsi="Arial" w:cs="Arial"/>
          <w:sz w:val="24"/>
          <w:szCs w:val="24"/>
          <w:lang w:eastAsia="en-GB"/>
        </w:rPr>
        <w:t>Andermatt</w:t>
      </w:r>
      <w:proofErr w:type="spellEnd"/>
      <w:r w:rsidRPr="00304344">
        <w:rPr>
          <w:rFonts w:ascii="Arial" w:hAnsi="Arial" w:cs="Arial"/>
          <w:sz w:val="24"/>
          <w:szCs w:val="24"/>
          <w:lang w:eastAsia="en-GB"/>
        </w:rPr>
        <w:t xml:space="preserve"> should implement a comprehensive Employee Retention Program to reduce high turnover by offering competitive compensation packages, clear career development pathways, and enhanced employee engagement activities (Becker and </w:t>
      </w:r>
      <w:proofErr w:type="spellStart"/>
      <w:r w:rsidRPr="00304344">
        <w:rPr>
          <w:rFonts w:ascii="Arial" w:hAnsi="Arial" w:cs="Arial"/>
          <w:sz w:val="24"/>
          <w:szCs w:val="24"/>
          <w:lang w:eastAsia="en-GB"/>
        </w:rPr>
        <w:t>Huselid</w:t>
      </w:r>
      <w:proofErr w:type="spellEnd"/>
      <w:r w:rsidRPr="00304344">
        <w:rPr>
          <w:rFonts w:ascii="Arial" w:hAnsi="Arial" w:cs="Arial"/>
          <w:sz w:val="24"/>
          <w:szCs w:val="24"/>
          <w:lang w:eastAsia="en-GB"/>
        </w:rPr>
        <w:t>, 2010). This program must begin with a detailed salary analysis comparing current pay with industry standards to ensure that employees are fairly compensated (Holand Jr, 2024). Adjusting pay packages to market levels will help to reduce turnover by making the hotel a more attractive employer. In addition, quarterly training sessions and professional development initiatives should be established so that staff have clear prospects for career growth (Mohd et al., 2020). Monthly team-building activities and recognition programs are essential to foster a positive work environment and boost employee morale (Baron and Armstrong, 2007). The introduction of mentoring programs to pair experienced staff with new hires will facilitate effective knowledge transfer and smoother integration. Effective change management is critical; management must communicate the program’s benefits clearly and involve employees throughout the process (Kotter, 2012). Finally, establishing regular feedback systems, such as staff meetings and anonymous suggestion channels, will promote employee involvement and allow continuous improvement.</w:t>
      </w:r>
      <w:r w:rsidR="00454B04" w:rsidRPr="00304344">
        <w:rPr>
          <w:rFonts w:ascii="Arial" w:hAnsi="Arial" w:cs="Arial"/>
          <w:sz w:val="24"/>
          <w:szCs w:val="24"/>
          <w:lang w:eastAsia="en-GB"/>
        </w:rPr>
        <w:t xml:space="preserve"> </w:t>
      </w:r>
      <w:r w:rsidRPr="00304344">
        <w:rPr>
          <w:rFonts w:ascii="Arial" w:hAnsi="Arial" w:cs="Arial"/>
          <w:sz w:val="24"/>
          <w:szCs w:val="24"/>
          <w:lang w:eastAsia="en-GB"/>
        </w:rPr>
        <w:t>The hotel is also advised to introduce flexible work schedules to improve work-life balance and reduce burnout, a key factor contributing to attrition (</w:t>
      </w:r>
      <w:proofErr w:type="spellStart"/>
      <w:r w:rsidRPr="00304344">
        <w:rPr>
          <w:rFonts w:ascii="Arial" w:hAnsi="Arial" w:cs="Arial"/>
          <w:sz w:val="24"/>
          <w:szCs w:val="24"/>
          <w:lang w:eastAsia="en-GB"/>
        </w:rPr>
        <w:t>Kossek</w:t>
      </w:r>
      <w:proofErr w:type="spellEnd"/>
      <w:r w:rsidRPr="00304344">
        <w:rPr>
          <w:rFonts w:ascii="Arial" w:hAnsi="Arial" w:cs="Arial"/>
          <w:sz w:val="24"/>
          <w:szCs w:val="24"/>
          <w:lang w:eastAsia="en-GB"/>
        </w:rPr>
        <w:t xml:space="preserve"> and Thompson, 2016). Flexible scheduling options, such as staggered hours, part-time positions, and remote work for administrative roles, will allow employees to better manage personal and professional commitments (Kelliher and Anderson, 2010). A trial phase with voluntary staff participation should be introduced to gather feedback and fine-tune the new scheduling system (Johnson, 2023). Training for managers on these new methods is essential to ensure equitable adoption and to address any operational issues (Hill et al., 2008). Open dialogue during the trial phase, supported by training sessions on time management and remote work tools, will help employees adjust to the changes (Cameron and Green, 2019). Key performance indicators such as absenteeism rates, employee satisfaction scores, and turnover figures must be monitored to assess the success of flexible work schedules (Park and Shaw, 2013).</w:t>
      </w:r>
      <w:r w:rsidR="00993E53" w:rsidRPr="00304344">
        <w:rPr>
          <w:rFonts w:ascii="Arial" w:hAnsi="Arial" w:cs="Arial"/>
          <w:sz w:val="24"/>
          <w:szCs w:val="24"/>
          <w:lang w:eastAsia="en-GB"/>
        </w:rPr>
        <w:t xml:space="preserve"> </w:t>
      </w:r>
      <w:r w:rsidRPr="00304344">
        <w:rPr>
          <w:rFonts w:ascii="Arial" w:hAnsi="Arial" w:cs="Arial"/>
          <w:sz w:val="24"/>
          <w:szCs w:val="24"/>
          <w:lang w:eastAsia="en-GB"/>
        </w:rPr>
        <w:t>Enhancing training and development opportunities is critical for improving staff skills and reducing turnover (</w:t>
      </w:r>
      <w:proofErr w:type="spellStart"/>
      <w:r w:rsidRPr="00304344">
        <w:rPr>
          <w:rFonts w:ascii="Arial" w:hAnsi="Arial" w:cs="Arial"/>
          <w:sz w:val="24"/>
          <w:szCs w:val="24"/>
          <w:lang w:eastAsia="en-GB"/>
        </w:rPr>
        <w:t>Jehanzeb</w:t>
      </w:r>
      <w:proofErr w:type="spellEnd"/>
      <w:r w:rsidRPr="00304344">
        <w:rPr>
          <w:rFonts w:ascii="Arial" w:hAnsi="Arial" w:cs="Arial"/>
          <w:sz w:val="24"/>
          <w:szCs w:val="24"/>
          <w:lang w:eastAsia="en-GB"/>
        </w:rPr>
        <w:t xml:space="preserve"> and Bashir, 2013). The hotel should develop a structured development programme that includes seminars, leadership training for supervisors, and regular skill-building sessions for front-line employees (Day et al., 2014). Establishing mentoring relationships between experienced staff and new hires will further promote professional growth and knowledge sharing (Brown, Thomas, and Bosselman, 2015). Collaborating with external training providers can ensure that the programme remains current with industry best practices and specialized skills (</w:t>
      </w:r>
      <w:proofErr w:type="spellStart"/>
      <w:r w:rsidRPr="00304344">
        <w:rPr>
          <w:rFonts w:ascii="Arial" w:hAnsi="Arial" w:cs="Arial"/>
          <w:sz w:val="24"/>
          <w:szCs w:val="24"/>
          <w:lang w:eastAsia="en-GB"/>
        </w:rPr>
        <w:t>Garavan</w:t>
      </w:r>
      <w:proofErr w:type="spellEnd"/>
      <w:r w:rsidRPr="00304344">
        <w:rPr>
          <w:rFonts w:ascii="Arial" w:hAnsi="Arial" w:cs="Arial"/>
          <w:sz w:val="24"/>
          <w:szCs w:val="24"/>
          <w:lang w:eastAsia="en-GB"/>
        </w:rPr>
        <w:t>, Carbery, and Rock, 2012). Additionally, clearly defined career progression paths that outline necessary skills and accomplishments for promotion will provide employees with a transparent view of their future within the organization (</w:t>
      </w:r>
      <w:proofErr w:type="spellStart"/>
      <w:r w:rsidRPr="00304344">
        <w:rPr>
          <w:rFonts w:ascii="Arial" w:hAnsi="Arial" w:cs="Arial"/>
          <w:sz w:val="24"/>
          <w:szCs w:val="24"/>
          <w:lang w:eastAsia="en-GB"/>
        </w:rPr>
        <w:t>Kuvaas</w:t>
      </w:r>
      <w:proofErr w:type="spellEnd"/>
      <w:r w:rsidRPr="00304344">
        <w:rPr>
          <w:rFonts w:ascii="Arial" w:hAnsi="Arial" w:cs="Arial"/>
          <w:sz w:val="24"/>
          <w:szCs w:val="24"/>
          <w:lang w:eastAsia="en-GB"/>
        </w:rPr>
        <w:t>, 2006). Regular feedback mechanisms should be implemented to allow staff to contribute to the ongoing improvement of the programme (Albrecht et al., 2015). Key performance indicators such as training attendance, improvements in skill assessments, and internal promotion rates should be monitored to measure the programme’s success (Van Dam, 2013).</w:t>
      </w:r>
      <w:r w:rsidR="00993E53" w:rsidRPr="00304344">
        <w:rPr>
          <w:rFonts w:ascii="Arial" w:hAnsi="Arial" w:cs="Arial"/>
          <w:sz w:val="24"/>
          <w:szCs w:val="24"/>
          <w:lang w:eastAsia="en-GB"/>
        </w:rPr>
        <w:t xml:space="preserve"> </w:t>
      </w:r>
      <w:r w:rsidR="00454B04" w:rsidRPr="00304344">
        <w:rPr>
          <w:rFonts w:ascii="Arial" w:hAnsi="Arial" w:cs="Arial"/>
          <w:sz w:val="24"/>
          <w:szCs w:val="24"/>
          <w:lang w:eastAsia="en-GB"/>
        </w:rPr>
        <w:t>Lastly</w:t>
      </w:r>
      <w:r w:rsidRPr="00304344">
        <w:rPr>
          <w:rFonts w:ascii="Arial" w:hAnsi="Arial" w:cs="Arial"/>
          <w:sz w:val="24"/>
          <w:szCs w:val="24"/>
          <w:lang w:eastAsia="en-GB"/>
        </w:rPr>
        <w:t xml:space="preserve">, The Chedi </w:t>
      </w:r>
      <w:proofErr w:type="spellStart"/>
      <w:r w:rsidRPr="00304344">
        <w:rPr>
          <w:rFonts w:ascii="Arial" w:hAnsi="Arial" w:cs="Arial"/>
          <w:sz w:val="24"/>
          <w:szCs w:val="24"/>
          <w:lang w:eastAsia="en-GB"/>
        </w:rPr>
        <w:t>Andermatt</w:t>
      </w:r>
      <w:proofErr w:type="spellEnd"/>
      <w:r w:rsidRPr="00304344">
        <w:rPr>
          <w:rFonts w:ascii="Arial" w:hAnsi="Arial" w:cs="Arial"/>
          <w:sz w:val="24"/>
          <w:szCs w:val="24"/>
          <w:lang w:eastAsia="en-GB"/>
        </w:rPr>
        <w:t xml:space="preserve"> should adopt sustainable operational practices to enhance environmental performance, reduce operating costs, and improve the hotel’s brand image among eco-conscious </w:t>
      </w:r>
      <w:proofErr w:type="spellStart"/>
      <w:r w:rsidRPr="00304344">
        <w:rPr>
          <w:rFonts w:ascii="Arial" w:hAnsi="Arial" w:cs="Arial"/>
          <w:sz w:val="24"/>
          <w:szCs w:val="24"/>
          <w:lang w:eastAsia="en-GB"/>
        </w:rPr>
        <w:t>travelers</w:t>
      </w:r>
      <w:proofErr w:type="spellEnd"/>
      <w:r w:rsidRPr="00304344">
        <w:rPr>
          <w:rFonts w:ascii="Arial" w:hAnsi="Arial" w:cs="Arial"/>
          <w:sz w:val="24"/>
          <w:szCs w:val="24"/>
          <w:lang w:eastAsia="en-GB"/>
        </w:rPr>
        <w:t xml:space="preserve"> (Font and McCabe, 2017). The hotel should begin by implementing energy-efficient improvements such as LED lighting, which can lead to significant energy savings. Next, waste reduction initiatives including comprehensive recycling programs and minimizing single-use plastics must be introduced to reduce disposal costs and environmental impact (Singh, Cranage, and Lee, 2014). Establishing partnerships with local suppliers for utilities and food products will further lower the ecological footprint and support the local economy. Training employees on sustainability standards and engaging them in these initiatives is essential to foster a culture of environmental responsibility (Chan and Hsu, 2016). Achieving recognized green certifications such as Green Key or ISO 14001 will validate the hotel’s commitment to sustainable practices and serve as a strong marketing tool (Wang et al., 2012). The effectiveness of these initiatives should be tracked using key performance indicators such as utility cost savings, waste reduction metrics, and guest satisfaction related to environmental efforts (Han, Yu, and Kim, 2019). Although initial investments in sustainable practices may be significant, the long-term savings and enhanced brand reputation are expected to offer a strong return on investment (González-Rodríguez et al., 2020).</w:t>
      </w:r>
    </w:p>
    <w:p w14:paraId="1E5FF203" w14:textId="2CEB4585" w:rsidR="00DC18B9" w:rsidRPr="00304344" w:rsidRDefault="00DC18B9" w:rsidP="00304344">
      <w:pPr>
        <w:pStyle w:val="EU"/>
        <w:spacing w:line="360" w:lineRule="auto"/>
        <w:rPr>
          <w:color w:val="auto"/>
        </w:rPr>
      </w:pPr>
      <w:bookmarkStart w:id="4" w:name="_Toc192038555"/>
      <w:r w:rsidRPr="00304344">
        <w:rPr>
          <w:color w:val="auto"/>
        </w:rPr>
        <w:t>KPI</w:t>
      </w:r>
      <w:bookmarkEnd w:id="4"/>
    </w:p>
    <w:p w14:paraId="4244E882" w14:textId="537828A1" w:rsidR="00DC18B9" w:rsidRPr="00304344" w:rsidRDefault="00DC18B9" w:rsidP="00304344">
      <w:pPr>
        <w:spacing w:line="360" w:lineRule="auto"/>
        <w:jc w:val="both"/>
        <w:rPr>
          <w:rFonts w:ascii="Arial" w:hAnsi="Arial" w:cs="Arial"/>
          <w:sz w:val="24"/>
          <w:szCs w:val="24"/>
          <w:lang w:eastAsia="en-GB"/>
        </w:rPr>
      </w:pPr>
      <w:r w:rsidRPr="00304344">
        <w:rPr>
          <w:rFonts w:ascii="Arial" w:hAnsi="Arial" w:cs="Arial"/>
          <w:sz w:val="24"/>
          <w:szCs w:val="24"/>
          <w:lang w:eastAsia="en-GB"/>
        </w:rPr>
        <w:t xml:space="preserve">Key Performance Indicators (KPIs) are critical measures that allow The Chedi </w:t>
      </w:r>
      <w:proofErr w:type="spellStart"/>
      <w:r w:rsidRPr="00304344">
        <w:rPr>
          <w:rFonts w:ascii="Arial" w:hAnsi="Arial" w:cs="Arial"/>
          <w:sz w:val="24"/>
          <w:szCs w:val="24"/>
          <w:lang w:eastAsia="en-GB"/>
        </w:rPr>
        <w:t>Andermatt</w:t>
      </w:r>
      <w:proofErr w:type="spellEnd"/>
      <w:r w:rsidRPr="00304344">
        <w:rPr>
          <w:rFonts w:ascii="Arial" w:hAnsi="Arial" w:cs="Arial"/>
          <w:sz w:val="24"/>
          <w:szCs w:val="24"/>
          <w:lang w:eastAsia="en-GB"/>
        </w:rPr>
        <w:t xml:space="preserve"> to evaluate the effectiveness of its strategic initiatives in real time (Kotter, 2012). These KPIs provide measurable metrics that assist management in tracking enhancements in personnel retention, operational efficiency, and visitor contentment, guaranteeing that each endeavour yields concrete advantages (Van Dam, 2013). A key KPI is the staff turnover rate, which directly reflects the efficacy of the hotel’s staff Retention Program (Michael and Fotiadis, 2022). Consistent quarterly monitoring of attrition enables management to discern patterns and implement prompt modifications to retention tactics (Holand Jr, 2024).</w:t>
      </w:r>
      <w:r w:rsidRPr="00304344">
        <w:rPr>
          <w:rFonts w:ascii="Arial" w:hAnsi="Arial" w:cs="Arial"/>
          <w:sz w:val="24"/>
          <w:szCs w:val="24"/>
          <w:lang w:eastAsia="en-GB"/>
        </w:rPr>
        <w:t xml:space="preserve"> </w:t>
      </w:r>
      <w:r w:rsidRPr="00304344">
        <w:rPr>
          <w:rFonts w:ascii="Arial" w:hAnsi="Arial" w:cs="Arial"/>
          <w:sz w:val="24"/>
          <w:szCs w:val="24"/>
          <w:lang w:eastAsia="en-GB"/>
        </w:rPr>
        <w:t>Employee satisfaction is a vital KPI, often assessed via periodic surveys and feedback mechanisms (Baron and Armstrong, 2007). Elevated satisfaction ratings indicate a favourable work environment and demonstrate the effectiveness of measures like flexible work hours and extensive training programs (Kotter, 2012). Surveys must be conducted at regular intervals to monitor changing employee emotions and to identify early indicators of disengagement before they lead to increased turnover (Goleman, Boyatzis, and McKee, 2013).</w:t>
      </w:r>
      <w:r w:rsidRPr="00304344">
        <w:rPr>
          <w:rFonts w:ascii="Arial" w:hAnsi="Arial" w:cs="Arial"/>
          <w:sz w:val="24"/>
          <w:szCs w:val="24"/>
          <w:lang w:eastAsia="en-GB"/>
        </w:rPr>
        <w:t xml:space="preserve"> </w:t>
      </w:r>
      <w:r w:rsidRPr="00304344">
        <w:rPr>
          <w:rFonts w:ascii="Arial" w:hAnsi="Arial" w:cs="Arial"/>
          <w:sz w:val="24"/>
          <w:szCs w:val="24"/>
          <w:lang w:eastAsia="en-GB"/>
        </w:rPr>
        <w:t>The efficacy of training and development programs may be assessed using particular KPIs, such as training attendance rates, enhancements in post-training evaluations, and the frequency of internal promotions (</w:t>
      </w:r>
      <w:proofErr w:type="spellStart"/>
      <w:r w:rsidRPr="00304344">
        <w:rPr>
          <w:rFonts w:ascii="Arial" w:hAnsi="Arial" w:cs="Arial"/>
          <w:sz w:val="24"/>
          <w:szCs w:val="24"/>
          <w:lang w:eastAsia="en-GB"/>
        </w:rPr>
        <w:t>Jehanzeb</w:t>
      </w:r>
      <w:proofErr w:type="spellEnd"/>
      <w:r w:rsidRPr="00304344">
        <w:rPr>
          <w:rFonts w:ascii="Arial" w:hAnsi="Arial" w:cs="Arial"/>
          <w:sz w:val="24"/>
          <w:szCs w:val="24"/>
          <w:lang w:eastAsia="en-GB"/>
        </w:rPr>
        <w:t xml:space="preserve"> and Bashir, 2013). These measures indicate if employees are gaining new abilities and whether the investment in professional development is resulting in enhanced work performance (Day et al., 2014). An elevated rate of internal promotions indicates that the hotel is effectively cultivating talent inside, hence diminishing the need for external recruiting (Brown, Thomas, and Bosselman, 2015).</w:t>
      </w:r>
      <w:r w:rsidRPr="00304344">
        <w:rPr>
          <w:rFonts w:ascii="Arial" w:hAnsi="Arial" w:cs="Arial"/>
          <w:sz w:val="24"/>
          <w:szCs w:val="24"/>
          <w:lang w:eastAsia="en-GB"/>
        </w:rPr>
        <w:t xml:space="preserve"> </w:t>
      </w:r>
      <w:r w:rsidRPr="00304344">
        <w:rPr>
          <w:rFonts w:ascii="Arial" w:hAnsi="Arial" w:cs="Arial"/>
          <w:sz w:val="24"/>
          <w:szCs w:val="24"/>
          <w:lang w:eastAsia="en-GB"/>
        </w:rPr>
        <w:t>Key performance indicators for sustainable operating procedures include energy usage, waste reduction percentages, and the quantity of green certifications obtained (Font and McCabe, 2017). Energy consumption indicators must be monitored before to and during the adoption of energy-efficient devices, enabling the hotel to quantify savings on utility costs (Singh, Cranage, and Lee, 2014). Conducting frequent trash audits similarly provide data about the efficacy of recycling and waste minimisation activities (Chan and Hsu, 2016). These sustainability-related KPIs not only illustrate money savings but also elevate the hotel's brand image among environmentally conscientious patrons (Wang et al., 2012).</w:t>
      </w:r>
      <w:r w:rsidRPr="00304344">
        <w:rPr>
          <w:rFonts w:ascii="Arial" w:hAnsi="Arial" w:cs="Arial"/>
          <w:sz w:val="24"/>
          <w:szCs w:val="24"/>
          <w:lang w:eastAsia="en-GB"/>
        </w:rPr>
        <w:t xml:space="preserve"> </w:t>
      </w:r>
      <w:r w:rsidRPr="00304344">
        <w:rPr>
          <w:rFonts w:ascii="Arial" w:hAnsi="Arial" w:cs="Arial"/>
          <w:sz w:val="24"/>
          <w:szCs w:val="24"/>
          <w:lang w:eastAsia="en-GB"/>
        </w:rPr>
        <w:t xml:space="preserve">Assessing visitor satisfaction by systematic feedback and review ratings functions as an indirect KPI for measuring the effectiveness of internal activities (Han, Yu, and Kim, 2019). Enhanced visitor satisfaction often corresponds with increased staff engagement and superior service delivery, so directly connecting the efficacy of human resource initiatives to revenue results (González-Rodríguez et al., 2020). Moreover, monitoring recruiting and onboarding expenses offers a transparent understanding of the financial implications of decreased turnover, allowing the hotel to conduct cost-benefit evaluations that guide future expenditures in human resources efforts (Becker and </w:t>
      </w:r>
      <w:proofErr w:type="spellStart"/>
      <w:r w:rsidRPr="00304344">
        <w:rPr>
          <w:rFonts w:ascii="Arial" w:hAnsi="Arial" w:cs="Arial"/>
          <w:sz w:val="24"/>
          <w:szCs w:val="24"/>
          <w:lang w:eastAsia="en-GB"/>
        </w:rPr>
        <w:t>Huselid</w:t>
      </w:r>
      <w:proofErr w:type="spellEnd"/>
      <w:r w:rsidRPr="00304344">
        <w:rPr>
          <w:rFonts w:ascii="Arial" w:hAnsi="Arial" w:cs="Arial"/>
          <w:sz w:val="24"/>
          <w:szCs w:val="24"/>
          <w:lang w:eastAsia="en-GB"/>
        </w:rPr>
        <w:t>, 2006).</w:t>
      </w:r>
      <w:r w:rsidRPr="00304344">
        <w:rPr>
          <w:rFonts w:ascii="Arial" w:hAnsi="Arial" w:cs="Arial"/>
          <w:sz w:val="24"/>
          <w:szCs w:val="24"/>
          <w:lang w:eastAsia="en-GB"/>
        </w:rPr>
        <w:t xml:space="preserve"> </w:t>
      </w:r>
      <w:r w:rsidRPr="00304344">
        <w:rPr>
          <w:rFonts w:ascii="Arial" w:hAnsi="Arial" w:cs="Arial"/>
          <w:sz w:val="24"/>
          <w:szCs w:val="24"/>
          <w:lang w:eastAsia="en-GB"/>
        </w:rPr>
        <w:t xml:space="preserve">Consistent evaluation of these KPIs is essential for maintaining The Chedi </w:t>
      </w:r>
      <w:proofErr w:type="spellStart"/>
      <w:r w:rsidRPr="00304344">
        <w:rPr>
          <w:rFonts w:ascii="Arial" w:hAnsi="Arial" w:cs="Arial"/>
          <w:sz w:val="24"/>
          <w:szCs w:val="24"/>
          <w:lang w:eastAsia="en-GB"/>
        </w:rPr>
        <w:t>Andermatt's</w:t>
      </w:r>
      <w:proofErr w:type="spellEnd"/>
      <w:r w:rsidRPr="00304344">
        <w:rPr>
          <w:rFonts w:ascii="Arial" w:hAnsi="Arial" w:cs="Arial"/>
          <w:sz w:val="24"/>
          <w:szCs w:val="24"/>
          <w:lang w:eastAsia="en-GB"/>
        </w:rPr>
        <w:t xml:space="preserve"> competitiveness in the evolving premium hotel sector (Kotter, 2012). Every statistic, ranging from staff turnover to energy use, provides management with tangible data that can be utilised to refine operational plans and promote ongoing improvement (Van Dam, 2013).</w:t>
      </w:r>
    </w:p>
    <w:p w14:paraId="09F1344C" w14:textId="1526920E" w:rsidR="00DC18B9" w:rsidRPr="00304344" w:rsidRDefault="00DC18B9" w:rsidP="00304344">
      <w:pPr>
        <w:pStyle w:val="EU"/>
        <w:spacing w:line="360" w:lineRule="auto"/>
        <w:rPr>
          <w:color w:val="auto"/>
        </w:rPr>
      </w:pPr>
      <w:bookmarkStart w:id="5" w:name="_Toc192038556"/>
      <w:r w:rsidRPr="00304344">
        <w:rPr>
          <w:color w:val="auto"/>
        </w:rPr>
        <w:t>Potential Benefits and Associated Costs of Implementing Recommended Strategies</w:t>
      </w:r>
      <w:bookmarkEnd w:id="5"/>
    </w:p>
    <w:p w14:paraId="25477F34" w14:textId="4A02AA31" w:rsidR="00DC18B9" w:rsidRPr="00304344" w:rsidRDefault="00DC18B9" w:rsidP="00304344">
      <w:pPr>
        <w:spacing w:line="360" w:lineRule="auto"/>
        <w:jc w:val="both"/>
        <w:rPr>
          <w:rFonts w:ascii="Arial" w:hAnsi="Arial" w:cs="Arial"/>
          <w:sz w:val="24"/>
          <w:szCs w:val="24"/>
          <w:lang w:eastAsia="en-GB"/>
        </w:rPr>
      </w:pPr>
      <w:r w:rsidRPr="00304344">
        <w:rPr>
          <w:rFonts w:ascii="Arial" w:hAnsi="Arial" w:cs="Arial"/>
          <w:sz w:val="24"/>
          <w:szCs w:val="24"/>
          <w:lang w:eastAsia="en-GB"/>
        </w:rPr>
        <w:t xml:space="preserve">Executing the proposed initiatives at The Chedi </w:t>
      </w:r>
      <w:proofErr w:type="spellStart"/>
      <w:r w:rsidRPr="00304344">
        <w:rPr>
          <w:rFonts w:ascii="Arial" w:hAnsi="Arial" w:cs="Arial"/>
          <w:sz w:val="24"/>
          <w:szCs w:val="24"/>
          <w:lang w:eastAsia="en-GB"/>
        </w:rPr>
        <w:t>Andermatt</w:t>
      </w:r>
      <w:proofErr w:type="spellEnd"/>
      <w:r w:rsidRPr="00304344">
        <w:rPr>
          <w:rFonts w:ascii="Arial" w:hAnsi="Arial" w:cs="Arial"/>
          <w:sz w:val="24"/>
          <w:szCs w:val="24"/>
          <w:lang w:eastAsia="en-GB"/>
        </w:rPr>
        <w:t xml:space="preserve"> is anticipated to provide substantial advantages that will improve operational efficiency and the overall guest experience, while also facilitating long-term financial returns. Minimising personnel turnover will lead to decreased recruiting and training expenses, thereby conserving significant resources that can be reinvested in service enhancement and infrastructure development (Becker and </w:t>
      </w:r>
      <w:proofErr w:type="spellStart"/>
      <w:r w:rsidRPr="00304344">
        <w:rPr>
          <w:rFonts w:ascii="Arial" w:hAnsi="Arial" w:cs="Arial"/>
          <w:sz w:val="24"/>
          <w:szCs w:val="24"/>
          <w:lang w:eastAsia="en-GB"/>
        </w:rPr>
        <w:t>Huselid</w:t>
      </w:r>
      <w:proofErr w:type="spellEnd"/>
      <w:r w:rsidRPr="00304344">
        <w:rPr>
          <w:rFonts w:ascii="Arial" w:hAnsi="Arial" w:cs="Arial"/>
          <w:sz w:val="24"/>
          <w:szCs w:val="24"/>
          <w:lang w:eastAsia="en-GB"/>
        </w:rPr>
        <w:t>, 2010). A steady staff enables the hotel to maintain constant, high-quality service, which immediately enhances client happiness and loyalty, hence increasing occupancy rates and revenue (Michael and Fotiadis, 2022). A reduction in turnover is expected to enhance employee morale, resulting in increased productivity and less operational disturbances, so bolstering the hotel's position as a leader in luxury hospitality</w:t>
      </w:r>
      <w:r w:rsidR="00304344" w:rsidRPr="00304344">
        <w:rPr>
          <w:rFonts w:ascii="Arial" w:hAnsi="Arial" w:cs="Arial"/>
          <w:sz w:val="24"/>
          <w:szCs w:val="24"/>
          <w:lang w:eastAsia="en-GB"/>
        </w:rPr>
        <w:t xml:space="preserve"> (</w:t>
      </w:r>
      <w:r w:rsidR="00304344" w:rsidRPr="00304344">
        <w:rPr>
          <w:rFonts w:ascii="Arial" w:hAnsi="Arial" w:cs="Arial"/>
          <w:sz w:val="24"/>
          <w:szCs w:val="24"/>
          <w:lang w:eastAsia="en-GB"/>
        </w:rPr>
        <w:t>Holston-</w:t>
      </w:r>
      <w:proofErr w:type="spellStart"/>
      <w:r w:rsidR="00304344" w:rsidRPr="00304344">
        <w:rPr>
          <w:rFonts w:ascii="Arial" w:hAnsi="Arial" w:cs="Arial"/>
          <w:sz w:val="24"/>
          <w:szCs w:val="24"/>
          <w:lang w:eastAsia="en-GB"/>
        </w:rPr>
        <w:t>Okae</w:t>
      </w:r>
      <w:proofErr w:type="spellEnd"/>
      <w:r w:rsidR="00304344" w:rsidRPr="00304344">
        <w:rPr>
          <w:rFonts w:ascii="Arial" w:hAnsi="Arial" w:cs="Arial"/>
          <w:sz w:val="24"/>
          <w:szCs w:val="24"/>
          <w:lang w:eastAsia="en-GB"/>
        </w:rPr>
        <w:t>, 2018</w:t>
      </w:r>
      <w:r w:rsidR="00304344" w:rsidRPr="00304344">
        <w:rPr>
          <w:rFonts w:ascii="Arial" w:hAnsi="Arial" w:cs="Arial"/>
          <w:sz w:val="24"/>
          <w:szCs w:val="24"/>
          <w:lang w:eastAsia="en-GB"/>
        </w:rPr>
        <w:t>)</w:t>
      </w:r>
      <w:r w:rsidRPr="00304344">
        <w:rPr>
          <w:rFonts w:ascii="Arial" w:hAnsi="Arial" w:cs="Arial"/>
          <w:sz w:val="24"/>
          <w:szCs w:val="24"/>
          <w:lang w:eastAsia="en-GB"/>
        </w:rPr>
        <w:t>.</w:t>
      </w:r>
      <w:r w:rsidRPr="00304344">
        <w:rPr>
          <w:rFonts w:ascii="Arial" w:hAnsi="Arial" w:cs="Arial"/>
          <w:sz w:val="24"/>
          <w:szCs w:val="24"/>
          <w:lang w:eastAsia="en-GB"/>
        </w:rPr>
        <w:t xml:space="preserve"> </w:t>
      </w:r>
      <w:r w:rsidRPr="00304344">
        <w:rPr>
          <w:rFonts w:ascii="Arial" w:hAnsi="Arial" w:cs="Arial"/>
          <w:sz w:val="24"/>
          <w:szCs w:val="24"/>
          <w:lang w:eastAsia="en-GB"/>
        </w:rPr>
        <w:t>The establishment of a thorough Employee Retention Program requires an initial investment in wage modifications, training, and team-building initiatives, potentially elevating payroll costs by about 5–10% and requiring an estimated budget of €150,000. Despite the considerable initial expenditure, the anticipated long-term advantages, including reduced turnover costs and enhanced service quality, are projected to provide a substantial return on investment by decreasing the frequency and expenditures associated with recruiting cycles (Holand Jr, 2024). Furthermore, a more committed and steady personnel will enable the hotel to capitalise on its established brand strength to provide superior guest experiences that distinguish it from rivals, therefore drawing a greater influx of foreign customers.</w:t>
      </w:r>
      <w:r w:rsidRPr="00304344">
        <w:rPr>
          <w:rFonts w:ascii="Arial" w:hAnsi="Arial" w:cs="Arial"/>
          <w:sz w:val="24"/>
          <w:szCs w:val="24"/>
          <w:lang w:eastAsia="en-GB"/>
        </w:rPr>
        <w:t xml:space="preserve"> </w:t>
      </w:r>
      <w:r w:rsidRPr="00304344">
        <w:rPr>
          <w:rFonts w:ascii="Arial" w:hAnsi="Arial" w:cs="Arial"/>
          <w:sz w:val="24"/>
          <w:szCs w:val="24"/>
          <w:lang w:eastAsia="en-GB"/>
        </w:rPr>
        <w:t>The use of flexible work schedules is expected to significantly improve employee happiness and retention by fostering work-life balance, hence reducing burnout and related absenteeism. The expense of instituting flexible work arrangements is comparatively low, approximated at €20,000 for scheduling software and requisite managerial training; nonetheless, the advantages include a more engaged staff and enhanced production (</w:t>
      </w:r>
      <w:proofErr w:type="spellStart"/>
      <w:r w:rsidRPr="00304344">
        <w:rPr>
          <w:rFonts w:ascii="Arial" w:hAnsi="Arial" w:cs="Arial"/>
          <w:sz w:val="24"/>
          <w:szCs w:val="24"/>
          <w:lang w:eastAsia="en-GB"/>
        </w:rPr>
        <w:t>Kossek</w:t>
      </w:r>
      <w:proofErr w:type="spellEnd"/>
      <w:r w:rsidRPr="00304344">
        <w:rPr>
          <w:rFonts w:ascii="Arial" w:hAnsi="Arial" w:cs="Arial"/>
          <w:sz w:val="24"/>
          <w:szCs w:val="24"/>
          <w:lang w:eastAsia="en-GB"/>
        </w:rPr>
        <w:t xml:space="preserve"> and Thompson, 2016). By allowing employees to choose shifts that correspond with their personal obligations, the hotel enhances retention and creates a more flexible operating structure capable of effectively managing peak service times and unforeseen interruptions. This flexibility is anticipated to decrease overtime expenditures and mitigate costs associated with recurrent recruiting and training, therefore favourably influencing the hotel's financial performance.</w:t>
      </w:r>
      <w:r w:rsidRPr="00304344">
        <w:rPr>
          <w:rFonts w:ascii="Arial" w:hAnsi="Arial" w:cs="Arial"/>
          <w:sz w:val="24"/>
          <w:szCs w:val="24"/>
          <w:lang w:eastAsia="en-GB"/>
        </w:rPr>
        <w:t xml:space="preserve"> </w:t>
      </w:r>
      <w:r w:rsidRPr="00304344">
        <w:rPr>
          <w:rFonts w:ascii="Arial" w:hAnsi="Arial" w:cs="Arial"/>
          <w:sz w:val="24"/>
          <w:szCs w:val="24"/>
          <w:lang w:eastAsia="en-GB"/>
        </w:rPr>
        <w:t>Improving training and development opportunities is a vital component of the suggested approach that would provide workers with the skills and knowledge necessary to flourish in their positions. A comprehensive development program, including seminars, leadership training, and skill enhancement sessions, is estimated to incur an annual cost of roughly €100,000. This expenditure is justified by the expected advantages, which include an increased rate of internal promotions, enhanced job performance, and a more robust alignment between staff skills and visitor expectations (</w:t>
      </w:r>
      <w:proofErr w:type="spellStart"/>
      <w:r w:rsidRPr="00304344">
        <w:rPr>
          <w:rFonts w:ascii="Arial" w:hAnsi="Arial" w:cs="Arial"/>
          <w:sz w:val="24"/>
          <w:szCs w:val="24"/>
          <w:lang w:eastAsia="en-GB"/>
        </w:rPr>
        <w:t>Jehanzeb</w:t>
      </w:r>
      <w:proofErr w:type="spellEnd"/>
      <w:r w:rsidRPr="00304344">
        <w:rPr>
          <w:rFonts w:ascii="Arial" w:hAnsi="Arial" w:cs="Arial"/>
          <w:sz w:val="24"/>
          <w:szCs w:val="24"/>
          <w:lang w:eastAsia="en-GB"/>
        </w:rPr>
        <w:t xml:space="preserve"> and Bashir, 2013). By cultivating a culture of ongoing professional development, The Chedi </w:t>
      </w:r>
      <w:proofErr w:type="spellStart"/>
      <w:r w:rsidRPr="00304344">
        <w:rPr>
          <w:rFonts w:ascii="Arial" w:hAnsi="Arial" w:cs="Arial"/>
          <w:sz w:val="24"/>
          <w:szCs w:val="24"/>
          <w:lang w:eastAsia="en-GB"/>
        </w:rPr>
        <w:t>Andermatt</w:t>
      </w:r>
      <w:proofErr w:type="spellEnd"/>
      <w:r w:rsidRPr="00304344">
        <w:rPr>
          <w:rFonts w:ascii="Arial" w:hAnsi="Arial" w:cs="Arial"/>
          <w:sz w:val="24"/>
          <w:szCs w:val="24"/>
          <w:lang w:eastAsia="en-GB"/>
        </w:rPr>
        <w:t xml:space="preserve"> can mitigate turnover and provide a competitive edge by ensuring that personnel are prepared to provide the extraordinary service required by premium clientele. The consequent improvement in service quality is expected to provide higher visitor satisfaction ratings and repeat patronage, hence increasing total income.</w:t>
      </w:r>
      <w:r w:rsidRPr="00304344">
        <w:rPr>
          <w:rFonts w:ascii="Arial" w:hAnsi="Arial" w:cs="Arial"/>
          <w:sz w:val="24"/>
          <w:szCs w:val="24"/>
          <w:lang w:eastAsia="en-GB"/>
        </w:rPr>
        <w:t xml:space="preserve"> </w:t>
      </w:r>
      <w:r w:rsidRPr="00304344">
        <w:rPr>
          <w:rFonts w:ascii="Arial" w:hAnsi="Arial" w:cs="Arial"/>
          <w:sz w:val="24"/>
          <w:szCs w:val="24"/>
          <w:lang w:eastAsia="en-GB"/>
        </w:rPr>
        <w:t>Implementing sustainable operating procedures offers an additional opportunity for enduring cost savings and brand improvement. The preliminary expenses for sustainable efforts, including energy-efficient enhancements like LED lighting, waste minimisation strategies, and local product procurement, are projected to be around €200,000. These expenditures are essential for decreasing energy usage, cutting utility expenses, and diminishing waste management costs over time (Font and McCabe, 2017). Sustainable practices would enhance the hotel’s brand image among environmentally aware travellers, attracting a significant niche market within the premium hospitality industry. The attainment of green certifications, such as Green Key or ISO 14001, would validate the hotel's dedication to sustainability and function as a marketing instrument to distinguish it from rivals</w:t>
      </w:r>
      <w:r w:rsidR="00454B04" w:rsidRPr="00304344">
        <w:rPr>
          <w:rFonts w:ascii="Arial" w:hAnsi="Arial" w:cs="Arial"/>
          <w:sz w:val="24"/>
          <w:szCs w:val="24"/>
          <w:lang w:eastAsia="en-GB"/>
        </w:rPr>
        <w:t xml:space="preserve"> (</w:t>
      </w:r>
      <w:proofErr w:type="spellStart"/>
      <w:r w:rsidR="00454B04" w:rsidRPr="00304344">
        <w:rPr>
          <w:rFonts w:ascii="Arial" w:hAnsi="Arial" w:cs="Arial"/>
          <w:sz w:val="24"/>
          <w:szCs w:val="24"/>
          <w:lang w:eastAsia="en-GB"/>
        </w:rPr>
        <w:t>Velaoras</w:t>
      </w:r>
      <w:proofErr w:type="spellEnd"/>
      <w:r w:rsidR="00454B04" w:rsidRPr="00304344">
        <w:rPr>
          <w:rFonts w:ascii="Arial" w:hAnsi="Arial" w:cs="Arial"/>
          <w:sz w:val="24"/>
          <w:szCs w:val="24"/>
          <w:lang w:eastAsia="en-GB"/>
        </w:rPr>
        <w:t xml:space="preserve"> et al., 2025)</w:t>
      </w:r>
      <w:r w:rsidRPr="00304344">
        <w:rPr>
          <w:rFonts w:ascii="Arial" w:hAnsi="Arial" w:cs="Arial"/>
          <w:sz w:val="24"/>
          <w:szCs w:val="24"/>
          <w:lang w:eastAsia="en-GB"/>
        </w:rPr>
        <w:t>. Consequently, the hotel anticipates not just a decrease in operating costs but also an enhancement in its competitive standing, possibly leading to elevated occupancy rates and augmented revenue.</w:t>
      </w:r>
      <w:r w:rsidRPr="00304344">
        <w:rPr>
          <w:rFonts w:ascii="Arial" w:hAnsi="Arial" w:cs="Arial"/>
          <w:sz w:val="24"/>
          <w:szCs w:val="24"/>
          <w:lang w:eastAsia="en-GB"/>
        </w:rPr>
        <w:t xml:space="preserve"> </w:t>
      </w:r>
      <w:r w:rsidRPr="00304344">
        <w:rPr>
          <w:rFonts w:ascii="Arial" w:hAnsi="Arial" w:cs="Arial"/>
          <w:sz w:val="24"/>
          <w:szCs w:val="24"/>
          <w:lang w:eastAsia="en-GB"/>
        </w:rPr>
        <w:t xml:space="preserve">Each strategic effort has distinct, measurable advantages that, when combined, are anticipated to significantly enhance the hotel's performance. Reduced personnel turnover and elevated worker morale would promote operational efficiency and service consistency, essential for upholding the high standards of luxury hospitality. The initial expenditures for these initiatives are considerable, amounting to roughly €470,000; however, the projected long-term savings from diminished recruitment and training costs, reduced utility expenses, and enhanced revenue due to elevated guest satisfaction are expected to yield a significant return on investment. The savings, together with the intangible advantages of enhanced brand recognition and heightened staff involvement, will guarantee that The Chedi </w:t>
      </w:r>
      <w:proofErr w:type="spellStart"/>
      <w:r w:rsidRPr="00304344">
        <w:rPr>
          <w:rFonts w:ascii="Arial" w:hAnsi="Arial" w:cs="Arial"/>
          <w:sz w:val="24"/>
          <w:szCs w:val="24"/>
          <w:lang w:eastAsia="en-GB"/>
        </w:rPr>
        <w:t>Andermatt</w:t>
      </w:r>
      <w:proofErr w:type="spellEnd"/>
      <w:r w:rsidRPr="00304344">
        <w:rPr>
          <w:rFonts w:ascii="Arial" w:hAnsi="Arial" w:cs="Arial"/>
          <w:sz w:val="24"/>
          <w:szCs w:val="24"/>
          <w:lang w:eastAsia="en-GB"/>
        </w:rPr>
        <w:t xml:space="preserve"> stays competitive in a more challenging market (González-Rodríguez et al., 2020).</w:t>
      </w:r>
      <w:r w:rsidRPr="00304344">
        <w:rPr>
          <w:rFonts w:ascii="Arial" w:hAnsi="Arial" w:cs="Arial"/>
          <w:sz w:val="24"/>
          <w:szCs w:val="24"/>
          <w:lang w:eastAsia="en-GB"/>
        </w:rPr>
        <w:t xml:space="preserve"> </w:t>
      </w:r>
      <w:r w:rsidRPr="00304344">
        <w:rPr>
          <w:rFonts w:ascii="Arial" w:hAnsi="Arial" w:cs="Arial"/>
          <w:sz w:val="24"/>
          <w:szCs w:val="24"/>
          <w:lang w:eastAsia="en-GB"/>
        </w:rPr>
        <w:t xml:space="preserve">The strategic proposals to build an Employee Retention Program, provide flexible work hours, enhance training and development opportunities, and embrace sustainable operating methods aim to tackle the high turnover issue at The Chedi </w:t>
      </w:r>
      <w:proofErr w:type="spellStart"/>
      <w:r w:rsidRPr="00304344">
        <w:rPr>
          <w:rFonts w:ascii="Arial" w:hAnsi="Arial" w:cs="Arial"/>
          <w:sz w:val="24"/>
          <w:szCs w:val="24"/>
          <w:lang w:eastAsia="en-GB"/>
        </w:rPr>
        <w:t>Andermatt</w:t>
      </w:r>
      <w:proofErr w:type="spellEnd"/>
      <w:r w:rsidRPr="00304344">
        <w:rPr>
          <w:rFonts w:ascii="Arial" w:hAnsi="Arial" w:cs="Arial"/>
          <w:sz w:val="24"/>
          <w:szCs w:val="24"/>
          <w:lang w:eastAsia="en-GB"/>
        </w:rPr>
        <w:t>. The prospective advantages include diminished operating expenses, enhanced guest happiness, and an improved competitive stance, whilst the related expenditures correlate with the hotel's size and revenue capacity, guaranteeing that the investments are both judicious and strategically viable.</w:t>
      </w:r>
    </w:p>
    <w:p w14:paraId="0B1994F1" w14:textId="5F4CDE5E" w:rsidR="00DC18B9" w:rsidRPr="00304344" w:rsidRDefault="00DC18B9" w:rsidP="00304344">
      <w:pPr>
        <w:pStyle w:val="EU"/>
        <w:spacing w:line="360" w:lineRule="auto"/>
        <w:rPr>
          <w:color w:val="auto"/>
        </w:rPr>
      </w:pPr>
      <w:bookmarkStart w:id="6" w:name="_Toc192038557"/>
      <w:r w:rsidRPr="00304344">
        <w:rPr>
          <w:color w:val="auto"/>
        </w:rPr>
        <w:t>Conclusion</w:t>
      </w:r>
      <w:bookmarkEnd w:id="6"/>
      <w:r w:rsidRPr="00304344">
        <w:rPr>
          <w:color w:val="auto"/>
        </w:rPr>
        <w:t xml:space="preserve"> </w:t>
      </w:r>
    </w:p>
    <w:p w14:paraId="7D8101CC" w14:textId="0E269036"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lang w:eastAsia="en-GB"/>
        </w:rPr>
        <w:t xml:space="preserve">In conclusion, the examination of The Chedi </w:t>
      </w:r>
      <w:proofErr w:type="spellStart"/>
      <w:r w:rsidRPr="00304344">
        <w:rPr>
          <w:rFonts w:ascii="Arial" w:hAnsi="Arial" w:cs="Arial"/>
          <w:sz w:val="24"/>
          <w:szCs w:val="24"/>
          <w:lang w:eastAsia="en-GB"/>
        </w:rPr>
        <w:t>Andermatt</w:t>
      </w:r>
      <w:proofErr w:type="spellEnd"/>
      <w:r w:rsidRPr="00304344">
        <w:rPr>
          <w:rFonts w:ascii="Arial" w:hAnsi="Arial" w:cs="Arial"/>
          <w:sz w:val="24"/>
          <w:szCs w:val="24"/>
          <w:lang w:eastAsia="en-GB"/>
        </w:rPr>
        <w:t xml:space="preserve"> indicates that elevated personnel turnover is a significant problem impacting all aspects of the hotel's operations. The persistent attrition of seasoned personnel undermines service continuity and escalates recruiting and training costs, eventually compromising the hotel’s capacity to provide the constant, high-quality experience anticipated by its international clientele. The comprehensive assessment of external and internal components using frameworks like STEEPLED and SOAR, coupled with a TOWS analysis, has shown the complex nature of the turnover problem. The external environment poses considerable economic, technical, and environmental problems, while also providing possibilities linked to changing visitor preferences and sustainability trends. The hotel has a robust brand, a distinctive alpine environment, and a rich history that provide a competitive edge. Nonetheless, these advantages are being undermined by labour volatility and restricted prospects for professional advancement.</w:t>
      </w:r>
      <w:r w:rsidRPr="00304344">
        <w:rPr>
          <w:rFonts w:ascii="Arial" w:hAnsi="Arial" w:cs="Arial"/>
          <w:sz w:val="24"/>
          <w:szCs w:val="24"/>
          <w:lang w:eastAsia="en-GB"/>
        </w:rPr>
        <w:t xml:space="preserve"> </w:t>
      </w:r>
      <w:r w:rsidRPr="00304344">
        <w:rPr>
          <w:rFonts w:ascii="Arial" w:hAnsi="Arial" w:cs="Arial"/>
          <w:sz w:val="24"/>
          <w:szCs w:val="24"/>
          <w:lang w:eastAsia="en-GB"/>
        </w:rPr>
        <w:t>The proposed method to tackle these difficulties consists of a four-pronged approach: developing a thorough Employee Retention Program, offering flexible work hours, expanding training and development opportunities, and adopting sustainable operating practices. The suggested Employee Retention Program aims to reduce turnover by providing competitive compensation, creating defined career trajectories, and enhancing employee engagement via consistent training, team-building activities, and mentoring efforts. This program seeks to establish a steady and engaged staff, crucial for maintaining the hotel’s superior service standards and reputation. Simultaneously, implementing flexible work arrangements will enhance work-life balance and mitigate burnout, so cultivating a more productive and content workforce. This strategy not only tackles the immediate factors contributing to turnover but also cultivates a work environment that is more congruent with the changing demands of a contemporary workforce.</w:t>
      </w:r>
      <w:r w:rsidRPr="00304344">
        <w:rPr>
          <w:rFonts w:ascii="Arial" w:hAnsi="Arial" w:cs="Arial"/>
          <w:sz w:val="24"/>
          <w:szCs w:val="24"/>
          <w:lang w:eastAsia="en-GB"/>
        </w:rPr>
        <w:t xml:space="preserve"> </w:t>
      </w:r>
      <w:r w:rsidRPr="00304344">
        <w:rPr>
          <w:rFonts w:ascii="Arial" w:hAnsi="Arial" w:cs="Arial"/>
          <w:sz w:val="24"/>
          <w:szCs w:val="24"/>
          <w:lang w:eastAsia="en-GB"/>
        </w:rPr>
        <w:t>Improving training and development opportunities is another essential component of the approach. Investing in constant professional development enables the hotel to empower its staff to gain new skills and progress within the organisation. A systematic development program will diminish the need for external recruiting while enhancing service quality and visitor pleasure. The implementation of sustainable operating methods, including energy-efficient renovations, waste reduction measures, and local sourcing, is anticipated to provide long-term cost savings and enhance the hotel’s brand image among environmentally aware travellers. The shift towards sustainability is not just a reaction to regulatory and consumer demands but also a strategic endeavour that may distinguish the hotel from its rivals and attract a new demographic of patrons.</w:t>
      </w:r>
      <w:r w:rsidRPr="00304344">
        <w:rPr>
          <w:rFonts w:ascii="Arial" w:hAnsi="Arial" w:cs="Arial"/>
          <w:sz w:val="24"/>
          <w:szCs w:val="24"/>
          <w:lang w:eastAsia="en-GB"/>
        </w:rPr>
        <w:t xml:space="preserve"> </w:t>
      </w:r>
      <w:r w:rsidRPr="00304344">
        <w:rPr>
          <w:rFonts w:ascii="Arial" w:hAnsi="Arial" w:cs="Arial"/>
          <w:sz w:val="24"/>
          <w:szCs w:val="24"/>
          <w:lang w:eastAsia="en-GB"/>
        </w:rPr>
        <w:t>The prospective advantages of these strategic efforts are significant. A decrease in personnel turnover will result in less recruiting and training expenses, therefore liberating resources for reinvestment in service enhancements and infrastructure upgrades. Enhanced staff satisfaction and retention will lead to a more uniform and superior visitor experience, subsequently anticipated to increase occupancy rates and total income. A committed and reliable personnel will allow the hotel to leverage its strong brand identity and distinctive location, thereby preserving its competitive edge in the premium hospitality sector.</w:t>
      </w:r>
      <w:r w:rsidRPr="00304344">
        <w:rPr>
          <w:rFonts w:ascii="Arial" w:hAnsi="Arial" w:cs="Arial"/>
          <w:sz w:val="24"/>
          <w:szCs w:val="24"/>
          <w:lang w:eastAsia="en-GB"/>
        </w:rPr>
        <w:t xml:space="preserve"> </w:t>
      </w:r>
      <w:r w:rsidRPr="00304344">
        <w:rPr>
          <w:rFonts w:ascii="Arial" w:hAnsi="Arial" w:cs="Arial"/>
          <w:sz w:val="24"/>
          <w:szCs w:val="24"/>
          <w:lang w:eastAsia="en-GB"/>
        </w:rPr>
        <w:t>The initial expenditure for implementing these techniques is substantial, although the related expenses are justifiable considering the hotel's size and revenue-generating potential. The anticipated costs include escalations in payroll expenses, investments in training, and expenditures associated with sustainability programs. Nonetheless, these charges are anticipated to be counterbalanced by long-term savings resulting from reduced turnover, decreased utility costs, and improved visitor loyalty. The financial expenditure is justified by the expected return on investment, which will result in increased operational efficiency, superior service quality, and a more robust competitive stance in the market.</w:t>
      </w:r>
      <w:r w:rsidRPr="00304344">
        <w:rPr>
          <w:rFonts w:ascii="Arial" w:hAnsi="Arial" w:cs="Arial"/>
          <w:sz w:val="24"/>
          <w:szCs w:val="24"/>
          <w:lang w:eastAsia="en-GB"/>
        </w:rPr>
        <w:t xml:space="preserve"> </w:t>
      </w:r>
      <w:r w:rsidRPr="00304344">
        <w:rPr>
          <w:rFonts w:ascii="Arial" w:hAnsi="Arial" w:cs="Arial"/>
          <w:sz w:val="24"/>
          <w:szCs w:val="24"/>
          <w:lang w:eastAsia="en-GB"/>
        </w:rPr>
        <w:t xml:space="preserve">This paper delineates a comprehensive plan that offers a definitive path for The Chedi </w:t>
      </w:r>
      <w:proofErr w:type="spellStart"/>
      <w:r w:rsidRPr="00304344">
        <w:rPr>
          <w:rFonts w:ascii="Arial" w:hAnsi="Arial" w:cs="Arial"/>
          <w:sz w:val="24"/>
          <w:szCs w:val="24"/>
          <w:lang w:eastAsia="en-GB"/>
        </w:rPr>
        <w:t>Andermatt</w:t>
      </w:r>
      <w:proofErr w:type="spellEnd"/>
      <w:r w:rsidRPr="00304344">
        <w:rPr>
          <w:rFonts w:ascii="Arial" w:hAnsi="Arial" w:cs="Arial"/>
          <w:sz w:val="24"/>
          <w:szCs w:val="24"/>
          <w:lang w:eastAsia="en-GB"/>
        </w:rPr>
        <w:t xml:space="preserve"> to address its existing personnel difficulties. By tackling the fundamental reasons of elevated staff turnover via strategic interventions and aligning internal capabilities with external prospects, the hotel is positioned to attain enduring enhancements in operational performance and guest happiness. The integrated strategy offers significant expense reductions and revenue growth while strengthening the hotel’s dedication to quality and innovation in the competitive premium hospitality sector.</w:t>
      </w:r>
    </w:p>
    <w:p w14:paraId="0AF5A94D" w14:textId="77777777" w:rsidR="00A85D6D" w:rsidRPr="00304344" w:rsidRDefault="00A85D6D" w:rsidP="00304344">
      <w:pPr>
        <w:spacing w:line="360" w:lineRule="auto"/>
        <w:jc w:val="both"/>
        <w:rPr>
          <w:rFonts w:ascii="Arial" w:hAnsi="Arial" w:cs="Arial"/>
          <w:sz w:val="24"/>
          <w:szCs w:val="24"/>
          <w:lang w:eastAsia="en-GB"/>
        </w:rPr>
      </w:pPr>
    </w:p>
    <w:p w14:paraId="1CCBDA00" w14:textId="40F5B29A" w:rsidR="00A85D6D" w:rsidRPr="00304344" w:rsidRDefault="00A85D6D" w:rsidP="00304344">
      <w:pPr>
        <w:pStyle w:val="EU"/>
        <w:spacing w:line="360" w:lineRule="auto"/>
        <w:rPr>
          <w:color w:val="auto"/>
        </w:rPr>
      </w:pPr>
      <w:bookmarkStart w:id="7" w:name="_Toc192038558"/>
      <w:r w:rsidRPr="00304344">
        <w:rPr>
          <w:color w:val="auto"/>
        </w:rPr>
        <w:t>Action Plan</w:t>
      </w:r>
      <w:bookmarkEnd w:id="7"/>
      <w:r w:rsidRPr="00304344">
        <w:rPr>
          <w:color w:val="auto"/>
        </w:rPr>
        <w:t xml:space="preserve"> </w:t>
      </w:r>
    </w:p>
    <w:tbl>
      <w:tblPr>
        <w:tblStyle w:val="TableGrid"/>
        <w:tblW w:w="0" w:type="auto"/>
        <w:tblLook w:val="04A0" w:firstRow="1" w:lastRow="0" w:firstColumn="1" w:lastColumn="0" w:noHBand="0" w:noVBand="1"/>
      </w:tblPr>
      <w:tblGrid>
        <w:gridCol w:w="777"/>
        <w:gridCol w:w="1591"/>
        <w:gridCol w:w="1431"/>
        <w:gridCol w:w="1470"/>
        <w:gridCol w:w="1080"/>
        <w:gridCol w:w="1430"/>
        <w:gridCol w:w="1237"/>
      </w:tblGrid>
      <w:tr w:rsidR="00304344" w:rsidRPr="00304344" w14:paraId="44FE44B9" w14:textId="77777777" w:rsidTr="00A85D6D">
        <w:tc>
          <w:tcPr>
            <w:tcW w:w="1288" w:type="dxa"/>
          </w:tcPr>
          <w:p w14:paraId="0C3E4E9C" w14:textId="407E0C4C"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No.</w:t>
            </w:r>
          </w:p>
        </w:tc>
        <w:tc>
          <w:tcPr>
            <w:tcW w:w="1288" w:type="dxa"/>
          </w:tcPr>
          <w:p w14:paraId="4D5A698C" w14:textId="3EAAA450"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Problem</w:t>
            </w:r>
          </w:p>
        </w:tc>
        <w:tc>
          <w:tcPr>
            <w:tcW w:w="1288" w:type="dxa"/>
          </w:tcPr>
          <w:p w14:paraId="20900683" w14:textId="336E6FB3"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Solution</w:t>
            </w:r>
          </w:p>
        </w:tc>
        <w:tc>
          <w:tcPr>
            <w:tcW w:w="1288" w:type="dxa"/>
          </w:tcPr>
          <w:p w14:paraId="5056A395" w14:textId="2EBFE950"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Desired Outcome</w:t>
            </w:r>
          </w:p>
        </w:tc>
        <w:tc>
          <w:tcPr>
            <w:tcW w:w="1288" w:type="dxa"/>
          </w:tcPr>
          <w:p w14:paraId="26CE7CB9" w14:textId="13668040"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Time Scale</w:t>
            </w:r>
          </w:p>
        </w:tc>
        <w:tc>
          <w:tcPr>
            <w:tcW w:w="1288" w:type="dxa"/>
          </w:tcPr>
          <w:p w14:paraId="5A9386C5" w14:textId="5E52D716"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Completion Date</w:t>
            </w:r>
          </w:p>
        </w:tc>
        <w:tc>
          <w:tcPr>
            <w:tcW w:w="1288" w:type="dxa"/>
          </w:tcPr>
          <w:p w14:paraId="68A60AEE" w14:textId="2B125DE8"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Budget</w:t>
            </w:r>
          </w:p>
        </w:tc>
      </w:tr>
      <w:tr w:rsidR="00304344" w:rsidRPr="00304344" w14:paraId="094B44C6" w14:textId="77777777" w:rsidTr="00A85D6D">
        <w:tc>
          <w:tcPr>
            <w:tcW w:w="1288" w:type="dxa"/>
          </w:tcPr>
          <w:p w14:paraId="699F3523" w14:textId="7AA94ADE"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1</w:t>
            </w:r>
          </w:p>
        </w:tc>
        <w:tc>
          <w:tcPr>
            <w:tcW w:w="1288" w:type="dxa"/>
          </w:tcPr>
          <w:p w14:paraId="1BC667F1" w14:textId="4BAA32B0"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High employee turnover causing higher costs and service disruptions</w:t>
            </w:r>
          </w:p>
        </w:tc>
        <w:tc>
          <w:tcPr>
            <w:tcW w:w="1288" w:type="dxa"/>
          </w:tcPr>
          <w:p w14:paraId="258E556E" w14:textId="5B677682"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Launch an Employee Retention Program with better pay, clear career paths, and team-building activities</w:t>
            </w:r>
          </w:p>
        </w:tc>
        <w:tc>
          <w:tcPr>
            <w:tcW w:w="1288" w:type="dxa"/>
          </w:tcPr>
          <w:p w14:paraId="60701E5F" w14:textId="2B3A3AA3"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Lower turnover, happier staff, and reduced hiring costs</w:t>
            </w:r>
          </w:p>
        </w:tc>
        <w:tc>
          <w:tcPr>
            <w:tcW w:w="1288" w:type="dxa"/>
          </w:tcPr>
          <w:p w14:paraId="484A124E" w14:textId="73E837C8"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6 months</w:t>
            </w:r>
          </w:p>
        </w:tc>
        <w:tc>
          <w:tcPr>
            <w:tcW w:w="1288" w:type="dxa"/>
          </w:tcPr>
          <w:p w14:paraId="5CAD1479" w14:textId="2EB0F92E"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May 2025</w:t>
            </w:r>
          </w:p>
        </w:tc>
        <w:tc>
          <w:tcPr>
            <w:tcW w:w="1288" w:type="dxa"/>
          </w:tcPr>
          <w:p w14:paraId="76F75380" w14:textId="5654278F"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€150,000</w:t>
            </w:r>
          </w:p>
        </w:tc>
      </w:tr>
      <w:tr w:rsidR="00304344" w:rsidRPr="00304344" w14:paraId="3DF4F9A6" w14:textId="77777777" w:rsidTr="00A85D6D">
        <w:tc>
          <w:tcPr>
            <w:tcW w:w="1288" w:type="dxa"/>
          </w:tcPr>
          <w:p w14:paraId="279A095E" w14:textId="757E8E95"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2</w:t>
            </w:r>
          </w:p>
        </w:tc>
        <w:tc>
          <w:tcPr>
            <w:tcW w:w="1288" w:type="dxa"/>
          </w:tcPr>
          <w:p w14:paraId="5B661FC8" w14:textId="1330F114"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Employee burnout and poor work-life balance</w:t>
            </w:r>
          </w:p>
        </w:tc>
        <w:tc>
          <w:tcPr>
            <w:tcW w:w="1288" w:type="dxa"/>
          </w:tcPr>
          <w:p w14:paraId="77DE242E" w14:textId="579D44FC"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Introduce flexible work schedules, including staggered shifts, part-time, and remote work options</w:t>
            </w:r>
          </w:p>
        </w:tc>
        <w:tc>
          <w:tcPr>
            <w:tcW w:w="1288" w:type="dxa"/>
          </w:tcPr>
          <w:p w14:paraId="201EE177" w14:textId="476C64A4"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Improved work-life balance, reduced burnout, and better retention</w:t>
            </w:r>
          </w:p>
        </w:tc>
        <w:tc>
          <w:tcPr>
            <w:tcW w:w="1288" w:type="dxa"/>
          </w:tcPr>
          <w:p w14:paraId="5BBC434F" w14:textId="245DD367"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4 months</w:t>
            </w:r>
          </w:p>
        </w:tc>
        <w:tc>
          <w:tcPr>
            <w:tcW w:w="1288" w:type="dxa"/>
          </w:tcPr>
          <w:p w14:paraId="606F0690" w14:textId="3E83D881"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March 2025</w:t>
            </w:r>
          </w:p>
        </w:tc>
        <w:tc>
          <w:tcPr>
            <w:tcW w:w="1288" w:type="dxa"/>
          </w:tcPr>
          <w:p w14:paraId="1E5BAC7D" w14:textId="6315AEA5"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€20,000</w:t>
            </w:r>
          </w:p>
        </w:tc>
      </w:tr>
      <w:tr w:rsidR="00304344" w:rsidRPr="00304344" w14:paraId="6FBFAAEE" w14:textId="77777777" w:rsidTr="00A85D6D">
        <w:tc>
          <w:tcPr>
            <w:tcW w:w="1288" w:type="dxa"/>
          </w:tcPr>
          <w:p w14:paraId="7A1A1EA8" w14:textId="51D9CB5A"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3</w:t>
            </w:r>
          </w:p>
        </w:tc>
        <w:tc>
          <w:tcPr>
            <w:tcW w:w="1288" w:type="dxa"/>
          </w:tcPr>
          <w:p w14:paraId="57170C90" w14:textId="2B5B2C9D"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Limited training and career development opportunities</w:t>
            </w:r>
          </w:p>
        </w:tc>
        <w:tc>
          <w:tcPr>
            <w:tcW w:w="1288" w:type="dxa"/>
          </w:tcPr>
          <w:p w14:paraId="2A49E221" w14:textId="63CB529B"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Enhance training with regular workshops, leadership sessions, and mentoring programs</w:t>
            </w:r>
          </w:p>
        </w:tc>
        <w:tc>
          <w:tcPr>
            <w:tcW w:w="1288" w:type="dxa"/>
          </w:tcPr>
          <w:p w14:paraId="6F74E274" w14:textId="0A2D00C5"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Better skills, more promotions, and increased job satisfaction</w:t>
            </w:r>
          </w:p>
        </w:tc>
        <w:tc>
          <w:tcPr>
            <w:tcW w:w="1288" w:type="dxa"/>
          </w:tcPr>
          <w:p w14:paraId="72206D81" w14:textId="7B832DBA"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8 months</w:t>
            </w:r>
          </w:p>
        </w:tc>
        <w:tc>
          <w:tcPr>
            <w:tcW w:w="1288" w:type="dxa"/>
          </w:tcPr>
          <w:p w14:paraId="6115E752" w14:textId="727E2032"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July 2025</w:t>
            </w:r>
          </w:p>
        </w:tc>
        <w:tc>
          <w:tcPr>
            <w:tcW w:w="1288" w:type="dxa"/>
          </w:tcPr>
          <w:p w14:paraId="20581F90" w14:textId="6BA60018"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€100,000</w:t>
            </w:r>
          </w:p>
        </w:tc>
      </w:tr>
      <w:tr w:rsidR="00304344" w:rsidRPr="00304344" w14:paraId="579A34C2" w14:textId="77777777" w:rsidTr="00A85D6D">
        <w:tc>
          <w:tcPr>
            <w:tcW w:w="1288" w:type="dxa"/>
          </w:tcPr>
          <w:p w14:paraId="270D6193" w14:textId="5A5E8224"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4</w:t>
            </w:r>
          </w:p>
        </w:tc>
        <w:tc>
          <w:tcPr>
            <w:tcW w:w="1288" w:type="dxa"/>
          </w:tcPr>
          <w:p w14:paraId="47651AA5" w14:textId="76B38ECB"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High operating costs and the need for eco-friendly practices</w:t>
            </w:r>
          </w:p>
        </w:tc>
        <w:tc>
          <w:tcPr>
            <w:tcW w:w="1288" w:type="dxa"/>
          </w:tcPr>
          <w:p w14:paraId="0CBC0868" w14:textId="6179FB47"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Adopt sustainable practices such as energy-efficient upgrades, recycling, and local sourcing</w:t>
            </w:r>
          </w:p>
        </w:tc>
        <w:tc>
          <w:tcPr>
            <w:tcW w:w="1288" w:type="dxa"/>
          </w:tcPr>
          <w:p w14:paraId="249B36CE" w14:textId="1FA9C49D"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Reduced utility costs, improved eco-image, and higher guest appeal</w:t>
            </w:r>
          </w:p>
        </w:tc>
        <w:tc>
          <w:tcPr>
            <w:tcW w:w="1288" w:type="dxa"/>
          </w:tcPr>
          <w:p w14:paraId="71923913" w14:textId="4EE86B23"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12 months</w:t>
            </w:r>
          </w:p>
        </w:tc>
        <w:tc>
          <w:tcPr>
            <w:tcW w:w="1288" w:type="dxa"/>
          </w:tcPr>
          <w:p w14:paraId="11A48F9B" w14:textId="45630F15"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November 2025</w:t>
            </w:r>
          </w:p>
        </w:tc>
        <w:tc>
          <w:tcPr>
            <w:tcW w:w="1288" w:type="dxa"/>
          </w:tcPr>
          <w:p w14:paraId="7125F0F7" w14:textId="04466BA7" w:rsidR="00A85D6D" w:rsidRPr="00304344" w:rsidRDefault="00A85D6D" w:rsidP="00304344">
            <w:pPr>
              <w:spacing w:line="360" w:lineRule="auto"/>
              <w:jc w:val="both"/>
              <w:rPr>
                <w:rFonts w:ascii="Arial" w:hAnsi="Arial" w:cs="Arial"/>
                <w:sz w:val="24"/>
                <w:szCs w:val="24"/>
                <w:lang w:eastAsia="en-GB"/>
              </w:rPr>
            </w:pPr>
            <w:r w:rsidRPr="00304344">
              <w:rPr>
                <w:rFonts w:ascii="Arial" w:hAnsi="Arial" w:cs="Arial"/>
                <w:sz w:val="24"/>
                <w:szCs w:val="24"/>
              </w:rPr>
              <w:t>€200,000</w:t>
            </w:r>
          </w:p>
        </w:tc>
      </w:tr>
    </w:tbl>
    <w:p w14:paraId="7FE6C99E" w14:textId="77777777" w:rsidR="00A85D6D" w:rsidRPr="00A85D6D" w:rsidRDefault="00A85D6D" w:rsidP="00A85D6D">
      <w:pPr>
        <w:spacing w:line="360" w:lineRule="auto"/>
        <w:jc w:val="both"/>
        <w:rPr>
          <w:rFonts w:ascii="Arial" w:hAnsi="Arial" w:cs="Arial"/>
          <w:sz w:val="24"/>
          <w:szCs w:val="24"/>
          <w:lang w:eastAsia="en-GB"/>
        </w:rPr>
      </w:pPr>
    </w:p>
    <w:p w14:paraId="109CC7D1" w14:textId="77777777" w:rsidR="00A85D6D" w:rsidRPr="00A85D6D" w:rsidRDefault="00A85D6D" w:rsidP="00A85D6D">
      <w:pPr>
        <w:spacing w:line="360" w:lineRule="auto"/>
        <w:jc w:val="both"/>
        <w:rPr>
          <w:rFonts w:ascii="Arial" w:hAnsi="Arial" w:cs="Arial"/>
          <w:sz w:val="24"/>
          <w:szCs w:val="24"/>
          <w:lang w:eastAsia="en-GB"/>
        </w:rPr>
      </w:pPr>
    </w:p>
    <w:p w14:paraId="44B05E8A" w14:textId="77777777" w:rsidR="00A85D6D" w:rsidRPr="00A85D6D" w:rsidRDefault="00A85D6D" w:rsidP="00A85D6D">
      <w:pPr>
        <w:spacing w:line="360" w:lineRule="auto"/>
        <w:jc w:val="both"/>
        <w:rPr>
          <w:rFonts w:ascii="Arial" w:hAnsi="Arial" w:cs="Arial"/>
          <w:sz w:val="24"/>
          <w:szCs w:val="24"/>
          <w:lang w:eastAsia="en-GB"/>
        </w:rPr>
      </w:pPr>
    </w:p>
    <w:p w14:paraId="3735B086" w14:textId="77777777" w:rsidR="00A85D6D" w:rsidRDefault="00A85D6D" w:rsidP="00A85D6D">
      <w:pPr>
        <w:spacing w:line="360" w:lineRule="auto"/>
        <w:jc w:val="both"/>
        <w:rPr>
          <w:rFonts w:ascii="Arial" w:hAnsi="Arial" w:cs="Arial"/>
          <w:sz w:val="24"/>
          <w:szCs w:val="24"/>
          <w:lang w:eastAsia="en-GB"/>
        </w:rPr>
      </w:pPr>
    </w:p>
    <w:p w14:paraId="253AE4F6" w14:textId="77777777" w:rsidR="0011036A" w:rsidRDefault="0011036A" w:rsidP="00A85D6D">
      <w:pPr>
        <w:spacing w:line="360" w:lineRule="auto"/>
        <w:jc w:val="both"/>
        <w:rPr>
          <w:rFonts w:ascii="Arial" w:hAnsi="Arial" w:cs="Arial"/>
          <w:sz w:val="24"/>
          <w:szCs w:val="24"/>
          <w:lang w:eastAsia="en-GB"/>
        </w:rPr>
      </w:pPr>
    </w:p>
    <w:p w14:paraId="2E77C695" w14:textId="77777777" w:rsidR="0011036A" w:rsidRDefault="0011036A" w:rsidP="00A85D6D">
      <w:pPr>
        <w:spacing w:line="360" w:lineRule="auto"/>
        <w:jc w:val="both"/>
        <w:rPr>
          <w:rFonts w:ascii="Arial" w:hAnsi="Arial" w:cs="Arial"/>
          <w:sz w:val="24"/>
          <w:szCs w:val="24"/>
          <w:lang w:eastAsia="en-GB"/>
        </w:rPr>
      </w:pPr>
    </w:p>
    <w:p w14:paraId="520B1456" w14:textId="77777777" w:rsidR="0011036A" w:rsidRDefault="0011036A" w:rsidP="00A85D6D">
      <w:pPr>
        <w:spacing w:line="360" w:lineRule="auto"/>
        <w:jc w:val="both"/>
        <w:rPr>
          <w:rFonts w:ascii="Arial" w:hAnsi="Arial" w:cs="Arial"/>
          <w:sz w:val="24"/>
          <w:szCs w:val="24"/>
          <w:lang w:eastAsia="en-GB"/>
        </w:rPr>
      </w:pPr>
    </w:p>
    <w:p w14:paraId="49925870" w14:textId="77777777" w:rsidR="0011036A" w:rsidRDefault="0011036A" w:rsidP="00A85D6D">
      <w:pPr>
        <w:spacing w:line="360" w:lineRule="auto"/>
        <w:jc w:val="both"/>
        <w:rPr>
          <w:rFonts w:ascii="Arial" w:hAnsi="Arial" w:cs="Arial"/>
          <w:sz w:val="24"/>
          <w:szCs w:val="24"/>
          <w:lang w:eastAsia="en-GB"/>
        </w:rPr>
      </w:pPr>
    </w:p>
    <w:p w14:paraId="5442A285" w14:textId="77777777" w:rsidR="0011036A" w:rsidRDefault="0011036A" w:rsidP="00A85D6D">
      <w:pPr>
        <w:spacing w:line="360" w:lineRule="auto"/>
        <w:jc w:val="both"/>
        <w:rPr>
          <w:rFonts w:ascii="Arial" w:hAnsi="Arial" w:cs="Arial"/>
          <w:sz w:val="24"/>
          <w:szCs w:val="24"/>
          <w:lang w:eastAsia="en-GB"/>
        </w:rPr>
      </w:pPr>
    </w:p>
    <w:p w14:paraId="0EDE0471" w14:textId="77777777" w:rsidR="0011036A" w:rsidRDefault="0011036A" w:rsidP="00A85D6D">
      <w:pPr>
        <w:spacing w:line="360" w:lineRule="auto"/>
        <w:jc w:val="both"/>
        <w:rPr>
          <w:rFonts w:ascii="Arial" w:hAnsi="Arial" w:cs="Arial"/>
          <w:sz w:val="24"/>
          <w:szCs w:val="24"/>
          <w:lang w:eastAsia="en-GB"/>
        </w:rPr>
      </w:pPr>
    </w:p>
    <w:p w14:paraId="6FC82196" w14:textId="77777777" w:rsidR="0011036A" w:rsidRDefault="0011036A" w:rsidP="00A85D6D">
      <w:pPr>
        <w:spacing w:line="360" w:lineRule="auto"/>
        <w:jc w:val="both"/>
        <w:rPr>
          <w:rFonts w:ascii="Arial" w:hAnsi="Arial" w:cs="Arial"/>
          <w:sz w:val="24"/>
          <w:szCs w:val="24"/>
          <w:lang w:eastAsia="en-GB"/>
        </w:rPr>
      </w:pPr>
    </w:p>
    <w:p w14:paraId="5DA8C4CA" w14:textId="77777777" w:rsidR="0011036A" w:rsidRDefault="0011036A" w:rsidP="00A85D6D">
      <w:pPr>
        <w:spacing w:line="360" w:lineRule="auto"/>
        <w:jc w:val="both"/>
        <w:rPr>
          <w:rFonts w:ascii="Arial" w:hAnsi="Arial" w:cs="Arial"/>
          <w:sz w:val="24"/>
          <w:szCs w:val="24"/>
          <w:lang w:eastAsia="en-GB"/>
        </w:rPr>
      </w:pPr>
    </w:p>
    <w:p w14:paraId="79827EE8" w14:textId="77777777" w:rsidR="0011036A" w:rsidRPr="00A85D6D" w:rsidRDefault="0011036A" w:rsidP="00A85D6D">
      <w:pPr>
        <w:spacing w:line="360" w:lineRule="auto"/>
        <w:jc w:val="both"/>
        <w:rPr>
          <w:rFonts w:ascii="Arial" w:hAnsi="Arial" w:cs="Arial"/>
          <w:sz w:val="24"/>
          <w:szCs w:val="24"/>
          <w:lang w:eastAsia="en-GB"/>
        </w:rPr>
      </w:pPr>
    </w:p>
    <w:p w14:paraId="307D8D53" w14:textId="77777777" w:rsidR="00A85D6D" w:rsidRPr="00A85D6D" w:rsidRDefault="00A85D6D" w:rsidP="00A85D6D">
      <w:pPr>
        <w:spacing w:line="360" w:lineRule="auto"/>
        <w:jc w:val="both"/>
        <w:rPr>
          <w:rFonts w:ascii="Arial" w:hAnsi="Arial" w:cs="Arial"/>
          <w:sz w:val="24"/>
          <w:szCs w:val="24"/>
          <w:lang w:eastAsia="en-GB"/>
        </w:rPr>
      </w:pPr>
    </w:p>
    <w:p w14:paraId="698F851A" w14:textId="68FA3E7A" w:rsidR="00A85D6D" w:rsidRPr="00304344" w:rsidRDefault="00A85D6D" w:rsidP="00304344">
      <w:pPr>
        <w:pStyle w:val="EU"/>
        <w:spacing w:line="360" w:lineRule="auto"/>
        <w:rPr>
          <w:color w:val="auto"/>
        </w:rPr>
      </w:pPr>
      <w:bookmarkStart w:id="8" w:name="_Toc192038559"/>
      <w:r w:rsidRPr="00304344">
        <w:rPr>
          <w:color w:val="auto"/>
        </w:rPr>
        <w:t>References</w:t>
      </w:r>
      <w:bookmarkEnd w:id="8"/>
      <w:r w:rsidRPr="00304344">
        <w:rPr>
          <w:color w:val="auto"/>
        </w:rPr>
        <w:t xml:space="preserve"> </w:t>
      </w:r>
    </w:p>
    <w:p w14:paraId="6FC9320C" w14:textId="6E56C972"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Abdou, A.H., Hassan, T.H. and Dief, M.M. (2022) ‘Work stress and its impact on employee turnover intentions in the hospitality industry’, Tourism Management Perspectives, 41, pp. 1-13.</w:t>
      </w:r>
    </w:p>
    <w:p w14:paraId="3C3D0033" w14:textId="127B0B09"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proofErr w:type="spellStart"/>
      <w:r w:rsidRPr="00304344">
        <w:rPr>
          <w:rFonts w:ascii="Arial" w:hAnsi="Arial" w:cs="Arial"/>
          <w:sz w:val="24"/>
          <w:szCs w:val="24"/>
          <w:lang w:eastAsia="en-GB"/>
        </w:rPr>
        <w:t>Adekuajo</w:t>
      </w:r>
      <w:proofErr w:type="spellEnd"/>
      <w:r w:rsidRPr="00304344">
        <w:rPr>
          <w:rFonts w:ascii="Arial" w:hAnsi="Arial" w:cs="Arial"/>
          <w:sz w:val="24"/>
          <w:szCs w:val="24"/>
          <w:lang w:eastAsia="en-GB"/>
        </w:rPr>
        <w:t>, A., Roberts, R. and Chinedu, O. (2023) ‘The role of technology in transforming hotel service delivery’, International Journal of Hospitality Management, 104, pp. 1-14.</w:t>
      </w:r>
    </w:p>
    <w:p w14:paraId="4F346431" w14:textId="15630C0C"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Albrecht, S.L., Bakker, A.B., Gruman, J.A., Macey, W.H. and Saks, A.M. (2015) ‘Employee engagement, human resource management practices and competitive advantage’, Journal of Organizational Effectiveness: People and Performance, 2(1), pp. 7-35.</w:t>
      </w:r>
    </w:p>
    <w:p w14:paraId="6E01F05B" w14:textId="13D1EF8B"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Amin, A. and Goyal, R. (2023) ‘Experiential tourism and its impact on guest satisfaction in luxury hotels’, Journal of Tourism Insights, 14(2), pp. 24-39.</w:t>
      </w:r>
    </w:p>
    <w:p w14:paraId="42DFC35D" w14:textId="77DF7066"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Baron, A. and Armstrong, M. (2007) Human Capital Management: Achieving Added Value through People. London: Kogan Page.</w:t>
      </w:r>
    </w:p>
    <w:p w14:paraId="1FEF8534" w14:textId="51E7EF24"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Bartik, A.W., Cullen, Z.B., Glaeser, E.L., Luca, M. and Stanton, C.T. (2020) ‘The impact of COVID-19 on small business outcomes and expectations’, Proceedings of the National Academy of Sciences, 117(30), pp. 17656-17666.</w:t>
      </w:r>
    </w:p>
    <w:p w14:paraId="226F5911" w14:textId="49CE1C1B"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 xml:space="preserve">Becker, B.E. and </w:t>
      </w:r>
      <w:proofErr w:type="spellStart"/>
      <w:r w:rsidRPr="00304344">
        <w:rPr>
          <w:rFonts w:ascii="Arial" w:hAnsi="Arial" w:cs="Arial"/>
          <w:sz w:val="24"/>
          <w:szCs w:val="24"/>
          <w:lang w:eastAsia="en-GB"/>
        </w:rPr>
        <w:t>Huselid</w:t>
      </w:r>
      <w:proofErr w:type="spellEnd"/>
      <w:r w:rsidRPr="00304344">
        <w:rPr>
          <w:rFonts w:ascii="Arial" w:hAnsi="Arial" w:cs="Arial"/>
          <w:sz w:val="24"/>
          <w:szCs w:val="24"/>
          <w:lang w:eastAsia="en-GB"/>
        </w:rPr>
        <w:t>, M.A. (2010) ‘Strategic human resource management: The evolution of the field’, Human Resource Management Review, 19(3), pp. 167-191.</w:t>
      </w:r>
    </w:p>
    <w:p w14:paraId="5DA37D5B" w14:textId="03192475"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Brown, E.A., Thomas, N.J. and Bosselman, R.H. (2015) ‘Are they leaving or staying? A qualitative analysis of turnover issues for Generation Y hospitality employees’, International Journal of Hospitality Management, 46, pp. 130-137.</w:t>
      </w:r>
    </w:p>
    <w:p w14:paraId="705B4F55" w14:textId="6D4F51AC" w:rsidR="00AE24CF" w:rsidRPr="00304344" w:rsidRDefault="00AE24CF"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 xml:space="preserve">Buttrick, R. (2009) The Project Workout, London: Prentice Hall  </w:t>
      </w:r>
    </w:p>
    <w:p w14:paraId="61BC2D9B" w14:textId="76985E83"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 xml:space="preserve">Cameron, E. and Green, M. (2019) Making Sense of Change Management: A Complete Guide to the Models, Tools, and Techniques of Organizational Change. 5th </w:t>
      </w:r>
      <w:proofErr w:type="spellStart"/>
      <w:r w:rsidRPr="00304344">
        <w:rPr>
          <w:rFonts w:ascii="Arial" w:hAnsi="Arial" w:cs="Arial"/>
          <w:sz w:val="24"/>
          <w:szCs w:val="24"/>
          <w:lang w:eastAsia="en-GB"/>
        </w:rPr>
        <w:t>edn</w:t>
      </w:r>
      <w:proofErr w:type="spellEnd"/>
      <w:r w:rsidRPr="00304344">
        <w:rPr>
          <w:rFonts w:ascii="Arial" w:hAnsi="Arial" w:cs="Arial"/>
          <w:sz w:val="24"/>
          <w:szCs w:val="24"/>
          <w:lang w:eastAsia="en-GB"/>
        </w:rPr>
        <w:t>. London: Kogan Page.</w:t>
      </w:r>
    </w:p>
    <w:p w14:paraId="6C991F82" w14:textId="3F3F292E" w:rsidR="007F546D" w:rsidRPr="00304344" w:rsidRDefault="007F54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CEPR. (2025). Ten years after the Swiss franc shock: Lessons on prices, expenditure switching, and inequality. [online] Available at: https://cepr.org/voxeu/columns/ten-years-after-swiss-franc-shock-lessons-prices-expenditure-switching-and-inequality.</w:t>
      </w:r>
    </w:p>
    <w:p w14:paraId="14737F0D" w14:textId="4E6EC8C5"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Chan, E.S.W. and Hsu, C.H. (2016) ‘Environmental management research in hospitality’, International Journal of Contemporary Hospitality Management, 28(5), pp. 886-923.</w:t>
      </w:r>
    </w:p>
    <w:p w14:paraId="5AE9A5B1" w14:textId="30ACFA36" w:rsidR="0041335C" w:rsidRPr="00304344" w:rsidRDefault="0041335C"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Cole, M.L., Cox, J.D. and Stavros, J.M., 2019. Building collaboration in teams through emotional intelligence: Mediation by SOAR (strengths, opportunities, aspirations, and results). Journal of Management &amp; Organization, 25(2), pp.263-283.</w:t>
      </w:r>
    </w:p>
    <w:p w14:paraId="048BCCE2" w14:textId="19D8AC8D" w:rsidR="007765DC" w:rsidRPr="00304344" w:rsidRDefault="007765DC" w:rsidP="00304344">
      <w:pPr>
        <w:pStyle w:val="ListParagraph"/>
        <w:numPr>
          <w:ilvl w:val="0"/>
          <w:numId w:val="4"/>
        </w:numPr>
        <w:spacing w:line="360" w:lineRule="auto"/>
        <w:jc w:val="both"/>
        <w:rPr>
          <w:rFonts w:ascii="Arial" w:hAnsi="Arial" w:cs="Arial"/>
          <w:sz w:val="24"/>
          <w:szCs w:val="24"/>
          <w:lang w:eastAsia="en-GB"/>
        </w:rPr>
      </w:pPr>
      <w:proofErr w:type="spellStart"/>
      <w:r w:rsidRPr="00304344">
        <w:rPr>
          <w:rFonts w:ascii="Arial" w:hAnsi="Arial" w:cs="Arial"/>
          <w:sz w:val="24"/>
          <w:szCs w:val="24"/>
          <w:lang w:eastAsia="en-GB"/>
        </w:rPr>
        <w:t>Dandage</w:t>
      </w:r>
      <w:proofErr w:type="spellEnd"/>
      <w:r w:rsidRPr="00304344">
        <w:rPr>
          <w:rFonts w:ascii="Arial" w:hAnsi="Arial" w:cs="Arial"/>
          <w:sz w:val="24"/>
          <w:szCs w:val="24"/>
          <w:lang w:eastAsia="en-GB"/>
        </w:rPr>
        <w:t>, R.V., Mantha, S.S. and Rane, S.B., 2019. Strategy development using TOWS matrix for international project risk management based on prioritization of risk categories. International Journal of Managing Projects in Business, 12(4), pp.1003-1029</w:t>
      </w:r>
    </w:p>
    <w:p w14:paraId="3045DDA8" w14:textId="0B18FDD1"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Day, D.V., Fleenor, J.W., Atwater, L.E., Sturm, R.E. and McKee, R.A. (2014) ‘Advances in leader and leadership development: A review of 25 years of research and theory’, The Leadership Quarterly, 25(1), pp. 63-82.</w:t>
      </w:r>
    </w:p>
    <w:p w14:paraId="7B110DBE" w14:textId="58CE0301"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de Oliveira Menezes, M. and Cavagnaro, E. (2021) ‘Sustainable tourism development and hotels: A systematic literature review’, Journal of Sustainable Tourism, 29(3), pp. 398-415.</w:t>
      </w:r>
    </w:p>
    <w:p w14:paraId="0A755CF3" w14:textId="4982B75B" w:rsidR="007F546D" w:rsidRPr="00304344" w:rsidRDefault="007F54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Deloitte (2024). Sustainability in the Hospitality Industry | Deloitte UK. [online] www.deloitte.com. Available at: https://www.deloitte.com/uk/en/Industries/consumer/blogs/sustainability-in-the-hospitality-industry.html.</w:t>
      </w:r>
    </w:p>
    <w:p w14:paraId="0783CD14" w14:textId="72563386"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proofErr w:type="spellStart"/>
      <w:r w:rsidRPr="00304344">
        <w:rPr>
          <w:rFonts w:ascii="Arial" w:hAnsi="Arial" w:cs="Arial"/>
          <w:sz w:val="24"/>
          <w:szCs w:val="24"/>
          <w:lang w:eastAsia="en-GB"/>
        </w:rPr>
        <w:t>Dinica</w:t>
      </w:r>
      <w:proofErr w:type="spellEnd"/>
      <w:r w:rsidRPr="00304344">
        <w:rPr>
          <w:rFonts w:ascii="Arial" w:hAnsi="Arial" w:cs="Arial"/>
          <w:sz w:val="24"/>
          <w:szCs w:val="24"/>
          <w:lang w:eastAsia="en-GB"/>
        </w:rPr>
        <w:t>, V. (2006) ‘Sustainable tourism governance and policy: The integration of European Union tourism and environmental policies’, Tourism and Hospitality Research, 7(3), pp. 227-244.</w:t>
      </w:r>
    </w:p>
    <w:p w14:paraId="63AA7F1F" w14:textId="693C2BC7" w:rsidR="007765DC" w:rsidRPr="00304344" w:rsidRDefault="007765DC"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 xml:space="preserve">Dwivedi, Y.K., </w:t>
      </w:r>
      <w:proofErr w:type="spellStart"/>
      <w:r w:rsidRPr="00304344">
        <w:rPr>
          <w:rFonts w:ascii="Arial" w:hAnsi="Arial" w:cs="Arial"/>
          <w:sz w:val="24"/>
          <w:szCs w:val="24"/>
          <w:lang w:eastAsia="en-GB"/>
        </w:rPr>
        <w:t>Ismagilova</w:t>
      </w:r>
      <w:proofErr w:type="spellEnd"/>
      <w:r w:rsidRPr="00304344">
        <w:rPr>
          <w:rFonts w:ascii="Arial" w:hAnsi="Arial" w:cs="Arial"/>
          <w:sz w:val="24"/>
          <w:szCs w:val="24"/>
          <w:lang w:eastAsia="en-GB"/>
        </w:rPr>
        <w:t xml:space="preserve">, E., Hughes, D.L. and Carlson, J. (2021). Setting the future of digital and social media marketing research: Perspectives and research propositions. International Journal of Information Management, [online] 59(1), pp.1–37. </w:t>
      </w:r>
      <w:proofErr w:type="spellStart"/>
      <w:r w:rsidRPr="00304344">
        <w:rPr>
          <w:rFonts w:ascii="Arial" w:hAnsi="Arial" w:cs="Arial"/>
          <w:sz w:val="24"/>
          <w:szCs w:val="24"/>
          <w:lang w:eastAsia="en-GB"/>
        </w:rPr>
        <w:t>doi:https</w:t>
      </w:r>
      <w:proofErr w:type="spellEnd"/>
      <w:r w:rsidRPr="00304344">
        <w:rPr>
          <w:rFonts w:ascii="Arial" w:hAnsi="Arial" w:cs="Arial"/>
          <w:sz w:val="24"/>
          <w:szCs w:val="24"/>
          <w:lang w:eastAsia="en-GB"/>
        </w:rPr>
        <w:t>://doi.org/10.1016/j.ijinfomgt.2020.102168.</w:t>
      </w:r>
    </w:p>
    <w:p w14:paraId="6D45FC5F" w14:textId="700386AD"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proofErr w:type="spellStart"/>
      <w:r w:rsidRPr="00304344">
        <w:rPr>
          <w:rFonts w:ascii="Arial" w:hAnsi="Arial" w:cs="Arial"/>
          <w:sz w:val="24"/>
          <w:szCs w:val="24"/>
          <w:lang w:eastAsia="en-GB"/>
        </w:rPr>
        <w:t>Dwesini</w:t>
      </w:r>
      <w:proofErr w:type="spellEnd"/>
      <w:r w:rsidRPr="00304344">
        <w:rPr>
          <w:rFonts w:ascii="Arial" w:hAnsi="Arial" w:cs="Arial"/>
          <w:sz w:val="24"/>
          <w:szCs w:val="24"/>
          <w:lang w:eastAsia="en-GB"/>
        </w:rPr>
        <w:t>, N.F. (2019) ‘Causes and effects of staff turnover in the hospitality industry: A literature review’, African Journal of Hospitality, Tourism and Leisure, 8(3), pp. 1-15.</w:t>
      </w:r>
    </w:p>
    <w:p w14:paraId="7983CB31" w14:textId="5252835F"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Font, X. and McCabe, S. (2017) ‘Sustainability and marketing in tourism: Its context, paradoxes, approaches, and potential’, Journal of Sustainable Tourism, 25(7), pp. 869-883.</w:t>
      </w:r>
    </w:p>
    <w:p w14:paraId="6D3B9674" w14:textId="0D483378" w:rsidR="007F546D" w:rsidRPr="00304344" w:rsidRDefault="007F54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Francis, T. and Hoefel, F. (2018). True Gen: Generation Z and Its Implications for Companies. [online] McKinsey &amp; Company. Available at: https://www.mckinsey.com/industries/consumer-packaged-goods/our-insights/true-gen-generation-z-and-its-implications-for-companies.</w:t>
      </w:r>
    </w:p>
    <w:p w14:paraId="21DFE76B" w14:textId="4286BC56"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proofErr w:type="spellStart"/>
      <w:r w:rsidRPr="00304344">
        <w:rPr>
          <w:rFonts w:ascii="Arial" w:hAnsi="Arial" w:cs="Arial"/>
          <w:sz w:val="24"/>
          <w:szCs w:val="24"/>
          <w:lang w:eastAsia="en-GB"/>
        </w:rPr>
        <w:t>Garavan</w:t>
      </w:r>
      <w:proofErr w:type="spellEnd"/>
      <w:r w:rsidRPr="00304344">
        <w:rPr>
          <w:rFonts w:ascii="Arial" w:hAnsi="Arial" w:cs="Arial"/>
          <w:sz w:val="24"/>
          <w:szCs w:val="24"/>
          <w:lang w:eastAsia="en-GB"/>
        </w:rPr>
        <w:t>, T., Carbery, R. and Rock, A. (2012) ‘Mapping talent development: Definition, scope and architecture’, European Journal of Training and Development, 36(1), pp. 5-24.</w:t>
      </w:r>
    </w:p>
    <w:p w14:paraId="2A8DEBDB" w14:textId="2B4E5EDD" w:rsidR="006C7715" w:rsidRPr="00304344" w:rsidRDefault="006C7715"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GLI. (n.d.). Employment &amp; Labour Laws and Regulations | UK. [online] Available at: https://www.globallegalinsights.com/practice-areas/employment-and-labour-laws-and-regulations/united-kingdom/.</w:t>
      </w:r>
    </w:p>
    <w:p w14:paraId="7B19CCD9" w14:textId="45F40D80"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González-Rodríguez, M.R., Martín-Tapia, I. and De La Torre, C. (2020) ‘Corporate social responsibility and performance in the hotel industry’, International Journal of Hospitality Management, 89, pp. 1-12.</w:t>
      </w:r>
    </w:p>
    <w:p w14:paraId="24EA7428" w14:textId="070996EA"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 xml:space="preserve">GOV.UK (n.d.) Tourism and the Economy of Switzerland. Available at: www.gov.uk/tourism-switzerland </w:t>
      </w:r>
    </w:p>
    <w:p w14:paraId="5A2A57CC" w14:textId="15EF4CFA"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Gurl, E. (2017) ‘Swot analysis: A theoretical review’, Journal of International Social Research, 10(51), pp. 994-1006.</w:t>
      </w:r>
    </w:p>
    <w:p w14:paraId="65B3A305" w14:textId="1868CE9E"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Goleman, D., Boyatzis, R. and McKee, A. (2013) Primal Leadership: Unleashing the Power of Emotional Intelligence. Boston: Harvard Business Review Press.</w:t>
      </w:r>
    </w:p>
    <w:p w14:paraId="0DF18362" w14:textId="31959492"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 xml:space="preserve">Han, H. (2020) ‘Theory of planned </w:t>
      </w:r>
      <w:proofErr w:type="spellStart"/>
      <w:r w:rsidRPr="00304344">
        <w:rPr>
          <w:rFonts w:ascii="Arial" w:hAnsi="Arial" w:cs="Arial"/>
          <w:sz w:val="24"/>
          <w:szCs w:val="24"/>
          <w:lang w:eastAsia="en-GB"/>
        </w:rPr>
        <w:t>behavior</w:t>
      </w:r>
      <w:proofErr w:type="spellEnd"/>
      <w:r w:rsidRPr="00304344">
        <w:rPr>
          <w:rFonts w:ascii="Arial" w:hAnsi="Arial" w:cs="Arial"/>
          <w:sz w:val="24"/>
          <w:szCs w:val="24"/>
          <w:lang w:eastAsia="en-GB"/>
        </w:rPr>
        <w:t>: Sustainability perspectives in the luxury hotel industry’, Journal of Cleaner Production, 256, pp. 1-14.</w:t>
      </w:r>
    </w:p>
    <w:p w14:paraId="020E82D0" w14:textId="07CB34EE"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Han, H., Yu, J. and Kim, W. (2019) ‘Environmental corporate social responsibility and the green practices of hotel firms’, International Journal of Hospitality Management, 77, pp. 306-315.</w:t>
      </w:r>
    </w:p>
    <w:p w14:paraId="4DC70E32" w14:textId="19BA4469"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Hill, E.J., Hawkins, A.J., Ferris, M. and Weitzman, M. (2008) ‘Finding an extra day a week: The positive influence of perceived job flexibility on work and family life balance’, Family Relations, 57(3), pp. 249-258.</w:t>
      </w:r>
    </w:p>
    <w:p w14:paraId="6FEFB6B7" w14:textId="19DF4198"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Holand Jr, G. (2024) ‘Employee retention strategies in the hospitality sector’, Journal of Human Resource Management, 19(2), pp. 112-129.</w:t>
      </w:r>
    </w:p>
    <w:p w14:paraId="5AD9268F" w14:textId="4E88C9BF" w:rsidR="00304344" w:rsidRPr="00304344" w:rsidRDefault="00304344"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Holston-</w:t>
      </w:r>
      <w:proofErr w:type="spellStart"/>
      <w:r w:rsidRPr="00304344">
        <w:rPr>
          <w:rFonts w:ascii="Arial" w:hAnsi="Arial" w:cs="Arial"/>
          <w:sz w:val="24"/>
          <w:szCs w:val="24"/>
          <w:lang w:eastAsia="en-GB"/>
        </w:rPr>
        <w:t>Okae</w:t>
      </w:r>
      <w:proofErr w:type="spellEnd"/>
      <w:r w:rsidRPr="00304344">
        <w:rPr>
          <w:rFonts w:ascii="Arial" w:hAnsi="Arial" w:cs="Arial"/>
          <w:sz w:val="24"/>
          <w:szCs w:val="24"/>
          <w:lang w:eastAsia="en-GB"/>
        </w:rPr>
        <w:t>, B.L., 2018. The effect of employee turnover in the hospitality industry: Quantitative correlational study. International Journal of Learning and Development, 8(1), pp.156-183.</w:t>
      </w:r>
    </w:p>
    <w:p w14:paraId="1DDFBF6E" w14:textId="24E428B5"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IRENA (2023) ‘Economic trends and tourism in Switzerland’, International Renewable Energy Agency Report, 32(4), pp. 45-62.</w:t>
      </w:r>
    </w:p>
    <w:p w14:paraId="70953685" w14:textId="5FFA5BFA"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proofErr w:type="spellStart"/>
      <w:r w:rsidRPr="00304344">
        <w:rPr>
          <w:rFonts w:ascii="Arial" w:hAnsi="Arial" w:cs="Arial"/>
          <w:sz w:val="24"/>
          <w:szCs w:val="24"/>
          <w:lang w:eastAsia="en-GB"/>
        </w:rPr>
        <w:t>Jehanzeb</w:t>
      </w:r>
      <w:proofErr w:type="spellEnd"/>
      <w:r w:rsidRPr="00304344">
        <w:rPr>
          <w:rFonts w:ascii="Arial" w:hAnsi="Arial" w:cs="Arial"/>
          <w:sz w:val="24"/>
          <w:szCs w:val="24"/>
          <w:lang w:eastAsia="en-GB"/>
        </w:rPr>
        <w:t>, K. and Bashir, N.A. (2013) ‘Training and development program and its benefits to employee and organization: A conceptual study’, European Journal of Business and Management, 5(2), pp. 243-252.</w:t>
      </w:r>
    </w:p>
    <w:p w14:paraId="2E881D7C" w14:textId="22A776D0"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Johnson, S.K., Kirk, J., Keil, M. and Schaefer, D. (2020) ‘Diverse paths to entrepreneurship: The role of human capital, social capital, and gender’, Entrepreneurship Theory and Practice, 44(6), pp. 1176-1200.</w:t>
      </w:r>
    </w:p>
    <w:p w14:paraId="481EBDAE" w14:textId="0D85E01C"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Kelliher, C. and Anderson, D. (2010) ‘Doing more with less? Flexible working practices and the intensification of work’, Human Relations, 63(1), pp. 83-106.</w:t>
      </w:r>
    </w:p>
    <w:p w14:paraId="169E4482" w14:textId="15947B54" w:rsidR="006C7715" w:rsidRPr="00304344" w:rsidRDefault="006C7715"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Kim, H., So, K.K.F., Shin, S. and Li, J., 2025. Artificial intelligence in hospitality and tourism: Insights from industry practices, research literature, and expert opinions. Journal of Hospitality &amp; Tourism Research, 49(2), pp.366-385.</w:t>
      </w:r>
    </w:p>
    <w:p w14:paraId="1665075E" w14:textId="63F33DC7"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proofErr w:type="spellStart"/>
      <w:r w:rsidRPr="00304344">
        <w:rPr>
          <w:rFonts w:ascii="Arial" w:hAnsi="Arial" w:cs="Arial"/>
          <w:sz w:val="24"/>
          <w:szCs w:val="24"/>
          <w:lang w:eastAsia="en-GB"/>
        </w:rPr>
        <w:t>Kossek</w:t>
      </w:r>
      <w:proofErr w:type="spellEnd"/>
      <w:r w:rsidRPr="00304344">
        <w:rPr>
          <w:rFonts w:ascii="Arial" w:hAnsi="Arial" w:cs="Arial"/>
          <w:sz w:val="24"/>
          <w:szCs w:val="24"/>
          <w:lang w:eastAsia="en-GB"/>
        </w:rPr>
        <w:t xml:space="preserve">, E.E. and Thompson, R.J. (2016) ‘Work-life balance practices and organizational culture: An integration of work and family research’, Journal of Organizational </w:t>
      </w:r>
      <w:proofErr w:type="spellStart"/>
      <w:r w:rsidRPr="00304344">
        <w:rPr>
          <w:rFonts w:ascii="Arial" w:hAnsi="Arial" w:cs="Arial"/>
          <w:sz w:val="24"/>
          <w:szCs w:val="24"/>
          <w:lang w:eastAsia="en-GB"/>
        </w:rPr>
        <w:t>Behavior</w:t>
      </w:r>
      <w:proofErr w:type="spellEnd"/>
      <w:r w:rsidRPr="00304344">
        <w:rPr>
          <w:rFonts w:ascii="Arial" w:hAnsi="Arial" w:cs="Arial"/>
          <w:sz w:val="24"/>
          <w:szCs w:val="24"/>
          <w:lang w:eastAsia="en-GB"/>
        </w:rPr>
        <w:t>, 37(1), pp. 7-15.</w:t>
      </w:r>
    </w:p>
    <w:p w14:paraId="5549CC3B" w14:textId="0595F08F"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Kotter, J.P. (2012) Leading Change. Boston: Harvard Business Review Press.</w:t>
      </w:r>
    </w:p>
    <w:p w14:paraId="516CAD46" w14:textId="0AEBF1DF" w:rsidR="006C7715" w:rsidRPr="00304344" w:rsidRDefault="006C7715"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Kumar, S., 2022. The impact of talent management practices on employee turnover and retention intentions. Global Business and Organizational Excellence, 41(2), pp.21-34.</w:t>
      </w:r>
    </w:p>
    <w:p w14:paraId="535E0A7C" w14:textId="643A5BB0"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proofErr w:type="spellStart"/>
      <w:r w:rsidRPr="00304344">
        <w:rPr>
          <w:rFonts w:ascii="Arial" w:hAnsi="Arial" w:cs="Arial"/>
          <w:sz w:val="24"/>
          <w:szCs w:val="24"/>
          <w:lang w:eastAsia="en-GB"/>
        </w:rPr>
        <w:t>Kuvaas</w:t>
      </w:r>
      <w:proofErr w:type="spellEnd"/>
      <w:r w:rsidRPr="00304344">
        <w:rPr>
          <w:rFonts w:ascii="Arial" w:hAnsi="Arial" w:cs="Arial"/>
          <w:sz w:val="24"/>
          <w:szCs w:val="24"/>
          <w:lang w:eastAsia="en-GB"/>
        </w:rPr>
        <w:t xml:space="preserve">, B. (2006) ‘Work performance, affective commitment, and work motivation: The roles of pay satisfaction and motivation’, Journal of Organizational </w:t>
      </w:r>
      <w:proofErr w:type="spellStart"/>
      <w:r w:rsidRPr="00304344">
        <w:rPr>
          <w:rFonts w:ascii="Arial" w:hAnsi="Arial" w:cs="Arial"/>
          <w:sz w:val="24"/>
          <w:szCs w:val="24"/>
          <w:lang w:eastAsia="en-GB"/>
        </w:rPr>
        <w:t>Behavior</w:t>
      </w:r>
      <w:proofErr w:type="spellEnd"/>
      <w:r w:rsidRPr="00304344">
        <w:rPr>
          <w:rFonts w:ascii="Arial" w:hAnsi="Arial" w:cs="Arial"/>
          <w:sz w:val="24"/>
          <w:szCs w:val="24"/>
          <w:lang w:eastAsia="en-GB"/>
        </w:rPr>
        <w:t>, 27(3), pp. 365-385.</w:t>
      </w:r>
    </w:p>
    <w:p w14:paraId="7A61AC66" w14:textId="2DDC628E"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Mathis, R.L. and Jackson, J.H. (2011) Human Resource Management. Mason: Cengage Learning.</w:t>
      </w:r>
    </w:p>
    <w:p w14:paraId="2BA34063" w14:textId="7ABD9F79"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Michael, N. and Fotiadis, A. (2022) ‘Turnover rates in the hotel industry: A global perspective’, International Journal of Hospitality and Tourism Studies, 12(1), pp. 15-28.</w:t>
      </w:r>
    </w:p>
    <w:p w14:paraId="15FB4D8B" w14:textId="579BE682"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Morrison, A. (2022) ‘Sustainable tourism and hospitality industry trends’, Journal of Hospitality and Tourism Management, 19(3), pp. 56-74.</w:t>
      </w:r>
    </w:p>
    <w:p w14:paraId="6490CCC4" w14:textId="1656B7D5" w:rsidR="0011036A" w:rsidRPr="00304344" w:rsidRDefault="0011036A"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 xml:space="preserve">Ren, H., Zhu, M. and Lyu, B. (2024). Greening the Economy from the Ground Up: How the Minimum Wage Affects Firms’ Pollution Emissions in China. Sustainability, [online] 16(14), p.6020. </w:t>
      </w:r>
      <w:proofErr w:type="spellStart"/>
      <w:r w:rsidRPr="00304344">
        <w:rPr>
          <w:rFonts w:ascii="Arial" w:hAnsi="Arial" w:cs="Arial"/>
          <w:sz w:val="24"/>
          <w:szCs w:val="24"/>
          <w:lang w:eastAsia="en-GB"/>
        </w:rPr>
        <w:t>doi:https</w:t>
      </w:r>
      <w:proofErr w:type="spellEnd"/>
      <w:r w:rsidRPr="00304344">
        <w:rPr>
          <w:rFonts w:ascii="Arial" w:hAnsi="Arial" w:cs="Arial"/>
          <w:sz w:val="24"/>
          <w:szCs w:val="24"/>
          <w:lang w:eastAsia="en-GB"/>
        </w:rPr>
        <w:t>://doi.org/10.3390/su16146020.</w:t>
      </w:r>
    </w:p>
    <w:p w14:paraId="2D0008BA" w14:textId="12E6E551"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proofErr w:type="spellStart"/>
      <w:r w:rsidRPr="00304344">
        <w:rPr>
          <w:rFonts w:ascii="Arial" w:hAnsi="Arial" w:cs="Arial"/>
          <w:sz w:val="24"/>
          <w:szCs w:val="24"/>
          <w:lang w:eastAsia="en-GB"/>
        </w:rPr>
        <w:t>Pacce</w:t>
      </w:r>
      <w:proofErr w:type="spellEnd"/>
      <w:r w:rsidRPr="00304344">
        <w:rPr>
          <w:rFonts w:ascii="Arial" w:hAnsi="Arial" w:cs="Arial"/>
          <w:sz w:val="24"/>
          <w:szCs w:val="24"/>
          <w:lang w:eastAsia="en-GB"/>
        </w:rPr>
        <w:t>, M., Río, S. and Sánchez, R. (2022) ‘Inflationary pressures and business strategies in the European tourism sector’, Tourism Economics, 28(4), pp. 1083-1102.</w:t>
      </w:r>
    </w:p>
    <w:p w14:paraId="15E599E3" w14:textId="4624B9E1" w:rsidR="007F546D" w:rsidRPr="00304344" w:rsidRDefault="007F54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Said, S., 2023. The role of artificial intelligence (AI) and data analytics in enhancing guest personalization in hospitality. Journal of Modern Hospitality, 2(1), pp.1-13.</w:t>
      </w:r>
    </w:p>
    <w:p w14:paraId="0DE6DCC8" w14:textId="380ABD6B" w:rsidR="003446B7" w:rsidRPr="00304344" w:rsidRDefault="003446B7"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 xml:space="preserve">Santos, V., Simão, P., Reis, I., Sampaio, M.C., Martinho, F. and Sousa, B. (2023). Ethics and Sustainability in Hospitality Employer Branding. Administrative Sciences, [online] 13(9), p.202. </w:t>
      </w:r>
      <w:proofErr w:type="spellStart"/>
      <w:r w:rsidRPr="00304344">
        <w:rPr>
          <w:rFonts w:ascii="Arial" w:hAnsi="Arial" w:cs="Arial"/>
          <w:sz w:val="24"/>
          <w:szCs w:val="24"/>
          <w:lang w:eastAsia="en-GB"/>
        </w:rPr>
        <w:t>doi:https</w:t>
      </w:r>
      <w:proofErr w:type="spellEnd"/>
      <w:r w:rsidRPr="00304344">
        <w:rPr>
          <w:rFonts w:ascii="Arial" w:hAnsi="Arial" w:cs="Arial"/>
          <w:sz w:val="24"/>
          <w:szCs w:val="24"/>
          <w:lang w:eastAsia="en-GB"/>
        </w:rPr>
        <w:t>://doi.org/10.3390/admsci13090202.</w:t>
      </w:r>
    </w:p>
    <w:p w14:paraId="5137C46D" w14:textId="14EA2F59" w:rsidR="0041335C" w:rsidRPr="00304344" w:rsidRDefault="0041335C"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Seyfi, S., Vo-Thanh, T. and Zaman, M., 2024. Hospitality in the age of Gen Z: a critical reflection on evolving customer and workforce expectations. International Journal of Contemporary Hospitality Management, 36(13), pp.118-134.</w:t>
      </w:r>
    </w:p>
    <w:p w14:paraId="543B4E1F" w14:textId="3EF810F8"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Singh, D., Cranage, D. and Lee, S. (2014) ‘Green strategies for hotels: Estimation of recycling benefits’, International Journal of Hospitality Management, 43, pp. 13-22.</w:t>
      </w:r>
    </w:p>
    <w:p w14:paraId="35613F91" w14:textId="315EF07E" w:rsidR="006C7715" w:rsidRPr="00304344" w:rsidRDefault="006C7715"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Singh, A.B., Mishra, Y. and Yadav, S., 2024. Toward Sustainability: Interventions for Implementing Energy-Efficient Systems into Hotel Buildings. Engineering Proceedings, 67(1), p.80.</w:t>
      </w:r>
    </w:p>
    <w:p w14:paraId="45C759CC" w14:textId="4316AC5C" w:rsidR="0011036A" w:rsidRPr="00304344" w:rsidRDefault="0011036A"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Sone, R. (2025). Switzerland Tourism Decline: Causes, Future Outlook and Strategic Solutions. [online] Ehl.edu. Available at: https://hospitalityinsights.ehl.edu/strategic-solutions-switzerland-tourism.</w:t>
      </w:r>
    </w:p>
    <w:p w14:paraId="0D23696A" w14:textId="7AF56979"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 xml:space="preserve">The Chedi. (n.d.). 5-Star Swiss Alps Hotel | The Chedi </w:t>
      </w:r>
      <w:proofErr w:type="spellStart"/>
      <w:r w:rsidRPr="00304344">
        <w:rPr>
          <w:rFonts w:ascii="Arial" w:hAnsi="Arial" w:cs="Arial"/>
          <w:sz w:val="24"/>
          <w:szCs w:val="24"/>
          <w:lang w:eastAsia="en-GB"/>
        </w:rPr>
        <w:t>Andermatt</w:t>
      </w:r>
      <w:proofErr w:type="spellEnd"/>
      <w:r w:rsidRPr="00304344">
        <w:rPr>
          <w:rFonts w:ascii="Arial" w:hAnsi="Arial" w:cs="Arial"/>
          <w:sz w:val="24"/>
          <w:szCs w:val="24"/>
          <w:lang w:eastAsia="en-GB"/>
        </w:rPr>
        <w:t>. [online] Available at: https://www.thechediandermatt.com/.</w:t>
      </w:r>
    </w:p>
    <w:p w14:paraId="283DC32B" w14:textId="4DAFCAF1"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proofErr w:type="spellStart"/>
      <w:r w:rsidRPr="00304344">
        <w:rPr>
          <w:rFonts w:ascii="Arial" w:hAnsi="Arial" w:cs="Arial"/>
          <w:sz w:val="24"/>
          <w:szCs w:val="24"/>
          <w:lang w:eastAsia="en-GB"/>
        </w:rPr>
        <w:t>Tufft</w:t>
      </w:r>
      <w:proofErr w:type="spellEnd"/>
      <w:r w:rsidRPr="00304344">
        <w:rPr>
          <w:rFonts w:ascii="Arial" w:hAnsi="Arial" w:cs="Arial"/>
          <w:sz w:val="24"/>
          <w:szCs w:val="24"/>
          <w:lang w:eastAsia="en-GB"/>
        </w:rPr>
        <w:t>, H., Oliver, T. and Simmons, R. (2024) ‘Experiential travel and sustainable tourism: Emerging consumer expectations’, Journal of Travel Research, 64(2), pp. 92-107.</w:t>
      </w:r>
    </w:p>
    <w:p w14:paraId="7A568CF5" w14:textId="6C095903"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Van Dam, K. (2013) ‘Employee adaptability and job satisfaction: The role of motivation and work-life balance’, Journal of Occupational and Organizational Psychology, 86(2), pp. 129-148.</w:t>
      </w:r>
    </w:p>
    <w:p w14:paraId="1EBFB90D" w14:textId="4E19B4B8" w:rsidR="00454B04" w:rsidRPr="00304344" w:rsidRDefault="00454B04" w:rsidP="00304344">
      <w:pPr>
        <w:pStyle w:val="ListParagraph"/>
        <w:numPr>
          <w:ilvl w:val="0"/>
          <w:numId w:val="4"/>
        </w:numPr>
        <w:spacing w:line="360" w:lineRule="auto"/>
        <w:jc w:val="both"/>
        <w:rPr>
          <w:rFonts w:ascii="Arial" w:hAnsi="Arial" w:cs="Arial"/>
          <w:sz w:val="24"/>
          <w:szCs w:val="24"/>
          <w:lang w:eastAsia="en-GB"/>
        </w:rPr>
      </w:pPr>
      <w:proofErr w:type="spellStart"/>
      <w:r w:rsidRPr="00304344">
        <w:rPr>
          <w:rFonts w:ascii="Arial" w:hAnsi="Arial" w:cs="Arial"/>
          <w:sz w:val="24"/>
          <w:szCs w:val="24"/>
          <w:lang w:eastAsia="en-GB"/>
        </w:rPr>
        <w:t>Velaoras</w:t>
      </w:r>
      <w:proofErr w:type="spellEnd"/>
      <w:r w:rsidRPr="00304344">
        <w:rPr>
          <w:rFonts w:ascii="Arial" w:hAnsi="Arial" w:cs="Arial"/>
          <w:sz w:val="24"/>
          <w:szCs w:val="24"/>
          <w:lang w:eastAsia="en-GB"/>
        </w:rPr>
        <w:t xml:space="preserve">, K., </w:t>
      </w:r>
      <w:proofErr w:type="spellStart"/>
      <w:r w:rsidRPr="00304344">
        <w:rPr>
          <w:rFonts w:ascii="Arial" w:hAnsi="Arial" w:cs="Arial"/>
          <w:sz w:val="24"/>
          <w:szCs w:val="24"/>
          <w:lang w:eastAsia="en-GB"/>
        </w:rPr>
        <w:t>Menegaki</w:t>
      </w:r>
      <w:proofErr w:type="spellEnd"/>
      <w:r w:rsidRPr="00304344">
        <w:rPr>
          <w:rFonts w:ascii="Arial" w:hAnsi="Arial" w:cs="Arial"/>
          <w:sz w:val="24"/>
          <w:szCs w:val="24"/>
          <w:lang w:eastAsia="en-GB"/>
        </w:rPr>
        <w:t xml:space="preserve">, A.N., Polyzos, S. and </w:t>
      </w:r>
      <w:proofErr w:type="spellStart"/>
      <w:r w:rsidRPr="00304344">
        <w:rPr>
          <w:rFonts w:ascii="Arial" w:hAnsi="Arial" w:cs="Arial"/>
          <w:sz w:val="24"/>
          <w:szCs w:val="24"/>
          <w:lang w:eastAsia="en-GB"/>
        </w:rPr>
        <w:t>Gotzamani</w:t>
      </w:r>
      <w:proofErr w:type="spellEnd"/>
      <w:r w:rsidRPr="00304344">
        <w:rPr>
          <w:rFonts w:ascii="Arial" w:hAnsi="Arial" w:cs="Arial"/>
          <w:sz w:val="24"/>
          <w:szCs w:val="24"/>
          <w:lang w:eastAsia="en-GB"/>
        </w:rPr>
        <w:t xml:space="preserve">, K. (2025). The Role of Environmental Certification in the Hospitality Industry: Assessing Sustainability, Consumer Preferences, and the Economic Impact. Sustainability, [online] 17(2), p.650. </w:t>
      </w:r>
      <w:proofErr w:type="spellStart"/>
      <w:r w:rsidRPr="00304344">
        <w:rPr>
          <w:rFonts w:ascii="Arial" w:hAnsi="Arial" w:cs="Arial"/>
          <w:sz w:val="24"/>
          <w:szCs w:val="24"/>
          <w:lang w:eastAsia="en-GB"/>
        </w:rPr>
        <w:t>doi:https</w:t>
      </w:r>
      <w:proofErr w:type="spellEnd"/>
      <w:r w:rsidRPr="00304344">
        <w:rPr>
          <w:rFonts w:ascii="Arial" w:hAnsi="Arial" w:cs="Arial"/>
          <w:sz w:val="24"/>
          <w:szCs w:val="24"/>
          <w:lang w:eastAsia="en-GB"/>
        </w:rPr>
        <w:t>://doi.org/10.3390/su17020650.</w:t>
      </w:r>
    </w:p>
    <w:p w14:paraId="41E3A95A" w14:textId="3DA8C3A6"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Wang, C., Goh, K., Fong, T. and Law, R. (2012) ‘Sustainable operations in hospitality: A case study of eco-friendly initiatives’, Tourism Management, 34(1), pp. 103-112.</w:t>
      </w:r>
    </w:p>
    <w:p w14:paraId="67BA5D91" w14:textId="4BE0E8BE" w:rsidR="00993E53" w:rsidRPr="00304344" w:rsidRDefault="00993E53"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Weideman, M. and Hofmeyr, K.B., 2020. The influence of flexible work arrangements on employee engagement: An exploratory study. SA Journal of Human Resource Management, 18(1), pp.1-18.</w:t>
      </w:r>
    </w:p>
    <w:p w14:paraId="55E4BF0E" w14:textId="77777777" w:rsidR="00A85D6D" w:rsidRPr="00304344" w:rsidRDefault="00A85D6D" w:rsidP="00304344">
      <w:pPr>
        <w:pStyle w:val="ListParagraph"/>
        <w:numPr>
          <w:ilvl w:val="0"/>
          <w:numId w:val="4"/>
        </w:numPr>
        <w:spacing w:line="360" w:lineRule="auto"/>
        <w:jc w:val="both"/>
        <w:rPr>
          <w:rFonts w:ascii="Arial" w:hAnsi="Arial" w:cs="Arial"/>
          <w:sz w:val="24"/>
          <w:szCs w:val="24"/>
          <w:lang w:eastAsia="en-GB"/>
        </w:rPr>
      </w:pPr>
      <w:r w:rsidRPr="00304344">
        <w:rPr>
          <w:rFonts w:ascii="Arial" w:hAnsi="Arial" w:cs="Arial"/>
          <w:sz w:val="24"/>
          <w:szCs w:val="24"/>
          <w:lang w:eastAsia="en-GB"/>
        </w:rPr>
        <w:t>Zaken, H. (2017) ‘Labour market policies in European tourism’, Journal of European Policy Studies, 15(3), pp. 205-221.</w:t>
      </w:r>
    </w:p>
    <w:p w14:paraId="0142CDEE" w14:textId="77777777" w:rsidR="00A85D6D" w:rsidRPr="00A85D6D" w:rsidRDefault="00A85D6D" w:rsidP="0011036A">
      <w:pPr>
        <w:rPr>
          <w:lang w:eastAsia="en-GB"/>
        </w:rPr>
      </w:pPr>
    </w:p>
    <w:sectPr w:rsidR="00A85D6D" w:rsidRPr="00A85D6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80592" w14:textId="77777777" w:rsidR="00FE27CC" w:rsidRDefault="00FE27CC" w:rsidP="00BC1935">
      <w:pPr>
        <w:spacing w:after="0" w:line="240" w:lineRule="auto"/>
      </w:pPr>
      <w:r>
        <w:separator/>
      </w:r>
    </w:p>
  </w:endnote>
  <w:endnote w:type="continuationSeparator" w:id="0">
    <w:p w14:paraId="33030031" w14:textId="77777777" w:rsidR="00FE27CC" w:rsidRDefault="00FE27CC" w:rsidP="00BC1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8225624"/>
      <w:docPartObj>
        <w:docPartGallery w:val="Page Numbers (Bottom of Page)"/>
        <w:docPartUnique/>
      </w:docPartObj>
    </w:sdtPr>
    <w:sdtEndPr>
      <w:rPr>
        <w:noProof/>
      </w:rPr>
    </w:sdtEndPr>
    <w:sdtContent>
      <w:p w14:paraId="2F305317" w14:textId="0091AD16" w:rsidR="00BC1935" w:rsidRDefault="00BC19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6C97F8" w14:textId="77777777" w:rsidR="00BC1935" w:rsidRDefault="00BC19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1E8491" w14:textId="77777777" w:rsidR="00FE27CC" w:rsidRDefault="00FE27CC" w:rsidP="00BC1935">
      <w:pPr>
        <w:spacing w:after="0" w:line="240" w:lineRule="auto"/>
      </w:pPr>
      <w:r>
        <w:separator/>
      </w:r>
    </w:p>
  </w:footnote>
  <w:footnote w:type="continuationSeparator" w:id="0">
    <w:p w14:paraId="6EAFC37D" w14:textId="77777777" w:rsidR="00FE27CC" w:rsidRDefault="00FE27CC" w:rsidP="00BC19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A605F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53AC228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6E6910B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7D3E0B6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533298361">
    <w:abstractNumId w:val="2"/>
  </w:num>
  <w:num w:numId="2" w16cid:durableId="2072654362">
    <w:abstractNumId w:val="1"/>
  </w:num>
  <w:num w:numId="3" w16cid:durableId="974528253">
    <w:abstractNumId w:val="0"/>
  </w:num>
  <w:num w:numId="4" w16cid:durableId="17909273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935"/>
    <w:rsid w:val="000E7886"/>
    <w:rsid w:val="0011036A"/>
    <w:rsid w:val="00304344"/>
    <w:rsid w:val="003446B7"/>
    <w:rsid w:val="0041335C"/>
    <w:rsid w:val="00454B04"/>
    <w:rsid w:val="004C2622"/>
    <w:rsid w:val="006C7715"/>
    <w:rsid w:val="007765DC"/>
    <w:rsid w:val="007B0CC3"/>
    <w:rsid w:val="007F546D"/>
    <w:rsid w:val="00993E53"/>
    <w:rsid w:val="00A85D6D"/>
    <w:rsid w:val="00AE24CF"/>
    <w:rsid w:val="00B151A8"/>
    <w:rsid w:val="00BC1935"/>
    <w:rsid w:val="00C82D1F"/>
    <w:rsid w:val="00DC18B9"/>
    <w:rsid w:val="00E966E5"/>
    <w:rsid w:val="00FE2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A5276"/>
  <w15:chartTrackingRefBased/>
  <w15:docId w15:val="{772BA4BB-AA3A-4D69-9B1B-340AC687E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BC19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19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19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19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19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19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19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19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BC19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19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19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19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19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19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19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1935"/>
    <w:rPr>
      <w:rFonts w:eastAsiaTheme="majorEastAsia" w:cstheme="majorBidi"/>
      <w:color w:val="272727" w:themeColor="text1" w:themeTint="D8"/>
    </w:rPr>
  </w:style>
  <w:style w:type="paragraph" w:styleId="Title">
    <w:name w:val="Title"/>
    <w:basedOn w:val="Normal"/>
    <w:next w:val="Normal"/>
    <w:link w:val="TitleChar"/>
    <w:uiPriority w:val="10"/>
    <w:qFormat/>
    <w:rsid w:val="00BC19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19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19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19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1935"/>
    <w:pPr>
      <w:spacing w:before="160"/>
      <w:jc w:val="center"/>
    </w:pPr>
    <w:rPr>
      <w:i/>
      <w:iCs/>
      <w:color w:val="404040" w:themeColor="text1" w:themeTint="BF"/>
    </w:rPr>
  </w:style>
  <w:style w:type="character" w:customStyle="1" w:styleId="QuoteChar">
    <w:name w:val="Quote Char"/>
    <w:basedOn w:val="DefaultParagraphFont"/>
    <w:link w:val="Quote"/>
    <w:uiPriority w:val="29"/>
    <w:rsid w:val="00BC1935"/>
    <w:rPr>
      <w:i/>
      <w:iCs/>
      <w:color w:val="404040" w:themeColor="text1" w:themeTint="BF"/>
    </w:rPr>
  </w:style>
  <w:style w:type="paragraph" w:styleId="ListParagraph">
    <w:name w:val="List Paragraph"/>
    <w:basedOn w:val="Normal"/>
    <w:uiPriority w:val="34"/>
    <w:qFormat/>
    <w:rsid w:val="00BC1935"/>
    <w:pPr>
      <w:ind w:left="720"/>
      <w:contextualSpacing/>
    </w:pPr>
  </w:style>
  <w:style w:type="character" w:styleId="IntenseEmphasis">
    <w:name w:val="Intense Emphasis"/>
    <w:basedOn w:val="DefaultParagraphFont"/>
    <w:uiPriority w:val="21"/>
    <w:qFormat/>
    <w:rsid w:val="00BC1935"/>
    <w:rPr>
      <w:i/>
      <w:iCs/>
      <w:color w:val="0F4761" w:themeColor="accent1" w:themeShade="BF"/>
    </w:rPr>
  </w:style>
  <w:style w:type="paragraph" w:styleId="IntenseQuote">
    <w:name w:val="Intense Quote"/>
    <w:basedOn w:val="Normal"/>
    <w:next w:val="Normal"/>
    <w:link w:val="IntenseQuoteChar"/>
    <w:uiPriority w:val="30"/>
    <w:qFormat/>
    <w:rsid w:val="00BC19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1935"/>
    <w:rPr>
      <w:i/>
      <w:iCs/>
      <w:color w:val="0F4761" w:themeColor="accent1" w:themeShade="BF"/>
    </w:rPr>
  </w:style>
  <w:style w:type="character" w:styleId="IntenseReference">
    <w:name w:val="Intense Reference"/>
    <w:basedOn w:val="DefaultParagraphFont"/>
    <w:uiPriority w:val="32"/>
    <w:qFormat/>
    <w:rsid w:val="00BC1935"/>
    <w:rPr>
      <w:b/>
      <w:bCs/>
      <w:smallCaps/>
      <w:color w:val="0F4761" w:themeColor="accent1" w:themeShade="BF"/>
      <w:spacing w:val="5"/>
    </w:rPr>
  </w:style>
  <w:style w:type="paragraph" w:styleId="Header">
    <w:name w:val="header"/>
    <w:basedOn w:val="Normal"/>
    <w:link w:val="HeaderChar"/>
    <w:uiPriority w:val="99"/>
    <w:unhideWhenUsed/>
    <w:rsid w:val="00BC19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935"/>
  </w:style>
  <w:style w:type="paragraph" w:styleId="Footer">
    <w:name w:val="footer"/>
    <w:basedOn w:val="Normal"/>
    <w:link w:val="FooterChar"/>
    <w:uiPriority w:val="99"/>
    <w:unhideWhenUsed/>
    <w:rsid w:val="00BC19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935"/>
  </w:style>
  <w:style w:type="table" w:styleId="TableGrid">
    <w:name w:val="Table Grid"/>
    <w:basedOn w:val="TableNormal"/>
    <w:uiPriority w:val="39"/>
    <w:rsid w:val="00A85D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85D6D"/>
    <w:pPr>
      <w:outlineLvl w:val="9"/>
    </w:pPr>
    <w:rPr>
      <w:kern w:val="0"/>
      <w:lang w:val="en-US"/>
      <w14:ligatures w14:val="none"/>
    </w:rPr>
  </w:style>
  <w:style w:type="paragraph" w:styleId="TOC1">
    <w:name w:val="toc 1"/>
    <w:basedOn w:val="Normal"/>
    <w:next w:val="Normal"/>
    <w:autoRedefine/>
    <w:uiPriority w:val="39"/>
    <w:unhideWhenUsed/>
    <w:rsid w:val="00A85D6D"/>
    <w:pPr>
      <w:spacing w:after="100"/>
    </w:pPr>
  </w:style>
  <w:style w:type="character" w:styleId="Hyperlink">
    <w:name w:val="Hyperlink"/>
    <w:basedOn w:val="DefaultParagraphFont"/>
    <w:uiPriority w:val="99"/>
    <w:unhideWhenUsed/>
    <w:rsid w:val="00A85D6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208AD8-5F28-4959-87A7-7B6F67CD7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29</Pages>
  <Words>9361</Words>
  <Characters>53362</Characters>
  <Application>Microsoft Office Word</Application>
  <DocSecurity>0</DocSecurity>
  <Lines>444</Lines>
  <Paragraphs>125</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Executive summary </vt:lpstr>
      <vt:lpstr>Introduction </vt:lpstr>
      <vt:lpstr>Analysis</vt:lpstr>
      <vt:lpstr>Recommendations and Change Management</vt:lpstr>
      <vt:lpstr>KPI</vt:lpstr>
      <vt:lpstr>Potential Benefits and Associated Costs of Implementing Recommended Strategies</vt:lpstr>
      <vt:lpstr>Conclusion </vt:lpstr>
      <vt:lpstr>Action Plan </vt:lpstr>
      <vt:lpstr>References </vt:lpstr>
    </vt:vector>
  </TitlesOfParts>
  <Company/>
  <LinksUpToDate>false</LinksUpToDate>
  <CharactersWithSpaces>62598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2025-03-04T23:22:00Z</dcterms:created>
  <dcterms:modified xsi:type="dcterms:W3CDTF">2025-03-05T03:43:00Z</dcterms:modified>
</cp:coreProperties>
</file>