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F1EA9" w14:textId="77777777" w:rsidR="00B74099" w:rsidRDefault="00B74099" w:rsidP="00B74099"/>
    <w:p w14:paraId="3DA82883" w14:textId="77777777" w:rsidR="00B74099" w:rsidRPr="00B257BD" w:rsidRDefault="00B74099" w:rsidP="00B74099">
      <w:pPr>
        <w:rPr>
          <w:rFonts w:ascii="Arial" w:hAnsi="Arial" w:cs="Arial"/>
          <w:b/>
          <w:bCs/>
        </w:rPr>
      </w:pPr>
      <w:r w:rsidRPr="00B257BD">
        <w:rPr>
          <w:rFonts w:ascii="Arial" w:hAnsi="Arial" w:cs="Arial"/>
          <w:b/>
          <w:bCs/>
        </w:rPr>
        <w:t xml:space="preserve">Evaluate two key models of Evidence Based Policing (Critical Incident Decision-Making, SARA, POP, Hotspot etc.) using a real-life event as an example of where they have been used. </w:t>
      </w:r>
    </w:p>
    <w:p w14:paraId="772711BD" w14:textId="77777777" w:rsidR="00B74099" w:rsidRDefault="00B74099" w:rsidP="00B74099">
      <w:pPr>
        <w:rPr>
          <w:b/>
          <w:bCs/>
        </w:rPr>
      </w:pPr>
    </w:p>
    <w:p w14:paraId="30E06BEF" w14:textId="77777777" w:rsidR="00B74099" w:rsidRDefault="00B74099" w:rsidP="00B74099">
      <w:pPr>
        <w:rPr>
          <w:b/>
          <w:bCs/>
        </w:rPr>
      </w:pPr>
    </w:p>
    <w:p w14:paraId="2C99756F" w14:textId="77777777" w:rsidR="00B74099" w:rsidRDefault="00B74099" w:rsidP="00B74099">
      <w:r w:rsidRPr="00C76A9B">
        <w:t>Evidence</w:t>
      </w:r>
      <w:r>
        <w:t>-Based Policing (EBP) consists of using the best available research to understand risks, identify needs, and evaluate delivery in policing. Coined by Professor Lawrence Sherman (2002), EBP is essentially intended to “use the best evidence to shape the best practice”. This essay will focus Problem-Oriented Policing and the SARA model to evaluate the benefits of implementation as well as the learning outcomes post-intervention. This essay will also follow Blackstone’s Handbook for Policing Students (Bryant &amp; Bryant, 2020) use of the word “policing” rather than “the police” to separate the sets of processes used by a range of organisations as opposed to a specific institution, distinguished by Reiner (2000). This is also because this essay will use the case of a Buffalo solicitation project which combined input beyond the police department, but also the courts, the community, and other task forces.</w:t>
      </w:r>
    </w:p>
    <w:p w14:paraId="163AF35A" w14:textId="77777777" w:rsidR="00B74099" w:rsidRDefault="00B74099" w:rsidP="00B74099"/>
    <w:p w14:paraId="6E9676DE" w14:textId="77777777" w:rsidR="00B74099" w:rsidRDefault="00B74099" w:rsidP="00B74099">
      <w:r>
        <w:t xml:space="preserve">Problem-Oriented Policing (POP) originated in the late 1970’s due to the increased interest in improving the efficiency in policing. To evolve from the limitations of the post-World War II “three R’s” strategy - random patrol, rapid response, and reactive investigations – initially implemented to deter crime through the feeling of police omnipresence (Sherman, 2013), the POP model was conceptualised and tested, and is still regarded as a key aspect of policing and policing research in modern day (Wexler et al, 2001). It was Herman Goldstein in 1979 who identified ‘problems’ defined as clusters of related incidents. Goldstein developed a proactive policing strategy that researched the root cause of the crime and develop tailored responses. The main focus is to tackle crime and disorder by identifying the problem, analysing the problem, developing a specified response, and evaluating the effects of this response. </w:t>
      </w:r>
    </w:p>
    <w:p w14:paraId="1D5B252D" w14:textId="77777777" w:rsidR="00B74099" w:rsidRDefault="00B74099" w:rsidP="00B74099"/>
    <w:p w14:paraId="4CADF302" w14:textId="77777777" w:rsidR="00B74099" w:rsidRDefault="00B74099" w:rsidP="00B74099">
      <w:r>
        <w:t>POP approaches generally include tenets of the SARA model (Scanning, Analysis, Response, Assessment) as well as proving useful in Hotspot policing. The SARA approach, more specifically, focuses on dissecting the problem. Eck and Spelman (1987) developed this model using the basic foundations of problem-solving. The Scanning aspect includes: identifying, prioritising, and confirming the existence of the problem, developing broad goals, and selecting one for examination. To Analyse: find the conditions that precede and accompany the problem as well as aggravate it, determine the frequency of the problem, identify the consequences of it to the community. In Response: state specific goals by identifying relevant data, finding other communities with similar problems and responsible parties, brainstorm interventions, outline plans, and carry the plans out. For Assessment: determine whether the goals were achieved using the plans, if the plans were implemented accordingly and all its limitations, collect data, and conduct ongoing assessment to increase effectiveness and research. Looking into the SARA model, it is noticeable that it is essentially a detailed methodology that expands on the basic focus of POP.</w:t>
      </w:r>
    </w:p>
    <w:p w14:paraId="48506E64" w14:textId="77777777" w:rsidR="00B74099" w:rsidRDefault="00B74099" w:rsidP="00B74099"/>
    <w:p w14:paraId="50A7C3ED" w14:textId="77777777" w:rsidR="00B74099" w:rsidRDefault="00B74099" w:rsidP="00B74099">
      <w:r>
        <w:t xml:space="preserve">A noteworthy theory when analysing these models is the “crime triangle”. In order for a crime to exist, there must be an identifiable offender, a target/victim, and a location (Clarke </w:t>
      </w:r>
      <w:r>
        <w:lastRenderedPageBreak/>
        <w:t>&amp; Eck, 2013). There is growing evidence that crime and disorder clusters and may not be evenly distributed, this is better understood through repeat victimisation, repeat offenders, and repeat places (i.e., hotspots). In this case of repeat victimisation, there are different theories or concepts attributed to vulnerability, such as prejudice and discrimination (age, gender, race, etc.). With regards to repeat offenders, the scope beyond societal influences garners endless psychological theories, but in many cases it is due to the socio-economic setbacks. This includes inner-city neighbourhoods with relatively lower socio-economic upbringings, changes in economy and loss of employment, segregated and “ghettoised” public-housing projects with minimal guardianship (Tilley, 2013). This also accounts for repeated crimes in locations where crime outweighs the policing attention and abilities.</w:t>
      </w:r>
    </w:p>
    <w:p w14:paraId="4F142D85" w14:textId="77777777" w:rsidR="00B74099" w:rsidRDefault="00B74099" w:rsidP="00B74099"/>
    <w:p w14:paraId="542319A9" w14:textId="77777777" w:rsidR="00B74099" w:rsidRDefault="00B74099" w:rsidP="00B74099">
      <w:r>
        <w:t>This essay will use the Buffalo ‘prostitution project’ in 1997 sourced by a 2001 report of case studies by Herman Goldstein Award Winners (Wexler et al, 2001 p.15). The problem was identified in Buffalo, New York, where the police department received a high number of police calls, which ultimately led to a high number of (futile) arrests, in ‘street-level prostitution’. This issue itself was deemed as surface-level, and the wider implications consisting of heavy drug use and trafficking, assault, and neighbourhood “decay”. The Prostitution Task Force (PTF) received a grant to reduce solicitation, especially due to the rise in harassment and decline in property value as a result of this criminal element. The crime triangle was identified and conducted interviews with involved parties to carry out a plan of action. Essentially the incident was a matter of concern in 1996 due to the high volume of calls regarding street level solicitation.</w:t>
      </w:r>
    </w:p>
    <w:p w14:paraId="619C5A22" w14:textId="77777777" w:rsidR="00B74099" w:rsidRDefault="00B74099" w:rsidP="00B74099"/>
    <w:p w14:paraId="463AC037" w14:textId="77777777" w:rsidR="00B74099" w:rsidRDefault="00B74099" w:rsidP="00B74099">
      <w:r>
        <w:t>Scanning: Specific to the area of Allentown in Buffalo, New York, the calls the police department received would amount to almost 1000 in 1996. The local community complained of ‘street-prostitution’, noise, litter, and harassment. The root of the problem was identified as the prostitution and so funding was applied to examining and tackling this issue specifically.</w:t>
      </w:r>
    </w:p>
    <w:p w14:paraId="56ECCD1B" w14:textId="77777777" w:rsidR="00B74099" w:rsidRDefault="00B74099" w:rsidP="00B74099"/>
    <w:p w14:paraId="55855774" w14:textId="77777777" w:rsidR="00B74099" w:rsidRDefault="00B74099" w:rsidP="00B74099">
      <w:r>
        <w:t xml:space="preserve">Analysis: The methods used by the Buffalo Police Department consisted of working with the University at Buffalo to assess the three aspects of the Crime Triangle: offenders, victims, location. This included interviews and telephone surveys with 15 sex workers, 127 prostitution clients, 116 residents, police officers, and businesses (which were impacted by the low sales due to the criminal reputation of the area). In the case of offenders, using the statistics provided by the District Attorney’s office, repeat offenders constitute for 66% of sex workers arrested, where 8% of prostitution clients were repeat offenders. Interviews with both sides indicated that arrests were a greater deterrent for clients than for workers. Interestingly, the analysis categorised sex workers as both offenders and victims due to the history of trauma of sexual abuse.  Community members, residents, and businesses were classed as victims due to the wider implications of the criminal behaviour. As it was due to the community members calling and complaining, further analysis showed that a minority were responsible for major percentages of the calls, and there was a very vocal minority. As for location, the reasons offenders repeatedly targeted the Allentown area in Buffalo were due familiarity with the area and the traffic being a major help (to approach stopped cars), however notably, there was a 60% response rate to the easy access to drugs. </w:t>
      </w:r>
    </w:p>
    <w:p w14:paraId="7778E464" w14:textId="77777777" w:rsidR="00B74099" w:rsidRDefault="00B74099" w:rsidP="00B74099"/>
    <w:p w14:paraId="7CB2A0BB" w14:textId="77777777" w:rsidR="00D333EA" w:rsidRDefault="00D333EA" w:rsidP="00B74099"/>
    <w:p w14:paraId="3925B3E9" w14:textId="77777777" w:rsidR="00D333EA" w:rsidRDefault="00D333EA" w:rsidP="00B74099"/>
    <w:p w14:paraId="73DEB5B4" w14:textId="6BCD2C34" w:rsidR="00B74099" w:rsidRDefault="00B74099" w:rsidP="00B74099">
      <w:r>
        <w:t>Response: In review of the analysis, as well as considering responses from other areas, the Excellence in POP 2001 report outlined the 5 ‘solutions’ implemented by the Buffalo PTF.</w:t>
      </w:r>
    </w:p>
    <w:p w14:paraId="41EDB174" w14:textId="77777777" w:rsidR="00B74099" w:rsidRDefault="00B74099" w:rsidP="00B74099">
      <w:r w:rsidRPr="00B71826">
        <w:rPr>
          <w:b/>
          <w:bCs/>
        </w:rPr>
        <w:t>1. Operation Johnny</w:t>
      </w:r>
      <w:r>
        <w:t xml:space="preserve">: After over 70% of telephone surveys concluded that more arrests and stricter sentencing was preferred by the community members, Operation Johnny was implemented. This used a female police officer as a decoy to lure customers and arrest them for solicitation. </w:t>
      </w:r>
    </w:p>
    <w:p w14:paraId="56BD7ABE" w14:textId="77777777" w:rsidR="00B74099" w:rsidRDefault="00B74099" w:rsidP="00B74099">
      <w:r w:rsidRPr="00B71826">
        <w:rPr>
          <w:b/>
          <w:bCs/>
        </w:rPr>
        <w:t>2. Alternative for First-Time Offenders:</w:t>
      </w:r>
      <w:r>
        <w:t xml:space="preserve"> The PTF worked with the courts to establish programs to prevent repeat offending (recidivism), for both clients and sex workers. This was in the form of the Buffalo John School, a fee-paying facility for speakers and counsellors, and the Magdalene Program, an outpatient facility specialising in rehabilitating sex workers with substance abuse issues/disorder. </w:t>
      </w:r>
    </w:p>
    <w:p w14:paraId="3E1AAF6E" w14:textId="77777777" w:rsidR="00B74099" w:rsidRDefault="00B74099" w:rsidP="00B74099">
      <w:r w:rsidRPr="00B71826">
        <w:rPr>
          <w:b/>
          <w:bCs/>
        </w:rPr>
        <w:t>3. Severe Sentencing to Repeat Offenders</w:t>
      </w:r>
      <w:r>
        <w:t xml:space="preserve">: As well as incarcerating repeat offenders, the “John TV” was established to broadcast personal information of those convicted of solicitation. </w:t>
      </w:r>
    </w:p>
    <w:p w14:paraId="20C8D1B9" w14:textId="77777777" w:rsidR="00B74099" w:rsidRPr="00B71826" w:rsidRDefault="00B74099" w:rsidP="00B74099">
      <w:r w:rsidRPr="00B71826">
        <w:rPr>
          <w:b/>
          <w:bCs/>
        </w:rPr>
        <w:t>4.</w:t>
      </w:r>
      <w:r>
        <w:rPr>
          <w:b/>
          <w:bCs/>
        </w:rPr>
        <w:t xml:space="preserve"> Outreach to ‘Prostitutes’: </w:t>
      </w:r>
      <w:r>
        <w:t>Working closely with community centres to open a residential facility for women and girls under 25 also known as the Teaching a Restoring Youth House. Staff work closely with police to identify those involved in ‘street-level prostitution.’</w:t>
      </w:r>
    </w:p>
    <w:p w14:paraId="532279FA" w14:textId="77777777" w:rsidR="00B74099" w:rsidRPr="006841EC" w:rsidRDefault="00B74099" w:rsidP="00B74099">
      <w:r>
        <w:rPr>
          <w:b/>
          <w:bCs/>
        </w:rPr>
        <w:t xml:space="preserve">5. </w:t>
      </w:r>
      <w:r w:rsidRPr="00B71826">
        <w:rPr>
          <w:b/>
          <w:bCs/>
        </w:rPr>
        <w:t>Crime Prevention Through Environmental Design (CPTED)</w:t>
      </w:r>
      <w:r>
        <w:rPr>
          <w:b/>
          <w:bCs/>
        </w:rPr>
        <w:t xml:space="preserve">: </w:t>
      </w:r>
      <w:r>
        <w:t xml:space="preserve">After identifying hotspots, the PTF worked with a separate task force that focuses on properties used for drug dealing which led to eviction as well as environmental improvements. Furthermore, CCTV was implemented as both a surveillance and offender-identifier, as well as a deterrent. </w:t>
      </w:r>
    </w:p>
    <w:p w14:paraId="6CAE4881" w14:textId="77777777" w:rsidR="00B74099" w:rsidRDefault="00B74099" w:rsidP="00B74099"/>
    <w:p w14:paraId="75207126" w14:textId="77777777" w:rsidR="00B74099" w:rsidRDefault="00B74099" w:rsidP="00B74099">
      <w:r>
        <w:t>Assessment: Post-implementation, the arrests of solicitation clients rose from 18% to 42% from 1996 to 1999. This led to a dip in demand as clients feared re-arrest, and reduced solicitation activity.  Severe sentences to repeat offenders constituted for jail time, which significantly rose from less than one day in jail to weeks, proving a deterrent for sex workers who fear jail time more than arrest. This tackled the issue of both the offenders by minimising repeat offences. The Magdalene Program allowed for hundreds of people managed to achieve graduation, GEDs, and found work outside of prostitution. As for location, in 1998, businesses in Elmwood-Virginia observed the reduced activity and considered the area to not have a solicitation problem.</w:t>
      </w:r>
    </w:p>
    <w:p w14:paraId="78A1BB68" w14:textId="77777777" w:rsidR="00B74099" w:rsidRDefault="00B74099" w:rsidP="00B74099"/>
    <w:p w14:paraId="6F9F87AE" w14:textId="1D85ACA6" w:rsidR="00B74099" w:rsidRDefault="00B74099" w:rsidP="00B74099">
      <w:r>
        <w:t xml:space="preserve">Ultimately, it seems as though the short-term effects of using POP and SARA succeeded in resolving the street-level prostitution problem in the area. Offenders reduced, victims in fewer amounts, </w:t>
      </w:r>
      <w:r w:rsidR="00C40330">
        <w:t xml:space="preserve">and </w:t>
      </w:r>
      <w:r>
        <w:t xml:space="preserve">location preserved as stated by community members and businesses nearby. This suggests that moving on from the age-old 3 Rs method was a positive move as a policing strategy and involved different social institutions to tackle crime. </w:t>
      </w:r>
    </w:p>
    <w:p w14:paraId="562504A3" w14:textId="77777777" w:rsidR="00B74099" w:rsidRDefault="00B74099" w:rsidP="00B74099">
      <w:r>
        <w:t xml:space="preserve">However, reviewing the 2001 report, there are many questions arising from the limitations of the SARA model. Firstly, the Scanning aspect resulted in the problem being the ‘street-level prostitution’. Looking at the telephone surveys, the 60% of sex workers who stated the appeal of Allentown was the drug houses suggests that perhaps the actual root of the problem was not solicitation, but drug dealing and consumption. In </w:t>
      </w:r>
      <w:r w:rsidRPr="00A7529C">
        <w:rPr>
          <w:i/>
          <w:iCs/>
        </w:rPr>
        <w:t>US v. Parker 2002</w:t>
      </w:r>
      <w:r>
        <w:rPr>
          <w:i/>
          <w:iCs/>
        </w:rPr>
        <w:t xml:space="preserve"> </w:t>
      </w:r>
      <w:r>
        <w:t xml:space="preserve">the case included a shooting occurred during a major cocaine deal gone sour in 1997. The dealers involved in the case were recognised by the courts as major drug dealers in Buffalo operating from 1996 onwards. Perhaps if the Scanning resulted in drugs being the problem, there could have been more rehabilitation programs for longer term impact. A key response </w:t>
      </w:r>
      <w:r>
        <w:lastRenderedPageBreak/>
        <w:t>was to target drug houses and properties which made it seem the SARA model worked effectively for solicitation, when in fact it could have been the other way round, the problem was drugs and targeting solicitation helped that issue instead. This implies that POP is more complex than it is explained in real life situations, and some problems and clusters are a result of an amalgamation of issues that cannot be pointed to a singular root cause.</w:t>
      </w:r>
    </w:p>
    <w:p w14:paraId="652FC6BE" w14:textId="77777777" w:rsidR="00B74099" w:rsidRDefault="00B74099" w:rsidP="00B74099"/>
    <w:p w14:paraId="74E84594" w14:textId="77777777" w:rsidR="00B74099" w:rsidRDefault="00B74099" w:rsidP="00B74099">
      <w:r>
        <w:t>Also, an article in The Buffalo News, 2002, stated that arrests went down, and residents complained of the return of street prostitution. This occurred as a result of police union protests due to detectives not being identified in their full ranks, the policing project “stalled” (Werner, Watson &amp; Harrington, 2002). This suggests the SARA model can efficiently identify problems, but not fully assess the impact of its own implementation tactics. Perhaps the SARA model should split the Assessment aspect by examining the implementation as well as the agents of implementation, or even pre-empting issues that could occur to prevent problems within itself.</w:t>
      </w:r>
    </w:p>
    <w:p w14:paraId="0DC247D0" w14:textId="77777777" w:rsidR="00B74099" w:rsidRDefault="00B74099" w:rsidP="00B74099"/>
    <w:p w14:paraId="7149B294" w14:textId="77777777" w:rsidR="00B74099" w:rsidRDefault="00B74099" w:rsidP="00B74099">
      <w:r>
        <w:t>It must also be understood that the results between 1996-1998 are a very short time frame and perhaps statistics/surveys occurred post-implementation were expressed in favour of the project. Questioning the data is important and the motives to be perceived as an efficient task force is tempting for institutions, there is no accountability for workers and clients who worked more discreetly, were displaced, and resorted to other forms of criminal behaviour.</w:t>
      </w:r>
    </w:p>
    <w:p w14:paraId="3354C490" w14:textId="77777777" w:rsidR="00B74099" w:rsidRDefault="00B74099" w:rsidP="00B74099"/>
    <w:p w14:paraId="56059843" w14:textId="22F4D915" w:rsidR="00B74099" w:rsidRDefault="00B74099" w:rsidP="00B74099">
      <w:r>
        <w:t xml:space="preserve">To conclude, the POP and SARA methods go hand-in-hand when managing crime and disorder in an area. By targeting the root of the problem, organisations beyond the police force can work together to tackle crime and improve concerns in an area. The setback to the POP model is the simple categorisation of problems that could be more complex, and the setbacks of the SARA model are the issues that arise external to what the SARA model does not account for (the agents). Nevertheless, the two models provide qualitative and quantitative research that prove effective in assessing problems over time, as this essay has done for a case occurring over 20 years ago. As EBP becomes increasingly significant in </w:t>
      </w:r>
      <w:r w:rsidR="00CD086C">
        <w:t>using research for practical approaches</w:t>
      </w:r>
      <w:r>
        <w:t xml:space="preserve"> involving crime, critiquing models encourages progress so that policing focuses on achieving goals rather than placing emphasis on “the means over ends”.</w:t>
      </w:r>
    </w:p>
    <w:p w14:paraId="2FAF14EA" w14:textId="77777777" w:rsidR="00B74099" w:rsidRDefault="00B74099" w:rsidP="00B74099"/>
    <w:p w14:paraId="6AC20EED" w14:textId="77777777" w:rsidR="00B74099" w:rsidRDefault="00B74099" w:rsidP="00B74099"/>
    <w:p w14:paraId="31C38399" w14:textId="77777777" w:rsidR="00B74099" w:rsidRPr="00C76A9B" w:rsidRDefault="00B74099" w:rsidP="00B74099"/>
    <w:p w14:paraId="349C54D5" w14:textId="77777777" w:rsidR="00B74099" w:rsidRPr="00C76A9B" w:rsidRDefault="00B74099" w:rsidP="00B74099">
      <w:pPr>
        <w:ind w:left="1080"/>
        <w:rPr>
          <w:rFonts w:ascii="Arial" w:hAnsi="Arial" w:cs="Arial"/>
          <w:color w:val="FF0000"/>
        </w:rPr>
      </w:pPr>
    </w:p>
    <w:p w14:paraId="6C6F3775" w14:textId="77777777" w:rsidR="00B74099" w:rsidRPr="00C76A9B" w:rsidRDefault="00B74099" w:rsidP="00B74099">
      <w:pPr>
        <w:ind w:left="720"/>
        <w:rPr>
          <w:rFonts w:ascii="Arial" w:hAnsi="Arial" w:cs="Arial"/>
        </w:rPr>
      </w:pPr>
    </w:p>
    <w:p w14:paraId="01AF79AC" w14:textId="77777777" w:rsidR="00B74099" w:rsidRPr="00C76A9B" w:rsidRDefault="00B74099" w:rsidP="00B74099"/>
    <w:p w14:paraId="43DB59D5" w14:textId="77777777" w:rsidR="00B74099" w:rsidRPr="00C76A9B" w:rsidRDefault="00B74099" w:rsidP="00B74099"/>
    <w:p w14:paraId="51120983" w14:textId="77777777" w:rsidR="00B74099" w:rsidRDefault="00B74099" w:rsidP="00B74099"/>
    <w:p w14:paraId="3C03BBDC" w14:textId="77777777" w:rsidR="00B74099" w:rsidRDefault="00B74099" w:rsidP="00B74099"/>
    <w:p w14:paraId="764AB585" w14:textId="77777777" w:rsidR="00B74099" w:rsidRDefault="00B74099" w:rsidP="00B74099"/>
    <w:p w14:paraId="2B229DEA" w14:textId="77777777" w:rsidR="00B74099" w:rsidRDefault="00B74099" w:rsidP="00B74099"/>
    <w:p w14:paraId="6A10D161" w14:textId="77777777" w:rsidR="00B74099" w:rsidRDefault="00B74099" w:rsidP="00B74099"/>
    <w:p w14:paraId="40DED7F0" w14:textId="358FA97A" w:rsidR="00B74099" w:rsidRDefault="00B74099" w:rsidP="00B74099"/>
    <w:p w14:paraId="636571F4" w14:textId="77777777" w:rsidR="00AB3D31" w:rsidRDefault="00AB3D31" w:rsidP="00B74099"/>
    <w:p w14:paraId="400EE163" w14:textId="77777777" w:rsidR="00B74099" w:rsidRPr="005D2859" w:rsidRDefault="00B74099" w:rsidP="00B74099">
      <w:pPr>
        <w:jc w:val="center"/>
        <w:rPr>
          <w:b/>
          <w:bCs/>
          <w:sz w:val="32"/>
          <w:szCs w:val="32"/>
          <w:u w:val="single"/>
        </w:rPr>
      </w:pPr>
      <w:r w:rsidRPr="005D2859">
        <w:rPr>
          <w:b/>
          <w:bCs/>
          <w:sz w:val="32"/>
          <w:szCs w:val="32"/>
          <w:u w:val="single"/>
        </w:rPr>
        <w:lastRenderedPageBreak/>
        <w:t>BIBLIOGRAPHY</w:t>
      </w:r>
    </w:p>
    <w:p w14:paraId="15E96C95" w14:textId="77777777" w:rsidR="00B74099" w:rsidRDefault="00B74099" w:rsidP="00B74099"/>
    <w:p w14:paraId="36F74CE6" w14:textId="77777777" w:rsidR="00B74099" w:rsidRDefault="00B74099" w:rsidP="00B74099"/>
    <w:p w14:paraId="484DD2F2" w14:textId="77777777" w:rsidR="00B74099" w:rsidRDefault="00B74099" w:rsidP="00B74099">
      <w:r>
        <w:t xml:space="preserve">Bryant, R. &amp; Bryant, S. (2020). ‘Policing’, </w:t>
      </w:r>
      <w:r w:rsidRPr="001B087F">
        <w:rPr>
          <w:i/>
          <w:iCs/>
        </w:rPr>
        <w:t>Blackstone’s Handbook for Policing Students</w:t>
      </w:r>
      <w:r>
        <w:t>, 16</w:t>
      </w:r>
      <w:r w:rsidRPr="001B087F">
        <w:rPr>
          <w:vertAlign w:val="superscript"/>
        </w:rPr>
        <w:t>th</w:t>
      </w:r>
      <w:r>
        <w:t xml:space="preserve"> edn, p.19, New York: Oxford University Press</w:t>
      </w:r>
    </w:p>
    <w:p w14:paraId="6CA25B03" w14:textId="77777777" w:rsidR="00B74099" w:rsidRDefault="00B74099" w:rsidP="00B74099"/>
    <w:p w14:paraId="2B8A7EC6" w14:textId="77777777" w:rsidR="00B74099" w:rsidRDefault="00B74099" w:rsidP="00B74099">
      <w:r>
        <w:t xml:space="preserve">Clarke, R. &amp; Eck, J. (2013). ‘Study Environmental Criminology’, Become a Problem Solving Crime Analyst, first published 2003, New York: Routledge </w:t>
      </w:r>
    </w:p>
    <w:p w14:paraId="7B2E2EFE" w14:textId="77777777" w:rsidR="00B74099" w:rsidRDefault="00B74099" w:rsidP="00B74099"/>
    <w:p w14:paraId="35CDC7E6" w14:textId="77777777" w:rsidR="00B74099" w:rsidRDefault="00B74099" w:rsidP="00B74099">
      <w:r>
        <w:t>Goldstein, H. (1979). ‘Improving Policing: A Problem-Oriented Approach’</w:t>
      </w:r>
    </w:p>
    <w:p w14:paraId="327AA5B0" w14:textId="77777777" w:rsidR="00B74099" w:rsidRDefault="00B74099" w:rsidP="00B74099"/>
    <w:p w14:paraId="26331054" w14:textId="77777777" w:rsidR="00B74099" w:rsidRDefault="00B74099" w:rsidP="00B74099">
      <w:r w:rsidRPr="001B087F">
        <w:t>Reiner, R (2000), </w:t>
      </w:r>
      <w:r w:rsidRPr="001B087F">
        <w:rPr>
          <w:i/>
          <w:iCs/>
        </w:rPr>
        <w:t>The Politics of the Police</w:t>
      </w:r>
      <w:r w:rsidRPr="001B087F">
        <w:t>, 3rd edn</w:t>
      </w:r>
      <w:r>
        <w:t>, p.1,</w:t>
      </w:r>
      <w:r w:rsidRPr="001B087F">
        <w:t> Oxford: Oxford University Press</w:t>
      </w:r>
    </w:p>
    <w:p w14:paraId="1006339F" w14:textId="77777777" w:rsidR="00B74099" w:rsidRDefault="00B74099" w:rsidP="00B74099"/>
    <w:p w14:paraId="58F70AB7" w14:textId="77777777" w:rsidR="00B74099" w:rsidRPr="00833708" w:rsidRDefault="00B74099" w:rsidP="00B74099">
      <w:r w:rsidRPr="00833708">
        <w:t xml:space="preserve">Sherman, L.W. &amp; Eck, J.E. (2002). ‘Policing for Crime Prevention’, Farringdon, D.P., Welsh B.C. &amp; MacKenzie, </w:t>
      </w:r>
      <w:r w:rsidRPr="00833708">
        <w:rPr>
          <w:i/>
          <w:iCs/>
        </w:rPr>
        <w:t xml:space="preserve">Evidence-Based Crime Prevention. </w:t>
      </w:r>
      <w:r w:rsidRPr="00833708">
        <w:t xml:space="preserve">London: Routledge. </w:t>
      </w:r>
    </w:p>
    <w:p w14:paraId="1862F1EA" w14:textId="77777777" w:rsidR="00B74099" w:rsidRDefault="00B74099" w:rsidP="00B74099"/>
    <w:p w14:paraId="26E752E9" w14:textId="77777777" w:rsidR="00B74099" w:rsidRPr="0071214C" w:rsidRDefault="00B74099" w:rsidP="00B74099">
      <w:pPr>
        <w:rPr>
          <w:i/>
          <w:iCs/>
        </w:rPr>
      </w:pPr>
      <w:r>
        <w:t xml:space="preserve">Sherman, L.W. (2013). The Rise of Evidence-Based Policing: Targeting, Testing, and Tracking, </w:t>
      </w:r>
      <w:r w:rsidRPr="00C05A55">
        <w:rPr>
          <w:i/>
          <w:iCs/>
        </w:rPr>
        <w:t>Crime and Justice 1975-2025,</w:t>
      </w:r>
      <w:r>
        <w:t xml:space="preserve"> vol. 42, University of Chicago </w:t>
      </w:r>
    </w:p>
    <w:p w14:paraId="13647144" w14:textId="77777777" w:rsidR="00B74099" w:rsidRPr="00C05A55" w:rsidRDefault="00B74099" w:rsidP="00B74099"/>
    <w:p w14:paraId="0F59EF29" w14:textId="77777777" w:rsidR="00B74099" w:rsidRDefault="00B74099" w:rsidP="00B74099">
      <w:r>
        <w:t>Tilley, N. (2013). ‘Analysing and Responding to Repeat Offending’, Problem-Solving Guide for Police, vol.11 p.9 U.S. Department for Justice</w:t>
      </w:r>
    </w:p>
    <w:p w14:paraId="0838A6E1" w14:textId="77777777" w:rsidR="00B74099" w:rsidRDefault="00B74099" w:rsidP="00B74099"/>
    <w:p w14:paraId="0066B4F3" w14:textId="77777777" w:rsidR="00B74099" w:rsidRDefault="00B74099" w:rsidP="00B74099">
      <w:r>
        <w:t xml:space="preserve">US v. Jonathan Parker (2002). </w:t>
      </w:r>
      <w:r w:rsidRPr="00B257BD">
        <w:t>Docket No.01-1602</w:t>
      </w:r>
      <w:r>
        <w:t xml:space="preserve"> </w:t>
      </w:r>
      <w:hyperlink r:id="rId6" w:history="1">
        <w:r w:rsidRPr="000A4394">
          <w:rPr>
            <w:rStyle w:val="Hyperlink"/>
          </w:rPr>
          <w:t>https://caselaw.findlaw.com/us-2nd-circuit/1342645.html</w:t>
        </w:r>
      </w:hyperlink>
      <w:r>
        <w:t xml:space="preserve"> </w:t>
      </w:r>
    </w:p>
    <w:p w14:paraId="7F386C05" w14:textId="77777777" w:rsidR="00B74099" w:rsidRDefault="00B74099" w:rsidP="00B74099"/>
    <w:p w14:paraId="3295004B" w14:textId="77777777" w:rsidR="00B74099" w:rsidRDefault="00B74099" w:rsidP="00B74099">
      <w:r w:rsidRPr="00C05A55">
        <w:t xml:space="preserve">Wexler, C. et al (2001). </w:t>
      </w:r>
      <w:r>
        <w:t>‘The Evolution of POP’,</w:t>
      </w:r>
      <w:r w:rsidRPr="006F50CA">
        <w:rPr>
          <w:i/>
          <w:iCs/>
        </w:rPr>
        <w:t xml:space="preserve"> Excellence in Problem-Oriented Policing</w:t>
      </w:r>
      <w:r>
        <w:rPr>
          <w:i/>
          <w:iCs/>
        </w:rPr>
        <w:t xml:space="preserve">, </w:t>
      </w:r>
      <w:r>
        <w:t>Herman Goldstein Winners 2001, P</w:t>
      </w:r>
      <w:r w:rsidRPr="006F50CA">
        <w:t>olice Research Forum, Washington.</w:t>
      </w:r>
    </w:p>
    <w:p w14:paraId="777DDDAD" w14:textId="77777777" w:rsidR="00E8226A" w:rsidRDefault="00000000"/>
    <w:sectPr w:rsidR="00E8226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A1124" w14:textId="77777777" w:rsidR="003F2778" w:rsidRDefault="003F2778" w:rsidP="006D32EA">
      <w:r>
        <w:separator/>
      </w:r>
    </w:p>
  </w:endnote>
  <w:endnote w:type="continuationSeparator" w:id="0">
    <w:p w14:paraId="5056082C" w14:textId="77777777" w:rsidR="003F2778" w:rsidRDefault="003F2778" w:rsidP="006D3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648FA" w14:textId="077BDE81" w:rsidR="006D32EA" w:rsidRPr="006D32EA" w:rsidRDefault="006D32EA">
    <w:pPr>
      <w:pStyle w:val="Footer"/>
      <w:rPr>
        <w:sz w:val="22"/>
        <w:szCs w:val="22"/>
      </w:rPr>
    </w:pPr>
    <w:r w:rsidRPr="006D32EA">
      <w:rPr>
        <w:sz w:val="22"/>
        <w:szCs w:val="22"/>
      </w:rPr>
      <w:t>MOHAMMED ENAMUL ISLAM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029CE" w14:textId="77777777" w:rsidR="003F2778" w:rsidRDefault="003F2778" w:rsidP="006D32EA">
      <w:r>
        <w:separator/>
      </w:r>
    </w:p>
  </w:footnote>
  <w:footnote w:type="continuationSeparator" w:id="0">
    <w:p w14:paraId="0EE54D45" w14:textId="77777777" w:rsidR="003F2778" w:rsidRDefault="003F2778" w:rsidP="006D3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986FF" w14:textId="46069F3F" w:rsidR="006D32EA" w:rsidRPr="00B322CA" w:rsidRDefault="006D32EA" w:rsidP="00B322CA">
    <w:pPr>
      <w:pStyle w:val="Header"/>
      <w:rPr>
        <w:sz w:val="18"/>
        <w:szCs w:val="18"/>
      </w:rPr>
    </w:pPr>
    <w:r w:rsidRPr="00B322CA">
      <w:rPr>
        <w:sz w:val="18"/>
        <w:szCs w:val="18"/>
      </w:rPr>
      <w:t>STUDENT CODE: 2129900</w:t>
    </w:r>
  </w:p>
  <w:p w14:paraId="4EB2C11E" w14:textId="7970E9C0" w:rsidR="00D333EA" w:rsidRPr="00B322CA" w:rsidRDefault="00D333EA" w:rsidP="00B322CA">
    <w:pPr>
      <w:pStyle w:val="Header"/>
      <w:rPr>
        <w:sz w:val="18"/>
        <w:szCs w:val="18"/>
      </w:rPr>
    </w:pPr>
    <w:r w:rsidRPr="00B322CA">
      <w:rPr>
        <w:sz w:val="18"/>
        <w:szCs w:val="18"/>
      </w:rPr>
      <w:t>WORD COUNT: 1998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099"/>
    <w:rsid w:val="002F1EFE"/>
    <w:rsid w:val="003F2778"/>
    <w:rsid w:val="00582DBC"/>
    <w:rsid w:val="006B6D50"/>
    <w:rsid w:val="006D32EA"/>
    <w:rsid w:val="00973CA5"/>
    <w:rsid w:val="00AB3D31"/>
    <w:rsid w:val="00B322CA"/>
    <w:rsid w:val="00B45AA5"/>
    <w:rsid w:val="00B74099"/>
    <w:rsid w:val="00C23001"/>
    <w:rsid w:val="00C40330"/>
    <w:rsid w:val="00C43BFD"/>
    <w:rsid w:val="00CD086C"/>
    <w:rsid w:val="00CD566F"/>
    <w:rsid w:val="00D333EA"/>
    <w:rsid w:val="00EF44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F25F06F"/>
  <w15:chartTrackingRefBased/>
  <w15:docId w15:val="{546B8688-E9E5-BE46-B0FA-5DDED894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4099"/>
    <w:rPr>
      <w:color w:val="0563C1" w:themeColor="hyperlink"/>
      <w:u w:val="single"/>
    </w:rPr>
  </w:style>
  <w:style w:type="paragraph" w:styleId="Header">
    <w:name w:val="header"/>
    <w:basedOn w:val="Normal"/>
    <w:link w:val="HeaderChar"/>
    <w:uiPriority w:val="99"/>
    <w:unhideWhenUsed/>
    <w:rsid w:val="006D32EA"/>
    <w:pPr>
      <w:tabs>
        <w:tab w:val="center" w:pos="4513"/>
        <w:tab w:val="right" w:pos="9026"/>
      </w:tabs>
    </w:pPr>
  </w:style>
  <w:style w:type="character" w:customStyle="1" w:styleId="HeaderChar">
    <w:name w:val="Header Char"/>
    <w:basedOn w:val="DefaultParagraphFont"/>
    <w:link w:val="Header"/>
    <w:uiPriority w:val="99"/>
    <w:rsid w:val="006D32EA"/>
  </w:style>
  <w:style w:type="paragraph" w:styleId="Footer">
    <w:name w:val="footer"/>
    <w:basedOn w:val="Normal"/>
    <w:link w:val="FooterChar"/>
    <w:uiPriority w:val="99"/>
    <w:unhideWhenUsed/>
    <w:rsid w:val="006D32EA"/>
    <w:pPr>
      <w:tabs>
        <w:tab w:val="center" w:pos="4513"/>
        <w:tab w:val="right" w:pos="9026"/>
      </w:tabs>
    </w:pPr>
  </w:style>
  <w:style w:type="character" w:customStyle="1" w:styleId="FooterChar">
    <w:name w:val="Footer Char"/>
    <w:basedOn w:val="DefaultParagraphFont"/>
    <w:link w:val="Footer"/>
    <w:uiPriority w:val="99"/>
    <w:rsid w:val="006D3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selaw.findlaw.com/us-2nd-circuit/1342645.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2165</Words>
  <Characters>12346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Mahima</dc:creator>
  <cp:keywords/>
  <dc:description/>
  <cp:lastModifiedBy>Begum, Mahima</cp:lastModifiedBy>
  <cp:revision>4</cp:revision>
  <dcterms:created xsi:type="dcterms:W3CDTF">2022-06-17T20:45:00Z</dcterms:created>
  <dcterms:modified xsi:type="dcterms:W3CDTF">2022-06-17T21:47:00Z</dcterms:modified>
</cp:coreProperties>
</file>