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47F16417"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CF1BC4">
        <w:rPr>
          <w:rFonts w:asciiTheme="minorBidi" w:hAnsiTheme="minorBidi"/>
          <w:sz w:val="28"/>
          <w:szCs w:val="28"/>
        </w:rPr>
        <w:t>Viviane Binda</w:t>
      </w:r>
    </w:p>
    <w:p w14:paraId="485B6F49" w14:textId="399C4E5D"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CF1BC4">
        <w:rPr>
          <w:rFonts w:asciiTheme="minorBidi" w:hAnsiTheme="minorBidi"/>
          <w:sz w:val="28"/>
          <w:szCs w:val="28"/>
        </w:rPr>
        <w:t>2526140</w:t>
      </w:r>
    </w:p>
    <w:p w14:paraId="3C1E7A20" w14:textId="604B708B" w:rsidR="00ED5964" w:rsidRPr="00E857CB" w:rsidRDefault="00ED5964" w:rsidP="00ED5964">
      <w:pPr>
        <w:jc w:val="both"/>
        <w:rPr>
          <w:rFonts w:asciiTheme="minorBidi" w:hAnsiTheme="minorBidi"/>
          <w:b/>
          <w:bCs/>
          <w:sz w:val="28"/>
          <w:szCs w:val="28"/>
        </w:rPr>
      </w:pPr>
      <w:r>
        <w:rPr>
          <w:rFonts w:asciiTheme="minorBidi" w:hAnsiTheme="minorBidi"/>
          <w:sz w:val="28"/>
          <w:szCs w:val="28"/>
        </w:rPr>
        <w:t xml:space="preserve">Module Code: </w:t>
      </w:r>
      <w:r w:rsidR="00E857CB">
        <w:rPr>
          <w:rFonts w:asciiTheme="minorBidi" w:hAnsiTheme="minorBidi"/>
          <w:sz w:val="28"/>
          <w:szCs w:val="28"/>
        </w:rPr>
        <w:t>L</w:t>
      </w:r>
      <w:r w:rsidR="00557890">
        <w:rPr>
          <w:rFonts w:asciiTheme="minorBidi" w:hAnsiTheme="minorBidi"/>
          <w:sz w:val="28"/>
          <w:szCs w:val="28"/>
        </w:rPr>
        <w:t>CHS4003</w:t>
      </w:r>
    </w:p>
    <w:p w14:paraId="4EEB2DA3" w14:textId="31C82424"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557890">
        <w:rPr>
          <w:rFonts w:asciiTheme="minorBidi" w:hAnsiTheme="minorBidi"/>
          <w:sz w:val="28"/>
          <w:szCs w:val="28"/>
        </w:rPr>
        <w:t xml:space="preserve">Introduction to </w:t>
      </w:r>
      <w:r w:rsidR="004203F2">
        <w:rPr>
          <w:rFonts w:asciiTheme="minorBidi" w:hAnsiTheme="minorBidi"/>
          <w:sz w:val="28"/>
          <w:szCs w:val="28"/>
        </w:rPr>
        <w:t>Health and Social Care</w:t>
      </w:r>
    </w:p>
    <w:p w14:paraId="112342CB" w14:textId="46AC6A4E"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843C0A">
        <w:rPr>
          <w:rFonts w:asciiTheme="minorBidi" w:hAnsiTheme="minorBidi"/>
          <w:sz w:val="28"/>
          <w:szCs w:val="28"/>
        </w:rPr>
        <w:t>Bernice Ejiogu</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53796598"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6138A55F" w14:textId="04B69A85" w:rsidR="00184A9A" w:rsidRPr="00242974" w:rsidRDefault="00184A9A" w:rsidP="00620BBA">
      <w:pPr>
        <w:pStyle w:val="TOCHeading"/>
      </w:pPr>
    </w:p>
    <w:p w14:paraId="4A159F97" w14:textId="77777777" w:rsidR="00ED5964" w:rsidRPr="00242974" w:rsidRDefault="00ED5964" w:rsidP="00ED5964">
      <w:pPr>
        <w:jc w:val="both"/>
        <w:rPr>
          <w:rFonts w:asciiTheme="minorBidi" w:hAnsiTheme="minorBidi"/>
          <w:b/>
          <w:bCs/>
          <w:sz w:val="28"/>
          <w:szCs w:val="28"/>
        </w:rPr>
      </w:pPr>
    </w:p>
    <w:p w14:paraId="09167221" w14:textId="5B870BCA" w:rsidR="00070829" w:rsidRPr="00070829" w:rsidRDefault="00070829" w:rsidP="00070829">
      <w:pPr>
        <w:jc w:val="both"/>
        <w:rPr>
          <w:rFonts w:ascii="Arial" w:hAnsi="Arial" w:cs="Arial"/>
          <w:b/>
          <w:bCs/>
          <w:sz w:val="22"/>
        </w:rPr>
      </w:pPr>
      <w:r w:rsidRPr="00070829">
        <w:rPr>
          <w:rFonts w:ascii="Arial" w:hAnsi="Arial" w:cs="Arial"/>
          <w:b/>
          <w:bCs/>
          <w:sz w:val="22"/>
        </w:rPr>
        <w:t xml:space="preserve">The importance of effective communication within the context of Mrs Thompson's care </w:t>
      </w:r>
    </w:p>
    <w:p w14:paraId="60C34709" w14:textId="77777777" w:rsidR="002B27F6" w:rsidRDefault="002B27F6" w:rsidP="0036576D">
      <w:pPr>
        <w:spacing w:line="360" w:lineRule="auto"/>
        <w:jc w:val="both"/>
        <w:rPr>
          <w:rFonts w:ascii="Arial" w:hAnsi="Arial" w:cs="Arial"/>
          <w:sz w:val="22"/>
        </w:rPr>
      </w:pPr>
    </w:p>
    <w:p w14:paraId="00BECD54" w14:textId="573CF1E1" w:rsidR="0036576D" w:rsidRDefault="0036576D" w:rsidP="0036576D">
      <w:pPr>
        <w:spacing w:line="360" w:lineRule="auto"/>
        <w:jc w:val="both"/>
        <w:rPr>
          <w:rFonts w:ascii="Arial" w:hAnsi="Arial" w:cs="Arial"/>
          <w:sz w:val="22"/>
        </w:rPr>
      </w:pPr>
      <w:r w:rsidRPr="0036576D">
        <w:rPr>
          <w:rFonts w:ascii="Arial" w:hAnsi="Arial" w:cs="Arial"/>
          <w:sz w:val="22"/>
        </w:rPr>
        <w:t>Effective communication is essential in health and social care because it promotes person-centred care, improves patient safety and supports positive health outcomes (Skills for Care, 2023). In Mrs Thompson's case, effective communication is particularly important due to her mild dementia, recent discharge from hospital following pneumonia and difficulties managing her medication independently. These factors increase the risk of medication errors, confusion and avoidable hospital readmissions, making clear and consistent communication essential throughout her care.</w:t>
      </w:r>
      <w:r w:rsidR="002B27F6">
        <w:rPr>
          <w:rFonts w:ascii="Arial" w:hAnsi="Arial" w:cs="Arial"/>
          <w:sz w:val="22"/>
        </w:rPr>
        <w:t xml:space="preserve"> </w:t>
      </w:r>
      <w:r w:rsidRPr="0036576D">
        <w:rPr>
          <w:rFonts w:ascii="Arial" w:hAnsi="Arial" w:cs="Arial"/>
          <w:sz w:val="22"/>
        </w:rPr>
        <w:t>Healthcare professionals should adapt their communication to meet Mrs Thompson's individual needs. Dementia can affect memory, concentration and the ability to process information, meaning that complex instructions may be difficult to understand (NICE, 2018). Professionals should therefore use clear and simple language, speak slowly, maintain eye contact and allow sufficient time for her to respond. Written medication schedules, visual reminders and repetition of key information can further support her understanding. Active listening is equally important because it allows professionals to identify Mrs Thompson's concerns, respect her preferences and encourage her involvement in decisions about her care. These approaches support person-centred care and help maintain her dignity and independence despite her cognitive impairment (NICE, 2018).</w:t>
      </w:r>
      <w:r w:rsidR="002B27F6">
        <w:rPr>
          <w:rFonts w:ascii="Arial" w:hAnsi="Arial" w:cs="Arial"/>
          <w:sz w:val="22"/>
        </w:rPr>
        <w:t xml:space="preserve"> </w:t>
      </w:r>
      <w:r w:rsidRPr="0036576D">
        <w:rPr>
          <w:rFonts w:ascii="Arial" w:hAnsi="Arial" w:cs="Arial"/>
          <w:sz w:val="22"/>
        </w:rPr>
        <w:t>Communication with Mrs Thompson's family is also essential because they can provide valuable information about her daily routines, behaviour and any recent changes in her condition. Family members may also reinforce medication advice and help monitor her wellbeing following discharge. However, professionals should balance family involvement with Mrs Thompson's right to autonomy and confidentiality. Where she has the mental capacity to make decisions, her consent should be obtained before personal information is shared, ensuring that communication remains ethical and legally compliant (Mental Capacity Act, 2005).</w:t>
      </w:r>
      <w:r w:rsidR="002B27F6">
        <w:rPr>
          <w:rFonts w:ascii="Arial" w:hAnsi="Arial" w:cs="Arial"/>
          <w:sz w:val="22"/>
        </w:rPr>
        <w:t xml:space="preserve"> </w:t>
      </w:r>
      <w:r w:rsidRPr="0036576D">
        <w:rPr>
          <w:rFonts w:ascii="Arial" w:hAnsi="Arial" w:cs="Arial"/>
          <w:sz w:val="22"/>
        </w:rPr>
        <w:t xml:space="preserve">The </w:t>
      </w:r>
      <w:r w:rsidRPr="0036576D">
        <w:rPr>
          <w:rFonts w:ascii="Arial" w:hAnsi="Arial" w:cs="Arial"/>
          <w:b/>
          <w:bCs/>
          <w:sz w:val="22"/>
        </w:rPr>
        <w:t>Equality Act 2010</w:t>
      </w:r>
      <w:r w:rsidRPr="0036576D">
        <w:rPr>
          <w:rFonts w:ascii="Arial" w:hAnsi="Arial" w:cs="Arial"/>
          <w:sz w:val="22"/>
        </w:rPr>
        <w:t xml:space="preserve"> requires health and social care professionals to make </w:t>
      </w:r>
      <w:r w:rsidRPr="0036576D">
        <w:rPr>
          <w:rFonts w:ascii="Arial" w:hAnsi="Arial" w:cs="Arial"/>
          <w:b/>
          <w:bCs/>
          <w:sz w:val="22"/>
        </w:rPr>
        <w:t>reasonable adjustments</w:t>
      </w:r>
      <w:r w:rsidRPr="0036576D">
        <w:rPr>
          <w:rFonts w:ascii="Arial" w:hAnsi="Arial" w:cs="Arial"/>
          <w:sz w:val="22"/>
        </w:rPr>
        <w:t xml:space="preserve"> for individuals with disabilities, including dementia, to ensure equal access to services and prevent discrimination (Equality Act, 2010). In practice, this means adapting communication methods to Mrs Thompson's cognitive needs by providing information in accessible formats, allowing additional time during discussions and checking her understanding. These adjustments help reduce communication barriers while promoting equality, dignity and </w:t>
      </w:r>
      <w:r w:rsidR="002B27F6" w:rsidRPr="0036576D">
        <w:rPr>
          <w:rFonts w:ascii="Arial" w:hAnsi="Arial" w:cs="Arial"/>
          <w:sz w:val="22"/>
        </w:rPr>
        <w:t>inclusion. The</w:t>
      </w:r>
      <w:r w:rsidRPr="0036576D">
        <w:rPr>
          <w:rFonts w:ascii="Arial" w:hAnsi="Arial" w:cs="Arial"/>
          <w:sz w:val="22"/>
        </w:rPr>
        <w:t xml:space="preserve"> application of </w:t>
      </w:r>
      <w:r w:rsidRPr="0036576D">
        <w:rPr>
          <w:rFonts w:ascii="Arial" w:hAnsi="Arial" w:cs="Arial"/>
          <w:b/>
          <w:bCs/>
          <w:sz w:val="22"/>
        </w:rPr>
        <w:t xml:space="preserve">Berlo's SMCR </w:t>
      </w:r>
      <w:r w:rsidR="002B27F6">
        <w:rPr>
          <w:rFonts w:ascii="Arial" w:hAnsi="Arial" w:cs="Arial"/>
          <w:b/>
          <w:bCs/>
          <w:sz w:val="22"/>
        </w:rPr>
        <w:t xml:space="preserve"> </w:t>
      </w:r>
      <w:r w:rsidRPr="0036576D">
        <w:rPr>
          <w:rFonts w:ascii="Arial" w:hAnsi="Arial" w:cs="Arial"/>
          <w:b/>
          <w:bCs/>
          <w:sz w:val="22"/>
        </w:rPr>
        <w:t>Model of Communication</w:t>
      </w:r>
      <w:r w:rsidRPr="0036576D">
        <w:rPr>
          <w:rFonts w:ascii="Arial" w:hAnsi="Arial" w:cs="Arial"/>
          <w:sz w:val="22"/>
        </w:rPr>
        <w:t xml:space="preserve"> further demonstrates how communication can be adapted to </w:t>
      </w:r>
      <w:r w:rsidRPr="0036576D">
        <w:rPr>
          <w:rFonts w:ascii="Arial" w:hAnsi="Arial" w:cs="Arial"/>
          <w:sz w:val="22"/>
        </w:rPr>
        <w:lastRenderedPageBreak/>
        <w:t xml:space="preserve">improve Mrs Thompson's care. According to Berlo (1960), communication involves four components: </w:t>
      </w:r>
      <w:r w:rsidRPr="0036576D">
        <w:rPr>
          <w:rFonts w:ascii="Arial" w:hAnsi="Arial" w:cs="Arial"/>
          <w:b/>
          <w:bCs/>
          <w:sz w:val="22"/>
        </w:rPr>
        <w:t>Source, Message, Channel and Receiver</w:t>
      </w:r>
      <w:r w:rsidRPr="0036576D">
        <w:rPr>
          <w:rFonts w:ascii="Arial" w:hAnsi="Arial" w:cs="Arial"/>
          <w:sz w:val="22"/>
        </w:rPr>
        <w:t>. In this case, the healthcare professional is the source, while the message includes advice regarding medication management, safety and ongoing care. The channel may involve verbal communication, written medication charts and non-verbal communication such as eye contact and facial expressions. Mrs Thompson is the receiver; however, her dementia may affect how she interprets the message. Consequently, professionals should confirm her understanding by encouraging feedback and involving her family, where appropriate and with her consent. Applying both the Equality Act 2010 and Berlo's communication model helps minimise misunderstandings, improve medication adherence and deliver safe, person-centred care.</w:t>
      </w:r>
    </w:p>
    <w:p w14:paraId="3D104A55" w14:textId="77777777" w:rsidR="00820254" w:rsidRDefault="00820254" w:rsidP="0036576D">
      <w:pPr>
        <w:spacing w:line="360" w:lineRule="auto"/>
        <w:jc w:val="both"/>
        <w:rPr>
          <w:rFonts w:ascii="Arial" w:hAnsi="Arial" w:cs="Arial"/>
          <w:sz w:val="22"/>
        </w:rPr>
      </w:pPr>
    </w:p>
    <w:p w14:paraId="7736EB46" w14:textId="4EB123AD" w:rsidR="00CA30BD" w:rsidRDefault="00785213" w:rsidP="00785213">
      <w:pPr>
        <w:spacing w:line="360" w:lineRule="auto"/>
        <w:jc w:val="both"/>
        <w:rPr>
          <w:rFonts w:ascii="Arial" w:hAnsi="Arial" w:cs="Arial"/>
          <w:b/>
          <w:bCs/>
          <w:sz w:val="22"/>
        </w:rPr>
      </w:pPr>
      <w:r w:rsidRPr="00785213">
        <w:rPr>
          <w:rFonts w:ascii="Arial" w:hAnsi="Arial" w:cs="Arial"/>
          <w:b/>
          <w:bCs/>
          <w:sz w:val="22"/>
        </w:rPr>
        <w:t xml:space="preserve">The importance of good administrative skills within professional practice in the context of Mrs Thompson's care </w:t>
      </w:r>
    </w:p>
    <w:p w14:paraId="4E67C408" w14:textId="6EFCE700" w:rsidR="00785213" w:rsidRPr="00785213" w:rsidRDefault="00785213" w:rsidP="00785213">
      <w:pPr>
        <w:spacing w:line="360" w:lineRule="auto"/>
        <w:jc w:val="both"/>
        <w:rPr>
          <w:rFonts w:ascii="Arial" w:hAnsi="Arial" w:cs="Arial"/>
          <w:sz w:val="22"/>
        </w:rPr>
      </w:pPr>
      <w:r w:rsidRPr="00785213">
        <w:rPr>
          <w:rFonts w:ascii="Arial" w:hAnsi="Arial" w:cs="Arial"/>
          <w:sz w:val="22"/>
        </w:rPr>
        <w:t>Good administrative skills are essential in health and social care because they promote safe, effective and person-centred practice. Accurate documentation, effective record keeping and appropriate information management enable professionals to monitor a service user's condition, coordinate care and reduce the risk of clinical errors (NHS England, 2021). In Mrs Thompson's case, these skills are particularly important because she has recently been discharged from hospital, has mild dementia and has experienced missed medication and safeguarding concerns.</w:t>
      </w:r>
      <w:r>
        <w:rPr>
          <w:rFonts w:ascii="Arial" w:hAnsi="Arial" w:cs="Arial"/>
          <w:sz w:val="22"/>
        </w:rPr>
        <w:t xml:space="preserve"> </w:t>
      </w:r>
      <w:r w:rsidRPr="00785213">
        <w:rPr>
          <w:rFonts w:ascii="Arial" w:hAnsi="Arial" w:cs="Arial"/>
          <w:sz w:val="22"/>
        </w:rPr>
        <w:t xml:space="preserve">Accurate record keeping is a professional responsibility for all health and social care practitioners. According to the </w:t>
      </w:r>
      <w:r w:rsidRPr="00785213">
        <w:rPr>
          <w:rFonts w:ascii="Arial" w:hAnsi="Arial" w:cs="Arial"/>
          <w:b/>
          <w:bCs/>
          <w:sz w:val="22"/>
        </w:rPr>
        <w:t>Nursing and Midwifery Council (NMC) Code (2018)</w:t>
      </w:r>
      <w:r w:rsidRPr="00785213">
        <w:rPr>
          <w:rFonts w:ascii="Arial" w:hAnsi="Arial" w:cs="Arial"/>
          <w:sz w:val="22"/>
        </w:rPr>
        <w:t>, records should be clear, accurate, factual and completed promptly after care has been delivered. In Mrs Thompson's care, professionals should document medication administration, missed doses, changes in her physical or cognitive condition and any concerns identified during home visits. For example, the incident in which she missed two days of medication and the occasion when she was found outside wearing only her nightclothes should both be recorded accurately, as these events may indicate deterioration in her condition and an increased risk to her safety. Accurate documentation enables all members of the multidisciplinary team to make informed decisions and maintain continuity of care.</w:t>
      </w:r>
      <w:r>
        <w:rPr>
          <w:rFonts w:ascii="Arial" w:hAnsi="Arial" w:cs="Arial"/>
          <w:sz w:val="22"/>
        </w:rPr>
        <w:t xml:space="preserve"> </w:t>
      </w:r>
      <w:r w:rsidRPr="00785213">
        <w:rPr>
          <w:rFonts w:ascii="Arial" w:hAnsi="Arial" w:cs="Arial"/>
          <w:sz w:val="22"/>
        </w:rPr>
        <w:t xml:space="preserve">The </w:t>
      </w:r>
      <w:r w:rsidRPr="00785213">
        <w:rPr>
          <w:rFonts w:ascii="Arial" w:hAnsi="Arial" w:cs="Arial"/>
          <w:b/>
          <w:bCs/>
          <w:sz w:val="22"/>
        </w:rPr>
        <w:t>Data Protection Act 2018</w:t>
      </w:r>
      <w:r w:rsidRPr="00785213">
        <w:rPr>
          <w:rFonts w:ascii="Arial" w:hAnsi="Arial" w:cs="Arial"/>
          <w:sz w:val="22"/>
        </w:rPr>
        <w:t xml:space="preserve">, together with the </w:t>
      </w:r>
      <w:r w:rsidRPr="00785213">
        <w:rPr>
          <w:rFonts w:ascii="Arial" w:hAnsi="Arial" w:cs="Arial"/>
          <w:b/>
          <w:bCs/>
          <w:sz w:val="22"/>
        </w:rPr>
        <w:t>UK General Data Protection Regulation (UK GDPR)</w:t>
      </w:r>
      <w:r w:rsidRPr="00785213">
        <w:rPr>
          <w:rFonts w:ascii="Arial" w:hAnsi="Arial" w:cs="Arial"/>
          <w:sz w:val="22"/>
        </w:rPr>
        <w:t xml:space="preserve">, provides the legal framework for processing personal information within health and social care (Data Protection Act, 2018; ICO, 2024). Professionals have a duty to ensure that Mrs Thompson's personal information is collected lawfully, stored securely, kept accurate and only accessed by authorised individuals. This protects her privacy while allowing relevant </w:t>
      </w:r>
      <w:r w:rsidRPr="00785213">
        <w:rPr>
          <w:rFonts w:ascii="Arial" w:hAnsi="Arial" w:cs="Arial"/>
          <w:sz w:val="22"/>
        </w:rPr>
        <w:lastRenderedPageBreak/>
        <w:t>information to be shared when necessary to provide safe and effective care. For example, information regarding her medication adherence and recent safeguarding concerns should be shared with her GP, community nurse and domiciliary care workers because it directly affects clinical decision-making.</w:t>
      </w:r>
    </w:p>
    <w:p w14:paraId="6C722E78" w14:textId="440E7D10" w:rsidR="00785213" w:rsidRDefault="00785213" w:rsidP="00785213">
      <w:pPr>
        <w:spacing w:line="360" w:lineRule="auto"/>
        <w:jc w:val="both"/>
        <w:rPr>
          <w:rFonts w:ascii="Arial" w:hAnsi="Arial" w:cs="Arial"/>
          <w:sz w:val="22"/>
        </w:rPr>
      </w:pPr>
      <w:r w:rsidRPr="00785213">
        <w:rPr>
          <w:rFonts w:ascii="Arial" w:hAnsi="Arial" w:cs="Arial"/>
          <w:sz w:val="22"/>
        </w:rPr>
        <w:t xml:space="preserve">Information sharing should also follow the </w:t>
      </w:r>
      <w:r w:rsidRPr="00785213">
        <w:rPr>
          <w:rFonts w:ascii="Arial" w:hAnsi="Arial" w:cs="Arial"/>
          <w:b/>
          <w:bCs/>
          <w:sz w:val="22"/>
        </w:rPr>
        <w:t>Caldicott Principles</w:t>
      </w:r>
      <w:r w:rsidRPr="00785213">
        <w:rPr>
          <w:rFonts w:ascii="Arial" w:hAnsi="Arial" w:cs="Arial"/>
          <w:sz w:val="22"/>
        </w:rPr>
        <w:t>, which state that confidential information should only be shared when there is a clear justification and on a need-to-know basis (National Data Guardian, 2020). Although sharing information supports collaborative working, professionals must avoid unnecessary disclosure of personal data. This is particularly important when communicating with Mrs Thompson's family, as information should only be shared with her consent unless there is a legal or safeguarding reason to do otherwise.</w:t>
      </w:r>
      <w:r>
        <w:rPr>
          <w:rFonts w:ascii="Arial" w:hAnsi="Arial" w:cs="Arial"/>
          <w:sz w:val="22"/>
        </w:rPr>
        <w:t xml:space="preserve"> </w:t>
      </w:r>
      <w:r w:rsidRPr="00785213">
        <w:rPr>
          <w:rFonts w:ascii="Arial" w:hAnsi="Arial" w:cs="Arial"/>
          <w:sz w:val="22"/>
        </w:rPr>
        <w:t xml:space="preserve">The </w:t>
      </w:r>
      <w:r w:rsidRPr="00785213">
        <w:rPr>
          <w:rFonts w:ascii="Arial" w:hAnsi="Arial" w:cs="Arial"/>
          <w:b/>
          <w:bCs/>
          <w:sz w:val="22"/>
        </w:rPr>
        <w:t>NHS Records Management Code of Practice (2021)</w:t>
      </w:r>
      <w:r w:rsidRPr="00785213">
        <w:rPr>
          <w:rFonts w:ascii="Arial" w:hAnsi="Arial" w:cs="Arial"/>
          <w:sz w:val="22"/>
        </w:rPr>
        <w:t xml:space="preserve"> further emphasises that health records should remain accurate, complete, secure and accessible to authorised professionals throughout the care pathway (NHS England, 2021). Maintaining up-to-date care plans, medication administration records (MAR charts), risk assessments and incident reports enables professionals to evaluate Mrs Thompson's progress and identify changes that require intervention. Therefore, effective administrative skills not only ensure compliance with legal and professional standards but also improve patient safety, support continuity of care and contribute to better health outcomes.</w:t>
      </w:r>
    </w:p>
    <w:p w14:paraId="73DFE0D3" w14:textId="77777777" w:rsidR="007108CE" w:rsidRDefault="007108CE" w:rsidP="00785213">
      <w:pPr>
        <w:spacing w:line="360" w:lineRule="auto"/>
        <w:jc w:val="both"/>
        <w:rPr>
          <w:rFonts w:ascii="Arial" w:hAnsi="Arial" w:cs="Arial"/>
          <w:sz w:val="22"/>
        </w:rPr>
      </w:pPr>
    </w:p>
    <w:p w14:paraId="296B879E" w14:textId="071104E6" w:rsidR="001C2057" w:rsidRPr="001C2057" w:rsidRDefault="001C2057" w:rsidP="001C2057">
      <w:pPr>
        <w:spacing w:line="360" w:lineRule="auto"/>
        <w:jc w:val="both"/>
        <w:rPr>
          <w:rFonts w:ascii="Arial" w:hAnsi="Arial" w:cs="Arial"/>
          <w:b/>
          <w:bCs/>
          <w:sz w:val="22"/>
        </w:rPr>
      </w:pPr>
      <w:r w:rsidRPr="001C2057">
        <w:rPr>
          <w:rFonts w:ascii="Arial" w:hAnsi="Arial" w:cs="Arial"/>
          <w:b/>
          <w:bCs/>
          <w:sz w:val="22"/>
        </w:rPr>
        <w:t xml:space="preserve">The importance of collaborative working in Mrs Thompson's care </w:t>
      </w:r>
    </w:p>
    <w:p w14:paraId="33204293" w14:textId="6750D8AD" w:rsidR="001C2057" w:rsidRPr="001C2057" w:rsidRDefault="001C2057" w:rsidP="001C2057">
      <w:pPr>
        <w:spacing w:line="360" w:lineRule="auto"/>
        <w:jc w:val="both"/>
        <w:rPr>
          <w:rFonts w:ascii="Arial" w:hAnsi="Arial" w:cs="Arial"/>
          <w:sz w:val="22"/>
        </w:rPr>
      </w:pPr>
      <w:r w:rsidRPr="001C2057">
        <w:rPr>
          <w:rFonts w:ascii="Arial" w:hAnsi="Arial" w:cs="Arial"/>
          <w:sz w:val="22"/>
        </w:rPr>
        <w:t>Collaborative working is essential in health and social care because it enables professionals from different disciplines to share information, coordinate interventions and deliver safe, person-centred care (Skills for Care, 2023). In Mrs Thompson's case, collaboration is particularly important because her recent hospital discharge, mild dementia, medication non-adherence and safeguarding concerns require support from a multidisciplinary team rather than a single professional.</w:t>
      </w:r>
      <w:r>
        <w:rPr>
          <w:rFonts w:ascii="Arial" w:hAnsi="Arial" w:cs="Arial"/>
          <w:sz w:val="22"/>
        </w:rPr>
        <w:t xml:space="preserve"> </w:t>
      </w:r>
      <w:r w:rsidRPr="001C2057">
        <w:rPr>
          <w:rFonts w:ascii="Arial" w:hAnsi="Arial" w:cs="Arial"/>
          <w:sz w:val="22"/>
        </w:rPr>
        <w:t xml:space="preserve">Several professionals have an important role in Mrs Thompson's care. Her </w:t>
      </w:r>
      <w:r w:rsidRPr="001C2057">
        <w:rPr>
          <w:rFonts w:ascii="Arial" w:hAnsi="Arial" w:cs="Arial"/>
          <w:b/>
          <w:bCs/>
          <w:sz w:val="22"/>
        </w:rPr>
        <w:t>General Practitioner (GP)</w:t>
      </w:r>
      <w:r w:rsidRPr="001C2057">
        <w:rPr>
          <w:rFonts w:ascii="Arial" w:hAnsi="Arial" w:cs="Arial"/>
          <w:sz w:val="22"/>
        </w:rPr>
        <w:t xml:space="preserve"> is responsible for monitoring her overall health and reviewing her medication following the missed doses. A </w:t>
      </w:r>
      <w:r w:rsidRPr="001C2057">
        <w:rPr>
          <w:rFonts w:ascii="Arial" w:hAnsi="Arial" w:cs="Arial"/>
          <w:b/>
          <w:bCs/>
          <w:sz w:val="22"/>
        </w:rPr>
        <w:t>community nurse</w:t>
      </w:r>
      <w:r w:rsidRPr="001C2057">
        <w:rPr>
          <w:rFonts w:ascii="Arial" w:hAnsi="Arial" w:cs="Arial"/>
          <w:sz w:val="22"/>
        </w:rPr>
        <w:t xml:space="preserve"> can assess her recovery from pneumonia, monitor her physical and cognitive condition and identify any signs of deterioration. </w:t>
      </w:r>
      <w:r w:rsidRPr="001C2057">
        <w:rPr>
          <w:rFonts w:ascii="Arial" w:hAnsi="Arial" w:cs="Arial"/>
          <w:b/>
          <w:bCs/>
          <w:sz w:val="22"/>
        </w:rPr>
        <w:t>Domiciliary care workers</w:t>
      </w:r>
      <w:r w:rsidRPr="001C2057">
        <w:rPr>
          <w:rFonts w:ascii="Arial" w:hAnsi="Arial" w:cs="Arial"/>
          <w:sz w:val="22"/>
        </w:rPr>
        <w:t xml:space="preserve"> provide daily support with personal care and medication prompts while reporting concerns observed during home visits. A </w:t>
      </w:r>
      <w:r w:rsidRPr="001C2057">
        <w:rPr>
          <w:rFonts w:ascii="Arial" w:hAnsi="Arial" w:cs="Arial"/>
          <w:b/>
          <w:bCs/>
          <w:sz w:val="22"/>
        </w:rPr>
        <w:t>pharmacist</w:t>
      </w:r>
      <w:r w:rsidRPr="001C2057">
        <w:rPr>
          <w:rFonts w:ascii="Arial" w:hAnsi="Arial" w:cs="Arial"/>
          <w:sz w:val="22"/>
        </w:rPr>
        <w:t xml:space="preserve"> can review her medication regimen to improve adherence and reduce the risk of adverse events. In addition, a </w:t>
      </w:r>
      <w:r w:rsidRPr="001C2057">
        <w:rPr>
          <w:rFonts w:ascii="Arial" w:hAnsi="Arial" w:cs="Arial"/>
          <w:b/>
          <w:bCs/>
          <w:sz w:val="22"/>
        </w:rPr>
        <w:t>social worker</w:t>
      </w:r>
      <w:r w:rsidRPr="001C2057">
        <w:rPr>
          <w:rFonts w:ascii="Arial" w:hAnsi="Arial" w:cs="Arial"/>
          <w:sz w:val="22"/>
        </w:rPr>
        <w:t xml:space="preserve"> may assess her care needs and safeguarding risks following the </w:t>
      </w:r>
      <w:r w:rsidRPr="001C2057">
        <w:rPr>
          <w:rFonts w:ascii="Arial" w:hAnsi="Arial" w:cs="Arial"/>
          <w:sz w:val="22"/>
        </w:rPr>
        <w:lastRenderedPageBreak/>
        <w:t>incident in which she was found outside wearing only her nightclothes. Effective collaboration between these professionals ensures that care is coordinated and responsive to Mrs Thompson's changing needs (NICE, 2018).</w:t>
      </w:r>
      <w:r>
        <w:rPr>
          <w:rFonts w:ascii="Arial" w:hAnsi="Arial" w:cs="Arial"/>
          <w:sz w:val="22"/>
        </w:rPr>
        <w:t xml:space="preserve"> </w:t>
      </w:r>
      <w:r w:rsidRPr="001C2057">
        <w:rPr>
          <w:rFonts w:ascii="Arial" w:hAnsi="Arial" w:cs="Arial"/>
          <w:sz w:val="22"/>
        </w:rPr>
        <w:t xml:space="preserve">Despite its benefits, collaborative working can present challenges. Poor communication, delays in sharing information, unclear professional responsibilities and differences in organisational priorities may result in fragmented care and increase the risk of medication errors or repeated safeguarding incidents (NHS England, 2023). These challenges can be addressed through regular multidisciplinary meetings, accurate record keeping, shared care plans and clear communication between professionals. Information should be shared appropriately in accordance with the </w:t>
      </w:r>
      <w:r w:rsidRPr="001C2057">
        <w:rPr>
          <w:rFonts w:ascii="Arial" w:hAnsi="Arial" w:cs="Arial"/>
          <w:b/>
          <w:bCs/>
          <w:sz w:val="22"/>
        </w:rPr>
        <w:t>Data Protection Act 2018</w:t>
      </w:r>
      <w:r w:rsidRPr="001C2057">
        <w:rPr>
          <w:rFonts w:ascii="Arial" w:hAnsi="Arial" w:cs="Arial"/>
          <w:sz w:val="22"/>
        </w:rPr>
        <w:t xml:space="preserve"> and the </w:t>
      </w:r>
      <w:r w:rsidRPr="001C2057">
        <w:rPr>
          <w:rFonts w:ascii="Arial" w:hAnsi="Arial" w:cs="Arial"/>
          <w:b/>
          <w:bCs/>
          <w:sz w:val="22"/>
        </w:rPr>
        <w:t>Caldicott Principles</w:t>
      </w:r>
      <w:r w:rsidRPr="001C2057">
        <w:rPr>
          <w:rFonts w:ascii="Arial" w:hAnsi="Arial" w:cs="Arial"/>
          <w:sz w:val="22"/>
        </w:rPr>
        <w:t>, ensuring that confidentiality is maintained while enabling professionals to make informed decisions (Data Protection Act, 2018; National Data Guardian, 2020). Involving Mrs Thompson and her family in care planning, where appropriate, further supports person-centred care and improves the effectiveness of collaborative practice.</w:t>
      </w:r>
    </w:p>
    <w:p w14:paraId="7C00F4AF" w14:textId="77777777" w:rsidR="007108CE" w:rsidRPr="00785213" w:rsidRDefault="007108CE" w:rsidP="00785213">
      <w:pPr>
        <w:spacing w:line="360" w:lineRule="auto"/>
        <w:jc w:val="both"/>
        <w:rPr>
          <w:rFonts w:ascii="Arial" w:hAnsi="Arial" w:cs="Arial"/>
          <w:sz w:val="22"/>
        </w:rPr>
      </w:pPr>
    </w:p>
    <w:p w14:paraId="665BE619" w14:textId="70154214" w:rsidR="00680E26" w:rsidRPr="00680E26" w:rsidRDefault="00680E26" w:rsidP="00680E26">
      <w:pPr>
        <w:spacing w:line="360" w:lineRule="auto"/>
        <w:jc w:val="both"/>
        <w:rPr>
          <w:rFonts w:ascii="Arial" w:hAnsi="Arial" w:cs="Arial"/>
          <w:b/>
          <w:bCs/>
          <w:sz w:val="22"/>
        </w:rPr>
      </w:pPr>
      <w:r w:rsidRPr="00680E26">
        <w:rPr>
          <w:rFonts w:ascii="Arial" w:hAnsi="Arial" w:cs="Arial"/>
          <w:b/>
          <w:bCs/>
          <w:sz w:val="22"/>
        </w:rPr>
        <w:t xml:space="preserve">Conclusion </w:t>
      </w:r>
    </w:p>
    <w:p w14:paraId="6E973D52" w14:textId="77777777" w:rsidR="00680E26" w:rsidRPr="00680E26" w:rsidRDefault="00680E26" w:rsidP="00680E26">
      <w:pPr>
        <w:spacing w:line="360" w:lineRule="auto"/>
        <w:jc w:val="both"/>
        <w:rPr>
          <w:rFonts w:ascii="Arial" w:hAnsi="Arial" w:cs="Arial"/>
          <w:sz w:val="22"/>
        </w:rPr>
      </w:pPr>
      <w:r w:rsidRPr="00680E26">
        <w:rPr>
          <w:rFonts w:ascii="Arial" w:hAnsi="Arial" w:cs="Arial"/>
          <w:sz w:val="22"/>
        </w:rPr>
        <w:t xml:space="preserve">In conclusion, Mrs Thompson's case demonstrates that effective communication, good administrative practice and collaborative working are fundamental to delivering safe, high-quality and person-centred care. Adapting communication to meet her individual needs, while applying the principles of the </w:t>
      </w:r>
      <w:r w:rsidRPr="00680E26">
        <w:rPr>
          <w:rFonts w:ascii="Arial" w:hAnsi="Arial" w:cs="Arial"/>
          <w:b/>
          <w:bCs/>
          <w:sz w:val="22"/>
        </w:rPr>
        <w:t>Equality Act 2010</w:t>
      </w:r>
      <w:r w:rsidRPr="00680E26">
        <w:rPr>
          <w:rFonts w:ascii="Arial" w:hAnsi="Arial" w:cs="Arial"/>
          <w:sz w:val="22"/>
        </w:rPr>
        <w:t xml:space="preserve">, helps promote dignity, equality and active participation in decisions about her care (Equality Act, 2010). Accurate record keeping and appropriate information management, supported by the </w:t>
      </w:r>
      <w:r w:rsidRPr="00680E26">
        <w:rPr>
          <w:rFonts w:ascii="Arial" w:hAnsi="Arial" w:cs="Arial"/>
          <w:b/>
          <w:bCs/>
          <w:sz w:val="22"/>
        </w:rPr>
        <w:t>Data Protection Act 2018</w:t>
      </w:r>
      <w:r w:rsidRPr="00680E26">
        <w:rPr>
          <w:rFonts w:ascii="Arial" w:hAnsi="Arial" w:cs="Arial"/>
          <w:sz w:val="22"/>
        </w:rPr>
        <w:t xml:space="preserve">, </w:t>
      </w:r>
      <w:r w:rsidRPr="00680E26">
        <w:rPr>
          <w:rFonts w:ascii="Arial" w:hAnsi="Arial" w:cs="Arial"/>
          <w:b/>
          <w:bCs/>
          <w:sz w:val="22"/>
        </w:rPr>
        <w:t>UK GDPR</w:t>
      </w:r>
      <w:r w:rsidRPr="00680E26">
        <w:rPr>
          <w:rFonts w:ascii="Arial" w:hAnsi="Arial" w:cs="Arial"/>
          <w:sz w:val="22"/>
        </w:rPr>
        <w:t xml:space="preserve"> and professional guidance, protect confidential information while ensuring continuity of care and informed clinical decision-making (ICO, 2024). Furthermore, effective multidisciplinary collaboration enables healthcare professionals to identify risks early, coordinate interventions and respond appropriately to Mrs Thompson's changing physical and cognitive needs (NICE, 2018). By combining effective communication, accurate administration and collaborative practice, professionals can minimise risks, improve medication adherence, safeguard vulnerable individuals and enhance Mrs Thompson's independence, wellbeing and overall quality of life while meeting their legal, ethical and professional responsibilities.</w:t>
      </w:r>
    </w:p>
    <w:p w14:paraId="3E34A5EF" w14:textId="32D7BBB9" w:rsidR="002E71BA" w:rsidRDefault="002E71BA" w:rsidP="00070829">
      <w:pPr>
        <w:spacing w:line="360" w:lineRule="auto"/>
        <w:jc w:val="both"/>
        <w:rPr>
          <w:rFonts w:ascii="Arial" w:hAnsi="Arial" w:cs="Arial"/>
          <w:sz w:val="22"/>
        </w:rPr>
      </w:pPr>
    </w:p>
    <w:p w14:paraId="1F09F9C5" w14:textId="77777777" w:rsidR="00B83895" w:rsidRDefault="00B83895" w:rsidP="00070829">
      <w:pPr>
        <w:spacing w:line="360" w:lineRule="auto"/>
        <w:jc w:val="both"/>
        <w:rPr>
          <w:rFonts w:ascii="Arial" w:hAnsi="Arial" w:cs="Arial"/>
          <w:sz w:val="22"/>
        </w:rPr>
      </w:pPr>
    </w:p>
    <w:p w14:paraId="410327FA" w14:textId="77777777" w:rsidR="00B83895" w:rsidRDefault="00B83895" w:rsidP="00070829">
      <w:pPr>
        <w:spacing w:line="360" w:lineRule="auto"/>
        <w:jc w:val="both"/>
        <w:rPr>
          <w:rFonts w:ascii="Arial" w:hAnsi="Arial" w:cs="Arial"/>
          <w:sz w:val="22"/>
        </w:rPr>
      </w:pPr>
    </w:p>
    <w:p w14:paraId="6E1302BC" w14:textId="77777777" w:rsidR="00B83895" w:rsidRDefault="00B83895" w:rsidP="00070829">
      <w:pPr>
        <w:spacing w:line="360" w:lineRule="auto"/>
        <w:jc w:val="both"/>
        <w:rPr>
          <w:rFonts w:ascii="Arial" w:hAnsi="Arial" w:cs="Arial"/>
          <w:sz w:val="22"/>
        </w:rPr>
      </w:pPr>
    </w:p>
    <w:p w14:paraId="06ADA926" w14:textId="02769BB0" w:rsidR="00B83895" w:rsidRDefault="00171024" w:rsidP="00070829">
      <w:pPr>
        <w:spacing w:line="360" w:lineRule="auto"/>
        <w:jc w:val="both"/>
        <w:rPr>
          <w:rFonts w:ascii="Arial" w:hAnsi="Arial" w:cs="Arial"/>
          <w:sz w:val="22"/>
        </w:rPr>
      </w:pPr>
      <w:r>
        <w:rPr>
          <w:rFonts w:ascii="Arial" w:hAnsi="Arial" w:cs="Arial"/>
          <w:sz w:val="22"/>
        </w:rPr>
        <w:t>Reference list</w:t>
      </w:r>
      <w:r w:rsidR="003633B6">
        <w:rPr>
          <w:rFonts w:ascii="Arial" w:hAnsi="Arial" w:cs="Arial"/>
          <w:sz w:val="22"/>
        </w:rPr>
        <w:t>:</w:t>
      </w:r>
    </w:p>
    <w:p w14:paraId="6DF8A056" w14:textId="77777777" w:rsidR="00171024" w:rsidRDefault="00171024" w:rsidP="00070829">
      <w:pPr>
        <w:spacing w:line="360" w:lineRule="auto"/>
        <w:jc w:val="both"/>
        <w:rPr>
          <w:rFonts w:ascii="Arial" w:hAnsi="Arial" w:cs="Arial"/>
          <w:sz w:val="22"/>
        </w:rPr>
      </w:pPr>
    </w:p>
    <w:p w14:paraId="248EA07F" w14:textId="77777777" w:rsidR="005F55DD" w:rsidRPr="005F55DD" w:rsidRDefault="005F55DD" w:rsidP="005F55DD">
      <w:pPr>
        <w:spacing w:line="360" w:lineRule="auto"/>
        <w:jc w:val="both"/>
        <w:rPr>
          <w:rFonts w:ascii="Arial" w:hAnsi="Arial" w:cs="Arial"/>
          <w:sz w:val="22"/>
        </w:rPr>
      </w:pPr>
      <w:r w:rsidRPr="005F55DD">
        <w:rPr>
          <w:rFonts w:ascii="Arial" w:hAnsi="Arial" w:cs="Arial"/>
          <w:sz w:val="22"/>
        </w:rPr>
        <w:t xml:space="preserve">Data Protection Act 2018 (2018) </w:t>
      </w:r>
      <w:r w:rsidRPr="005F55DD">
        <w:rPr>
          <w:rFonts w:ascii="Arial" w:hAnsi="Arial" w:cs="Arial"/>
          <w:i/>
          <w:iCs/>
          <w:sz w:val="22"/>
        </w:rPr>
        <w:t>Data Protection Act 2018</w:t>
      </w:r>
      <w:r w:rsidRPr="005F55DD">
        <w:rPr>
          <w:rFonts w:ascii="Arial" w:hAnsi="Arial" w:cs="Arial"/>
          <w:sz w:val="22"/>
        </w:rPr>
        <w:t xml:space="preserve">. London: The Stationery Office. Available at: </w:t>
      </w:r>
      <w:hyperlink r:id="rId9" w:tgtFrame="_new" w:history="1">
        <w:r w:rsidRPr="005F55DD">
          <w:rPr>
            <w:rStyle w:val="Hyperlink"/>
            <w:rFonts w:ascii="Arial" w:hAnsi="Arial" w:cs="Arial"/>
            <w:sz w:val="22"/>
          </w:rPr>
          <w:t>https://www.legislation.gov.uk/ukpga/2018/12/contents</w:t>
        </w:r>
      </w:hyperlink>
      <w:r w:rsidRPr="005F55DD">
        <w:rPr>
          <w:rFonts w:ascii="Arial" w:hAnsi="Arial" w:cs="Arial"/>
          <w:sz w:val="22"/>
        </w:rPr>
        <w:t xml:space="preserve"> (Accessed: 23 July 2026).</w:t>
      </w:r>
    </w:p>
    <w:p w14:paraId="0EAFF35E" w14:textId="77777777" w:rsidR="005F55DD" w:rsidRPr="005F55DD" w:rsidRDefault="005F55DD" w:rsidP="005F55DD">
      <w:pPr>
        <w:spacing w:line="360" w:lineRule="auto"/>
        <w:jc w:val="both"/>
        <w:rPr>
          <w:rFonts w:ascii="Arial" w:hAnsi="Arial" w:cs="Arial"/>
          <w:sz w:val="22"/>
        </w:rPr>
      </w:pPr>
      <w:r w:rsidRPr="005F55DD">
        <w:rPr>
          <w:rFonts w:ascii="Arial" w:hAnsi="Arial" w:cs="Arial"/>
          <w:sz w:val="22"/>
        </w:rPr>
        <w:t xml:space="preserve">Equality Act 2010 (2010) </w:t>
      </w:r>
      <w:r w:rsidRPr="005F55DD">
        <w:rPr>
          <w:rFonts w:ascii="Arial" w:hAnsi="Arial" w:cs="Arial"/>
          <w:i/>
          <w:iCs/>
          <w:sz w:val="22"/>
        </w:rPr>
        <w:t>Equality Act 2010</w:t>
      </w:r>
      <w:r w:rsidRPr="005F55DD">
        <w:rPr>
          <w:rFonts w:ascii="Arial" w:hAnsi="Arial" w:cs="Arial"/>
          <w:sz w:val="22"/>
        </w:rPr>
        <w:t xml:space="preserve">. London: The Stationery Office. Available at: </w:t>
      </w:r>
      <w:hyperlink r:id="rId10" w:tgtFrame="_new" w:history="1">
        <w:r w:rsidRPr="005F55DD">
          <w:rPr>
            <w:rStyle w:val="Hyperlink"/>
            <w:rFonts w:ascii="Arial" w:hAnsi="Arial" w:cs="Arial"/>
            <w:sz w:val="22"/>
          </w:rPr>
          <w:t>https://www.legislation.gov.uk/ukpga/2010/15/contents</w:t>
        </w:r>
      </w:hyperlink>
      <w:r w:rsidRPr="005F55DD">
        <w:rPr>
          <w:rFonts w:ascii="Arial" w:hAnsi="Arial" w:cs="Arial"/>
          <w:sz w:val="22"/>
        </w:rPr>
        <w:t xml:space="preserve"> (Accessed: 23 July 2026).</w:t>
      </w:r>
    </w:p>
    <w:p w14:paraId="0F181EB7" w14:textId="77777777" w:rsidR="005F55DD" w:rsidRPr="005F55DD" w:rsidRDefault="005F55DD" w:rsidP="005F55DD">
      <w:pPr>
        <w:spacing w:line="360" w:lineRule="auto"/>
        <w:jc w:val="both"/>
        <w:rPr>
          <w:rFonts w:ascii="Arial" w:hAnsi="Arial" w:cs="Arial"/>
          <w:sz w:val="22"/>
        </w:rPr>
      </w:pPr>
      <w:r w:rsidRPr="005F55DD">
        <w:rPr>
          <w:rFonts w:ascii="Arial" w:hAnsi="Arial" w:cs="Arial"/>
          <w:sz w:val="22"/>
        </w:rPr>
        <w:t xml:space="preserve">Information Commissioner's Office (ICO) (2024) </w:t>
      </w:r>
      <w:r w:rsidRPr="005F55DD">
        <w:rPr>
          <w:rFonts w:ascii="Arial" w:hAnsi="Arial" w:cs="Arial"/>
          <w:i/>
          <w:iCs/>
          <w:sz w:val="22"/>
        </w:rPr>
        <w:t>Guide to UK GDPR</w:t>
      </w:r>
      <w:r w:rsidRPr="005F55DD">
        <w:rPr>
          <w:rFonts w:ascii="Arial" w:hAnsi="Arial" w:cs="Arial"/>
          <w:sz w:val="22"/>
        </w:rPr>
        <w:t xml:space="preserve">. Available at: </w:t>
      </w:r>
      <w:hyperlink r:id="rId11" w:tgtFrame="_new" w:history="1">
        <w:r w:rsidRPr="005F55DD">
          <w:rPr>
            <w:rStyle w:val="Hyperlink"/>
            <w:rFonts w:ascii="Arial" w:hAnsi="Arial" w:cs="Arial"/>
            <w:sz w:val="22"/>
          </w:rPr>
          <w:t>https://ico.org.uk/for-organisations/uk-gdpr-guidance-and-resources/</w:t>
        </w:r>
      </w:hyperlink>
      <w:r w:rsidRPr="005F55DD">
        <w:rPr>
          <w:rFonts w:ascii="Arial" w:hAnsi="Arial" w:cs="Arial"/>
          <w:sz w:val="22"/>
        </w:rPr>
        <w:t xml:space="preserve"> (Accessed: 23 July 2026).</w:t>
      </w:r>
    </w:p>
    <w:p w14:paraId="2B5F037C" w14:textId="77777777" w:rsidR="005F55DD" w:rsidRPr="005F55DD" w:rsidRDefault="005F55DD" w:rsidP="005F55DD">
      <w:pPr>
        <w:spacing w:line="360" w:lineRule="auto"/>
        <w:jc w:val="both"/>
        <w:rPr>
          <w:rFonts w:ascii="Arial" w:hAnsi="Arial" w:cs="Arial"/>
          <w:sz w:val="22"/>
        </w:rPr>
      </w:pPr>
      <w:r w:rsidRPr="005F55DD">
        <w:rPr>
          <w:rFonts w:ascii="Arial" w:hAnsi="Arial" w:cs="Arial"/>
          <w:sz w:val="22"/>
        </w:rPr>
        <w:t xml:space="preserve">National Data Guardian (2020) </w:t>
      </w:r>
      <w:r w:rsidRPr="005F55DD">
        <w:rPr>
          <w:rFonts w:ascii="Arial" w:hAnsi="Arial" w:cs="Arial"/>
          <w:i/>
          <w:iCs/>
          <w:sz w:val="22"/>
        </w:rPr>
        <w:t>The Caldicott Principles</w:t>
      </w:r>
      <w:r w:rsidRPr="005F55DD">
        <w:rPr>
          <w:rFonts w:ascii="Arial" w:hAnsi="Arial" w:cs="Arial"/>
          <w:sz w:val="22"/>
        </w:rPr>
        <w:t xml:space="preserve">. Available at: </w:t>
      </w:r>
      <w:hyperlink r:id="rId12" w:tgtFrame="_new" w:history="1">
        <w:r w:rsidRPr="005F55DD">
          <w:rPr>
            <w:rStyle w:val="Hyperlink"/>
            <w:rFonts w:ascii="Arial" w:hAnsi="Arial" w:cs="Arial"/>
            <w:sz w:val="22"/>
          </w:rPr>
          <w:t>https://www.gov.uk/government/publications/the-caldicott-principles</w:t>
        </w:r>
      </w:hyperlink>
      <w:r w:rsidRPr="005F55DD">
        <w:rPr>
          <w:rFonts w:ascii="Arial" w:hAnsi="Arial" w:cs="Arial"/>
          <w:sz w:val="22"/>
        </w:rPr>
        <w:t xml:space="preserve"> (Accessed: 23 July 2026).</w:t>
      </w:r>
    </w:p>
    <w:p w14:paraId="77157DF1" w14:textId="77777777" w:rsidR="005F55DD" w:rsidRPr="005F55DD" w:rsidRDefault="005F55DD" w:rsidP="005F55DD">
      <w:pPr>
        <w:spacing w:line="360" w:lineRule="auto"/>
        <w:jc w:val="both"/>
        <w:rPr>
          <w:rFonts w:ascii="Arial" w:hAnsi="Arial" w:cs="Arial"/>
          <w:sz w:val="22"/>
        </w:rPr>
      </w:pPr>
      <w:r w:rsidRPr="005F55DD">
        <w:rPr>
          <w:rFonts w:ascii="Arial" w:hAnsi="Arial" w:cs="Arial"/>
          <w:sz w:val="22"/>
        </w:rPr>
        <w:t xml:space="preserve">National Institute for Health and Care Excellence (NICE) (2018) </w:t>
      </w:r>
      <w:r w:rsidRPr="005F55DD">
        <w:rPr>
          <w:rFonts w:ascii="Arial" w:hAnsi="Arial" w:cs="Arial"/>
          <w:i/>
          <w:iCs/>
          <w:sz w:val="22"/>
        </w:rPr>
        <w:t>Dementia: assessment, management and support for people living with dementia and their carers (NG97).</w:t>
      </w:r>
      <w:r w:rsidRPr="005F55DD">
        <w:rPr>
          <w:rFonts w:ascii="Arial" w:hAnsi="Arial" w:cs="Arial"/>
          <w:sz w:val="22"/>
        </w:rPr>
        <w:t xml:space="preserve"> Available at: </w:t>
      </w:r>
      <w:hyperlink r:id="rId13" w:tgtFrame="_new" w:history="1">
        <w:r w:rsidRPr="005F55DD">
          <w:rPr>
            <w:rStyle w:val="Hyperlink"/>
            <w:rFonts w:ascii="Arial" w:hAnsi="Arial" w:cs="Arial"/>
            <w:sz w:val="22"/>
          </w:rPr>
          <w:t>https://www.nice.org.uk/guidance/ng97</w:t>
        </w:r>
      </w:hyperlink>
      <w:r w:rsidRPr="005F55DD">
        <w:rPr>
          <w:rFonts w:ascii="Arial" w:hAnsi="Arial" w:cs="Arial"/>
          <w:sz w:val="22"/>
        </w:rPr>
        <w:t xml:space="preserve"> (Accessed: 23 July 2026).</w:t>
      </w:r>
    </w:p>
    <w:p w14:paraId="0E8D74D9" w14:textId="77777777" w:rsidR="005F55DD" w:rsidRPr="005F55DD" w:rsidRDefault="005F55DD" w:rsidP="005F55DD">
      <w:pPr>
        <w:spacing w:line="360" w:lineRule="auto"/>
        <w:jc w:val="both"/>
        <w:rPr>
          <w:rFonts w:ascii="Arial" w:hAnsi="Arial" w:cs="Arial"/>
          <w:sz w:val="22"/>
        </w:rPr>
      </w:pPr>
      <w:r w:rsidRPr="005F55DD">
        <w:rPr>
          <w:rFonts w:ascii="Arial" w:hAnsi="Arial" w:cs="Arial"/>
          <w:sz w:val="22"/>
        </w:rPr>
        <w:t xml:space="preserve">NHS England (2021) </w:t>
      </w:r>
      <w:r w:rsidRPr="005F55DD">
        <w:rPr>
          <w:rFonts w:ascii="Arial" w:hAnsi="Arial" w:cs="Arial"/>
          <w:i/>
          <w:iCs/>
          <w:sz w:val="22"/>
        </w:rPr>
        <w:t>Records Management Code of Practice 2021</w:t>
      </w:r>
      <w:r w:rsidRPr="005F55DD">
        <w:rPr>
          <w:rFonts w:ascii="Arial" w:hAnsi="Arial" w:cs="Arial"/>
          <w:sz w:val="22"/>
        </w:rPr>
        <w:t xml:space="preserve">. Available at: </w:t>
      </w:r>
      <w:hyperlink r:id="rId14" w:tgtFrame="_new" w:history="1">
        <w:r w:rsidRPr="005F55DD">
          <w:rPr>
            <w:rStyle w:val="Hyperlink"/>
            <w:rFonts w:ascii="Arial" w:hAnsi="Arial" w:cs="Arial"/>
            <w:sz w:val="22"/>
          </w:rPr>
          <w:t>https://transform.england.nhs.uk/information-governance/guidance/records-management-code/</w:t>
        </w:r>
      </w:hyperlink>
      <w:r w:rsidRPr="005F55DD">
        <w:rPr>
          <w:rFonts w:ascii="Arial" w:hAnsi="Arial" w:cs="Arial"/>
          <w:sz w:val="22"/>
        </w:rPr>
        <w:t xml:space="preserve"> (Accessed: 23 July 2026).</w:t>
      </w:r>
    </w:p>
    <w:p w14:paraId="63C86AB1" w14:textId="77777777" w:rsidR="005F55DD" w:rsidRPr="005F55DD" w:rsidRDefault="005F55DD" w:rsidP="005F55DD">
      <w:pPr>
        <w:spacing w:line="360" w:lineRule="auto"/>
        <w:jc w:val="both"/>
        <w:rPr>
          <w:rFonts w:ascii="Arial" w:hAnsi="Arial" w:cs="Arial"/>
          <w:sz w:val="22"/>
        </w:rPr>
      </w:pPr>
      <w:r w:rsidRPr="005F55DD">
        <w:rPr>
          <w:rFonts w:ascii="Arial" w:hAnsi="Arial" w:cs="Arial"/>
          <w:sz w:val="22"/>
        </w:rPr>
        <w:t xml:space="preserve">Nursing and Midwifery Council (NMC) (2018) </w:t>
      </w:r>
      <w:r w:rsidRPr="005F55DD">
        <w:rPr>
          <w:rFonts w:ascii="Arial" w:hAnsi="Arial" w:cs="Arial"/>
          <w:i/>
          <w:iCs/>
          <w:sz w:val="22"/>
        </w:rPr>
        <w:t>The Code: Professional standards of practice and behaviour for nurses, midwives and nursing associates</w:t>
      </w:r>
      <w:r w:rsidRPr="005F55DD">
        <w:rPr>
          <w:rFonts w:ascii="Arial" w:hAnsi="Arial" w:cs="Arial"/>
          <w:sz w:val="22"/>
        </w:rPr>
        <w:t xml:space="preserve">. London: NMC. Available at: </w:t>
      </w:r>
      <w:hyperlink r:id="rId15" w:tgtFrame="_new" w:history="1">
        <w:r w:rsidRPr="005F55DD">
          <w:rPr>
            <w:rStyle w:val="Hyperlink"/>
            <w:rFonts w:ascii="Arial" w:hAnsi="Arial" w:cs="Arial"/>
            <w:sz w:val="22"/>
          </w:rPr>
          <w:t>https://www.nmc.org.uk/standards/code/</w:t>
        </w:r>
      </w:hyperlink>
      <w:r w:rsidRPr="005F55DD">
        <w:rPr>
          <w:rFonts w:ascii="Arial" w:hAnsi="Arial" w:cs="Arial"/>
          <w:sz w:val="22"/>
        </w:rPr>
        <w:t xml:space="preserve"> (Accessed: 23 July 2026).</w:t>
      </w:r>
    </w:p>
    <w:p w14:paraId="1AB1FB8B" w14:textId="77777777" w:rsidR="005F55DD" w:rsidRPr="005F55DD" w:rsidRDefault="005F55DD" w:rsidP="005F55DD">
      <w:pPr>
        <w:spacing w:line="360" w:lineRule="auto"/>
        <w:jc w:val="both"/>
        <w:rPr>
          <w:rFonts w:ascii="Arial" w:hAnsi="Arial" w:cs="Arial"/>
          <w:sz w:val="22"/>
        </w:rPr>
      </w:pPr>
      <w:r w:rsidRPr="005F55DD">
        <w:rPr>
          <w:rFonts w:ascii="Arial" w:hAnsi="Arial" w:cs="Arial"/>
          <w:sz w:val="22"/>
        </w:rPr>
        <w:t xml:space="preserve">Skills for Care (2023) </w:t>
      </w:r>
      <w:r w:rsidRPr="005F55DD">
        <w:rPr>
          <w:rFonts w:ascii="Arial" w:hAnsi="Arial" w:cs="Arial"/>
          <w:i/>
          <w:iCs/>
          <w:sz w:val="22"/>
        </w:rPr>
        <w:t>Integrated working and partnership working</w:t>
      </w:r>
      <w:r w:rsidRPr="005F55DD">
        <w:rPr>
          <w:rFonts w:ascii="Arial" w:hAnsi="Arial" w:cs="Arial"/>
          <w:sz w:val="22"/>
        </w:rPr>
        <w:t xml:space="preserve">. Available at: </w:t>
      </w:r>
      <w:hyperlink r:id="rId16" w:tgtFrame="_new" w:history="1">
        <w:r w:rsidRPr="005F55DD">
          <w:rPr>
            <w:rStyle w:val="Hyperlink"/>
            <w:rFonts w:ascii="Arial" w:hAnsi="Arial" w:cs="Arial"/>
            <w:sz w:val="22"/>
          </w:rPr>
          <w:t>https://www.skillsforcare.org.uk</w:t>
        </w:r>
      </w:hyperlink>
      <w:r w:rsidRPr="005F55DD">
        <w:rPr>
          <w:rFonts w:ascii="Arial" w:hAnsi="Arial" w:cs="Arial"/>
          <w:sz w:val="22"/>
        </w:rPr>
        <w:t xml:space="preserve"> (Accessed: 23 July 2026).</w:t>
      </w:r>
    </w:p>
    <w:p w14:paraId="0F599783" w14:textId="77777777" w:rsidR="00171024" w:rsidRPr="00070829" w:rsidRDefault="00171024" w:rsidP="00070829">
      <w:pPr>
        <w:spacing w:line="360" w:lineRule="auto"/>
        <w:jc w:val="both"/>
        <w:rPr>
          <w:rFonts w:ascii="Arial" w:hAnsi="Arial" w:cs="Arial"/>
          <w:sz w:val="22"/>
        </w:rPr>
      </w:pPr>
    </w:p>
    <w:sectPr w:rsidR="00171024" w:rsidRPr="00070829">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429A13" w14:textId="77777777" w:rsidR="001848D0" w:rsidRDefault="001848D0" w:rsidP="003C7C97">
      <w:pPr>
        <w:spacing w:after="0" w:line="240" w:lineRule="auto"/>
      </w:pPr>
      <w:r>
        <w:separator/>
      </w:r>
    </w:p>
  </w:endnote>
  <w:endnote w:type="continuationSeparator" w:id="0">
    <w:p w14:paraId="45064A98" w14:textId="77777777" w:rsidR="001848D0" w:rsidRDefault="001848D0"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AA6BD" w14:textId="77777777" w:rsidR="00B83895" w:rsidRDefault="00B83895">
    <w:pPr>
      <w:pStyle w:val="Footer"/>
      <w:jc w:val="right"/>
    </w:pPr>
  </w:p>
  <w:p w14:paraId="18D25547" w14:textId="77777777" w:rsidR="00B83895" w:rsidRDefault="00B83895">
    <w:pPr>
      <w:pStyle w:val="Footer"/>
      <w:jc w:val="right"/>
    </w:pPr>
  </w:p>
  <w:p w14:paraId="040C17C1" w14:textId="77777777" w:rsidR="00B83895" w:rsidRDefault="00B83895">
    <w:pPr>
      <w:pStyle w:val="Footer"/>
      <w:jc w:val="right"/>
    </w:pPr>
  </w:p>
  <w:sdt>
    <w:sdtPr>
      <w:id w:val="557361228"/>
      <w:docPartObj>
        <w:docPartGallery w:val="Page Numbers (Bottom of Page)"/>
        <w:docPartUnique/>
      </w:docPartObj>
    </w:sdtPr>
    <w:sdtEndPr>
      <w:rPr>
        <w:noProof/>
      </w:rPr>
    </w:sdtEndPr>
    <w:sdtContent>
      <w:p w14:paraId="1FCD2DC2" w14:textId="1558A058" w:rsidR="00057CE0" w:rsidRDefault="00057CE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AD4B940" w14:textId="77777777" w:rsidR="008803FE" w:rsidRDefault="008803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FA64B6" w14:textId="77777777" w:rsidR="001848D0" w:rsidRDefault="001848D0" w:rsidP="003C7C97">
      <w:pPr>
        <w:spacing w:after="0" w:line="240" w:lineRule="auto"/>
      </w:pPr>
      <w:r>
        <w:separator/>
      </w:r>
    </w:p>
  </w:footnote>
  <w:footnote w:type="continuationSeparator" w:id="0">
    <w:p w14:paraId="578700D2" w14:textId="77777777" w:rsidR="001848D0" w:rsidRDefault="001848D0"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8"/>
  </w:num>
  <w:num w:numId="4" w16cid:durableId="931426930">
    <w:abstractNumId w:val="18"/>
  </w:num>
  <w:num w:numId="5" w16cid:durableId="1422484198">
    <w:abstractNumId w:val="15"/>
  </w:num>
  <w:num w:numId="6" w16cid:durableId="552929862">
    <w:abstractNumId w:val="16"/>
  </w:num>
  <w:num w:numId="7" w16cid:durableId="587203086">
    <w:abstractNumId w:val="19"/>
  </w:num>
  <w:num w:numId="8" w16cid:durableId="389156196">
    <w:abstractNumId w:val="12"/>
  </w:num>
  <w:num w:numId="9" w16cid:durableId="1393503788">
    <w:abstractNumId w:val="3"/>
  </w:num>
  <w:num w:numId="10" w16cid:durableId="1579359955">
    <w:abstractNumId w:val="10"/>
  </w:num>
  <w:num w:numId="11" w16cid:durableId="806699681">
    <w:abstractNumId w:val="11"/>
  </w:num>
  <w:num w:numId="12" w16cid:durableId="1314750107">
    <w:abstractNumId w:val="9"/>
  </w:num>
  <w:num w:numId="13" w16cid:durableId="1766919701">
    <w:abstractNumId w:val="14"/>
  </w:num>
  <w:num w:numId="14" w16cid:durableId="1957908719">
    <w:abstractNumId w:val="7"/>
  </w:num>
  <w:num w:numId="15" w16cid:durableId="1132019979">
    <w:abstractNumId w:val="2"/>
  </w:num>
  <w:num w:numId="16" w16cid:durableId="1457524365">
    <w:abstractNumId w:val="4"/>
  </w:num>
  <w:num w:numId="17" w16cid:durableId="1386294306">
    <w:abstractNumId w:val="20"/>
  </w:num>
  <w:num w:numId="18" w16cid:durableId="1838374920">
    <w:abstractNumId w:val="17"/>
  </w:num>
  <w:num w:numId="19" w16cid:durableId="1827044992">
    <w:abstractNumId w:val="6"/>
  </w:num>
  <w:num w:numId="20" w16cid:durableId="895820667">
    <w:abstractNumId w:val="13"/>
  </w:num>
  <w:num w:numId="21" w16cid:durableId="817497522">
    <w:abstractNumId w:val="21"/>
  </w:num>
  <w:num w:numId="22" w16cid:durableId="725690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57CE0"/>
    <w:rsid w:val="00070818"/>
    <w:rsid w:val="00070829"/>
    <w:rsid w:val="0008238F"/>
    <w:rsid w:val="00082EC6"/>
    <w:rsid w:val="00085388"/>
    <w:rsid w:val="000C47DA"/>
    <w:rsid w:val="000D41DC"/>
    <w:rsid w:val="00103098"/>
    <w:rsid w:val="00125D37"/>
    <w:rsid w:val="00127C1A"/>
    <w:rsid w:val="00150D81"/>
    <w:rsid w:val="00166CEB"/>
    <w:rsid w:val="00171024"/>
    <w:rsid w:val="001730B8"/>
    <w:rsid w:val="00183CB9"/>
    <w:rsid w:val="001848D0"/>
    <w:rsid w:val="00184A9A"/>
    <w:rsid w:val="001947DF"/>
    <w:rsid w:val="00194DE9"/>
    <w:rsid w:val="001B22BB"/>
    <w:rsid w:val="001B619C"/>
    <w:rsid w:val="001C2057"/>
    <w:rsid w:val="001D1D3C"/>
    <w:rsid w:val="002205D4"/>
    <w:rsid w:val="00222C3A"/>
    <w:rsid w:val="00226D31"/>
    <w:rsid w:val="00236401"/>
    <w:rsid w:val="002370CE"/>
    <w:rsid w:val="00242974"/>
    <w:rsid w:val="00250C71"/>
    <w:rsid w:val="002976D4"/>
    <w:rsid w:val="002A5577"/>
    <w:rsid w:val="002B27F6"/>
    <w:rsid w:val="002B4AA4"/>
    <w:rsid w:val="002E71BA"/>
    <w:rsid w:val="002F5066"/>
    <w:rsid w:val="003003FD"/>
    <w:rsid w:val="00310245"/>
    <w:rsid w:val="00316C95"/>
    <w:rsid w:val="003458DB"/>
    <w:rsid w:val="003523D3"/>
    <w:rsid w:val="003633B6"/>
    <w:rsid w:val="00364C35"/>
    <w:rsid w:val="0036576D"/>
    <w:rsid w:val="0038300C"/>
    <w:rsid w:val="00396F60"/>
    <w:rsid w:val="003A51D6"/>
    <w:rsid w:val="003B125E"/>
    <w:rsid w:val="003B2A5E"/>
    <w:rsid w:val="003C7C97"/>
    <w:rsid w:val="003F1CFC"/>
    <w:rsid w:val="00405886"/>
    <w:rsid w:val="00406B8D"/>
    <w:rsid w:val="00410068"/>
    <w:rsid w:val="0041618E"/>
    <w:rsid w:val="004203F2"/>
    <w:rsid w:val="0042295C"/>
    <w:rsid w:val="00426EEC"/>
    <w:rsid w:val="004466C3"/>
    <w:rsid w:val="004552CE"/>
    <w:rsid w:val="00481FF7"/>
    <w:rsid w:val="004D1EE6"/>
    <w:rsid w:val="00500295"/>
    <w:rsid w:val="00501AAF"/>
    <w:rsid w:val="00527AFA"/>
    <w:rsid w:val="005419DA"/>
    <w:rsid w:val="00557890"/>
    <w:rsid w:val="005678AC"/>
    <w:rsid w:val="005709B1"/>
    <w:rsid w:val="00572B3B"/>
    <w:rsid w:val="005836D2"/>
    <w:rsid w:val="00587C58"/>
    <w:rsid w:val="005A7FD4"/>
    <w:rsid w:val="005B1A84"/>
    <w:rsid w:val="005D1AF9"/>
    <w:rsid w:val="005D5457"/>
    <w:rsid w:val="005E2699"/>
    <w:rsid w:val="005E44B5"/>
    <w:rsid w:val="005F55DD"/>
    <w:rsid w:val="00612DEA"/>
    <w:rsid w:val="00614572"/>
    <w:rsid w:val="00620BBA"/>
    <w:rsid w:val="006232DF"/>
    <w:rsid w:val="00631F2E"/>
    <w:rsid w:val="00634D18"/>
    <w:rsid w:val="006457C0"/>
    <w:rsid w:val="00652BB7"/>
    <w:rsid w:val="00661758"/>
    <w:rsid w:val="0067612C"/>
    <w:rsid w:val="00676FEB"/>
    <w:rsid w:val="00680E26"/>
    <w:rsid w:val="00683A43"/>
    <w:rsid w:val="006912C4"/>
    <w:rsid w:val="006A5CFC"/>
    <w:rsid w:val="006C5138"/>
    <w:rsid w:val="006C689B"/>
    <w:rsid w:val="006E005C"/>
    <w:rsid w:val="006E6EE5"/>
    <w:rsid w:val="006F0029"/>
    <w:rsid w:val="007108CE"/>
    <w:rsid w:val="007138EF"/>
    <w:rsid w:val="007632A9"/>
    <w:rsid w:val="00774092"/>
    <w:rsid w:val="00782830"/>
    <w:rsid w:val="00785213"/>
    <w:rsid w:val="0078664A"/>
    <w:rsid w:val="007B0F6D"/>
    <w:rsid w:val="007B2036"/>
    <w:rsid w:val="007C62C3"/>
    <w:rsid w:val="007D25AA"/>
    <w:rsid w:val="007E0354"/>
    <w:rsid w:val="007F0873"/>
    <w:rsid w:val="00805726"/>
    <w:rsid w:val="00815117"/>
    <w:rsid w:val="00820254"/>
    <w:rsid w:val="00843C0A"/>
    <w:rsid w:val="00847502"/>
    <w:rsid w:val="008520F8"/>
    <w:rsid w:val="00855F34"/>
    <w:rsid w:val="00872076"/>
    <w:rsid w:val="008803FE"/>
    <w:rsid w:val="008826B6"/>
    <w:rsid w:val="008B0B22"/>
    <w:rsid w:val="008C58B0"/>
    <w:rsid w:val="008C591B"/>
    <w:rsid w:val="008C6182"/>
    <w:rsid w:val="008E1C20"/>
    <w:rsid w:val="00926458"/>
    <w:rsid w:val="00933720"/>
    <w:rsid w:val="009C7E52"/>
    <w:rsid w:val="009E4934"/>
    <w:rsid w:val="009F40A7"/>
    <w:rsid w:val="009F5CE6"/>
    <w:rsid w:val="00A035CD"/>
    <w:rsid w:val="00A50E80"/>
    <w:rsid w:val="00A513B0"/>
    <w:rsid w:val="00A63F7F"/>
    <w:rsid w:val="00A667CE"/>
    <w:rsid w:val="00A75042"/>
    <w:rsid w:val="00A774BC"/>
    <w:rsid w:val="00A82678"/>
    <w:rsid w:val="00A946CB"/>
    <w:rsid w:val="00AA77C8"/>
    <w:rsid w:val="00AC0DF4"/>
    <w:rsid w:val="00AC7BE2"/>
    <w:rsid w:val="00AE35BF"/>
    <w:rsid w:val="00B1067E"/>
    <w:rsid w:val="00B81790"/>
    <w:rsid w:val="00B81BBC"/>
    <w:rsid w:val="00B83895"/>
    <w:rsid w:val="00BB66E1"/>
    <w:rsid w:val="00BD03D5"/>
    <w:rsid w:val="00BF34E1"/>
    <w:rsid w:val="00C3215E"/>
    <w:rsid w:val="00C45272"/>
    <w:rsid w:val="00C47770"/>
    <w:rsid w:val="00C75856"/>
    <w:rsid w:val="00C85A7C"/>
    <w:rsid w:val="00C95214"/>
    <w:rsid w:val="00CA30BD"/>
    <w:rsid w:val="00CC3F59"/>
    <w:rsid w:val="00CD4774"/>
    <w:rsid w:val="00CF1BC4"/>
    <w:rsid w:val="00D10AAF"/>
    <w:rsid w:val="00D27540"/>
    <w:rsid w:val="00D4006B"/>
    <w:rsid w:val="00D40D7A"/>
    <w:rsid w:val="00D64A0D"/>
    <w:rsid w:val="00D750B4"/>
    <w:rsid w:val="00D81C18"/>
    <w:rsid w:val="00D8461A"/>
    <w:rsid w:val="00D95CAF"/>
    <w:rsid w:val="00DB60B6"/>
    <w:rsid w:val="00DC1CC6"/>
    <w:rsid w:val="00E067A8"/>
    <w:rsid w:val="00E13924"/>
    <w:rsid w:val="00E15FD5"/>
    <w:rsid w:val="00E1725A"/>
    <w:rsid w:val="00E33758"/>
    <w:rsid w:val="00E53E5E"/>
    <w:rsid w:val="00E64325"/>
    <w:rsid w:val="00E673C5"/>
    <w:rsid w:val="00E67967"/>
    <w:rsid w:val="00E82723"/>
    <w:rsid w:val="00E857CB"/>
    <w:rsid w:val="00EA29A5"/>
    <w:rsid w:val="00EC107C"/>
    <w:rsid w:val="00EC60EF"/>
    <w:rsid w:val="00EC7EBE"/>
    <w:rsid w:val="00EC7FD2"/>
    <w:rsid w:val="00ED5964"/>
    <w:rsid w:val="00F1720B"/>
    <w:rsid w:val="00F36ADC"/>
    <w:rsid w:val="00F514B7"/>
    <w:rsid w:val="00F605C6"/>
    <w:rsid w:val="00F6785B"/>
    <w:rsid w:val="00F915D6"/>
    <w:rsid w:val="00F94AD4"/>
    <w:rsid w:val="00FB4576"/>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360" w:after="0"/>
    </w:pPr>
    <w:rPr>
      <w:rFonts w:asciiTheme="majorHAnsi" w:hAnsiTheme="majorHAnsi" w:cstheme="majorHAnsi"/>
      <w:b/>
      <w:bCs/>
      <w:caps/>
      <w:sz w:val="24"/>
      <w:szCs w:val="28"/>
    </w:rPr>
  </w:style>
  <w:style w:type="paragraph" w:styleId="TOC2">
    <w:name w:val="toc 2"/>
    <w:basedOn w:val="Normal"/>
    <w:next w:val="Normal"/>
    <w:autoRedefine/>
    <w:uiPriority w:val="39"/>
    <w:unhideWhenUsed/>
    <w:rsid w:val="00184A9A"/>
    <w:pPr>
      <w:spacing w:before="240" w:after="0"/>
    </w:pPr>
    <w:rPr>
      <w:rFonts w:asciiTheme="minorHAnsi" w:hAnsiTheme="minorHAnsi" w:cstheme="minorHAnsi"/>
      <w:b/>
      <w:bCs/>
      <w:szCs w:val="24"/>
    </w:rPr>
  </w:style>
  <w:style w:type="paragraph" w:styleId="TOC3">
    <w:name w:val="toc 3"/>
    <w:basedOn w:val="Normal"/>
    <w:next w:val="Normal"/>
    <w:autoRedefine/>
    <w:uiPriority w:val="39"/>
    <w:unhideWhenUsed/>
    <w:rsid w:val="00184A9A"/>
    <w:pPr>
      <w:spacing w:after="0"/>
      <w:ind w:left="200"/>
    </w:pPr>
    <w:rPr>
      <w:rFonts w:asciiTheme="minorHAnsi" w:hAnsiTheme="minorHAnsi" w:cstheme="minorHAnsi"/>
      <w:szCs w:val="24"/>
    </w:rPr>
  </w:style>
  <w:style w:type="paragraph" w:styleId="TOC4">
    <w:name w:val="toc 4"/>
    <w:basedOn w:val="Normal"/>
    <w:next w:val="Normal"/>
    <w:autoRedefine/>
    <w:uiPriority w:val="39"/>
    <w:unhideWhenUsed/>
    <w:rsid w:val="00184A9A"/>
    <w:pPr>
      <w:spacing w:after="0"/>
      <w:ind w:left="400"/>
    </w:pPr>
    <w:rPr>
      <w:rFonts w:asciiTheme="minorHAnsi" w:hAnsiTheme="minorHAnsi" w:cstheme="minorHAnsi"/>
      <w:szCs w:val="24"/>
    </w:rPr>
  </w:style>
  <w:style w:type="paragraph" w:styleId="TOC5">
    <w:name w:val="toc 5"/>
    <w:basedOn w:val="Normal"/>
    <w:next w:val="Normal"/>
    <w:autoRedefine/>
    <w:uiPriority w:val="39"/>
    <w:unhideWhenUsed/>
    <w:rsid w:val="00184A9A"/>
    <w:pPr>
      <w:spacing w:after="0"/>
      <w:ind w:left="600"/>
    </w:pPr>
    <w:rPr>
      <w:rFonts w:asciiTheme="minorHAnsi" w:hAnsiTheme="minorHAnsi" w:cstheme="minorHAnsi"/>
      <w:szCs w:val="24"/>
    </w:rPr>
  </w:style>
  <w:style w:type="paragraph" w:styleId="TOC6">
    <w:name w:val="toc 6"/>
    <w:basedOn w:val="Normal"/>
    <w:next w:val="Normal"/>
    <w:autoRedefine/>
    <w:uiPriority w:val="39"/>
    <w:unhideWhenUsed/>
    <w:rsid w:val="00184A9A"/>
    <w:pPr>
      <w:spacing w:after="0"/>
      <w:ind w:left="800"/>
    </w:pPr>
    <w:rPr>
      <w:rFonts w:asciiTheme="minorHAnsi" w:hAnsiTheme="minorHAnsi" w:cstheme="minorHAnsi"/>
      <w:szCs w:val="24"/>
    </w:rPr>
  </w:style>
  <w:style w:type="paragraph" w:styleId="TOC7">
    <w:name w:val="toc 7"/>
    <w:basedOn w:val="Normal"/>
    <w:next w:val="Normal"/>
    <w:autoRedefine/>
    <w:uiPriority w:val="39"/>
    <w:unhideWhenUsed/>
    <w:rsid w:val="00184A9A"/>
    <w:pPr>
      <w:spacing w:after="0"/>
      <w:ind w:left="1000"/>
    </w:pPr>
    <w:rPr>
      <w:rFonts w:asciiTheme="minorHAnsi" w:hAnsiTheme="minorHAnsi" w:cstheme="minorHAnsi"/>
      <w:szCs w:val="24"/>
    </w:rPr>
  </w:style>
  <w:style w:type="paragraph" w:styleId="TOC8">
    <w:name w:val="toc 8"/>
    <w:basedOn w:val="Normal"/>
    <w:next w:val="Normal"/>
    <w:autoRedefine/>
    <w:uiPriority w:val="39"/>
    <w:unhideWhenUsed/>
    <w:rsid w:val="00184A9A"/>
    <w:pPr>
      <w:spacing w:after="0"/>
      <w:ind w:left="1200"/>
    </w:pPr>
    <w:rPr>
      <w:rFonts w:asciiTheme="minorHAnsi" w:hAnsiTheme="minorHAnsi" w:cstheme="minorHAnsi"/>
      <w:szCs w:val="24"/>
    </w:rPr>
  </w:style>
  <w:style w:type="paragraph" w:styleId="TOC9">
    <w:name w:val="toc 9"/>
    <w:basedOn w:val="Normal"/>
    <w:next w:val="Normal"/>
    <w:autoRedefine/>
    <w:uiPriority w:val="39"/>
    <w:unhideWhenUsed/>
    <w:rsid w:val="00184A9A"/>
    <w:pPr>
      <w:spacing w:after="0"/>
      <w:ind w:left="1400"/>
    </w:pPr>
    <w:rPr>
      <w:rFonts w:asciiTheme="minorHAnsi" w:hAnsiTheme="minorHAnsi" w:cstheme="minorHAnsi"/>
      <w:szCs w:val="24"/>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UnresolvedMention">
    <w:name w:val="Unresolved Mention"/>
    <w:basedOn w:val="DefaultParagraphFont"/>
    <w:uiPriority w:val="99"/>
    <w:semiHidden/>
    <w:unhideWhenUsed/>
    <w:rsid w:val="005F55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ice.org.uk/guidance/ng97"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the-caldicott-principle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skillsforcare.org.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co.org.uk/for-organisations/uk-gdpr-guidance-and-resources/" TargetMode="External"/><Relationship Id="rId5" Type="http://schemas.openxmlformats.org/officeDocument/2006/relationships/webSettings" Target="webSettings.xml"/><Relationship Id="rId15" Type="http://schemas.openxmlformats.org/officeDocument/2006/relationships/hyperlink" Target="https://www.nmc.org.uk/standards/code/" TargetMode="External"/><Relationship Id="rId10" Type="http://schemas.openxmlformats.org/officeDocument/2006/relationships/hyperlink" Target="https://www.legislation.gov.uk/ukpga/2010/15/content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lation.gov.uk/ukpga/2018/12/contents" TargetMode="External"/><Relationship Id="rId14" Type="http://schemas.openxmlformats.org/officeDocument/2006/relationships/hyperlink" Target="https://transform.england.nhs.uk/information-governance/guidance/records-management-co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6</Pages>
  <Words>1961</Words>
  <Characters>11184</Characters>
  <Application>Microsoft Office Word</Application>
  <DocSecurity>0</DocSecurity>
  <Lines>93</Lines>
  <Paragraphs>26</Paragraphs>
  <ScaleCrop>false</ScaleCrop>
  <Company>University of Wales Trinity Saint David</Company>
  <LinksUpToDate>false</LinksUpToDate>
  <CharactersWithSpaces>13119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Viviane Binda</cp:lastModifiedBy>
  <cp:revision>27</cp:revision>
  <dcterms:created xsi:type="dcterms:W3CDTF">2026-07-23T21:04:00Z</dcterms:created>
  <dcterms:modified xsi:type="dcterms:W3CDTF">2026-07-23T21:55:00Z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