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FA9CD88" w:rsidP="0FA9CD88" w:rsidRDefault="0FA9CD88" w14:paraId="6680385A" w14:textId="6AE7AF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FA9CD88" w:rsidP="0FA9CD88" w:rsidRDefault="0FA9CD88" w14:paraId="44BBC5BE" w14:textId="6BFBAA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3938204" w:rsidP="0FA9CD88" w:rsidRDefault="23938204" w14:paraId="59E6E9A6" w14:textId="145C04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23938204">
        <w:drawing>
          <wp:inline wp14:editId="073969DF" wp14:anchorId="47B05EC6">
            <wp:extent cx="1790700" cy="714375"/>
            <wp:effectExtent l="0" t="0" r="0" b="0"/>
            <wp:docPr id="268791338" name="" title=""/>
            <wp:cNvGraphicFramePr>
              <a:graphicFrameLocks noChangeAspect="1"/>
            </wp:cNvGraphicFramePr>
            <a:graphic>
              <a:graphicData uri="http://schemas.openxmlformats.org/drawingml/2006/picture">
                <pic:pic>
                  <pic:nvPicPr>
                    <pic:cNvPr id="0" name=""/>
                    <pic:cNvPicPr/>
                  </pic:nvPicPr>
                  <pic:blipFill>
                    <a:blip r:embed="Rd5543621b3504c25">
                      <a:extLst>
                        <a:ext xmlns:a="http://schemas.openxmlformats.org/drawingml/2006/main" uri="{28A0092B-C50C-407E-A947-70E740481C1C}">
                          <a14:useLocalDpi val="0"/>
                        </a:ext>
                      </a:extLst>
                    </a:blip>
                    <a:stretch>
                      <a:fillRect/>
                    </a:stretch>
                  </pic:blipFill>
                  <pic:spPr>
                    <a:xfrm>
                      <a:off x="0" y="0"/>
                      <a:ext cx="1790700" cy="714375"/>
                    </a:xfrm>
                    <a:prstGeom prst="rect">
                      <a:avLst/>
                    </a:prstGeom>
                  </pic:spPr>
                </pic:pic>
              </a:graphicData>
            </a:graphic>
          </wp:inline>
        </w:drawing>
      </w:r>
    </w:p>
    <w:p w:rsidR="0FA9CD88" w:rsidP="0FA9CD88" w:rsidRDefault="0FA9CD88" w14:paraId="406D7263" w14:textId="5A09B39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3938204" w:rsidP="0FA9CD88" w:rsidRDefault="23938204" w14:paraId="4B8DDAF8" w14:textId="7250526C">
      <w:pPr>
        <w:pStyle w:val="Normal"/>
        <w:spacing w:after="160" w:line="259" w:lineRule="auto"/>
        <w:rPr>
          <w:rFonts w:ascii="Grandview Display" w:hAnsi="Grandview Display" w:eastAsia="Grandview Display" w:cs="Grandview Display"/>
          <w:b w:val="1"/>
          <w:bCs w:val="1"/>
          <w:i w:val="1"/>
          <w:iCs w:val="1"/>
          <w:caps w:val="0"/>
          <w:smallCaps w:val="0"/>
          <w:noProof w:val="0"/>
          <w:color w:val="0070C0"/>
          <w:sz w:val="96"/>
          <w:szCs w:val="96"/>
          <w:vertAlign w:val="subscript"/>
          <w:lang w:val="en-GB"/>
        </w:rPr>
      </w:pPr>
      <w:r w:rsidRPr="0FA9CD88" w:rsidR="23938204">
        <w:rPr>
          <w:rFonts w:ascii="Grandview Display" w:hAnsi="Grandview Display" w:eastAsia="Grandview Display" w:cs="Grandview Display"/>
          <w:b w:val="1"/>
          <w:bCs w:val="1"/>
          <w:i w:val="1"/>
          <w:iCs w:val="1"/>
          <w:caps w:val="0"/>
          <w:smallCaps w:val="0"/>
          <w:noProof w:val="0"/>
          <w:color w:val="0070C0"/>
          <w:sz w:val="96"/>
          <w:szCs w:val="96"/>
          <w:vertAlign w:val="subscript"/>
          <w:lang w:val="en-GB"/>
        </w:rPr>
        <w:t>Constitutional Reform Act 2005</w:t>
      </w:r>
    </w:p>
    <w:p w:rsidR="0FA9CD88" w:rsidP="0FA9CD88" w:rsidRDefault="0FA9CD88" w14:paraId="475E6403" w14:textId="0F170207">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0FA9CD88" w:rsidP="0FA9CD88" w:rsidRDefault="0FA9CD88" w14:paraId="7DB00D8F" w14:textId="7D66760D">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0FA9CD88" w:rsidP="0FA9CD88" w:rsidRDefault="0FA9CD88" w14:paraId="5EAE2630" w14:textId="23A3FF92">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0FA9CD88" w:rsidP="0FA9CD88" w:rsidRDefault="0FA9CD88" w14:paraId="75C1E375" w14:textId="7967D35F">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0FA9CD88" w:rsidP="0FA9CD88" w:rsidRDefault="0FA9CD88" w14:paraId="261A651E" w14:textId="4057014F">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0FA9CD88" w:rsidP="0FA9CD88" w:rsidRDefault="0FA9CD88" w14:paraId="2DB19D24" w14:textId="00522ADC">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GB"/>
        </w:rPr>
      </w:pPr>
    </w:p>
    <w:p w:rsidR="23938204" w:rsidP="0FA9CD88" w:rsidRDefault="23938204" w14:paraId="6C0379EC" w14:textId="56D091F9">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0FA9CD88" w:rsidR="23938204">
        <w:rPr>
          <w:rFonts w:ascii="Bahnschrift" w:hAnsi="Bahnschrift" w:eastAsia="Bahnschrift" w:cs="Bahnschrift"/>
          <w:b w:val="0"/>
          <w:bCs w:val="0"/>
          <w:i w:val="0"/>
          <w:iCs w:val="0"/>
          <w:caps w:val="1"/>
          <w:noProof w:val="0"/>
          <w:color w:val="0070C0"/>
          <w:sz w:val="28"/>
          <w:szCs w:val="28"/>
          <w:vertAlign w:val="subscript"/>
          <w:lang w:val="en-US"/>
        </w:rPr>
        <w:t>STUDENT NAME</w:t>
      </w:r>
      <w:r w:rsidRPr="0FA9CD88" w:rsidR="2393820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NATALIA MARIA KONCIAK</w:t>
      </w:r>
    </w:p>
    <w:p w:rsidR="23938204" w:rsidP="0FA9CD88" w:rsidRDefault="23938204" w14:paraId="735AA006" w14:textId="46503DE9">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0FA9CD88" w:rsidR="23938204">
        <w:rPr>
          <w:rFonts w:ascii="Bahnschrift" w:hAnsi="Bahnschrift" w:eastAsia="Bahnschrift" w:cs="Bahnschrift"/>
          <w:b w:val="0"/>
          <w:bCs w:val="0"/>
          <w:i w:val="0"/>
          <w:iCs w:val="0"/>
          <w:caps w:val="1"/>
          <w:noProof w:val="0"/>
          <w:color w:val="0070C0"/>
          <w:sz w:val="28"/>
          <w:szCs w:val="28"/>
          <w:vertAlign w:val="subscript"/>
          <w:lang w:val="en-US"/>
        </w:rPr>
        <w:t>STUDENT ID NUMBER</w:t>
      </w:r>
      <w:r w:rsidRPr="0FA9CD88" w:rsidR="2393820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2238990</w:t>
      </w:r>
    </w:p>
    <w:p w:rsidR="23938204" w:rsidP="0FA9CD88" w:rsidRDefault="23938204" w14:paraId="39BC8AF0" w14:textId="25A50CCD">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0FA9CD88" w:rsidR="23938204">
        <w:rPr>
          <w:rFonts w:ascii="Bahnschrift" w:hAnsi="Bahnschrift" w:eastAsia="Bahnschrift" w:cs="Bahnschrift"/>
          <w:b w:val="0"/>
          <w:bCs w:val="0"/>
          <w:i w:val="0"/>
          <w:iCs w:val="0"/>
          <w:caps w:val="1"/>
          <w:noProof w:val="0"/>
          <w:color w:val="0070C0"/>
          <w:sz w:val="28"/>
          <w:szCs w:val="28"/>
          <w:vertAlign w:val="subscript"/>
          <w:lang w:val="en-US"/>
        </w:rPr>
        <w:t>MODULE</w:t>
      </w:r>
      <w:r w:rsidRPr="0FA9CD88" w:rsidR="2393820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LEGAL PROCESS</w:t>
      </w:r>
    </w:p>
    <w:p w:rsidR="23938204" w:rsidP="0FA9CD88" w:rsidRDefault="23938204" w14:paraId="5779C61B" w14:textId="196127C4">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GB"/>
        </w:rPr>
      </w:pPr>
      <w:r w:rsidRPr="0FA9CD88" w:rsidR="23938204">
        <w:rPr>
          <w:rFonts w:ascii="Bahnschrift" w:hAnsi="Bahnschrift" w:eastAsia="Bahnschrift" w:cs="Bahnschrift"/>
          <w:b w:val="0"/>
          <w:bCs w:val="0"/>
          <w:i w:val="0"/>
          <w:iCs w:val="0"/>
          <w:caps w:val="1"/>
          <w:noProof w:val="0"/>
          <w:color w:val="4472C4" w:themeColor="accent1" w:themeTint="FF" w:themeShade="FF"/>
          <w:sz w:val="28"/>
          <w:szCs w:val="28"/>
          <w:vertAlign w:val="subscript"/>
          <w:lang w:val="en-US"/>
        </w:rPr>
        <w:t>MODULE CODE</w:t>
      </w:r>
      <w:r w:rsidRPr="0FA9CD88" w:rsidR="23938204">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BMPL4011</w:t>
      </w:r>
    </w:p>
    <w:p w:rsidR="0FA9CD88" w:rsidP="0FA9CD88" w:rsidRDefault="0FA9CD88" w14:paraId="76EFF674" w14:textId="50AEFAB6">
      <w:pPr>
        <w:pStyle w:val="Normal"/>
        <w:spacing w:after="160" w:line="240" w:lineRule="exact"/>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7745A0D5" w14:textId="11978AAA">
      <w:pPr>
        <w:pStyle w:val="Normal"/>
        <w:spacing w:after="160" w:line="240" w:lineRule="exact"/>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240A146D" w14:textId="2512EDEF">
      <w:pPr>
        <w:pStyle w:val="Normal"/>
        <w:spacing w:after="160" w:line="240" w:lineRule="exact"/>
        <w:rPr>
          <w:rFonts w:ascii="Calibri" w:hAnsi="Calibri" w:eastAsia="Calibri" w:cs="Calibri" w:asciiTheme="minorAscii" w:hAnsiTheme="minorAscii" w:eastAsiaTheme="minorAscii" w:cstheme="minorAscii"/>
          <w:i w:val="0"/>
          <w:iCs w:val="0"/>
          <w:strike w:val="0"/>
          <w:dstrike w:val="0"/>
          <w:sz w:val="28"/>
          <w:szCs w:val="28"/>
          <w:u w:val="none"/>
        </w:rPr>
      </w:pPr>
    </w:p>
    <w:p w:rsidR="037F33D5" w:rsidP="0FA9CD88" w:rsidRDefault="037F33D5" w14:paraId="0CFB774C" w14:textId="28CB743D">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Introduction  </w:t>
      </w:r>
    </w:p>
    <w:p w:rsidR="037F33D5" w:rsidP="0FA9CD88" w:rsidRDefault="037F33D5" w14:paraId="69DBCB6A" w14:textId="41FB967E">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037F33D5" w:rsidP="0FA9CD88" w:rsidRDefault="037F33D5" w14:paraId="0E711957" w14:textId="160C3C56">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A </w:t>
      </w:r>
      <w:r w:rsidRPr="0FA9CD88" w:rsidR="037F33D5">
        <w:rPr>
          <w:rFonts w:ascii="Calibri" w:hAnsi="Calibri" w:eastAsia="Calibri" w:cs="Calibri"/>
          <w:b w:val="0"/>
          <w:bCs w:val="0"/>
          <w:i w:val="1"/>
          <w:iCs w:val="1"/>
          <w:caps w:val="0"/>
          <w:smallCaps w:val="0"/>
          <w:noProof w:val="0"/>
          <w:color w:val="0E101A"/>
          <w:sz w:val="28"/>
          <w:szCs w:val="28"/>
          <w:lang w:val="en-GB"/>
        </w:rPr>
        <w:t>constitution</w:t>
      </w:r>
      <w:r w:rsidRPr="0FA9CD88" w:rsidR="037F33D5">
        <w:rPr>
          <w:rFonts w:ascii="Calibri" w:hAnsi="Calibri" w:eastAsia="Calibri" w:cs="Calibri"/>
          <w:b w:val="0"/>
          <w:bCs w:val="0"/>
          <w:i w:val="0"/>
          <w:iCs w:val="0"/>
          <w:caps w:val="0"/>
          <w:smallCaps w:val="0"/>
          <w:noProof w:val="0"/>
          <w:color w:val="0E101A"/>
          <w:sz w:val="28"/>
          <w:szCs w:val="28"/>
          <w:lang w:val="en-GB"/>
        </w:rPr>
        <w:t xml:space="preserve"> can be defined as a foundational collection of ideas and regulations that </w:t>
      </w:r>
      <w:r w:rsidRPr="0FA9CD88" w:rsidR="037F33D5">
        <w:rPr>
          <w:rFonts w:ascii="Calibri" w:hAnsi="Calibri" w:eastAsia="Calibri" w:cs="Calibri"/>
          <w:b w:val="0"/>
          <w:bCs w:val="0"/>
          <w:i w:val="0"/>
          <w:iCs w:val="0"/>
          <w:caps w:val="0"/>
          <w:smallCaps w:val="0"/>
          <w:noProof w:val="0"/>
          <w:color w:val="0E101A"/>
          <w:sz w:val="28"/>
          <w:szCs w:val="28"/>
          <w:lang w:val="en-GB"/>
        </w:rPr>
        <w:t>determines</w:t>
      </w:r>
      <w:r w:rsidRPr="0FA9CD88" w:rsidR="037F33D5">
        <w:rPr>
          <w:rFonts w:ascii="Calibri" w:hAnsi="Calibri" w:eastAsia="Calibri" w:cs="Calibri"/>
          <w:b w:val="0"/>
          <w:bCs w:val="0"/>
          <w:i w:val="0"/>
          <w:iCs w:val="0"/>
          <w:caps w:val="0"/>
          <w:smallCaps w:val="0"/>
          <w:noProof w:val="0"/>
          <w:color w:val="0E101A"/>
          <w:sz w:val="28"/>
          <w:szCs w:val="28"/>
          <w:lang w:val="en-GB"/>
        </w:rPr>
        <w:t xml:space="preserve"> a governing body's structure and delineates its populace's entitlements and obligations. It functions as a guiding instrument that </w:t>
      </w:r>
      <w:r w:rsidRPr="0FA9CD88" w:rsidR="037F33D5">
        <w:rPr>
          <w:rFonts w:ascii="Calibri" w:hAnsi="Calibri" w:eastAsia="Calibri" w:cs="Calibri"/>
          <w:b w:val="0"/>
          <w:bCs w:val="0"/>
          <w:i w:val="0"/>
          <w:iCs w:val="0"/>
          <w:caps w:val="0"/>
          <w:smallCaps w:val="0"/>
          <w:noProof w:val="0"/>
          <w:color w:val="0E101A"/>
          <w:sz w:val="28"/>
          <w:szCs w:val="28"/>
          <w:lang w:val="en-GB"/>
        </w:rPr>
        <w:t>establishes</w:t>
      </w:r>
      <w:r w:rsidRPr="0FA9CD88" w:rsidR="037F33D5">
        <w:rPr>
          <w:rFonts w:ascii="Calibri" w:hAnsi="Calibri" w:eastAsia="Calibri" w:cs="Calibri"/>
          <w:b w:val="0"/>
          <w:bCs w:val="0"/>
          <w:i w:val="0"/>
          <w:iCs w:val="0"/>
          <w:caps w:val="0"/>
          <w:smallCaps w:val="0"/>
          <w:noProof w:val="0"/>
          <w:color w:val="0E101A"/>
          <w:sz w:val="28"/>
          <w:szCs w:val="28"/>
          <w:lang w:val="en-GB"/>
        </w:rPr>
        <w:t xml:space="preserve"> the framework of the Government, outlines its authorities, and sets down the boundaries within which those authorities may be exercised. Furthermore, it </w:t>
      </w:r>
      <w:r w:rsidRPr="0FA9CD88" w:rsidR="037F33D5">
        <w:rPr>
          <w:rFonts w:ascii="Calibri" w:hAnsi="Calibri" w:eastAsia="Calibri" w:cs="Calibri"/>
          <w:b w:val="0"/>
          <w:bCs w:val="0"/>
          <w:i w:val="0"/>
          <w:iCs w:val="0"/>
          <w:caps w:val="0"/>
          <w:smallCaps w:val="0"/>
          <w:noProof w:val="0"/>
          <w:color w:val="0E101A"/>
          <w:sz w:val="28"/>
          <w:szCs w:val="28"/>
          <w:lang w:val="en-GB"/>
        </w:rPr>
        <w:t>frequently</w:t>
      </w:r>
      <w:r w:rsidRPr="0FA9CD88" w:rsidR="037F33D5">
        <w:rPr>
          <w:rFonts w:ascii="Calibri" w:hAnsi="Calibri" w:eastAsia="Calibri" w:cs="Calibri"/>
          <w:b w:val="0"/>
          <w:bCs w:val="0"/>
          <w:i w:val="0"/>
          <w:iCs w:val="0"/>
          <w:caps w:val="0"/>
          <w:smallCaps w:val="0"/>
          <w:noProof w:val="0"/>
          <w:color w:val="0E101A"/>
          <w:sz w:val="28"/>
          <w:szCs w:val="28"/>
          <w:lang w:val="en-GB"/>
        </w:rPr>
        <w:t xml:space="preserve"> encompasses rules aimed at safeguarding individual rights and upholding the principles of legal governance. Most nations </w:t>
      </w:r>
      <w:r w:rsidRPr="0FA9CD88" w:rsidR="037F33D5">
        <w:rPr>
          <w:rFonts w:ascii="Calibri" w:hAnsi="Calibri" w:eastAsia="Calibri" w:cs="Calibri"/>
          <w:b w:val="0"/>
          <w:bCs w:val="0"/>
          <w:i w:val="0"/>
          <w:iCs w:val="0"/>
          <w:caps w:val="0"/>
          <w:smallCaps w:val="0"/>
          <w:noProof w:val="0"/>
          <w:color w:val="0E101A"/>
          <w:sz w:val="28"/>
          <w:szCs w:val="28"/>
          <w:lang w:val="en-GB"/>
        </w:rPr>
        <w:t>possess</w:t>
      </w:r>
      <w:r w:rsidRPr="0FA9CD88" w:rsidR="037F33D5">
        <w:rPr>
          <w:rFonts w:ascii="Calibri" w:hAnsi="Calibri" w:eastAsia="Calibri" w:cs="Calibri"/>
          <w:b w:val="0"/>
          <w:bCs w:val="0"/>
          <w:i w:val="0"/>
          <w:iCs w:val="0"/>
          <w:caps w:val="0"/>
          <w:smallCaps w:val="0"/>
          <w:noProof w:val="0"/>
          <w:color w:val="0E101A"/>
          <w:sz w:val="28"/>
          <w:szCs w:val="28"/>
          <w:lang w:val="en-GB"/>
        </w:rPr>
        <w:t xml:space="preserve"> a written constitution, which serves as a comprehensive document outlining the rules and principles governing the country. (ULC,2018)</w:t>
      </w:r>
      <w:r w:rsidRPr="0FA9CD88" w:rsidR="217DBBFD">
        <w:rPr>
          <w:rFonts w:ascii="Calibri" w:hAnsi="Calibri" w:eastAsia="Calibri" w:cs="Calibri"/>
          <w:b w:val="0"/>
          <w:bCs w:val="0"/>
          <w:i w:val="0"/>
          <w:iCs w:val="0"/>
          <w:caps w:val="0"/>
          <w:smallCaps w:val="0"/>
          <w:noProof w:val="0"/>
          <w:color w:val="0E101A"/>
          <w:sz w:val="28"/>
          <w:szCs w:val="28"/>
          <w:lang w:val="en-GB"/>
        </w:rPr>
        <w:t xml:space="preserve">. </w:t>
      </w:r>
      <w:r w:rsidRPr="0FA9CD88" w:rsidR="037F33D5">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49DAD3F2" w14:textId="63FB653A">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This essay aims to present the fundamental principles of the United Kingdom Constitution</w:t>
      </w:r>
      <w:r w:rsidRPr="0FA9CD88" w:rsidR="3F36179B">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08108371" w14:textId="2E56F511">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The article examines the extent to which the CRA 2005 has altered the constitutional framework of the United Kingdom and the principle of separation of powers</w:t>
      </w:r>
      <w:r w:rsidRPr="0FA9CD88" w:rsidR="42C084E5">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4445D170" w14:textId="66FA0E29">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This piece examines the relationships between three branches of British institutions: the Government, Parliament, and the court</w:t>
      </w:r>
      <w:r w:rsidRPr="0FA9CD88" w:rsidR="1B3EF249">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4FB7F358" w14:textId="1FE5D1E2">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The following paper introduces the reform to the position of Lord Chancellor</w:t>
      </w:r>
      <w:r w:rsidRPr="0FA9CD88" w:rsidR="65394B0C">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26053E23" w14:textId="3B42447D">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This essay aims to investigate the creation of the Supreme Court and its influence on the development of constitutional law within the United Kingdom</w:t>
      </w:r>
      <w:r w:rsidRPr="0FA9CD88" w:rsidR="7C579BEF">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16B74FDB" w14:textId="458083E0">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The paper examines the imperative for </w:t>
      </w:r>
      <w:r w:rsidRPr="0FA9CD88" w:rsidR="037F33D5">
        <w:rPr>
          <w:rFonts w:ascii="Calibri" w:hAnsi="Calibri" w:eastAsia="Calibri" w:cs="Calibri"/>
          <w:b w:val="0"/>
          <w:bCs w:val="0"/>
          <w:i w:val="0"/>
          <w:iCs w:val="0"/>
          <w:caps w:val="0"/>
          <w:smallCaps w:val="0"/>
          <w:noProof w:val="0"/>
          <w:color w:val="0E101A"/>
          <w:sz w:val="28"/>
          <w:szCs w:val="28"/>
          <w:lang w:val="en-GB"/>
        </w:rPr>
        <w:t>additional</w:t>
      </w:r>
      <w:r w:rsidRPr="0FA9CD88" w:rsidR="037F33D5">
        <w:rPr>
          <w:rFonts w:ascii="Calibri" w:hAnsi="Calibri" w:eastAsia="Calibri" w:cs="Calibri"/>
          <w:b w:val="0"/>
          <w:bCs w:val="0"/>
          <w:i w:val="0"/>
          <w:iCs w:val="0"/>
          <w:caps w:val="0"/>
          <w:smallCaps w:val="0"/>
          <w:noProof w:val="0"/>
          <w:color w:val="0E101A"/>
          <w:sz w:val="28"/>
          <w:szCs w:val="28"/>
          <w:lang w:val="en-GB"/>
        </w:rPr>
        <w:t xml:space="preserve"> reforms that are </w:t>
      </w:r>
      <w:r w:rsidRPr="0FA9CD88" w:rsidR="037F33D5">
        <w:rPr>
          <w:rFonts w:ascii="Calibri" w:hAnsi="Calibri" w:eastAsia="Calibri" w:cs="Calibri"/>
          <w:b w:val="0"/>
          <w:bCs w:val="0"/>
          <w:i w:val="0"/>
          <w:iCs w:val="0"/>
          <w:caps w:val="0"/>
          <w:smallCaps w:val="0"/>
          <w:noProof w:val="0"/>
          <w:color w:val="0E101A"/>
          <w:sz w:val="28"/>
          <w:szCs w:val="28"/>
          <w:lang w:val="en-GB"/>
        </w:rPr>
        <w:t>required</w:t>
      </w:r>
      <w:r w:rsidRPr="0FA9CD88" w:rsidR="037F33D5">
        <w:rPr>
          <w:rFonts w:ascii="Calibri" w:hAnsi="Calibri" w:eastAsia="Calibri" w:cs="Calibri"/>
          <w:b w:val="0"/>
          <w:bCs w:val="0"/>
          <w:i w:val="0"/>
          <w:iCs w:val="0"/>
          <w:caps w:val="0"/>
          <w:smallCaps w:val="0"/>
          <w:noProof w:val="0"/>
          <w:color w:val="0E101A"/>
          <w:sz w:val="28"/>
          <w:szCs w:val="28"/>
          <w:lang w:val="en-GB"/>
        </w:rPr>
        <w:t xml:space="preserve"> critically</w:t>
      </w:r>
      <w:r w:rsidRPr="0FA9CD88" w:rsidR="577FF358">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3A8E1515" w14:textId="2F6F49C2">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706EC5DF" w14:textId="719097F1">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 </w:t>
      </w:r>
    </w:p>
    <w:p w:rsidR="0FA9CD88" w:rsidP="0FA9CD88" w:rsidRDefault="0FA9CD88" w14:paraId="3E629B54" w14:textId="58569BCB">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29566997" w14:textId="46347E03">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1106AC07" w14:textId="04B70040">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575A8BDD" w14:textId="1BD3297D">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30D1D1F7" w14:textId="44843718">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170E7D64" w14:textId="226ECDB4">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048276C9" w14:textId="0D33C97A">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1306AEF5" w14:textId="64D09F72">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37F33D5" w:rsidP="0FA9CD88" w:rsidRDefault="037F33D5" w14:paraId="7A045B1B" w14:textId="5DE86B61">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Main Body </w:t>
      </w:r>
    </w:p>
    <w:p w:rsidR="037F33D5" w:rsidP="0FA9CD88" w:rsidRDefault="037F33D5" w14:paraId="267A0FB0" w14:textId="3D204D4B">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25CCB5E5" w14:textId="08D59DE2">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7B26A585" w14:textId="54887ABF">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The United Kingdom's constitution is codified, albeit dispersed among various sources. Constitutional laws and rules do not </w:t>
      </w:r>
      <w:r w:rsidRPr="0FA9CD88" w:rsidR="037F33D5">
        <w:rPr>
          <w:rFonts w:ascii="Calibri" w:hAnsi="Calibri" w:eastAsia="Calibri" w:cs="Calibri"/>
          <w:b w:val="0"/>
          <w:bCs w:val="0"/>
          <w:i w:val="0"/>
          <w:iCs w:val="0"/>
          <w:caps w:val="0"/>
          <w:smallCaps w:val="0"/>
          <w:noProof w:val="0"/>
          <w:color w:val="0E101A"/>
          <w:sz w:val="28"/>
          <w:szCs w:val="28"/>
          <w:lang w:val="en-GB"/>
        </w:rPr>
        <w:t>possess</w:t>
      </w:r>
      <w:r w:rsidRPr="0FA9CD88" w:rsidR="037F33D5">
        <w:rPr>
          <w:rFonts w:ascii="Calibri" w:hAnsi="Calibri" w:eastAsia="Calibri" w:cs="Calibri"/>
          <w:b w:val="0"/>
          <w:bCs w:val="0"/>
          <w:i w:val="0"/>
          <w:iCs w:val="0"/>
          <w:caps w:val="0"/>
          <w:smallCaps w:val="0"/>
          <w:noProof w:val="0"/>
          <w:color w:val="0E101A"/>
          <w:sz w:val="28"/>
          <w:szCs w:val="28"/>
          <w:lang w:val="en-GB"/>
        </w:rPr>
        <w:t xml:space="preserve"> any distinct legal standing. Parliament can create, amend, or repeal constitutional statutes and norms through routine legislative procedures. The United Kingdom constitution holds considerable significance since it serves as the fundamental basis for the governing and operation of the nation. The document delineates the governing body's authorities and constraints, preserves individuals' rights, and </w:t>
      </w:r>
      <w:r w:rsidRPr="0FA9CD88" w:rsidR="037F33D5">
        <w:rPr>
          <w:rFonts w:ascii="Calibri" w:hAnsi="Calibri" w:eastAsia="Calibri" w:cs="Calibri"/>
          <w:b w:val="0"/>
          <w:bCs w:val="0"/>
          <w:i w:val="0"/>
          <w:iCs w:val="0"/>
          <w:caps w:val="0"/>
          <w:smallCaps w:val="0"/>
          <w:noProof w:val="0"/>
          <w:color w:val="0E101A"/>
          <w:sz w:val="28"/>
          <w:szCs w:val="28"/>
          <w:lang w:val="en-GB"/>
        </w:rPr>
        <w:t>establishes</w:t>
      </w:r>
      <w:r w:rsidRPr="0FA9CD88" w:rsidR="037F33D5">
        <w:rPr>
          <w:rFonts w:ascii="Calibri" w:hAnsi="Calibri" w:eastAsia="Calibri" w:cs="Calibri"/>
          <w:b w:val="0"/>
          <w:bCs w:val="0"/>
          <w:i w:val="0"/>
          <w:iCs w:val="0"/>
          <w:caps w:val="0"/>
          <w:smallCaps w:val="0"/>
          <w:noProof w:val="0"/>
          <w:color w:val="0E101A"/>
          <w:sz w:val="28"/>
          <w:szCs w:val="28"/>
          <w:lang w:val="en-GB"/>
        </w:rPr>
        <w:t xml:space="preserve"> a framework for implementing checks and balances. Furthermore, it creates the fundamental rules that govern the intricate dynamics between the governing body and the individuals </w:t>
      </w:r>
      <w:r w:rsidRPr="0FA9CD88" w:rsidR="037F33D5">
        <w:rPr>
          <w:rFonts w:ascii="Calibri" w:hAnsi="Calibri" w:eastAsia="Calibri" w:cs="Calibri"/>
          <w:b w:val="0"/>
          <w:bCs w:val="0"/>
          <w:i w:val="0"/>
          <w:iCs w:val="0"/>
          <w:caps w:val="0"/>
          <w:smallCaps w:val="0"/>
          <w:noProof w:val="0"/>
          <w:color w:val="0E101A"/>
          <w:sz w:val="28"/>
          <w:szCs w:val="28"/>
          <w:lang w:val="en-GB"/>
        </w:rPr>
        <w:t>comprising</w:t>
      </w:r>
      <w:r w:rsidRPr="0FA9CD88" w:rsidR="037F33D5">
        <w:rPr>
          <w:rFonts w:ascii="Calibri" w:hAnsi="Calibri" w:eastAsia="Calibri" w:cs="Calibri"/>
          <w:b w:val="0"/>
          <w:bCs w:val="0"/>
          <w:i w:val="0"/>
          <w:iCs w:val="0"/>
          <w:caps w:val="0"/>
          <w:smallCaps w:val="0"/>
          <w:noProof w:val="0"/>
          <w:color w:val="0E101A"/>
          <w:sz w:val="28"/>
          <w:szCs w:val="28"/>
          <w:lang w:val="en-GB"/>
        </w:rPr>
        <w:t xml:space="preserve"> the populace, fostering a sense of security and assurance within a democratic framework (Parliament,2015)</w:t>
      </w:r>
      <w:r w:rsidRPr="0FA9CD88" w:rsidR="0E7373E6">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175225EF" w14:textId="77B919F8">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The separation of powers theory in the United Kingdom is a foundational principle that </w:t>
      </w:r>
      <w:r w:rsidRPr="0FA9CD88" w:rsidR="037F33D5">
        <w:rPr>
          <w:rFonts w:ascii="Calibri" w:hAnsi="Calibri" w:eastAsia="Calibri" w:cs="Calibri"/>
          <w:b w:val="0"/>
          <w:bCs w:val="0"/>
          <w:i w:val="0"/>
          <w:iCs w:val="0"/>
          <w:caps w:val="0"/>
          <w:smallCaps w:val="0"/>
          <w:noProof w:val="0"/>
          <w:color w:val="0E101A"/>
          <w:sz w:val="28"/>
          <w:szCs w:val="28"/>
          <w:lang w:val="en-GB"/>
        </w:rPr>
        <w:t>seeks</w:t>
      </w:r>
      <w:r w:rsidRPr="0FA9CD88" w:rsidR="037F33D5">
        <w:rPr>
          <w:rFonts w:ascii="Calibri" w:hAnsi="Calibri" w:eastAsia="Calibri" w:cs="Calibri"/>
          <w:b w:val="0"/>
          <w:bCs w:val="0"/>
          <w:i w:val="0"/>
          <w:iCs w:val="0"/>
          <w:caps w:val="0"/>
          <w:smallCaps w:val="0"/>
          <w:noProof w:val="0"/>
          <w:color w:val="0E101A"/>
          <w:sz w:val="28"/>
          <w:szCs w:val="28"/>
          <w:lang w:val="en-GB"/>
        </w:rPr>
        <w:t xml:space="preserve"> to </w:t>
      </w:r>
      <w:r w:rsidRPr="0FA9CD88" w:rsidR="037F33D5">
        <w:rPr>
          <w:rFonts w:ascii="Calibri" w:hAnsi="Calibri" w:eastAsia="Calibri" w:cs="Calibri"/>
          <w:b w:val="0"/>
          <w:bCs w:val="0"/>
          <w:i w:val="0"/>
          <w:iCs w:val="0"/>
          <w:caps w:val="0"/>
          <w:smallCaps w:val="0"/>
          <w:noProof w:val="0"/>
          <w:color w:val="0E101A"/>
          <w:sz w:val="28"/>
          <w:szCs w:val="28"/>
          <w:lang w:val="en-GB"/>
        </w:rPr>
        <w:t>provide</w:t>
      </w:r>
      <w:r w:rsidRPr="0FA9CD88" w:rsidR="037F33D5">
        <w:rPr>
          <w:rFonts w:ascii="Calibri" w:hAnsi="Calibri" w:eastAsia="Calibri" w:cs="Calibri"/>
          <w:b w:val="0"/>
          <w:bCs w:val="0"/>
          <w:i w:val="0"/>
          <w:iCs w:val="0"/>
          <w:caps w:val="0"/>
          <w:smallCaps w:val="0"/>
          <w:noProof w:val="0"/>
          <w:color w:val="0E101A"/>
          <w:sz w:val="28"/>
          <w:szCs w:val="28"/>
          <w:lang w:val="en-GB"/>
        </w:rPr>
        <w:t xml:space="preserve"> a system of checks and balances among the Government's executive, legislative, and court departments. The principle of separation of powers stipulates that each branch of Government functions autonomously, </w:t>
      </w:r>
      <w:r w:rsidRPr="0FA9CD88" w:rsidR="037F33D5">
        <w:rPr>
          <w:rFonts w:ascii="Calibri" w:hAnsi="Calibri" w:eastAsia="Calibri" w:cs="Calibri"/>
          <w:b w:val="0"/>
          <w:bCs w:val="0"/>
          <w:i w:val="0"/>
          <w:iCs w:val="0"/>
          <w:caps w:val="0"/>
          <w:smallCaps w:val="0"/>
          <w:noProof w:val="0"/>
          <w:color w:val="0E101A"/>
          <w:sz w:val="28"/>
          <w:szCs w:val="28"/>
          <w:lang w:val="en-GB"/>
        </w:rPr>
        <w:t>possessing</w:t>
      </w:r>
      <w:r w:rsidRPr="0FA9CD88" w:rsidR="037F33D5">
        <w:rPr>
          <w:rFonts w:ascii="Calibri" w:hAnsi="Calibri" w:eastAsia="Calibri" w:cs="Calibri"/>
          <w:b w:val="0"/>
          <w:bCs w:val="0"/>
          <w:i w:val="0"/>
          <w:iCs w:val="0"/>
          <w:caps w:val="0"/>
          <w:smallCaps w:val="0"/>
          <w:noProof w:val="0"/>
          <w:color w:val="0E101A"/>
          <w:sz w:val="28"/>
          <w:szCs w:val="28"/>
          <w:lang w:val="en-GB"/>
        </w:rPr>
        <w:t xml:space="preserve"> distinctive authority and duties. The act of separation aids in the prevention of authority excesses and the advancement of the rule of law. Preserving the principles of democracy and averting the consolidation of authority within a limited group of people or institutions is of utmost importance</w:t>
      </w:r>
      <w:r w:rsidRPr="0FA9CD88" w:rsidR="7ED29A49">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23220A11" w14:textId="095D31B7">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In the United Kingdom, separation of powers plays a crucial role in establishing a system of governance characterized by equilibrium, safeguarding the rights of individuals, and mitigating the potential for excess capacity. The inclusion of this element inside the nation's legislative structure is of paramount importance, as it upholds the integrity of a well-operating democratic system (Klassen,2011). </w:t>
      </w:r>
    </w:p>
    <w:p w:rsidR="037F33D5" w:rsidP="0FA9CD88" w:rsidRDefault="037F33D5" w14:paraId="5C079CE6" w14:textId="387F6888">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In the UK, the executive comprises the Crown and the Government, including the Prime Minister and Cabinet ministers. The executive formulates and implements policy. The legislature, Parliament, comprises the Crown, the House of Commons, and the House of Lords. The judiciary comprises the judges in the courts of law, those who hold judicial office in tribunals and the lay magistrates who staff the magistrates' courts. The Crown makes Senior judicial appointments (Law Wales,2021). </w:t>
      </w:r>
    </w:p>
    <w:p w:rsidR="037F33D5" w:rsidP="0FA9CD88" w:rsidRDefault="037F33D5" w14:paraId="7152DEDB" w14:textId="5884E164">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In the United Kingdom and other standard law systems, there is a close interconnection between the executive and legislative. The Prime Minister and most of their ministers hold membership in the Parliament and occupy seats within the House of Commons. The executive holds a central position within the Parliament. Furthermore, Parliament can transfer its authority to create laws to the Government by granting it the right to design secondary or delegated legislation. The division between the legislature and executive branches of Government is blurred in the United Kingdom</w:t>
      </w:r>
      <w:r w:rsidRPr="0FA9CD88" w:rsidR="335F7371">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2C12151C" w14:textId="75AE53B1">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The House of Commons (Disqualification) Act of 1975 was enacted to curb the executive's influence on Parliament by imposing restrictions on the presence of salaried ministers within the Commons. Furthermore, it is within the purview of the legislative arm of Government to exercise the formal authority to remove executive officers from their positions. </w:t>
      </w:r>
    </w:p>
    <w:p w:rsidR="037F33D5" w:rsidP="0FA9CD88" w:rsidRDefault="037F33D5" w14:paraId="77612CA6" w14:textId="7EFD3AC3">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The second component of the doctrine of separation of powers entails the establishment of a clear demarcation between the legislative and judicial branches. In the United Kingdom, judges are legally barred from seeking election to Parliament according to the provisions outlined in the House of Commons (Disqualification) Act of 1975. Judges are anticipated to interpret legislation following the legislative intent of Parliament. Judges serving in the higher courts are granted life tenure, a safeguard that upholds their autonomy. Furthermore, removing a High Court judge from their position necessitates a resolution from both Houses, whereas judges at lower levels can only be dismissed following disciplinary processes. Judges are protected by immunity from legal action concerning their judicial duties and an absolute privilege in court proceedings. According to constitutional principles, judges are considered subordinate to Parliament and are not permitted to question the legitimacy of Acts of Parliament. Nevertheless, judges have a certain degree of discretion to construe statutes, prompting inquiry into their capacity to create legal norms. </w:t>
      </w:r>
    </w:p>
    <w:p w:rsidR="037F33D5" w:rsidP="0FA9CD88" w:rsidRDefault="037F33D5" w14:paraId="08560D83" w14:textId="0FDA81BB">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The symbiotic relationship between the judiciary and legislative has been characterized as a "constitutional partnership," wherein Parliament may implicitly endorse judge-made law by refraining from intervention (Benwell,2011). </w:t>
      </w:r>
    </w:p>
    <w:p w:rsidR="037F33D5" w:rsidP="0FA9CD88" w:rsidRDefault="037F33D5" w14:paraId="460C1514" w14:textId="71ECF431">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The third aspect of division pertains to the executive and judiciary divisions. The primary purpose of judicial review concerning the executive branch is to </w:t>
      </w:r>
      <w:r w:rsidRPr="0FA9CD88" w:rsidR="037F33D5">
        <w:rPr>
          <w:rFonts w:ascii="Calibri" w:hAnsi="Calibri" w:eastAsia="Calibri" w:cs="Calibri"/>
          <w:b w:val="0"/>
          <w:bCs w:val="0"/>
          <w:i w:val="0"/>
          <w:iCs w:val="0"/>
          <w:caps w:val="0"/>
          <w:smallCaps w:val="0"/>
          <w:noProof w:val="0"/>
          <w:color w:val="0E101A"/>
          <w:sz w:val="28"/>
          <w:szCs w:val="28"/>
          <w:lang w:val="en-GB"/>
        </w:rPr>
        <w:t>ascertain</w:t>
      </w:r>
      <w:r w:rsidRPr="0FA9CD88" w:rsidR="037F33D5">
        <w:rPr>
          <w:rFonts w:ascii="Calibri" w:hAnsi="Calibri" w:eastAsia="Calibri" w:cs="Calibri"/>
          <w:b w:val="0"/>
          <w:bCs w:val="0"/>
          <w:i w:val="0"/>
          <w:iCs w:val="0"/>
          <w:caps w:val="0"/>
          <w:smallCaps w:val="0"/>
          <w:noProof w:val="0"/>
          <w:color w:val="0E101A"/>
          <w:sz w:val="28"/>
          <w:szCs w:val="28"/>
          <w:lang w:val="en-GB"/>
        </w:rPr>
        <w:t xml:space="preserve"> the conformity of transferred laws with the extent of authority bestowed by Parliament and verify the constitutionality of government activities and the conduct of other public entities. The judicial review process allows judges to examine the legality of measures taken by public entities about an individual's application. This </w:t>
      </w:r>
      <w:r w:rsidRPr="0FA9CD88" w:rsidR="037F33D5">
        <w:rPr>
          <w:rFonts w:ascii="Calibri" w:hAnsi="Calibri" w:eastAsia="Calibri" w:cs="Calibri"/>
          <w:b w:val="0"/>
          <w:bCs w:val="0"/>
          <w:i w:val="0"/>
          <w:iCs w:val="0"/>
          <w:caps w:val="0"/>
          <w:smallCaps w:val="0"/>
          <w:noProof w:val="0"/>
          <w:color w:val="0E101A"/>
          <w:sz w:val="28"/>
          <w:szCs w:val="28"/>
          <w:lang w:val="en-GB"/>
        </w:rPr>
        <w:t>necessitates</w:t>
      </w:r>
      <w:r w:rsidRPr="0FA9CD88" w:rsidR="037F33D5">
        <w:rPr>
          <w:rFonts w:ascii="Calibri" w:hAnsi="Calibri" w:eastAsia="Calibri" w:cs="Calibri"/>
          <w:b w:val="0"/>
          <w:bCs w:val="0"/>
          <w:i w:val="0"/>
          <w:iCs w:val="0"/>
          <w:caps w:val="0"/>
          <w:smallCaps w:val="0"/>
          <w:noProof w:val="0"/>
          <w:color w:val="0E101A"/>
          <w:sz w:val="28"/>
          <w:szCs w:val="28"/>
          <w:lang w:val="en-GB"/>
        </w:rPr>
        <w:t xml:space="preserve"> the judges to </w:t>
      </w:r>
      <w:r w:rsidRPr="0FA9CD88" w:rsidR="037F33D5">
        <w:rPr>
          <w:rFonts w:ascii="Calibri" w:hAnsi="Calibri" w:eastAsia="Calibri" w:cs="Calibri"/>
          <w:b w:val="0"/>
          <w:bCs w:val="0"/>
          <w:i w:val="0"/>
          <w:iCs w:val="0"/>
          <w:caps w:val="0"/>
          <w:smallCaps w:val="0"/>
          <w:noProof w:val="0"/>
          <w:color w:val="0E101A"/>
          <w:sz w:val="28"/>
          <w:szCs w:val="28"/>
          <w:lang w:val="en-GB"/>
        </w:rPr>
        <w:t>possess</w:t>
      </w:r>
      <w:r w:rsidRPr="0FA9CD88" w:rsidR="037F33D5">
        <w:rPr>
          <w:rFonts w:ascii="Calibri" w:hAnsi="Calibri" w:eastAsia="Calibri" w:cs="Calibri"/>
          <w:b w:val="0"/>
          <w:bCs w:val="0"/>
          <w:i w:val="0"/>
          <w:iCs w:val="0"/>
          <w:caps w:val="0"/>
          <w:smallCaps w:val="0"/>
          <w:noProof w:val="0"/>
          <w:color w:val="0E101A"/>
          <w:sz w:val="28"/>
          <w:szCs w:val="28"/>
          <w:lang w:val="en-GB"/>
        </w:rPr>
        <w:t xml:space="preserve"> independence from governmental and Parliamentary control (Bilchitz,2018)</w:t>
      </w:r>
      <w:r w:rsidRPr="0FA9CD88" w:rsidR="4E66CBD0">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44360B40" w14:textId="40DCC9AB">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Historically, judges have </w:t>
      </w:r>
      <w:r w:rsidRPr="0FA9CD88" w:rsidR="037F33D5">
        <w:rPr>
          <w:rFonts w:ascii="Calibri" w:hAnsi="Calibri" w:eastAsia="Calibri" w:cs="Calibri"/>
          <w:b w:val="0"/>
          <w:bCs w:val="0"/>
          <w:i w:val="0"/>
          <w:iCs w:val="0"/>
          <w:caps w:val="0"/>
          <w:smallCaps w:val="0"/>
          <w:noProof w:val="0"/>
          <w:color w:val="0E101A"/>
          <w:sz w:val="28"/>
          <w:szCs w:val="28"/>
          <w:lang w:val="en-GB"/>
        </w:rPr>
        <w:t>demonstrated</w:t>
      </w:r>
      <w:r w:rsidRPr="0FA9CD88" w:rsidR="037F33D5">
        <w:rPr>
          <w:rFonts w:ascii="Calibri" w:hAnsi="Calibri" w:eastAsia="Calibri" w:cs="Calibri"/>
          <w:b w:val="0"/>
          <w:bCs w:val="0"/>
          <w:i w:val="0"/>
          <w:iCs w:val="0"/>
          <w:caps w:val="0"/>
          <w:smallCaps w:val="0"/>
          <w:noProof w:val="0"/>
          <w:color w:val="0E101A"/>
          <w:sz w:val="28"/>
          <w:szCs w:val="28"/>
          <w:lang w:val="en-GB"/>
        </w:rPr>
        <w:t xml:space="preserve"> a tendency towards self-control or "deference" when exercising their authority in areas they perceive as falling within their purview for assessment. The royal prerogative encompasses various applications, including topics of "high policy", such as the </w:t>
      </w:r>
      <w:r w:rsidRPr="0FA9CD88" w:rsidR="037F33D5">
        <w:rPr>
          <w:rFonts w:ascii="Calibri" w:hAnsi="Calibri" w:eastAsia="Calibri" w:cs="Calibri"/>
          <w:b w:val="0"/>
          <w:bCs w:val="0"/>
          <w:i w:val="0"/>
          <w:iCs w:val="0"/>
          <w:caps w:val="0"/>
          <w:smallCaps w:val="0"/>
          <w:noProof w:val="0"/>
          <w:color w:val="0E101A"/>
          <w:sz w:val="28"/>
          <w:szCs w:val="28"/>
          <w:lang w:val="en-GB"/>
        </w:rPr>
        <w:t>selection</w:t>
      </w:r>
      <w:r w:rsidRPr="0FA9CD88" w:rsidR="037F33D5">
        <w:rPr>
          <w:rFonts w:ascii="Calibri" w:hAnsi="Calibri" w:eastAsia="Calibri" w:cs="Calibri"/>
          <w:b w:val="0"/>
          <w:bCs w:val="0"/>
          <w:i w:val="0"/>
          <w:iCs w:val="0"/>
          <w:caps w:val="0"/>
          <w:smallCaps w:val="0"/>
          <w:noProof w:val="0"/>
          <w:color w:val="0E101A"/>
          <w:sz w:val="28"/>
          <w:szCs w:val="28"/>
          <w:lang w:val="en-GB"/>
        </w:rPr>
        <w:t xml:space="preserve"> of ministers, the distribution of economic assets, national security concerns, the ratification of agreements, and military affairs. Typically, courts refrain from intervening in these areas (Benwell,2011)</w:t>
      </w:r>
      <w:r w:rsidRPr="0FA9CD88" w:rsidR="422B4964">
        <w:rPr>
          <w:rFonts w:ascii="Calibri" w:hAnsi="Calibri" w:eastAsia="Calibri" w:cs="Calibri"/>
          <w:b w:val="0"/>
          <w:bCs w:val="0"/>
          <w:i w:val="0"/>
          <w:iCs w:val="0"/>
          <w:caps w:val="0"/>
          <w:smallCaps w:val="0"/>
          <w:noProof w:val="0"/>
          <w:color w:val="0E101A"/>
          <w:sz w:val="28"/>
          <w:szCs w:val="28"/>
          <w:lang w:val="en-GB"/>
        </w:rPr>
        <w:t xml:space="preserve">. </w:t>
      </w:r>
    </w:p>
    <w:p w:rsidR="037F33D5" w:rsidP="0FA9CD88" w:rsidRDefault="037F33D5" w14:paraId="558D25FC" w14:textId="23263CAD">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 xml:space="preserve"> </w:t>
      </w:r>
      <w:r w:rsidRPr="0FA9CD88" w:rsidR="037F33D5">
        <w:rPr>
          <w:rFonts w:ascii="Calibri" w:hAnsi="Calibri" w:eastAsia="Calibri" w:cs="Calibri"/>
          <w:b w:val="0"/>
          <w:bCs w:val="0"/>
          <w:i w:val="0"/>
          <w:iCs w:val="0"/>
          <w:caps w:val="0"/>
          <w:smallCaps w:val="0"/>
          <w:noProof w:val="0"/>
          <w:color w:val="0E101A"/>
          <w:sz w:val="28"/>
          <w:szCs w:val="28"/>
          <w:lang w:val="en-GB"/>
        </w:rPr>
        <w:t xml:space="preserve">The Constitutional Reform Act of 2005 is a legislative measure enacted in the United Kingdom. This initiative aims to reform the nation's constitution and legislative framework. The legislation implemented a novel framework for the </w:t>
      </w:r>
      <w:r w:rsidRPr="0FA9CD88" w:rsidR="037F33D5">
        <w:rPr>
          <w:rFonts w:ascii="Calibri" w:hAnsi="Calibri" w:eastAsia="Calibri" w:cs="Calibri"/>
          <w:b w:val="0"/>
          <w:bCs w:val="0"/>
          <w:i w:val="0"/>
          <w:iCs w:val="0"/>
          <w:caps w:val="0"/>
          <w:smallCaps w:val="0"/>
          <w:noProof w:val="0"/>
          <w:color w:val="0E101A"/>
          <w:sz w:val="28"/>
          <w:szCs w:val="28"/>
          <w:lang w:val="en-GB"/>
        </w:rPr>
        <w:t>selection</w:t>
      </w:r>
      <w:r w:rsidRPr="0FA9CD88" w:rsidR="037F33D5">
        <w:rPr>
          <w:rFonts w:ascii="Calibri" w:hAnsi="Calibri" w:eastAsia="Calibri" w:cs="Calibri"/>
          <w:b w:val="0"/>
          <w:bCs w:val="0"/>
          <w:i w:val="0"/>
          <w:iCs w:val="0"/>
          <w:caps w:val="0"/>
          <w:smallCaps w:val="0"/>
          <w:noProof w:val="0"/>
          <w:color w:val="0E101A"/>
          <w:sz w:val="28"/>
          <w:szCs w:val="28"/>
          <w:lang w:val="en-GB"/>
        </w:rPr>
        <w:t xml:space="preserve"> of judges. The establishment of the Judicial Appointments Commission was intended to enhance the transparency and autonomy of the judicial appointment process. The legislation reinforced the fundamental concept of judicial autonomy, creating a more significant distinction between the judiciary and the executive and legislative departments of Government and bolstering the self-governance of judges. The primary </w:t>
      </w:r>
      <w:r w:rsidRPr="0FA9CD88" w:rsidR="037F33D5">
        <w:rPr>
          <w:rFonts w:ascii="Calibri" w:hAnsi="Calibri" w:eastAsia="Calibri" w:cs="Calibri"/>
          <w:b w:val="0"/>
          <w:bCs w:val="0"/>
          <w:i w:val="0"/>
          <w:iCs w:val="0"/>
          <w:caps w:val="0"/>
          <w:smallCaps w:val="0"/>
          <w:noProof w:val="0"/>
          <w:color w:val="0E101A"/>
          <w:sz w:val="28"/>
          <w:szCs w:val="28"/>
          <w:lang w:val="en-GB"/>
        </w:rPr>
        <w:t>objective</w:t>
      </w:r>
      <w:r w:rsidRPr="0FA9CD88" w:rsidR="037F33D5">
        <w:rPr>
          <w:rFonts w:ascii="Calibri" w:hAnsi="Calibri" w:eastAsia="Calibri" w:cs="Calibri"/>
          <w:b w:val="0"/>
          <w:bCs w:val="0"/>
          <w:i w:val="0"/>
          <w:iCs w:val="0"/>
          <w:caps w:val="0"/>
          <w:smallCaps w:val="0"/>
          <w:noProof w:val="0"/>
          <w:color w:val="0E101A"/>
          <w:sz w:val="28"/>
          <w:szCs w:val="28"/>
          <w:lang w:val="en-GB"/>
        </w:rPr>
        <w:t xml:space="preserve"> of the Constitutional Reform Act 2005 was to enhance and contemporize the constitutional framework of the United Kingdom, with a specific focus on </w:t>
      </w:r>
      <w:r w:rsidRPr="0FA9CD88" w:rsidR="037F33D5">
        <w:rPr>
          <w:rFonts w:ascii="Calibri" w:hAnsi="Calibri" w:eastAsia="Calibri" w:cs="Calibri"/>
          <w:b w:val="0"/>
          <w:bCs w:val="0"/>
          <w:i w:val="0"/>
          <w:iCs w:val="0"/>
          <w:caps w:val="0"/>
          <w:smallCaps w:val="0"/>
          <w:noProof w:val="0"/>
          <w:color w:val="0E101A"/>
          <w:sz w:val="28"/>
          <w:szCs w:val="28"/>
          <w:lang w:val="en-GB"/>
        </w:rPr>
        <w:t>establishing</w:t>
      </w:r>
      <w:r w:rsidRPr="0FA9CD88" w:rsidR="037F33D5">
        <w:rPr>
          <w:rFonts w:ascii="Calibri" w:hAnsi="Calibri" w:eastAsia="Calibri" w:cs="Calibri"/>
          <w:b w:val="0"/>
          <w:bCs w:val="0"/>
          <w:i w:val="0"/>
          <w:iCs w:val="0"/>
          <w:caps w:val="0"/>
          <w:smallCaps w:val="0"/>
          <w:noProof w:val="0"/>
          <w:color w:val="0E101A"/>
          <w:sz w:val="28"/>
          <w:szCs w:val="28"/>
          <w:lang w:val="en-GB"/>
        </w:rPr>
        <w:t xml:space="preserve"> a clear separation of powers and </w:t>
      </w:r>
      <w:r w:rsidRPr="0FA9CD88" w:rsidR="037F33D5">
        <w:rPr>
          <w:rFonts w:ascii="Calibri" w:hAnsi="Calibri" w:eastAsia="Calibri" w:cs="Calibri"/>
          <w:b w:val="0"/>
          <w:bCs w:val="0"/>
          <w:i w:val="0"/>
          <w:iCs w:val="0"/>
          <w:caps w:val="0"/>
          <w:smallCaps w:val="0"/>
          <w:noProof w:val="0"/>
          <w:color w:val="0E101A"/>
          <w:sz w:val="28"/>
          <w:szCs w:val="28"/>
          <w:lang w:val="en-GB"/>
        </w:rPr>
        <w:t>maintaining</w:t>
      </w:r>
      <w:r w:rsidRPr="0FA9CD88" w:rsidR="037F33D5">
        <w:rPr>
          <w:rFonts w:ascii="Calibri" w:hAnsi="Calibri" w:eastAsia="Calibri" w:cs="Calibri"/>
          <w:b w:val="0"/>
          <w:bCs w:val="0"/>
          <w:i w:val="0"/>
          <w:iCs w:val="0"/>
          <w:caps w:val="0"/>
          <w:smallCaps w:val="0"/>
          <w:noProof w:val="0"/>
          <w:color w:val="0E101A"/>
          <w:sz w:val="28"/>
          <w:szCs w:val="28"/>
          <w:lang w:val="en-GB"/>
        </w:rPr>
        <w:t xml:space="preserve"> the judiciary's autonomy (Legislation.Gov.UK,2005).  </w:t>
      </w:r>
    </w:p>
    <w:p w:rsidR="7CB336A3" w:rsidP="0FA9CD88" w:rsidRDefault="7CB336A3" w14:paraId="0C828696" w14:textId="1111C5AD">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7CB336A3">
        <w:rPr>
          <w:rFonts w:ascii="Calibri" w:hAnsi="Calibri" w:eastAsia="Calibri" w:cs="Calibri"/>
          <w:b w:val="0"/>
          <w:bCs w:val="0"/>
          <w:i w:val="0"/>
          <w:iCs w:val="0"/>
          <w:caps w:val="0"/>
          <w:smallCaps w:val="0"/>
          <w:noProof w:val="0"/>
          <w:color w:val="0E101A"/>
          <w:sz w:val="28"/>
          <w:szCs w:val="28"/>
          <w:lang w:val="en-GB"/>
        </w:rPr>
        <w:t>The legislation made the UK Supreme Court the highest court of appeal by separating it from the House of Lords. Before 2009, the Lords of Appeal in Ordinary were the UK's highest appellate court and legislators. In October 2009, the House of Lords separated its judicial and legislative duties, creating the Supreme Court (Arnold, 2014)</w:t>
      </w:r>
      <w:r w:rsidRPr="0FA9CD88" w:rsidR="66F28ACB">
        <w:rPr>
          <w:rFonts w:ascii="Calibri" w:hAnsi="Calibri" w:eastAsia="Calibri" w:cs="Calibri"/>
          <w:b w:val="0"/>
          <w:bCs w:val="0"/>
          <w:i w:val="0"/>
          <w:iCs w:val="0"/>
          <w:caps w:val="0"/>
          <w:smallCaps w:val="0"/>
          <w:noProof w:val="0"/>
          <w:color w:val="0E101A"/>
          <w:sz w:val="28"/>
          <w:szCs w:val="28"/>
          <w:lang w:val="en-GB"/>
        </w:rPr>
        <w:t xml:space="preserve">. </w:t>
      </w:r>
    </w:p>
    <w:p w:rsidR="7CB336A3" w:rsidP="0FA9CD88" w:rsidRDefault="7CB336A3" w14:paraId="5BA4042D" w14:textId="7FE7D5D2">
      <w:pPr>
        <w:pStyle w:val="Normal"/>
        <w:spacing w:before="0" w:beforeAutospacing="off" w:after="0" w:afterAutospacing="off" w:line="259" w:lineRule="auto"/>
      </w:pPr>
      <w:r w:rsidRPr="0FA9CD88" w:rsidR="7CB336A3">
        <w:rPr>
          <w:rFonts w:ascii="Calibri" w:hAnsi="Calibri" w:eastAsia="Calibri" w:cs="Calibri"/>
          <w:b w:val="0"/>
          <w:bCs w:val="0"/>
          <w:i w:val="0"/>
          <w:iCs w:val="0"/>
          <w:caps w:val="0"/>
          <w:smallCaps w:val="0"/>
          <w:noProof w:val="0"/>
          <w:color w:val="0E101A"/>
          <w:sz w:val="28"/>
          <w:szCs w:val="28"/>
          <w:lang w:val="en-GB"/>
        </w:rPr>
        <w:t xml:space="preserve"> </w:t>
      </w:r>
      <w:r w:rsidRPr="0FA9CD88" w:rsidR="7CB336A3">
        <w:rPr>
          <w:rFonts w:ascii="Calibri" w:hAnsi="Calibri" w:eastAsia="Calibri" w:cs="Calibri"/>
          <w:b w:val="0"/>
          <w:bCs w:val="0"/>
          <w:i w:val="0"/>
          <w:iCs w:val="0"/>
          <w:caps w:val="0"/>
          <w:smallCaps w:val="0"/>
          <w:noProof w:val="0"/>
          <w:color w:val="0E101A"/>
          <w:sz w:val="28"/>
          <w:szCs w:val="28"/>
          <w:lang w:val="en-GB"/>
        </w:rPr>
        <w:t xml:space="preserve">The law significantly reformed the Lord Chancellor's position. The Lord Chancellor historically had authority in the court, legislature, and executive. The legislation transferred the Lord Chancellor's judicial duties to the Lord Chief Justice. Other ministers took over their executive and legislative roles. Lord Chancellor connected various government agencies before 2005. The judiciary head, a Cabinet member, and a House of Lords Speaker oversaw judge </w:t>
      </w:r>
      <w:r w:rsidRPr="0FA9CD88" w:rsidR="7CB336A3">
        <w:rPr>
          <w:rFonts w:ascii="Calibri" w:hAnsi="Calibri" w:eastAsia="Calibri" w:cs="Calibri"/>
          <w:b w:val="0"/>
          <w:bCs w:val="0"/>
          <w:i w:val="0"/>
          <w:iCs w:val="0"/>
          <w:caps w:val="0"/>
          <w:smallCaps w:val="0"/>
          <w:noProof w:val="0"/>
          <w:color w:val="0E101A"/>
          <w:sz w:val="28"/>
          <w:szCs w:val="28"/>
          <w:lang w:val="en-GB"/>
        </w:rPr>
        <w:t>selection</w:t>
      </w:r>
      <w:r w:rsidRPr="0FA9CD88" w:rsidR="7CB336A3">
        <w:rPr>
          <w:rFonts w:ascii="Calibri" w:hAnsi="Calibri" w:eastAsia="Calibri" w:cs="Calibri"/>
          <w:b w:val="0"/>
          <w:bCs w:val="0"/>
          <w:i w:val="0"/>
          <w:iCs w:val="0"/>
          <w:caps w:val="0"/>
          <w:smallCaps w:val="0"/>
          <w:noProof w:val="0"/>
          <w:color w:val="0E101A"/>
          <w:sz w:val="28"/>
          <w:szCs w:val="28"/>
          <w:lang w:val="en-GB"/>
        </w:rPr>
        <w:t xml:space="preserve">. The Lord Chief Justice became head of the judiciary when the Constitutional Reform Act 2005 removed the Lord Chancellor's judicial duties. Instead of the Lord Chancellor, the House of Lords members elect the Speaker. This measure's main goal was to formalise and organise checks and balances across government branches (Gee, 2015).   </w:t>
      </w:r>
    </w:p>
    <w:p w:rsidR="037F33D5" w:rsidP="0FA9CD88" w:rsidRDefault="037F33D5" w14:paraId="6144F82E" w14:textId="5D1DF0DC">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r w:rsidRPr="0FA9CD88" w:rsidR="037F33D5">
        <w:rPr>
          <w:rFonts w:ascii="Calibri" w:hAnsi="Calibri" w:eastAsia="Calibri" w:cs="Calibri"/>
          <w:b w:val="0"/>
          <w:bCs w:val="0"/>
          <w:i w:val="0"/>
          <w:iCs w:val="0"/>
          <w:caps w:val="0"/>
          <w:smallCaps w:val="0"/>
          <w:noProof w:val="0"/>
          <w:color w:val="0E101A"/>
          <w:sz w:val="28"/>
          <w:szCs w:val="28"/>
          <w:lang w:val="en-GB"/>
        </w:rPr>
        <w:t>The Conservative Party intends to implement significant changes to the United Kingdom's constitution, encompassing areas such as the interplay between the Government, Parliament, and the courts, the operational dynamics of the Royal prerogative, the functions performed by the House of Lords, and the availability of justice for the general populace. A commitment was made to revise the Human Rights Act and administrative legislation to achieve a suitable equilibrium between the rights of individuals, national security, and the efficacy of Government. One crucial aspect of this agenda entailed imposing limitations on the extent of judicial review to safeguard the rights of individuals against an excessively dominant state. Simultaneously, it sought to prevent the misuse of judicial review as a tool for engaging in political activities or causing unnecessary delays (Society,2020).</w:t>
      </w:r>
    </w:p>
    <w:p w:rsidR="0FA9CD88" w:rsidP="0FA9CD88" w:rsidRDefault="0FA9CD88" w14:paraId="79975CFF" w14:textId="0E181E90">
      <w:pPr>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7078625D" w14:textId="3BB6060A">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52FDCBE3" w14:textId="330BDF24">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FA9CD88" w:rsidP="0FA9CD88" w:rsidRDefault="0FA9CD88" w14:paraId="080BAAC2" w14:textId="5C4F3EE9">
      <w:pPr>
        <w:pStyle w:val="Normal"/>
        <w:spacing w:before="0" w:beforeAutospacing="off" w:after="0" w:afterAutospacing="off" w:line="259" w:lineRule="auto"/>
        <w:rPr>
          <w:rFonts w:ascii="Calibri" w:hAnsi="Calibri" w:eastAsia="Calibri" w:cs="Calibri"/>
          <w:b w:val="0"/>
          <w:bCs w:val="0"/>
          <w:i w:val="0"/>
          <w:iCs w:val="0"/>
          <w:caps w:val="0"/>
          <w:smallCaps w:val="0"/>
          <w:noProof w:val="0"/>
          <w:color w:val="0E101A"/>
          <w:sz w:val="28"/>
          <w:szCs w:val="28"/>
          <w:lang w:val="en-GB"/>
        </w:rPr>
      </w:pPr>
    </w:p>
    <w:p w:rsidR="037F33D5" w:rsidP="0FA9CD88" w:rsidRDefault="037F33D5" w14:paraId="169C30C6" w14:textId="60940FC4">
      <w:pPr>
        <w:spacing w:after="160" w:line="240" w:lineRule="exact"/>
        <w:rPr>
          <w:rFonts w:ascii="Calibri" w:hAnsi="Calibri" w:eastAsia="Calibri" w:cs="Calibri"/>
          <w:b w:val="0"/>
          <w:bCs w:val="0"/>
          <w:i w:val="0"/>
          <w:iCs w:val="0"/>
          <w:caps w:val="0"/>
          <w:smallCaps w:val="0"/>
          <w:noProof w:val="0"/>
          <w:color w:val="000000" w:themeColor="text1" w:themeTint="FF" w:themeShade="FF"/>
          <w:sz w:val="28"/>
          <w:szCs w:val="28"/>
          <w:lang w:val="en-GB"/>
        </w:rPr>
      </w:pPr>
      <w:r w:rsidRPr="0FA9CD88" w:rsidR="037F33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Conclusion</w:t>
      </w:r>
    </w:p>
    <w:p w:rsidR="037F33D5" w:rsidP="0FA9CD88" w:rsidRDefault="037F33D5" w14:paraId="506CF263" w14:textId="39341C6F">
      <w:pPr>
        <w:spacing w:after="160" w:line="240" w:lineRule="exact"/>
        <w:rPr>
          <w:rFonts w:ascii="Calibri" w:hAnsi="Calibri" w:eastAsia="Calibri" w:cs="Calibri"/>
          <w:b w:val="0"/>
          <w:bCs w:val="0"/>
          <w:i w:val="0"/>
          <w:iCs w:val="0"/>
          <w:caps w:val="0"/>
          <w:smallCaps w:val="0"/>
          <w:noProof w:val="0"/>
          <w:color w:val="000000" w:themeColor="text1" w:themeTint="FF" w:themeShade="FF"/>
          <w:sz w:val="28"/>
          <w:szCs w:val="28"/>
          <w:lang w:val="en-GB"/>
        </w:rPr>
      </w:pPr>
      <w:r w:rsidRPr="0FA9CD88" w:rsidR="037F33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 conclusion, the text provides commentary on the tenets of the British Constitution, particularly emphasising the doctrine of Separation of powers. It clarifies the interplay between the three pillars of the British government: the executive, the legislature, and the judiciary. The Constitutional Reform Act of 2005 was crucial in establishing the United Kingdom Supreme Court and altering the role of the Lord Chancellor, both of which are discussed in the commentary. We hope to learn how these changes will affect the British government and legal system. The final part of the submission proposes various changes that could be made to the UK constitution, including enhancing the legitimacy of the House of Lords through elections and increasing the diversity of its membership, among other things.</w:t>
      </w:r>
    </w:p>
    <w:p w:rsidR="037F33D5" w:rsidP="0FA9CD88" w:rsidRDefault="037F33D5" w14:paraId="03A51D45" w14:textId="3D99EB82">
      <w:pPr>
        <w:spacing w:after="160" w:line="240" w:lineRule="exact"/>
        <w:rPr>
          <w:rFonts w:ascii="Calibri" w:hAnsi="Calibri" w:eastAsia="Calibri" w:cs="Calibri"/>
          <w:b w:val="0"/>
          <w:bCs w:val="0"/>
          <w:i w:val="0"/>
          <w:iCs w:val="0"/>
          <w:caps w:val="0"/>
          <w:smallCaps w:val="0"/>
          <w:noProof w:val="0"/>
          <w:color w:val="000000" w:themeColor="text1" w:themeTint="FF" w:themeShade="FF"/>
          <w:sz w:val="28"/>
          <w:szCs w:val="28"/>
          <w:lang w:val="en-GB"/>
        </w:rPr>
      </w:pPr>
      <w:r w:rsidRPr="0FA9CD88" w:rsidR="037F33D5">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In conclusion, the Separation of powers and the conclusion of the reform act 2005 are essential in the study of politics and government. Reforms proposed in the Reform Act of 2005, which sought to strengthen the Separation of powers within a government system, have been finalised and are now being implemented. The division of powers ensures that the executive, legislative, and judicial branches have specific functions and are kept from amassing too much power.</w:t>
      </w:r>
    </w:p>
    <w:p w:rsidR="0FA9CD88" w:rsidP="0FA9CD88" w:rsidRDefault="0FA9CD88" w14:paraId="00C506B6" w14:textId="4295A9D8">
      <w:pPr>
        <w:spacing w:before="0" w:beforeAutospacing="off" w:after="0" w:afterAutospacing="off" w:line="259" w:lineRule="auto"/>
        <w:rPr>
          <w:rFonts w:ascii="Calibri" w:hAnsi="Calibri" w:eastAsia="Calibri" w:cs="Calibri"/>
          <w:b w:val="0"/>
          <w:bCs w:val="0"/>
          <w:i w:val="0"/>
          <w:iCs w:val="0"/>
          <w:caps w:val="0"/>
          <w:smallCaps w:val="0"/>
          <w:noProof w:val="0"/>
          <w:color w:val="0E101A"/>
          <w:sz w:val="22"/>
          <w:szCs w:val="22"/>
          <w:lang w:val="en-GB"/>
        </w:rPr>
      </w:pPr>
    </w:p>
    <w:p w:rsidR="0FA9CD88" w:rsidP="0FA9CD88" w:rsidRDefault="0FA9CD88" w14:paraId="7201B77B" w14:textId="63321AA3">
      <w:pPr>
        <w:pStyle w:val="Normal"/>
        <w:spacing w:before="0" w:beforeAutospacing="off" w:after="0" w:afterAutospacing="off"/>
        <w:rPr>
          <w:rFonts w:ascii="Calibri" w:hAnsi="Calibri" w:eastAsia="Calibri" w:cs="Calibri"/>
          <w:noProof w:val="0"/>
          <w:color w:val="0E101A"/>
          <w:sz w:val="28"/>
          <w:szCs w:val="28"/>
          <w:lang w:val="en-GB"/>
        </w:rPr>
      </w:pPr>
    </w:p>
    <w:p w:rsidR="0FA9CD88" w:rsidP="0FA9CD88" w:rsidRDefault="0FA9CD88" w14:paraId="74761870" w14:textId="3D43FC44">
      <w:pPr>
        <w:pStyle w:val="Normal"/>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44E478D1" w14:textId="4CC6879D">
      <w:pPr>
        <w:pStyle w:val="Normal"/>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3079B51E" w14:textId="04C1939F">
      <w:pPr>
        <w:pStyle w:val="Normal"/>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16F2BBAB" w14:textId="51897B90">
      <w:pPr>
        <w:pStyle w:val="Normal"/>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5DB74FAB" w14:textId="66F0EEC2">
      <w:pPr>
        <w:pStyle w:val="Normal"/>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5DB45EEA" w14:textId="468C757C">
      <w:pPr>
        <w:pStyle w:val="Normal"/>
        <w:rPr>
          <w:rFonts w:ascii="Calibri" w:hAnsi="Calibri" w:eastAsia="Calibri" w:cs="Calibri" w:asciiTheme="minorAscii" w:hAnsiTheme="minorAscii" w:eastAsiaTheme="minorAscii" w:cstheme="minorAscii"/>
          <w:i w:val="0"/>
          <w:iCs w:val="0"/>
          <w:strike w:val="0"/>
          <w:dstrike w:val="0"/>
          <w:sz w:val="28"/>
          <w:szCs w:val="28"/>
          <w:u w:val="none"/>
        </w:rPr>
      </w:pPr>
    </w:p>
    <w:p w:rsidR="0FA9CD88" w:rsidP="0FA9CD88" w:rsidRDefault="0FA9CD88" w14:paraId="080F960E" w14:textId="25809C9A">
      <w:pPr>
        <w:pStyle w:val="Normal"/>
        <w:rPr>
          <w:rFonts w:ascii="Calibri" w:hAnsi="Calibri" w:eastAsia="Calibri" w:cs="Calibri" w:asciiTheme="minorAscii" w:hAnsiTheme="minorAscii" w:eastAsiaTheme="minorAscii" w:cstheme="minorAscii"/>
          <w:i w:val="0"/>
          <w:iCs w:val="0"/>
          <w:strike w:val="0"/>
          <w:dstrike w:val="0"/>
          <w:sz w:val="28"/>
          <w:szCs w:val="28"/>
          <w:u w:val="none"/>
        </w:rPr>
      </w:pPr>
    </w:p>
    <w:p w:rsidR="54B18676" w:rsidRDefault="54B18676" w14:paraId="2DFC8AB1" w14:textId="3941EA98">
      <w:r w:rsidRPr="0FA9CD88" w:rsidR="54B18676">
        <w:rPr>
          <w:rFonts w:ascii="Calibri" w:hAnsi="Calibri" w:eastAsia="Calibri" w:cs="Calibri"/>
          <w:noProof w:val="0"/>
          <w:sz w:val="28"/>
          <w:szCs w:val="28"/>
          <w:lang w:val="en-GB"/>
        </w:rPr>
        <w:t xml:space="preserve">UCL 2018. What is a constitution? Available at: </w:t>
      </w:r>
      <w:hyperlink r:id="Re76c28987b5b47c1">
        <w:r w:rsidRPr="0FA9CD88" w:rsidR="54B18676">
          <w:rPr>
            <w:rStyle w:val="Hyperlink"/>
            <w:rFonts w:ascii="Calibri" w:hAnsi="Calibri" w:eastAsia="Calibri" w:cs="Calibri"/>
            <w:noProof w:val="0"/>
            <w:sz w:val="28"/>
            <w:szCs w:val="28"/>
            <w:lang w:val="en-GB"/>
          </w:rPr>
          <w:t>https://www.ucl.ac.uk/constitution-unit/explainers/what-constitution</w:t>
        </w:r>
      </w:hyperlink>
      <w:r w:rsidRPr="0FA9CD88" w:rsidR="54B18676">
        <w:rPr>
          <w:rFonts w:ascii="Calibri" w:hAnsi="Calibri" w:eastAsia="Calibri" w:cs="Calibri"/>
          <w:noProof w:val="0"/>
          <w:sz w:val="28"/>
          <w:szCs w:val="28"/>
          <w:lang w:val="en-GB"/>
        </w:rPr>
        <w:t>.</w:t>
      </w:r>
    </w:p>
    <w:p w:rsidR="0FA9CD88" w:rsidP="0FA9CD88" w:rsidRDefault="0FA9CD88" w14:paraId="382F4B0B" w14:textId="5E48034D">
      <w:pPr>
        <w:pStyle w:val="Normal"/>
        <w:rPr>
          <w:rFonts w:ascii="Calibri" w:hAnsi="Calibri" w:eastAsia="Calibri" w:cs="Calibri"/>
          <w:noProof w:val="0"/>
          <w:sz w:val="28"/>
          <w:szCs w:val="28"/>
          <w:lang w:val="en-GB"/>
        </w:rPr>
      </w:pPr>
    </w:p>
    <w:p w:rsidR="52508FAF" w:rsidP="0FA9CD88" w:rsidRDefault="52508FAF" w14:paraId="7812CA09" w14:textId="70E15ED2">
      <w:pPr>
        <w:pStyle w:val="Normal"/>
        <w:rPr>
          <w:rFonts w:ascii="Calibri" w:hAnsi="Calibri" w:eastAsia="Calibri" w:cs="Calibri"/>
          <w:noProof w:val="0"/>
          <w:sz w:val="28"/>
          <w:szCs w:val="28"/>
          <w:lang w:val="en-GB"/>
        </w:rPr>
      </w:pPr>
      <w:r w:rsidRPr="0FA9CD88" w:rsidR="52508FAF">
        <w:rPr>
          <w:rFonts w:ascii="Calibri" w:hAnsi="Calibri" w:eastAsia="Calibri" w:cs="Calibri"/>
          <w:noProof w:val="0"/>
          <w:sz w:val="28"/>
          <w:szCs w:val="28"/>
          <w:lang w:val="en-GB"/>
        </w:rPr>
        <w:t xml:space="preserve"> Parliament,2015 </w:t>
      </w:r>
      <w:hyperlink r:id="Ra46c71629af24362">
        <w:r w:rsidRPr="0FA9CD88" w:rsidR="52508FAF">
          <w:rPr>
            <w:rStyle w:val="Hyperlink"/>
            <w:rFonts w:ascii="Calibri" w:hAnsi="Calibri" w:eastAsia="Calibri" w:cs="Calibri"/>
            <w:noProof w:val="0"/>
            <w:sz w:val="28"/>
            <w:szCs w:val="28"/>
            <w:lang w:val="en-GB"/>
          </w:rPr>
          <w:t>The-UK-Constitution.pdf (parliament.uk)</w:t>
        </w:r>
      </w:hyperlink>
    </w:p>
    <w:p w:rsidR="0FA9CD88" w:rsidP="0FA9CD88" w:rsidRDefault="0FA9CD88" w14:paraId="2240AA6A" w14:textId="772B896A">
      <w:pPr>
        <w:pStyle w:val="Normal"/>
        <w:rPr>
          <w:rFonts w:ascii="Calibri" w:hAnsi="Calibri" w:eastAsia="Calibri" w:cs="Calibri"/>
          <w:noProof w:val="0"/>
          <w:sz w:val="28"/>
          <w:szCs w:val="28"/>
          <w:lang w:val="en-GB"/>
        </w:rPr>
      </w:pPr>
    </w:p>
    <w:p w:rsidR="27A5435F" w:rsidP="0FA9CD88" w:rsidRDefault="27A5435F" w14:paraId="16EC4E36" w14:textId="3F78FA97">
      <w:pPr>
        <w:pStyle w:val="Normal"/>
        <w:rPr>
          <w:rFonts w:ascii="Calibri" w:hAnsi="Calibri" w:eastAsia="Calibri" w:cs="Calibri"/>
          <w:noProof w:val="0"/>
          <w:sz w:val="28"/>
          <w:szCs w:val="28"/>
          <w:lang w:val="en-GB"/>
        </w:rPr>
      </w:pPr>
      <w:r w:rsidRPr="0FA9CD88" w:rsidR="27A5435F">
        <w:rPr>
          <w:rFonts w:ascii="Calibri" w:hAnsi="Calibri" w:eastAsia="Calibri" w:cs="Calibri"/>
          <w:noProof w:val="0"/>
          <w:sz w:val="28"/>
          <w:szCs w:val="28"/>
          <w:lang w:val="en-GB"/>
        </w:rPr>
        <w:t>Klassen, Andrew. (2011). Separation of Powers. 10.4135/9781412994088.n330.</w:t>
      </w:r>
      <w:r w:rsidRPr="0FA9CD88" w:rsidR="56731857">
        <w:rPr>
          <w:rFonts w:ascii="Calibri" w:hAnsi="Calibri" w:eastAsia="Calibri" w:cs="Calibri"/>
          <w:noProof w:val="0"/>
          <w:sz w:val="28"/>
          <w:szCs w:val="28"/>
          <w:lang w:val="en-GB"/>
        </w:rPr>
        <w:t xml:space="preserve"> </w:t>
      </w:r>
      <w:hyperlink w:anchor=":~:text=The%20most%20common%20system%20separates,the%20judicial%20power%20interprets%20laws." r:id="Rdcc1195c83fb425f">
        <w:r w:rsidRPr="0FA9CD88" w:rsidR="56731857">
          <w:rPr>
            <w:rStyle w:val="Hyperlink"/>
            <w:rFonts w:ascii="Calibri" w:hAnsi="Calibri" w:eastAsia="Calibri" w:cs="Calibri"/>
            <w:noProof w:val="0"/>
            <w:sz w:val="28"/>
            <w:szCs w:val="28"/>
            <w:lang w:val="en-GB"/>
          </w:rPr>
          <w:t>(PDF) Separation of Powers (researchgate.net)</w:t>
        </w:r>
      </w:hyperlink>
    </w:p>
    <w:p w:rsidR="0FA9CD88" w:rsidP="0FA9CD88" w:rsidRDefault="0FA9CD88" w14:paraId="3CA580EA" w14:textId="53E1885B">
      <w:pPr>
        <w:pStyle w:val="Normal"/>
        <w:rPr>
          <w:rFonts w:ascii="Calibri" w:hAnsi="Calibri" w:eastAsia="Calibri" w:cs="Calibri"/>
          <w:noProof w:val="0"/>
          <w:sz w:val="28"/>
          <w:szCs w:val="28"/>
          <w:lang w:val="en-GB"/>
        </w:rPr>
      </w:pPr>
    </w:p>
    <w:p w:rsidR="3ACF8769" w:rsidRDefault="3ACF8769" w14:paraId="339806DE" w14:textId="3BC03D58">
      <w:r w:rsidRPr="0FA9CD88" w:rsidR="3ACF8769">
        <w:rPr>
          <w:rFonts w:ascii="Calibri" w:hAnsi="Calibri" w:eastAsia="Calibri" w:cs="Calibri"/>
          <w:noProof w:val="0"/>
          <w:sz w:val="28"/>
          <w:szCs w:val="28"/>
          <w:lang w:val="en-GB"/>
        </w:rPr>
        <w:t xml:space="preserve">The three branches of government | Law Wales. 2021. Available at: </w:t>
      </w:r>
      <w:hyperlink r:id="R16dd41062fe644be">
        <w:r w:rsidRPr="0FA9CD88" w:rsidR="3ACF8769">
          <w:rPr>
            <w:rStyle w:val="Hyperlink"/>
            <w:rFonts w:ascii="Calibri" w:hAnsi="Calibri" w:eastAsia="Calibri" w:cs="Calibri"/>
            <w:noProof w:val="0"/>
            <w:sz w:val="28"/>
            <w:szCs w:val="28"/>
            <w:lang w:val="en-GB"/>
          </w:rPr>
          <w:t>https://law.gov.wales/three-branches-government</w:t>
        </w:r>
      </w:hyperlink>
      <w:r w:rsidRPr="0FA9CD88" w:rsidR="3ACF8769">
        <w:rPr>
          <w:rFonts w:ascii="Calibri" w:hAnsi="Calibri" w:eastAsia="Calibri" w:cs="Calibri"/>
          <w:noProof w:val="0"/>
          <w:sz w:val="28"/>
          <w:szCs w:val="28"/>
          <w:lang w:val="en-GB"/>
        </w:rPr>
        <w:t>.</w:t>
      </w:r>
    </w:p>
    <w:p w:rsidR="0FA9CD88" w:rsidP="0FA9CD88" w:rsidRDefault="0FA9CD88" w14:paraId="2EA3AE50" w14:textId="1B7D7019">
      <w:pPr>
        <w:pStyle w:val="Normal"/>
        <w:rPr>
          <w:rFonts w:ascii="Calibri" w:hAnsi="Calibri" w:eastAsia="Calibri" w:cs="Calibri"/>
          <w:noProof w:val="0"/>
          <w:sz w:val="28"/>
          <w:szCs w:val="28"/>
          <w:lang w:val="en-GB"/>
        </w:rPr>
      </w:pPr>
    </w:p>
    <w:p w:rsidR="0FA9CD88" w:rsidP="0FA9CD88" w:rsidRDefault="0FA9CD88" w14:paraId="7FC8100A" w14:textId="29CD7C1E">
      <w:pPr>
        <w:pStyle w:val="Normal"/>
        <w:rPr>
          <w:rFonts w:ascii="Calibri" w:hAnsi="Calibri" w:eastAsia="Calibri" w:cs="Calibri"/>
          <w:noProof w:val="0"/>
          <w:sz w:val="28"/>
          <w:szCs w:val="28"/>
          <w:lang w:val="en-GB"/>
        </w:rPr>
      </w:pPr>
    </w:p>
    <w:p w:rsidR="22E150BF" w:rsidP="0FA9CD88" w:rsidRDefault="22E150BF" w14:paraId="0218CF93" w14:textId="1B522A47">
      <w:pPr>
        <w:pStyle w:val="Normal"/>
        <w:rPr>
          <w:rFonts w:ascii="Calibri" w:hAnsi="Calibri" w:eastAsia="Calibri" w:cs="Calibri"/>
          <w:noProof w:val="0"/>
          <w:sz w:val="28"/>
          <w:szCs w:val="28"/>
          <w:lang w:val="en-GB"/>
        </w:rPr>
      </w:pPr>
      <w:r w:rsidRPr="0FA9CD88" w:rsidR="22E150BF">
        <w:rPr>
          <w:rFonts w:ascii="Arial" w:hAnsi="Arial" w:eastAsia="Arial" w:cs="Arial"/>
          <w:b w:val="0"/>
          <w:bCs w:val="0"/>
          <w:i w:val="0"/>
          <w:iCs w:val="0"/>
          <w:caps w:val="0"/>
          <w:smallCaps w:val="0"/>
          <w:noProof w:val="0"/>
          <w:color w:val="222222"/>
          <w:sz w:val="19"/>
          <w:szCs w:val="19"/>
          <w:lang w:val="en-GB"/>
        </w:rPr>
        <w:t>Benwell, R. and Gay, O., 2011.</w:t>
      </w:r>
      <w:r w:rsidRPr="0FA9CD88" w:rsidR="22E150BF">
        <w:rPr>
          <w:rFonts w:ascii="Arial" w:hAnsi="Arial" w:eastAsia="Arial" w:cs="Arial"/>
          <w:b w:val="0"/>
          <w:bCs w:val="0"/>
          <w:i w:val="0"/>
          <w:iCs w:val="0"/>
          <w:caps w:val="0"/>
          <w:smallCaps w:val="0"/>
          <w:noProof w:val="0"/>
          <w:color w:val="222222"/>
          <w:sz w:val="19"/>
          <w:szCs w:val="19"/>
          <w:lang w:val="en-GB"/>
        </w:rPr>
        <w:t xml:space="preserve"> </w:t>
      </w:r>
      <w:r w:rsidRPr="0FA9CD88" w:rsidR="22E150BF">
        <w:rPr>
          <w:rFonts w:ascii="Arial" w:hAnsi="Arial" w:eastAsia="Arial" w:cs="Arial"/>
          <w:b w:val="0"/>
          <w:bCs w:val="0"/>
          <w:i w:val="1"/>
          <w:iCs w:val="1"/>
          <w:caps w:val="0"/>
          <w:smallCaps w:val="0"/>
          <w:noProof w:val="0"/>
          <w:color w:val="222222"/>
          <w:sz w:val="19"/>
          <w:szCs w:val="19"/>
          <w:lang w:val="en-GB"/>
        </w:rPr>
        <w:t>The separation of powers</w:t>
      </w:r>
      <w:r w:rsidRPr="0FA9CD88" w:rsidR="22E150BF">
        <w:rPr>
          <w:rFonts w:ascii="Arial" w:hAnsi="Arial" w:eastAsia="Arial" w:cs="Arial"/>
          <w:b w:val="0"/>
          <w:bCs w:val="0"/>
          <w:i w:val="0"/>
          <w:iCs w:val="0"/>
          <w:caps w:val="0"/>
          <w:smallCaps w:val="0"/>
          <w:noProof w:val="0"/>
          <w:color w:val="222222"/>
          <w:sz w:val="19"/>
          <w:szCs w:val="19"/>
          <w:lang w:val="en-GB"/>
        </w:rPr>
        <w:t>. House of Commons Library.</w:t>
      </w:r>
    </w:p>
    <w:p w:rsidR="22E150BF" w:rsidP="0FA9CD88" w:rsidRDefault="22E150BF" w14:paraId="3C1B274B" w14:textId="6968908A">
      <w:pPr>
        <w:pStyle w:val="Normal"/>
        <w:rPr>
          <w:rFonts w:ascii="Arial" w:hAnsi="Arial" w:eastAsia="Arial" w:cs="Arial"/>
          <w:noProof w:val="0"/>
          <w:sz w:val="19"/>
          <w:szCs w:val="19"/>
          <w:lang w:val="en-GB"/>
        </w:rPr>
      </w:pPr>
      <w:hyperlink r:id="R6a3b1c4fe809449b">
        <w:r w:rsidRPr="0FA9CD88" w:rsidR="22E150BF">
          <w:rPr>
            <w:rStyle w:val="Hyperlink"/>
            <w:rFonts w:ascii="Arial" w:hAnsi="Arial" w:eastAsia="Arial" w:cs="Arial"/>
            <w:noProof w:val="0"/>
            <w:sz w:val="19"/>
            <w:szCs w:val="19"/>
            <w:lang w:val="en-GB"/>
          </w:rPr>
          <w:t>sn06053.pdf (agora-parl.org)</w:t>
        </w:r>
      </w:hyperlink>
    </w:p>
    <w:p w:rsidR="0FA9CD88" w:rsidP="0FA9CD88" w:rsidRDefault="0FA9CD88" w14:paraId="4E69DD9F" w14:textId="322EFBA1">
      <w:pPr>
        <w:pStyle w:val="Normal"/>
        <w:rPr>
          <w:rFonts w:ascii="Arial" w:hAnsi="Arial" w:eastAsia="Arial" w:cs="Arial"/>
          <w:noProof w:val="0"/>
          <w:sz w:val="19"/>
          <w:szCs w:val="19"/>
          <w:lang w:val="en-GB"/>
        </w:rPr>
      </w:pPr>
    </w:p>
    <w:p w:rsidR="0FA9CD88" w:rsidP="0FA9CD88" w:rsidRDefault="0FA9CD88" w14:paraId="23208B09" w14:textId="118A1350">
      <w:pPr>
        <w:pStyle w:val="Normal"/>
        <w:rPr>
          <w:rFonts w:ascii="Arial" w:hAnsi="Arial" w:eastAsia="Arial" w:cs="Arial"/>
          <w:noProof w:val="0"/>
          <w:sz w:val="19"/>
          <w:szCs w:val="19"/>
          <w:lang w:val="en-GB"/>
        </w:rPr>
      </w:pPr>
    </w:p>
    <w:p w:rsidR="24D63945" w:rsidP="0FA9CD88" w:rsidRDefault="24D63945" w14:paraId="1C30ABA3" w14:textId="1CBF784A">
      <w:pPr>
        <w:pStyle w:val="Normal"/>
        <w:rPr>
          <w:rFonts w:ascii="Arial" w:hAnsi="Arial" w:eastAsia="Arial" w:cs="Arial"/>
          <w:noProof w:val="0"/>
          <w:sz w:val="19"/>
          <w:szCs w:val="19"/>
          <w:lang w:val="en-GB"/>
        </w:rPr>
      </w:pPr>
      <w:r w:rsidRPr="0FA9CD88" w:rsidR="24D63945">
        <w:rPr>
          <w:rFonts w:ascii="Arial" w:hAnsi="Arial" w:eastAsia="Arial" w:cs="Arial"/>
          <w:b w:val="0"/>
          <w:bCs w:val="0"/>
          <w:i w:val="0"/>
          <w:iCs w:val="0"/>
          <w:caps w:val="0"/>
          <w:smallCaps w:val="0"/>
          <w:noProof w:val="0"/>
          <w:color w:val="222222"/>
          <w:sz w:val="19"/>
          <w:szCs w:val="19"/>
          <w:lang w:val="en-GB"/>
        </w:rPr>
        <w:t>Bilchitz</w:t>
      </w:r>
      <w:r w:rsidRPr="0FA9CD88" w:rsidR="24D63945">
        <w:rPr>
          <w:rFonts w:ascii="Arial" w:hAnsi="Arial" w:eastAsia="Arial" w:cs="Arial"/>
          <w:b w:val="0"/>
          <w:bCs w:val="0"/>
          <w:i w:val="0"/>
          <w:iCs w:val="0"/>
          <w:caps w:val="0"/>
          <w:smallCaps w:val="0"/>
          <w:noProof w:val="0"/>
          <w:color w:val="222222"/>
          <w:sz w:val="19"/>
          <w:szCs w:val="19"/>
          <w:lang w:val="en-GB"/>
        </w:rPr>
        <w:t>, D. ed., 2018.</w:t>
      </w:r>
      <w:r w:rsidRPr="0FA9CD88" w:rsidR="24D63945">
        <w:rPr>
          <w:rFonts w:ascii="Arial" w:hAnsi="Arial" w:eastAsia="Arial" w:cs="Arial"/>
          <w:b w:val="0"/>
          <w:bCs w:val="0"/>
          <w:i w:val="0"/>
          <w:iCs w:val="0"/>
          <w:caps w:val="0"/>
          <w:smallCaps w:val="0"/>
          <w:noProof w:val="0"/>
          <w:color w:val="222222"/>
          <w:sz w:val="19"/>
          <w:szCs w:val="19"/>
          <w:lang w:val="en-GB"/>
        </w:rPr>
        <w:t xml:space="preserve"> </w:t>
      </w:r>
      <w:r w:rsidRPr="0FA9CD88" w:rsidR="24D63945">
        <w:rPr>
          <w:rFonts w:ascii="Arial" w:hAnsi="Arial" w:eastAsia="Arial" w:cs="Arial"/>
          <w:b w:val="0"/>
          <w:bCs w:val="0"/>
          <w:i w:val="1"/>
          <w:iCs w:val="1"/>
          <w:caps w:val="0"/>
          <w:smallCaps w:val="0"/>
          <w:noProof w:val="0"/>
          <w:color w:val="222222"/>
          <w:sz w:val="19"/>
          <w:szCs w:val="19"/>
          <w:lang w:val="en-GB"/>
        </w:rPr>
        <w:t>The evolution of the separation of powers: between the global North and the global South</w:t>
      </w:r>
      <w:r w:rsidRPr="0FA9CD88" w:rsidR="24D63945">
        <w:rPr>
          <w:rFonts w:ascii="Arial" w:hAnsi="Arial" w:eastAsia="Arial" w:cs="Arial"/>
          <w:b w:val="0"/>
          <w:bCs w:val="0"/>
          <w:i w:val="0"/>
          <w:iCs w:val="0"/>
          <w:caps w:val="0"/>
          <w:smallCaps w:val="0"/>
          <w:noProof w:val="0"/>
          <w:color w:val="222222"/>
          <w:sz w:val="19"/>
          <w:szCs w:val="19"/>
          <w:lang w:val="en-GB"/>
        </w:rPr>
        <w:t>. Edward Elgar Publishing.</w:t>
      </w:r>
      <w:hyperlink w:anchor="v=onepage&amp;q=The%20Evolution%20of%20the%20Separation%20of%20Powers%20Between%20the%20Global%20North%20and%20the%20Global%20South&amp;f=false" r:id="R691fffdf69ff4255">
        <w:r w:rsidRPr="0FA9CD88" w:rsidR="24D63945">
          <w:rPr>
            <w:rStyle w:val="Hyperlink"/>
            <w:rFonts w:ascii="Arial" w:hAnsi="Arial" w:eastAsia="Arial" w:cs="Arial"/>
            <w:noProof w:val="0"/>
            <w:sz w:val="19"/>
            <w:szCs w:val="19"/>
            <w:lang w:val="en-GB"/>
          </w:rPr>
          <w:t>The Evolution of the Separation of Powers: Between the Global North and the ... - Google Books</w:t>
        </w:r>
      </w:hyperlink>
      <w:r w:rsidRPr="0FA9CD88" w:rsidR="723C3865">
        <w:rPr>
          <w:rFonts w:ascii="Arial" w:hAnsi="Arial" w:eastAsia="Arial" w:cs="Arial"/>
          <w:noProof w:val="0"/>
          <w:sz w:val="19"/>
          <w:szCs w:val="19"/>
          <w:lang w:val="en-GB"/>
        </w:rPr>
        <w:t xml:space="preserve"> page 85</w:t>
      </w:r>
    </w:p>
    <w:p w:rsidR="0FA9CD88" w:rsidP="0FA9CD88" w:rsidRDefault="0FA9CD88" w14:paraId="2D8486E0" w14:textId="5B74F87B">
      <w:pPr>
        <w:pStyle w:val="Normal"/>
        <w:rPr>
          <w:rFonts w:ascii="Arial" w:hAnsi="Arial" w:eastAsia="Arial" w:cs="Arial"/>
          <w:noProof w:val="0"/>
          <w:sz w:val="19"/>
          <w:szCs w:val="19"/>
          <w:lang w:val="en-GB"/>
        </w:rPr>
      </w:pPr>
    </w:p>
    <w:p w:rsidR="0E52B8DD" w:rsidRDefault="0E52B8DD" w14:paraId="74C2B3BB" w14:textId="74687BB9">
      <w:r w:rsidRPr="0FA9CD88" w:rsidR="0E52B8DD">
        <w:rPr>
          <w:rFonts w:ascii="Arial" w:hAnsi="Arial" w:eastAsia="Arial" w:cs="Arial"/>
          <w:noProof w:val="0"/>
          <w:sz w:val="19"/>
          <w:szCs w:val="19"/>
          <w:lang w:val="en-GB"/>
        </w:rPr>
        <w:t xml:space="preserve">Constitutional Reform Act 2005. [no date]. Available at: </w:t>
      </w:r>
      <w:hyperlink r:id="R0b57a298e029423e">
        <w:r w:rsidRPr="0FA9CD88" w:rsidR="0E52B8DD">
          <w:rPr>
            <w:rStyle w:val="Hyperlink"/>
            <w:rFonts w:ascii="Arial" w:hAnsi="Arial" w:eastAsia="Arial" w:cs="Arial"/>
            <w:noProof w:val="0"/>
            <w:sz w:val="19"/>
            <w:szCs w:val="19"/>
            <w:lang w:val="en-GB"/>
          </w:rPr>
          <w:t>https://www.legislation.gov.uk/ukpga/2005/4/contents</w:t>
        </w:r>
      </w:hyperlink>
      <w:r w:rsidRPr="0FA9CD88" w:rsidR="0E52B8DD">
        <w:rPr>
          <w:rFonts w:ascii="Arial" w:hAnsi="Arial" w:eastAsia="Arial" w:cs="Arial"/>
          <w:noProof w:val="0"/>
          <w:sz w:val="19"/>
          <w:szCs w:val="19"/>
          <w:lang w:val="en-GB"/>
        </w:rPr>
        <w:t>.</w:t>
      </w:r>
    </w:p>
    <w:p w:rsidR="163D0986" w:rsidP="0FA9CD88" w:rsidRDefault="163D0986" w14:paraId="7A9B3211" w14:textId="3818EBD4">
      <w:pPr>
        <w:pStyle w:val="Normal"/>
        <w:rPr>
          <w:rFonts w:ascii="Arial" w:hAnsi="Arial" w:eastAsia="Arial" w:cs="Arial"/>
          <w:noProof w:val="0"/>
          <w:sz w:val="19"/>
          <w:szCs w:val="19"/>
          <w:lang w:val="en-GB"/>
        </w:rPr>
      </w:pPr>
      <w:r w:rsidRPr="0FA9CD88" w:rsidR="163D0986">
        <w:rPr>
          <w:rFonts w:ascii="Arial" w:hAnsi="Arial" w:eastAsia="Arial" w:cs="Arial"/>
          <w:b w:val="0"/>
          <w:bCs w:val="0"/>
          <w:i w:val="0"/>
          <w:iCs w:val="0"/>
          <w:caps w:val="0"/>
          <w:smallCaps w:val="0"/>
          <w:noProof w:val="0"/>
          <w:color w:val="222222"/>
          <w:sz w:val="19"/>
          <w:szCs w:val="19"/>
          <w:lang w:val="en-GB"/>
        </w:rPr>
        <w:t>Arnold, W., 2014. The Supreme Court of the United Kingdom (UKSC), an Exploration if the Roles if Judicial Officers and Court Administrators and How the Relationship between Them May Be Improved and Enhanced: A Case Study. In</w:t>
      </w:r>
      <w:r w:rsidRPr="0FA9CD88" w:rsidR="163D0986">
        <w:rPr>
          <w:rFonts w:ascii="Arial" w:hAnsi="Arial" w:eastAsia="Arial" w:cs="Arial"/>
          <w:b w:val="0"/>
          <w:bCs w:val="0"/>
          <w:i w:val="0"/>
          <w:iCs w:val="0"/>
          <w:caps w:val="0"/>
          <w:smallCaps w:val="0"/>
          <w:noProof w:val="0"/>
          <w:color w:val="222222"/>
          <w:sz w:val="19"/>
          <w:szCs w:val="19"/>
          <w:lang w:val="en-GB"/>
        </w:rPr>
        <w:t xml:space="preserve"> </w:t>
      </w:r>
      <w:r w:rsidRPr="0FA9CD88" w:rsidR="163D0986">
        <w:rPr>
          <w:rFonts w:ascii="Arial" w:hAnsi="Arial" w:eastAsia="Arial" w:cs="Arial"/>
          <w:b w:val="0"/>
          <w:bCs w:val="0"/>
          <w:i w:val="1"/>
          <w:iCs w:val="1"/>
          <w:caps w:val="0"/>
          <w:smallCaps w:val="0"/>
          <w:noProof w:val="0"/>
          <w:color w:val="222222"/>
          <w:sz w:val="19"/>
          <w:szCs w:val="19"/>
          <w:lang w:val="en-GB"/>
        </w:rPr>
        <w:t>IJCA</w:t>
      </w:r>
      <w:r w:rsidRPr="0FA9CD88" w:rsidR="163D0986">
        <w:rPr>
          <w:rFonts w:ascii="Arial" w:hAnsi="Arial" w:eastAsia="Arial" w:cs="Arial"/>
          <w:b w:val="0"/>
          <w:bCs w:val="0"/>
          <w:i w:val="0"/>
          <w:iCs w:val="0"/>
          <w:caps w:val="0"/>
          <w:smallCaps w:val="0"/>
          <w:noProof w:val="0"/>
          <w:color w:val="222222"/>
          <w:sz w:val="19"/>
          <w:szCs w:val="19"/>
          <w:lang w:val="en-GB"/>
        </w:rPr>
        <w:t xml:space="preserve"> </w:t>
      </w:r>
      <w:r w:rsidRPr="0FA9CD88" w:rsidR="163D0986">
        <w:rPr>
          <w:rFonts w:ascii="Arial" w:hAnsi="Arial" w:eastAsia="Arial" w:cs="Arial"/>
          <w:b w:val="0"/>
          <w:bCs w:val="0"/>
          <w:i w:val="0"/>
          <w:iCs w:val="0"/>
          <w:caps w:val="0"/>
          <w:smallCaps w:val="0"/>
          <w:noProof w:val="0"/>
          <w:color w:val="222222"/>
          <w:sz w:val="19"/>
          <w:szCs w:val="19"/>
          <w:lang w:val="en-GB"/>
        </w:rPr>
        <w:t>(Vol. 6, p. 19).</w:t>
      </w:r>
    </w:p>
    <w:p w:rsidR="0FA9CD88" w:rsidP="0FA9CD88" w:rsidRDefault="0FA9CD88" w14:paraId="4DE7C20E" w14:textId="10FD67F1">
      <w:pPr>
        <w:pStyle w:val="Normal"/>
        <w:rPr>
          <w:rFonts w:ascii="Arial" w:hAnsi="Arial" w:eastAsia="Arial" w:cs="Arial"/>
          <w:b w:val="0"/>
          <w:bCs w:val="0"/>
          <w:i w:val="0"/>
          <w:iCs w:val="0"/>
          <w:caps w:val="0"/>
          <w:smallCaps w:val="0"/>
          <w:noProof w:val="0"/>
          <w:color w:val="222222"/>
          <w:sz w:val="19"/>
          <w:szCs w:val="19"/>
          <w:lang w:val="en-GB"/>
        </w:rPr>
      </w:pPr>
    </w:p>
    <w:p w:rsidR="1288059A" w:rsidRDefault="1288059A" w14:paraId="265E8F0F" w14:textId="4D1E66B7">
      <w:r w:rsidRPr="0FA9CD88" w:rsidR="1288059A">
        <w:rPr>
          <w:rFonts w:ascii="Arial" w:hAnsi="Arial" w:eastAsia="Arial" w:cs="Arial"/>
          <w:noProof w:val="0"/>
          <w:sz w:val="19"/>
          <w:szCs w:val="19"/>
          <w:lang w:val="en-GB"/>
        </w:rPr>
        <w:t xml:space="preserve">The Politics of Judicial Independence in the UK’s Changing Constitution. [no date]. Available at: </w:t>
      </w:r>
      <w:hyperlink r:id="Rbb855a82f008485e">
        <w:r w:rsidRPr="0FA9CD88" w:rsidR="1288059A">
          <w:rPr>
            <w:rStyle w:val="Hyperlink"/>
            <w:rFonts w:ascii="Arial" w:hAnsi="Arial" w:eastAsia="Arial" w:cs="Arial"/>
            <w:noProof w:val="0"/>
            <w:sz w:val="19"/>
            <w:szCs w:val="19"/>
            <w:lang w:val="en-GB"/>
          </w:rPr>
          <w:t>https://books.google.com/books/about/The_Politics_of_Judicial_Independence_in.html?id=8Qu0BgAAQBAJ</w:t>
        </w:r>
      </w:hyperlink>
      <w:r w:rsidRPr="0FA9CD88" w:rsidR="1288059A">
        <w:rPr>
          <w:rFonts w:ascii="Arial" w:hAnsi="Arial" w:eastAsia="Arial" w:cs="Arial"/>
          <w:noProof w:val="0"/>
          <w:sz w:val="19"/>
          <w:szCs w:val="19"/>
          <w:lang w:val="en-GB"/>
        </w:rPr>
        <w:t>.</w:t>
      </w:r>
    </w:p>
    <w:p w:rsidR="3631E22C" w:rsidP="0FA9CD88" w:rsidRDefault="3631E22C" w14:paraId="6194216A" w14:textId="5CC34F32">
      <w:pPr>
        <w:pStyle w:val="Normal"/>
        <w:rPr>
          <w:rFonts w:ascii="Arial" w:hAnsi="Arial" w:eastAsia="Arial" w:cs="Arial"/>
          <w:b w:val="0"/>
          <w:bCs w:val="0"/>
          <w:i w:val="0"/>
          <w:iCs w:val="0"/>
          <w:caps w:val="0"/>
          <w:smallCaps w:val="0"/>
          <w:noProof w:val="0"/>
          <w:color w:val="222222"/>
          <w:sz w:val="19"/>
          <w:szCs w:val="19"/>
          <w:lang w:val="en-GB"/>
        </w:rPr>
      </w:pPr>
      <w:r w:rsidRPr="0FA9CD88" w:rsidR="3631E22C">
        <w:rPr>
          <w:rFonts w:ascii="Arial" w:hAnsi="Arial" w:eastAsia="Arial" w:cs="Arial"/>
          <w:b w:val="0"/>
          <w:bCs w:val="0"/>
          <w:i w:val="0"/>
          <w:iCs w:val="0"/>
          <w:caps w:val="0"/>
          <w:smallCaps w:val="0"/>
          <w:noProof w:val="0"/>
          <w:color w:val="222222"/>
          <w:sz w:val="19"/>
          <w:szCs w:val="19"/>
          <w:lang w:val="en-GB"/>
        </w:rPr>
        <w:t>Gee 2015</w:t>
      </w:r>
    </w:p>
    <w:p w:rsidR="0FA9CD88" w:rsidP="0FA9CD88" w:rsidRDefault="0FA9CD88" w14:paraId="5768EA25" w14:textId="3B2F7767">
      <w:pPr>
        <w:pStyle w:val="Normal"/>
        <w:rPr>
          <w:rFonts w:ascii="Arial" w:hAnsi="Arial" w:eastAsia="Arial" w:cs="Arial"/>
          <w:noProof w:val="0"/>
          <w:sz w:val="19"/>
          <w:szCs w:val="19"/>
          <w:lang w:val="en-GB"/>
        </w:rPr>
      </w:pPr>
    </w:p>
    <w:p w:rsidR="74D520A2" w:rsidRDefault="74D520A2" w14:paraId="222B1AA2" w14:textId="4DBCFA62">
      <w:r w:rsidRPr="0FA9CD88" w:rsidR="74D520A2">
        <w:rPr>
          <w:rFonts w:ascii="Arial" w:hAnsi="Arial" w:eastAsia="Arial" w:cs="Arial"/>
          <w:noProof w:val="0"/>
          <w:sz w:val="19"/>
          <w:szCs w:val="19"/>
          <w:lang w:val="en-GB"/>
        </w:rPr>
        <w:t xml:space="preserve">Society, T.C. 2020. Constitutional reform: a legal perspective on the issues - The Constitution Society. Available at: </w:t>
      </w:r>
      <w:hyperlink r:id="Rfb7b1dfd468f4d5e">
        <w:r w:rsidRPr="0FA9CD88" w:rsidR="74D520A2">
          <w:rPr>
            <w:rStyle w:val="Hyperlink"/>
            <w:rFonts w:ascii="Arial" w:hAnsi="Arial" w:eastAsia="Arial" w:cs="Arial"/>
            <w:noProof w:val="0"/>
            <w:sz w:val="19"/>
            <w:szCs w:val="19"/>
            <w:lang w:val="en-GB"/>
          </w:rPr>
          <w:t>https://consoc.org.uk/constitutional-reform-a-legal-perspective-on-the-issues/</w:t>
        </w:r>
      </w:hyperlink>
      <w:r w:rsidRPr="0FA9CD88" w:rsidR="74D520A2">
        <w:rPr>
          <w:rFonts w:ascii="Arial" w:hAnsi="Arial" w:eastAsia="Arial" w:cs="Arial"/>
          <w:noProof w:val="0"/>
          <w:sz w:val="19"/>
          <w:szCs w:val="19"/>
          <w:lang w:val="en-GB"/>
        </w:rPr>
        <w:t>.</w:t>
      </w:r>
    </w:p>
    <w:p w:rsidR="0FA9CD88" w:rsidP="0FA9CD88" w:rsidRDefault="0FA9CD88" w14:paraId="454ABC8B" w14:textId="42A0FB5B">
      <w:pPr>
        <w:pStyle w:val="Normal"/>
        <w:rPr>
          <w:rFonts w:ascii="Arial" w:hAnsi="Arial" w:eastAsia="Arial" w:cs="Arial"/>
          <w:noProof w:val="0"/>
          <w:sz w:val="19"/>
          <w:szCs w:val="19"/>
          <w:lang w:val="en-GB"/>
        </w:rPr>
      </w:pPr>
    </w:p>
    <w:p w:rsidR="0FA9CD88" w:rsidP="0FA9CD88" w:rsidRDefault="0FA9CD88" w14:paraId="237F4660" w14:textId="4747EC4E">
      <w:pPr>
        <w:pStyle w:val="Normal"/>
        <w:rPr>
          <w:rFonts w:ascii="Arial" w:hAnsi="Arial" w:eastAsia="Arial" w:cs="Arial"/>
          <w:noProof w:val="0"/>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775C22"/>
    <w:rsid w:val="014CE7BF"/>
    <w:rsid w:val="016278B4"/>
    <w:rsid w:val="01A64B4B"/>
    <w:rsid w:val="0263B15D"/>
    <w:rsid w:val="037F33D5"/>
    <w:rsid w:val="056CF957"/>
    <w:rsid w:val="08EB1E24"/>
    <w:rsid w:val="0A8448A4"/>
    <w:rsid w:val="0B32457C"/>
    <w:rsid w:val="0CCE15DD"/>
    <w:rsid w:val="0E0DFD27"/>
    <w:rsid w:val="0E52B8DD"/>
    <w:rsid w:val="0E7373E6"/>
    <w:rsid w:val="0FA9CD88"/>
    <w:rsid w:val="1288059A"/>
    <w:rsid w:val="13143FC3"/>
    <w:rsid w:val="13EF0775"/>
    <w:rsid w:val="154377A9"/>
    <w:rsid w:val="15B444A0"/>
    <w:rsid w:val="15D1831F"/>
    <w:rsid w:val="163D0986"/>
    <w:rsid w:val="16775C22"/>
    <w:rsid w:val="18B1B893"/>
    <w:rsid w:val="1B3EF249"/>
    <w:rsid w:val="1E6934F3"/>
    <w:rsid w:val="1EEA59EF"/>
    <w:rsid w:val="20862A50"/>
    <w:rsid w:val="212F0207"/>
    <w:rsid w:val="217DBBFD"/>
    <w:rsid w:val="21F64310"/>
    <w:rsid w:val="22E150BF"/>
    <w:rsid w:val="2319606A"/>
    <w:rsid w:val="23938204"/>
    <w:rsid w:val="24BF2061"/>
    <w:rsid w:val="24D63945"/>
    <w:rsid w:val="26B05422"/>
    <w:rsid w:val="27A5435F"/>
    <w:rsid w:val="2B2E61E5"/>
    <w:rsid w:val="2BD0CA7D"/>
    <w:rsid w:val="2C5D209E"/>
    <w:rsid w:val="2CC5CD73"/>
    <w:rsid w:val="2D2E7E30"/>
    <w:rsid w:val="2D6C9ADE"/>
    <w:rsid w:val="2F086B3F"/>
    <w:rsid w:val="30A43BA0"/>
    <w:rsid w:val="335F7371"/>
    <w:rsid w:val="33C4C334"/>
    <w:rsid w:val="345A07E9"/>
    <w:rsid w:val="34AA6BD7"/>
    <w:rsid w:val="3631E22C"/>
    <w:rsid w:val="364A59D3"/>
    <w:rsid w:val="374BD17A"/>
    <w:rsid w:val="38E7A1DB"/>
    <w:rsid w:val="3A83723C"/>
    <w:rsid w:val="3ACF8769"/>
    <w:rsid w:val="3ADD46CB"/>
    <w:rsid w:val="3B24FDCA"/>
    <w:rsid w:val="3C79172C"/>
    <w:rsid w:val="3DBB12FE"/>
    <w:rsid w:val="3F36179B"/>
    <w:rsid w:val="3FB0B7EE"/>
    <w:rsid w:val="422B4964"/>
    <w:rsid w:val="42C084E5"/>
    <w:rsid w:val="45C6028B"/>
    <w:rsid w:val="49533E61"/>
    <w:rsid w:val="4CA99A64"/>
    <w:rsid w:val="4E66CBD0"/>
    <w:rsid w:val="51E666A9"/>
    <w:rsid w:val="52508FAF"/>
    <w:rsid w:val="53066A00"/>
    <w:rsid w:val="53E8A788"/>
    <w:rsid w:val="5448437A"/>
    <w:rsid w:val="54B18676"/>
    <w:rsid w:val="5521BFC6"/>
    <w:rsid w:val="56731857"/>
    <w:rsid w:val="577FE43C"/>
    <w:rsid w:val="577FF358"/>
    <w:rsid w:val="57A0F9EA"/>
    <w:rsid w:val="59EE61AD"/>
    <w:rsid w:val="5C53555F"/>
    <w:rsid w:val="5CB7A149"/>
    <w:rsid w:val="5E84DA0D"/>
    <w:rsid w:val="61626FEB"/>
    <w:rsid w:val="61711B0C"/>
    <w:rsid w:val="61C237FE"/>
    <w:rsid w:val="6239FFF9"/>
    <w:rsid w:val="630CEB6D"/>
    <w:rsid w:val="65394B0C"/>
    <w:rsid w:val="66486005"/>
    <w:rsid w:val="66F28ACB"/>
    <w:rsid w:val="6A0C9555"/>
    <w:rsid w:val="6AD525DF"/>
    <w:rsid w:val="6B14CECA"/>
    <w:rsid w:val="6BDB584E"/>
    <w:rsid w:val="6E5F1283"/>
    <w:rsid w:val="71F46CEF"/>
    <w:rsid w:val="7217B29B"/>
    <w:rsid w:val="723C3865"/>
    <w:rsid w:val="72AD392F"/>
    <w:rsid w:val="7345D879"/>
    <w:rsid w:val="73903D50"/>
    <w:rsid w:val="74490990"/>
    <w:rsid w:val="74D520A2"/>
    <w:rsid w:val="75A4C0B8"/>
    <w:rsid w:val="75E4D9F1"/>
    <w:rsid w:val="78C26FCF"/>
    <w:rsid w:val="7A621F99"/>
    <w:rsid w:val="7BFDEFFA"/>
    <w:rsid w:val="7C579BEF"/>
    <w:rsid w:val="7C8F0790"/>
    <w:rsid w:val="7CB336A3"/>
    <w:rsid w:val="7D40634A"/>
    <w:rsid w:val="7D4AD1B6"/>
    <w:rsid w:val="7E2AD7F1"/>
    <w:rsid w:val="7ED29A49"/>
    <w:rsid w:val="7EDC33AB"/>
    <w:rsid w:val="7EE6A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75C22"/>
  <w15:chartTrackingRefBased/>
  <w15:docId w15:val="{BC10D6DC-CFF5-47F4-8E35-6DDA9AF5A5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5543621b3504c25" /><Relationship Type="http://schemas.openxmlformats.org/officeDocument/2006/relationships/hyperlink" Target="https://www.ucl.ac.uk/constitution-unit/explainers/what-constitution" TargetMode="External" Id="Re76c28987b5b47c1" /><Relationship Type="http://schemas.openxmlformats.org/officeDocument/2006/relationships/hyperlink" Target="https://www.parliament.uk/globalassets/documents/commons-committees/political-and-constitutional-reform/The-UK-Constitution.pdf" TargetMode="External" Id="Ra46c71629af24362" /><Relationship Type="http://schemas.openxmlformats.org/officeDocument/2006/relationships/hyperlink" Target="https://www.researchgate.net/publication/328216540_Separation_of_Powers" TargetMode="External" Id="Rdcc1195c83fb425f" /><Relationship Type="http://schemas.openxmlformats.org/officeDocument/2006/relationships/hyperlink" Target="https://law.gov.wales/three-branches-government" TargetMode="External" Id="R16dd41062fe644be" /><Relationship Type="http://schemas.openxmlformats.org/officeDocument/2006/relationships/hyperlink" Target="https://www.agora-parl.org/sites/default/files/agora-documents/sn06053.pdf" TargetMode="External" Id="R6a3b1c4fe809449b" /><Relationship Type="http://schemas.openxmlformats.org/officeDocument/2006/relationships/hyperlink" Target="https://books.google.co.uk/books?hl=en&amp;lr=&amp;id=S2NaDwAAQBAJ&amp;oi=fnd&amp;pg=PR1&amp;dq=The+Evolution+of+the+Separation+of+Powers+Between+the+Global+North+and+the+Global+South&amp;ots=iFLNIFtLyZ&amp;sig=t1xhpYMOVTCibaJES5LaW4JvZOM&amp;redir_esc=y" TargetMode="External" Id="R691fffdf69ff4255" /><Relationship Type="http://schemas.openxmlformats.org/officeDocument/2006/relationships/hyperlink" Target="https://www.legislation.gov.uk/ukpga/2005/4/contents" TargetMode="External" Id="R0b57a298e029423e" /><Relationship Type="http://schemas.openxmlformats.org/officeDocument/2006/relationships/hyperlink" Target="https://books.google.com/books/about/The_Politics_of_Judicial_Independence_in.html?id=8Qu0BgAAQBAJ" TargetMode="External" Id="Rbb855a82f008485e" /><Relationship Type="http://schemas.openxmlformats.org/officeDocument/2006/relationships/hyperlink" Target="https://consoc.org.uk/constitutional-reform-a-legal-perspective-on-the-issues/" TargetMode="External" Id="Rfb7b1dfd468f4d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Natalia Maria Konciak (2238990)</dc:creator>
  <keywords/>
  <dc:description/>
  <lastModifiedBy>Natalia Maria Konciak (2238990)</lastModifiedBy>
  <revision>2</revision>
  <dcterms:created xsi:type="dcterms:W3CDTF">2023-08-08T15:52:45.1879350Z</dcterms:created>
  <dcterms:modified xsi:type="dcterms:W3CDTF">2023-08-10T21:36:45.8527916Z</dcterms:modified>
</coreProperties>
</file>