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5114773"/>
        <w:docPartObj>
          <w:docPartGallery w:val="Cover Pages"/>
          <w:docPartUnique/>
        </w:docPartObj>
      </w:sdtPr>
      <w:sdtEndPr/>
      <w:sdtContent>
        <w:p w14:paraId="41149684" w14:textId="78252663" w:rsidR="004445B7" w:rsidRDefault="004445B7"/>
        <w:p w14:paraId="2780C8EB" w14:textId="301E5A7D" w:rsidR="008A03E7" w:rsidRPr="004445B7" w:rsidRDefault="004445B7">
          <w:r>
            <w:rPr>
              <w:noProof/>
              <w:lang w:eastAsia="zh-CN"/>
            </w:rPr>
            <mc:AlternateContent>
              <mc:Choice Requires="wps">
                <w:drawing>
                  <wp:anchor distT="0" distB="0" distL="182880" distR="182880" simplePos="0" relativeHeight="251660288" behindDoc="0" locked="0" layoutInCell="1" allowOverlap="1" wp14:anchorId="035DA5B9" wp14:editId="3AAB6CB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86944" w14:textId="1EDDA929" w:rsidR="004445B7" w:rsidRDefault="00655C7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B017D">
                                      <w:rPr>
                                        <w:color w:val="4472C4" w:themeColor="accent1"/>
                                        <w:sz w:val="72"/>
                                        <w:szCs w:val="72"/>
                                      </w:rPr>
                                      <w:t>Criminal Law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FCB1073" w14:textId="7DBFA287" w:rsidR="004445B7" w:rsidRDefault="004445B7">
                                    <w:pPr>
                                      <w:pStyle w:val="NoSpacing"/>
                                      <w:spacing w:before="40" w:after="40"/>
                                      <w:rPr>
                                        <w:caps/>
                                        <w:color w:val="1F4E79" w:themeColor="accent5" w:themeShade="80"/>
                                        <w:sz w:val="28"/>
                                        <w:szCs w:val="28"/>
                                      </w:rPr>
                                    </w:pPr>
                                    <w:r>
                                      <w:rPr>
                                        <w:caps/>
                                        <w:color w:val="1F4E79" w:themeColor="accent5" w:themeShade="80"/>
                                        <w:sz w:val="28"/>
                                        <w:szCs w:val="28"/>
                                      </w:rPr>
                                      <w:t>BMLW4005</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C42CED6" w14:textId="46B9F6BC" w:rsidR="004445B7" w:rsidRDefault="004445B7">
                                    <w:pPr>
                                      <w:pStyle w:val="NoSpacing"/>
                                      <w:spacing w:before="80" w:after="40"/>
                                      <w:rPr>
                                        <w:caps/>
                                        <w:color w:val="5B9BD5" w:themeColor="accent5"/>
                                        <w:sz w:val="24"/>
                                        <w:szCs w:val="24"/>
                                      </w:rPr>
                                    </w:pPr>
                                    <w:r>
                                      <w:rPr>
                                        <w:caps/>
                                        <w:color w:val="5B9BD5" w:themeColor="accent5"/>
                                        <w:sz w:val="24"/>
                                        <w:szCs w:val="24"/>
                                      </w:rPr>
                                      <w:t>Oliver Rowe 2100430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35DA5B9"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09586944" w14:textId="1EDDA929" w:rsidR="004445B7" w:rsidRDefault="00C0722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B017D">
                                <w:rPr>
                                  <w:color w:val="4472C4" w:themeColor="accent1"/>
                                  <w:sz w:val="72"/>
                                  <w:szCs w:val="72"/>
                                </w:rPr>
                                <w:t>Criminal Law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FCB1073" w14:textId="7DBFA287" w:rsidR="004445B7" w:rsidRDefault="004445B7">
                              <w:pPr>
                                <w:pStyle w:val="NoSpacing"/>
                                <w:spacing w:before="40" w:after="40"/>
                                <w:rPr>
                                  <w:caps/>
                                  <w:color w:val="1F4E79" w:themeColor="accent5" w:themeShade="80"/>
                                  <w:sz w:val="28"/>
                                  <w:szCs w:val="28"/>
                                </w:rPr>
                              </w:pPr>
                              <w:r>
                                <w:rPr>
                                  <w:caps/>
                                  <w:color w:val="1F4E79" w:themeColor="accent5" w:themeShade="80"/>
                                  <w:sz w:val="28"/>
                                  <w:szCs w:val="28"/>
                                </w:rPr>
                                <w:t>BMLW4005</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C42CED6" w14:textId="46B9F6BC" w:rsidR="004445B7" w:rsidRDefault="004445B7">
                              <w:pPr>
                                <w:pStyle w:val="NoSpacing"/>
                                <w:spacing w:before="80" w:after="40"/>
                                <w:rPr>
                                  <w:caps/>
                                  <w:color w:val="5B9BD5" w:themeColor="accent5"/>
                                  <w:sz w:val="24"/>
                                  <w:szCs w:val="24"/>
                                </w:rPr>
                              </w:pPr>
                              <w:r>
                                <w:rPr>
                                  <w:caps/>
                                  <w:color w:val="5B9BD5" w:themeColor="accent5"/>
                                  <w:sz w:val="24"/>
                                  <w:szCs w:val="24"/>
                                </w:rPr>
                                <w:t>Oliver Rowe 2100430</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5D779A40" wp14:editId="5065724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0D24BD2C" w14:textId="6035E067" w:rsidR="004445B7" w:rsidRDefault="004445B7">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D779A40"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IG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iSkD&#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DABlIG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0D24BD2C" w14:textId="6035E067" w:rsidR="004445B7" w:rsidRDefault="004445B7">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p w14:paraId="6169298E" w14:textId="35D144A5" w:rsidR="008A03E7" w:rsidRPr="0049307C" w:rsidRDefault="008A03E7" w:rsidP="0049307C">
      <w:pPr>
        <w:spacing w:line="360" w:lineRule="auto"/>
        <w:jc w:val="both"/>
        <w:rPr>
          <w:rFonts w:ascii="Arial" w:hAnsi="Arial" w:cs="Arial"/>
          <w:b/>
          <w:bCs/>
          <w:i/>
          <w:iCs/>
          <w:u w:val="single"/>
        </w:rPr>
      </w:pPr>
    </w:p>
    <w:p w14:paraId="0EE4BFDE" w14:textId="766B365C" w:rsidR="003F449B" w:rsidRPr="0049307C" w:rsidRDefault="008A03E7" w:rsidP="0049307C">
      <w:pPr>
        <w:spacing w:line="360" w:lineRule="auto"/>
        <w:jc w:val="both"/>
        <w:rPr>
          <w:rFonts w:ascii="Arial" w:hAnsi="Arial" w:cs="Arial"/>
        </w:rPr>
      </w:pPr>
      <w:r w:rsidRPr="0049307C">
        <w:rPr>
          <w:rFonts w:ascii="Arial" w:hAnsi="Arial" w:cs="Arial"/>
        </w:rPr>
        <w:t>Homicide is a broad legal term that is used to categorise four different types of offences. These offences are murder, manslaughter, infanticide and some offences where</w:t>
      </w:r>
      <w:r w:rsidR="00A64D95" w:rsidRPr="0049307C">
        <w:rPr>
          <w:rFonts w:ascii="Arial" w:hAnsi="Arial" w:cs="Arial"/>
        </w:rPr>
        <w:t xml:space="preserve"> </w:t>
      </w:r>
      <w:r w:rsidRPr="0049307C">
        <w:rPr>
          <w:rFonts w:ascii="Arial" w:hAnsi="Arial" w:cs="Arial"/>
        </w:rPr>
        <w:t>death is caused by a driver.</w:t>
      </w:r>
      <w:r w:rsidR="008C18E4" w:rsidRPr="0049307C">
        <w:rPr>
          <w:rFonts w:ascii="Arial" w:hAnsi="Arial" w:cs="Arial"/>
        </w:rPr>
        <w:t xml:space="preserve"> </w:t>
      </w:r>
      <w:r w:rsidR="00A64D95" w:rsidRPr="0049307C">
        <w:rPr>
          <w:rFonts w:ascii="Arial" w:hAnsi="Arial" w:cs="Arial"/>
        </w:rPr>
        <w:t xml:space="preserve">Herring, </w:t>
      </w:r>
      <w:r w:rsidR="00FD0CD4">
        <w:rPr>
          <w:rFonts w:ascii="Arial" w:hAnsi="Arial" w:cs="Arial"/>
        </w:rPr>
        <w:t>(</w:t>
      </w:r>
      <w:r w:rsidR="00A64D95" w:rsidRPr="0049307C">
        <w:rPr>
          <w:rFonts w:ascii="Arial" w:hAnsi="Arial" w:cs="Arial"/>
        </w:rPr>
        <w:t>2020, p.230)</w:t>
      </w:r>
    </w:p>
    <w:p w14:paraId="63AFCF96" w14:textId="2FB04291" w:rsidR="003F449B" w:rsidRDefault="00A90056" w:rsidP="0049307C">
      <w:pPr>
        <w:spacing w:line="360" w:lineRule="auto"/>
        <w:jc w:val="both"/>
        <w:rPr>
          <w:rFonts w:ascii="Arial" w:hAnsi="Arial" w:cs="Arial"/>
        </w:rPr>
      </w:pPr>
      <w:r w:rsidRPr="0049307C">
        <w:rPr>
          <w:rFonts w:ascii="Arial" w:hAnsi="Arial" w:cs="Arial"/>
        </w:rPr>
        <w:t xml:space="preserve"> Murder is a common law offence which means that the definition cannot be found in any one place. However, the offence of murder has been defined as when someone unlawfully kills another person with the intention to kill said person or to cause serious harm.</w:t>
      </w:r>
      <w:r w:rsidR="00A07B7C" w:rsidRPr="0049307C">
        <w:rPr>
          <w:rFonts w:ascii="Arial" w:hAnsi="Arial" w:cs="Arial"/>
        </w:rPr>
        <w:t xml:space="preserve"> Hossain and Rahi </w:t>
      </w:r>
      <w:r w:rsidR="00FD0CD4">
        <w:rPr>
          <w:rFonts w:ascii="Arial" w:hAnsi="Arial" w:cs="Arial"/>
        </w:rPr>
        <w:t>(</w:t>
      </w:r>
      <w:r w:rsidR="00A07B7C" w:rsidRPr="0049307C">
        <w:rPr>
          <w:rFonts w:ascii="Arial" w:hAnsi="Arial" w:cs="Arial"/>
        </w:rPr>
        <w:t xml:space="preserve">2018, p. 21) </w:t>
      </w:r>
    </w:p>
    <w:p w14:paraId="5FFE86C3" w14:textId="77777777" w:rsidR="00C965AF" w:rsidRDefault="00C965AF" w:rsidP="0049307C">
      <w:pPr>
        <w:spacing w:line="360" w:lineRule="auto"/>
        <w:jc w:val="both"/>
        <w:rPr>
          <w:rFonts w:ascii="Arial" w:hAnsi="Arial" w:cs="Arial"/>
        </w:rPr>
      </w:pPr>
    </w:p>
    <w:p w14:paraId="2A21D68C" w14:textId="3B5C5390" w:rsidR="00A4422B" w:rsidRDefault="003E5EEC" w:rsidP="0049307C">
      <w:pPr>
        <w:spacing w:line="360" w:lineRule="auto"/>
        <w:jc w:val="both"/>
        <w:rPr>
          <w:rFonts w:ascii="Arial" w:hAnsi="Arial" w:cs="Arial"/>
        </w:rPr>
      </w:pPr>
      <w:r w:rsidRPr="0049307C">
        <w:rPr>
          <w:rFonts w:ascii="Arial" w:hAnsi="Arial" w:cs="Arial"/>
        </w:rPr>
        <w:t>The definition of murder also provides the Actus Reus and Mens Rea for the offence of murder. Whether the killing can be defined as murder or not will come down to if the courts can prove if the defendant had the Actus Reus and Mens Rea for murder. When trying to establish whether the defendant had the Actus Reus for murder the courts will look at if the killing was unlawful and if the person killed was a human being.</w:t>
      </w:r>
      <w:r w:rsidR="00F3474E" w:rsidRPr="0049307C">
        <w:rPr>
          <w:rFonts w:ascii="Arial" w:hAnsi="Arial" w:cs="Arial"/>
        </w:rPr>
        <w:t xml:space="preserve"> DPP Law (2017)</w:t>
      </w:r>
      <w:r w:rsidR="003F449B" w:rsidRPr="0049307C">
        <w:rPr>
          <w:rFonts w:ascii="Arial" w:hAnsi="Arial" w:cs="Arial"/>
        </w:rPr>
        <w:t xml:space="preserve"> </w:t>
      </w:r>
      <w:r w:rsidR="006050B6" w:rsidRPr="0049307C">
        <w:rPr>
          <w:rFonts w:ascii="Arial" w:hAnsi="Arial" w:cs="Arial"/>
        </w:rPr>
        <w:t xml:space="preserve">The jury would also be required to establish that the defendants conduct caused the result </w:t>
      </w:r>
      <w:r w:rsidR="003F449B" w:rsidRPr="0049307C">
        <w:rPr>
          <w:rFonts w:ascii="Arial" w:hAnsi="Arial" w:cs="Arial"/>
        </w:rPr>
        <w:t xml:space="preserve">According to </w:t>
      </w:r>
      <w:r w:rsidR="00FD0CD4">
        <w:rPr>
          <w:rFonts w:ascii="Arial" w:hAnsi="Arial" w:cs="Arial"/>
        </w:rPr>
        <w:t>‘</w:t>
      </w:r>
      <w:r w:rsidR="003F449B" w:rsidRPr="0049307C">
        <w:rPr>
          <w:rFonts w:ascii="Arial" w:hAnsi="Arial" w:cs="Arial"/>
          <w:u w:val="single"/>
        </w:rPr>
        <w:t>R v Cunningham (1982)</w:t>
      </w:r>
      <w:r w:rsidR="00FD0CD4">
        <w:rPr>
          <w:rFonts w:ascii="Arial" w:hAnsi="Arial" w:cs="Arial"/>
          <w:u w:val="single"/>
        </w:rPr>
        <w:t>’</w:t>
      </w:r>
      <w:r w:rsidR="003F449B" w:rsidRPr="0049307C">
        <w:rPr>
          <w:rFonts w:ascii="Arial" w:hAnsi="Arial" w:cs="Arial"/>
        </w:rPr>
        <w:t>, the Mens Rea f</w:t>
      </w:r>
      <w:r w:rsidR="006050B6" w:rsidRPr="0049307C">
        <w:rPr>
          <w:rFonts w:ascii="Arial" w:hAnsi="Arial" w:cs="Arial"/>
        </w:rPr>
        <w:t xml:space="preserve">or murder was reinforced by The House of Lords upon appeal as the intention to kill or cause grievous bodily harm. </w:t>
      </w:r>
    </w:p>
    <w:p w14:paraId="581B704E" w14:textId="77777777" w:rsidR="00C965AF" w:rsidRDefault="00C965AF" w:rsidP="0049307C">
      <w:pPr>
        <w:spacing w:line="360" w:lineRule="auto"/>
        <w:jc w:val="both"/>
        <w:rPr>
          <w:rFonts w:ascii="Arial" w:hAnsi="Arial" w:cs="Arial"/>
        </w:rPr>
      </w:pPr>
    </w:p>
    <w:p w14:paraId="434568A7" w14:textId="620C231B" w:rsidR="00662784" w:rsidRDefault="00C45401" w:rsidP="0049307C">
      <w:pPr>
        <w:spacing w:line="360" w:lineRule="auto"/>
        <w:jc w:val="both"/>
        <w:rPr>
          <w:rFonts w:ascii="Arial" w:hAnsi="Arial" w:cs="Arial"/>
        </w:rPr>
      </w:pPr>
      <w:r w:rsidRPr="0049307C">
        <w:rPr>
          <w:rFonts w:ascii="Arial" w:hAnsi="Arial" w:cs="Arial"/>
        </w:rPr>
        <w:t xml:space="preserve">Manslaughter is an offence that comes under the term of homicide. The first type of manslaughter there is the offence of involuntary manslaughter. </w:t>
      </w:r>
      <w:r w:rsidR="00DB0FB6" w:rsidRPr="0049307C">
        <w:rPr>
          <w:rFonts w:ascii="Arial" w:hAnsi="Arial" w:cs="Arial"/>
        </w:rPr>
        <w:t xml:space="preserve">When an individual unlawfully kills another individual without the intent to do so or without the intent to cause grievous bodily harm this amounts to involuntary manslaughter.  </w:t>
      </w:r>
      <w:r w:rsidR="00791656" w:rsidRPr="0049307C">
        <w:rPr>
          <w:rFonts w:ascii="Arial" w:hAnsi="Arial" w:cs="Arial"/>
        </w:rPr>
        <w:t>Sentencing Council (2021</w:t>
      </w:r>
      <w:r w:rsidR="00A41497" w:rsidRPr="0049307C">
        <w:rPr>
          <w:rFonts w:ascii="Arial" w:hAnsi="Arial" w:cs="Arial"/>
        </w:rPr>
        <w:t>)</w:t>
      </w:r>
      <w:r w:rsidR="00791656" w:rsidRPr="0049307C">
        <w:rPr>
          <w:rFonts w:ascii="Arial" w:hAnsi="Arial" w:cs="Arial"/>
        </w:rPr>
        <w:t xml:space="preserve">. </w:t>
      </w:r>
      <w:r w:rsidR="00D35347" w:rsidRPr="0049307C">
        <w:rPr>
          <w:rFonts w:ascii="Arial" w:hAnsi="Arial" w:cs="Arial"/>
        </w:rPr>
        <w:t>There are three types of manslaughter that are types of involuntary manslaughter. The first type of involuntary manslaughter is Gross Negligence Manslaughter.</w:t>
      </w:r>
      <w:r w:rsidR="00D44B32" w:rsidRPr="0049307C">
        <w:rPr>
          <w:rFonts w:ascii="Arial" w:hAnsi="Arial" w:cs="Arial"/>
        </w:rPr>
        <w:t xml:space="preserve"> Th</w:t>
      </w:r>
      <w:r w:rsidR="00BD7736" w:rsidRPr="0049307C">
        <w:rPr>
          <w:rFonts w:ascii="Arial" w:hAnsi="Arial" w:cs="Arial"/>
        </w:rPr>
        <w:t xml:space="preserve">is offence was first recognised in the case of </w:t>
      </w:r>
      <w:r w:rsidR="00BD7736" w:rsidRPr="0049307C">
        <w:rPr>
          <w:rFonts w:ascii="Arial" w:hAnsi="Arial" w:cs="Arial"/>
          <w:u w:val="single"/>
        </w:rPr>
        <w:t>Bateman (1925)</w:t>
      </w:r>
      <w:r w:rsidR="00BD7736" w:rsidRPr="0049307C">
        <w:rPr>
          <w:rFonts w:ascii="Arial" w:hAnsi="Arial" w:cs="Arial"/>
        </w:rPr>
        <w:t xml:space="preserve">. However, the in the modern day of age the case that the courts use for gross negligence manslaughter is the case of </w:t>
      </w:r>
      <w:r w:rsidR="00FD0CD4">
        <w:rPr>
          <w:rFonts w:ascii="Arial" w:hAnsi="Arial" w:cs="Arial"/>
        </w:rPr>
        <w:t>‘</w:t>
      </w:r>
      <w:r w:rsidR="00FD0CD4" w:rsidRPr="00FD0CD4">
        <w:rPr>
          <w:rFonts w:ascii="Arial" w:hAnsi="Arial" w:cs="Arial"/>
          <w:u w:val="single"/>
        </w:rPr>
        <w:t xml:space="preserve">R v </w:t>
      </w:r>
      <w:r w:rsidR="00D44B32" w:rsidRPr="00FD0CD4">
        <w:rPr>
          <w:rFonts w:ascii="Arial" w:hAnsi="Arial" w:cs="Arial"/>
          <w:u w:val="single"/>
        </w:rPr>
        <w:t>Adomako (1994)</w:t>
      </w:r>
      <w:r w:rsidR="00FD0CD4">
        <w:rPr>
          <w:rFonts w:ascii="Arial" w:hAnsi="Arial" w:cs="Arial"/>
          <w:u w:val="single"/>
        </w:rPr>
        <w:t>’.</w:t>
      </w:r>
      <w:r w:rsidR="00BD7736" w:rsidRPr="00FD0CD4">
        <w:rPr>
          <w:rFonts w:ascii="Arial" w:hAnsi="Arial" w:cs="Arial"/>
        </w:rPr>
        <w:t xml:space="preserve"> </w:t>
      </w:r>
      <w:r w:rsidR="00BD7736" w:rsidRPr="0049307C">
        <w:rPr>
          <w:rFonts w:ascii="Arial" w:hAnsi="Arial" w:cs="Arial"/>
        </w:rPr>
        <w:t xml:space="preserve">Constructive manslaughter is the second type of involuntary manslaughter. </w:t>
      </w:r>
      <w:r w:rsidR="00291134" w:rsidRPr="0049307C">
        <w:rPr>
          <w:rFonts w:ascii="Arial" w:hAnsi="Arial" w:cs="Arial"/>
        </w:rPr>
        <w:t>This offence is committed when the defendant causes the death of the victim by an unlawful act. The offence will only be seen as manslaughter is the unlawful act is considered to be dangerous by a “reasonable person.”</w:t>
      </w:r>
      <w:r w:rsidR="00791656" w:rsidRPr="0049307C">
        <w:rPr>
          <w:rFonts w:ascii="Arial" w:hAnsi="Arial" w:cs="Arial"/>
        </w:rPr>
        <w:t xml:space="preserve"> Halsbury’s Laws of England (2020)</w:t>
      </w:r>
      <w:r w:rsidR="00291134" w:rsidRPr="0049307C">
        <w:rPr>
          <w:rFonts w:ascii="Arial" w:hAnsi="Arial" w:cs="Arial"/>
        </w:rPr>
        <w:t xml:space="preserve">. The final type of involuntary manslaughter is subjective reckless manslaughter. The Actus </w:t>
      </w:r>
      <w:r w:rsidR="009A236B" w:rsidRPr="0049307C">
        <w:rPr>
          <w:rFonts w:ascii="Arial" w:hAnsi="Arial" w:cs="Arial"/>
        </w:rPr>
        <w:t>Reus of subjective recklessness manslaughter is that the act or omission committed by the</w:t>
      </w:r>
      <w:r w:rsidR="00C965AF">
        <w:rPr>
          <w:rFonts w:ascii="Arial" w:hAnsi="Arial" w:cs="Arial"/>
        </w:rPr>
        <w:t xml:space="preserve"> </w:t>
      </w:r>
      <w:r w:rsidR="009A236B" w:rsidRPr="0049307C">
        <w:rPr>
          <w:rFonts w:ascii="Arial" w:hAnsi="Arial" w:cs="Arial"/>
        </w:rPr>
        <w:lastRenderedPageBreak/>
        <w:t xml:space="preserve">defendant must amount to the offence. The Mens rea for this particular offence is the defendant is aware that as a result of his act or omission it highly probable that it will cause serious bodily harm, as established in the case of </w:t>
      </w:r>
      <w:r w:rsidR="00FD0CD4">
        <w:rPr>
          <w:rFonts w:ascii="Arial" w:hAnsi="Arial" w:cs="Arial"/>
        </w:rPr>
        <w:t>‘</w:t>
      </w:r>
      <w:r w:rsidR="00FD0CD4" w:rsidRPr="00FD0CD4">
        <w:rPr>
          <w:rFonts w:ascii="Arial" w:hAnsi="Arial" w:cs="Arial"/>
          <w:u w:val="single"/>
        </w:rPr>
        <w:t xml:space="preserve">R v </w:t>
      </w:r>
      <w:r w:rsidR="009A236B" w:rsidRPr="00FD0CD4">
        <w:rPr>
          <w:rFonts w:ascii="Arial" w:hAnsi="Arial" w:cs="Arial"/>
          <w:u w:val="single"/>
        </w:rPr>
        <w:t>Lidar</w:t>
      </w:r>
      <w:r w:rsidR="0049307C" w:rsidRPr="00FD0CD4">
        <w:rPr>
          <w:rFonts w:ascii="Arial" w:hAnsi="Arial" w:cs="Arial"/>
          <w:u w:val="single"/>
        </w:rPr>
        <w:t xml:space="preserve"> </w:t>
      </w:r>
      <w:r w:rsidR="009A236B" w:rsidRPr="00FD0CD4">
        <w:rPr>
          <w:rFonts w:ascii="Arial" w:hAnsi="Arial" w:cs="Arial"/>
          <w:u w:val="single"/>
        </w:rPr>
        <w:t>(2000)</w:t>
      </w:r>
      <w:r w:rsidR="00FD0CD4">
        <w:rPr>
          <w:rFonts w:ascii="Arial" w:hAnsi="Arial" w:cs="Arial"/>
          <w:u w:val="single"/>
        </w:rPr>
        <w:t>’</w:t>
      </w:r>
      <w:r w:rsidR="009A236B" w:rsidRPr="00FD0CD4">
        <w:rPr>
          <w:rFonts w:ascii="Arial" w:hAnsi="Arial" w:cs="Arial"/>
          <w:u w:val="single"/>
        </w:rPr>
        <w:t>.</w:t>
      </w:r>
      <w:r w:rsidR="002A56A4" w:rsidRPr="0049307C">
        <w:rPr>
          <w:rFonts w:ascii="Arial" w:hAnsi="Arial" w:cs="Arial"/>
        </w:rPr>
        <w:t xml:space="preserve"> </w:t>
      </w:r>
      <w:r w:rsidR="009230AE" w:rsidRPr="0049307C">
        <w:rPr>
          <w:rFonts w:ascii="Arial" w:hAnsi="Arial" w:cs="Arial"/>
        </w:rPr>
        <w:t>Voluntary manslaughters are unlawful killings that which would amount to murder however the mitigating circumstances of the offender mean that the killing is classed as voluntary manslaughter and not murder.</w:t>
      </w:r>
      <w:r w:rsidR="00A41497" w:rsidRPr="0049307C">
        <w:rPr>
          <w:rFonts w:ascii="Arial" w:hAnsi="Arial" w:cs="Arial"/>
        </w:rPr>
        <w:t xml:space="preserve"> Herring, </w:t>
      </w:r>
      <w:r w:rsidR="00FD0CD4">
        <w:rPr>
          <w:rFonts w:ascii="Arial" w:hAnsi="Arial" w:cs="Arial"/>
        </w:rPr>
        <w:t>(</w:t>
      </w:r>
      <w:r w:rsidR="00A41497" w:rsidRPr="0049307C">
        <w:rPr>
          <w:rFonts w:ascii="Arial" w:hAnsi="Arial" w:cs="Arial"/>
        </w:rPr>
        <w:t xml:space="preserve">2020, p. 236). </w:t>
      </w:r>
      <w:r w:rsidR="009230AE" w:rsidRPr="0049307C">
        <w:rPr>
          <w:rFonts w:ascii="Arial" w:hAnsi="Arial" w:cs="Arial"/>
        </w:rPr>
        <w:t xml:space="preserve">Even though </w:t>
      </w:r>
      <w:r w:rsidR="00B16D7A" w:rsidRPr="0049307C">
        <w:rPr>
          <w:rFonts w:ascii="Arial" w:hAnsi="Arial" w:cs="Arial"/>
        </w:rPr>
        <w:t xml:space="preserve">a person being charged with the </w:t>
      </w:r>
      <w:r w:rsidR="009230AE" w:rsidRPr="0049307C">
        <w:rPr>
          <w:rFonts w:ascii="Arial" w:hAnsi="Arial" w:cs="Arial"/>
        </w:rPr>
        <w:t xml:space="preserve">offence of voluntary manslaughter </w:t>
      </w:r>
      <w:r w:rsidR="00B16D7A" w:rsidRPr="0049307C">
        <w:rPr>
          <w:rFonts w:ascii="Arial" w:hAnsi="Arial" w:cs="Arial"/>
        </w:rPr>
        <w:t>could have the Mens rea and the Actus Reus elements for murder the courts</w:t>
      </w:r>
      <w:r w:rsidR="00C965AF">
        <w:rPr>
          <w:rFonts w:ascii="Arial" w:hAnsi="Arial" w:cs="Arial"/>
        </w:rPr>
        <w:t xml:space="preserve"> would</w:t>
      </w:r>
      <w:r w:rsidR="00B16D7A" w:rsidRPr="0049307C">
        <w:rPr>
          <w:rFonts w:ascii="Arial" w:hAnsi="Arial" w:cs="Arial"/>
        </w:rPr>
        <w:t xml:space="preserve"> </w:t>
      </w:r>
      <w:r w:rsidR="00C965AF" w:rsidRPr="0049307C">
        <w:rPr>
          <w:rFonts w:ascii="Arial" w:hAnsi="Arial" w:cs="Arial"/>
        </w:rPr>
        <w:t>recognise</w:t>
      </w:r>
      <w:r w:rsidR="00B16D7A" w:rsidRPr="0049307C">
        <w:rPr>
          <w:rFonts w:ascii="Arial" w:hAnsi="Arial" w:cs="Arial"/>
        </w:rPr>
        <w:t xml:space="preserve"> their extenuating circumstances mean</w:t>
      </w:r>
      <w:r w:rsidR="00C965AF">
        <w:rPr>
          <w:rFonts w:ascii="Arial" w:hAnsi="Arial" w:cs="Arial"/>
        </w:rPr>
        <w:t>ing</w:t>
      </w:r>
      <w:r w:rsidR="00B16D7A" w:rsidRPr="0049307C">
        <w:rPr>
          <w:rFonts w:ascii="Arial" w:hAnsi="Arial" w:cs="Arial"/>
        </w:rPr>
        <w:t xml:space="preserve"> they should not be convicted for murder. </w:t>
      </w:r>
    </w:p>
    <w:p w14:paraId="7C193CAD" w14:textId="77777777" w:rsidR="00C965AF" w:rsidRPr="0049307C" w:rsidRDefault="00C965AF" w:rsidP="0049307C">
      <w:pPr>
        <w:spacing w:line="360" w:lineRule="auto"/>
        <w:jc w:val="both"/>
        <w:rPr>
          <w:rFonts w:ascii="Arial" w:hAnsi="Arial" w:cs="Arial"/>
        </w:rPr>
      </w:pPr>
    </w:p>
    <w:p w14:paraId="711A21C3" w14:textId="77777777" w:rsidR="00C965AF" w:rsidRDefault="00662784" w:rsidP="0049307C">
      <w:pPr>
        <w:spacing w:line="360" w:lineRule="auto"/>
        <w:jc w:val="both"/>
        <w:rPr>
          <w:rFonts w:ascii="Arial" w:hAnsi="Arial" w:cs="Arial"/>
        </w:rPr>
      </w:pPr>
      <w:r w:rsidRPr="0049307C">
        <w:rPr>
          <w:rFonts w:ascii="Arial" w:hAnsi="Arial" w:cs="Arial"/>
        </w:rPr>
        <w:t>Many individuals and bodies have a problem with the current structure of homicide throughout the</w:t>
      </w:r>
      <w:r w:rsidR="00D90332" w:rsidRPr="0049307C">
        <w:rPr>
          <w:rFonts w:ascii="Arial" w:hAnsi="Arial" w:cs="Arial"/>
        </w:rPr>
        <w:t xml:space="preserve"> </w:t>
      </w:r>
      <w:r w:rsidRPr="0049307C">
        <w:rPr>
          <w:rFonts w:ascii="Arial" w:hAnsi="Arial" w:cs="Arial"/>
        </w:rPr>
        <w:t>legal system</w:t>
      </w:r>
      <w:r w:rsidR="00D90332" w:rsidRPr="0049307C">
        <w:rPr>
          <w:rFonts w:ascii="Arial" w:hAnsi="Arial" w:cs="Arial"/>
        </w:rPr>
        <w:t xml:space="preserve"> In the UK</w:t>
      </w:r>
      <w:r w:rsidRPr="0049307C">
        <w:rPr>
          <w:rFonts w:ascii="Arial" w:hAnsi="Arial" w:cs="Arial"/>
        </w:rPr>
        <w:t>. One bod</w:t>
      </w:r>
      <w:r w:rsidR="006F3C37" w:rsidRPr="0049307C">
        <w:rPr>
          <w:rFonts w:ascii="Arial" w:hAnsi="Arial" w:cs="Arial"/>
        </w:rPr>
        <w:t>y</w:t>
      </w:r>
      <w:r w:rsidRPr="0049307C">
        <w:rPr>
          <w:rFonts w:ascii="Arial" w:hAnsi="Arial" w:cs="Arial"/>
        </w:rPr>
        <w:t xml:space="preserve"> which has an issue with the current structure is The Law Commission. </w:t>
      </w:r>
      <w:r w:rsidR="00C13F95" w:rsidRPr="0049307C">
        <w:rPr>
          <w:rFonts w:ascii="Arial" w:hAnsi="Arial" w:cs="Arial"/>
        </w:rPr>
        <w:t>In 200</w:t>
      </w:r>
      <w:r w:rsidR="001A35C9" w:rsidRPr="0049307C">
        <w:rPr>
          <w:rFonts w:ascii="Arial" w:hAnsi="Arial" w:cs="Arial"/>
        </w:rPr>
        <w:t xml:space="preserve">6 The Law Commission </w:t>
      </w:r>
      <w:r w:rsidR="008A645A" w:rsidRPr="0049307C">
        <w:rPr>
          <w:rFonts w:ascii="Arial" w:hAnsi="Arial" w:cs="Arial"/>
        </w:rPr>
        <w:t xml:space="preserve">put together a report and </w:t>
      </w:r>
      <w:r w:rsidR="004445B7" w:rsidRPr="0049307C">
        <w:rPr>
          <w:rFonts w:ascii="Arial" w:hAnsi="Arial" w:cs="Arial"/>
        </w:rPr>
        <w:t>an</w:t>
      </w:r>
      <w:r w:rsidR="008A645A" w:rsidRPr="0049307C">
        <w:rPr>
          <w:rFonts w:ascii="Arial" w:hAnsi="Arial" w:cs="Arial"/>
        </w:rPr>
        <w:t xml:space="preserve"> overall review on the structure of the homicide laws in England and Wales titled “Murder, Manslaughter and Infanticide.” </w:t>
      </w:r>
      <w:r w:rsidR="008A76D5" w:rsidRPr="0049307C">
        <w:rPr>
          <w:rFonts w:ascii="Arial" w:hAnsi="Arial" w:cs="Arial"/>
        </w:rPr>
        <w:t xml:space="preserve">The Law Commission, </w:t>
      </w:r>
      <w:r w:rsidR="00FD0CD4">
        <w:rPr>
          <w:rFonts w:ascii="Arial" w:hAnsi="Arial" w:cs="Arial"/>
        </w:rPr>
        <w:t>(</w:t>
      </w:r>
      <w:r w:rsidR="008A76D5" w:rsidRPr="0049307C">
        <w:rPr>
          <w:rFonts w:ascii="Arial" w:hAnsi="Arial" w:cs="Arial"/>
        </w:rPr>
        <w:t xml:space="preserve">2006). </w:t>
      </w:r>
      <w:r w:rsidR="008A645A" w:rsidRPr="0049307C">
        <w:rPr>
          <w:rFonts w:ascii="Arial" w:hAnsi="Arial" w:cs="Arial"/>
        </w:rPr>
        <w:t>The main proposal that was put within this report was the idea of splitting the offence of murder into two “degrees.”</w:t>
      </w:r>
      <w:r w:rsidR="008A76D5" w:rsidRPr="0049307C">
        <w:rPr>
          <w:rFonts w:ascii="Arial" w:hAnsi="Arial" w:cs="Arial"/>
        </w:rPr>
        <w:t xml:space="preserve"> Beard &amp;</w:t>
      </w:r>
      <w:r w:rsidR="00132E0C" w:rsidRPr="0049307C">
        <w:rPr>
          <w:rFonts w:ascii="Arial" w:hAnsi="Arial" w:cs="Arial"/>
        </w:rPr>
        <w:t xml:space="preserve"> Politowski, </w:t>
      </w:r>
      <w:r w:rsidR="00FD0CD4">
        <w:rPr>
          <w:rFonts w:ascii="Arial" w:hAnsi="Arial" w:cs="Arial"/>
        </w:rPr>
        <w:t>(</w:t>
      </w:r>
      <w:r w:rsidR="00132E0C" w:rsidRPr="0049307C">
        <w:rPr>
          <w:rFonts w:ascii="Arial" w:hAnsi="Arial" w:cs="Arial"/>
        </w:rPr>
        <w:t>2016)</w:t>
      </w:r>
      <w:r w:rsidR="00AE7FE1" w:rsidRPr="0049307C">
        <w:rPr>
          <w:rFonts w:ascii="Arial" w:hAnsi="Arial" w:cs="Arial"/>
        </w:rPr>
        <w:t xml:space="preserve"> Both degrees of murder would carry their own individual sentence within their own right. For </w:t>
      </w:r>
      <w:r w:rsidR="004445B7" w:rsidRPr="0049307C">
        <w:rPr>
          <w:rFonts w:ascii="Arial" w:hAnsi="Arial" w:cs="Arial"/>
        </w:rPr>
        <w:t>example,</w:t>
      </w:r>
      <w:r w:rsidR="00AE7FE1" w:rsidRPr="0049307C">
        <w:rPr>
          <w:rFonts w:ascii="Arial" w:hAnsi="Arial" w:cs="Arial"/>
        </w:rPr>
        <w:t xml:space="preserve"> the offence of “first degree” murder would be </w:t>
      </w:r>
      <w:r w:rsidR="007A6424" w:rsidRPr="0049307C">
        <w:rPr>
          <w:rFonts w:ascii="Arial" w:hAnsi="Arial" w:cs="Arial"/>
        </w:rPr>
        <w:t xml:space="preserve">the most serious </w:t>
      </w:r>
      <w:r w:rsidR="004445B7" w:rsidRPr="0049307C">
        <w:rPr>
          <w:rFonts w:ascii="Arial" w:hAnsi="Arial" w:cs="Arial"/>
        </w:rPr>
        <w:t>offence,</w:t>
      </w:r>
      <w:r w:rsidR="007A6424" w:rsidRPr="0049307C">
        <w:rPr>
          <w:rFonts w:ascii="Arial" w:hAnsi="Arial" w:cs="Arial"/>
        </w:rPr>
        <w:t xml:space="preserve"> and this would be defined as unlawful killing carried out with intention and killing that is done with the intention do cause harm to the victim.</w:t>
      </w:r>
      <w:r w:rsidR="00132E0C" w:rsidRPr="0049307C">
        <w:rPr>
          <w:rFonts w:ascii="Arial" w:hAnsi="Arial" w:cs="Arial"/>
        </w:rPr>
        <w:t xml:space="preserve"> The Law Com</w:t>
      </w:r>
      <w:r w:rsidR="006F3C37" w:rsidRPr="0049307C">
        <w:rPr>
          <w:rFonts w:ascii="Arial" w:hAnsi="Arial" w:cs="Arial"/>
        </w:rPr>
        <w:t>mission</w:t>
      </w:r>
      <w:r w:rsidR="00D90332" w:rsidRPr="0049307C">
        <w:rPr>
          <w:rFonts w:ascii="Arial" w:hAnsi="Arial" w:cs="Arial"/>
        </w:rPr>
        <w:t xml:space="preserve"> </w:t>
      </w:r>
      <w:r w:rsidR="00FD0CD4">
        <w:rPr>
          <w:rFonts w:ascii="Arial" w:hAnsi="Arial" w:cs="Arial"/>
        </w:rPr>
        <w:t>(</w:t>
      </w:r>
      <w:r w:rsidR="00D90332" w:rsidRPr="0049307C">
        <w:rPr>
          <w:rFonts w:ascii="Arial" w:hAnsi="Arial" w:cs="Arial"/>
        </w:rPr>
        <w:t>2006</w:t>
      </w:r>
      <w:r w:rsidR="00FD0CD4">
        <w:rPr>
          <w:rFonts w:ascii="Arial" w:hAnsi="Arial" w:cs="Arial"/>
        </w:rPr>
        <w:t xml:space="preserve">). </w:t>
      </w:r>
      <w:r w:rsidR="007A6424" w:rsidRPr="0049307C">
        <w:rPr>
          <w:rFonts w:ascii="Arial" w:hAnsi="Arial" w:cs="Arial"/>
        </w:rPr>
        <w:t xml:space="preserve">The offence of first degree murder would carry a mandatory life sentence which would be the most serious sentence an offender could receive. </w:t>
      </w:r>
      <w:r w:rsidR="00574F80" w:rsidRPr="0049307C">
        <w:rPr>
          <w:rFonts w:ascii="Arial" w:hAnsi="Arial" w:cs="Arial"/>
        </w:rPr>
        <w:t xml:space="preserve">Second degree murder would be a lesser offence as compared to first degree murder, and there are three ways that an offender can be charged with second degree murder. The first way the offence of ‘second degree’ murder will be put forward is when the defendant did not have the mens rea for murder but only the intention to cause serious harm. </w:t>
      </w:r>
      <w:r w:rsidR="00A806CD">
        <w:rPr>
          <w:rFonts w:ascii="Arial" w:hAnsi="Arial" w:cs="Arial"/>
        </w:rPr>
        <w:t>Also,</w:t>
      </w:r>
      <w:r w:rsidR="00A4422B">
        <w:rPr>
          <w:rFonts w:ascii="Arial" w:hAnsi="Arial" w:cs="Arial"/>
        </w:rPr>
        <w:t xml:space="preserve"> a </w:t>
      </w:r>
      <w:r w:rsidR="00574F80" w:rsidRPr="0049307C">
        <w:rPr>
          <w:rFonts w:ascii="Arial" w:hAnsi="Arial" w:cs="Arial"/>
        </w:rPr>
        <w:t xml:space="preserve"> defendant who successfully pleads</w:t>
      </w:r>
      <w:r w:rsidR="006F3C37" w:rsidRPr="0049307C">
        <w:rPr>
          <w:rFonts w:ascii="Arial" w:hAnsi="Arial" w:cs="Arial"/>
        </w:rPr>
        <w:t xml:space="preserve"> </w:t>
      </w:r>
      <w:r w:rsidR="00574F80" w:rsidRPr="0049307C">
        <w:rPr>
          <w:rFonts w:ascii="Arial" w:hAnsi="Arial" w:cs="Arial"/>
        </w:rPr>
        <w:t xml:space="preserve">a partial defence in court would be charged with ‘second degree murder’. The final way the sentence of ‘second degree murder’ will be placed on an offender is if </w:t>
      </w:r>
      <w:r w:rsidR="006F3C37" w:rsidRPr="0049307C">
        <w:rPr>
          <w:rFonts w:ascii="Arial" w:hAnsi="Arial" w:cs="Arial"/>
        </w:rPr>
        <w:t xml:space="preserve">the death was caused by the reckless actions of the offender. The Law Commission </w:t>
      </w:r>
      <w:r w:rsidR="00FD0CD4">
        <w:rPr>
          <w:rFonts w:ascii="Arial" w:hAnsi="Arial" w:cs="Arial"/>
        </w:rPr>
        <w:t>(</w:t>
      </w:r>
      <w:r w:rsidR="006F3C37" w:rsidRPr="0049307C">
        <w:rPr>
          <w:rFonts w:ascii="Arial" w:hAnsi="Arial" w:cs="Arial"/>
        </w:rPr>
        <w:t>2005).</w:t>
      </w:r>
      <w:r w:rsidR="00AB338D" w:rsidRPr="0049307C">
        <w:rPr>
          <w:rFonts w:ascii="Arial" w:hAnsi="Arial" w:cs="Arial"/>
        </w:rPr>
        <w:t xml:space="preserve"> The main </w:t>
      </w:r>
      <w:r w:rsidR="00D90332" w:rsidRPr="0049307C">
        <w:rPr>
          <w:rFonts w:ascii="Arial" w:hAnsi="Arial" w:cs="Arial"/>
        </w:rPr>
        <w:t>reason this change was suggested was to allow juries to be able to differentiate different types of offences and provide them with a clearer structure to when it comes to sentencing defendants</w:t>
      </w:r>
      <w:r w:rsidR="00AB338D" w:rsidRPr="0049307C">
        <w:rPr>
          <w:rFonts w:ascii="Arial" w:hAnsi="Arial" w:cs="Arial"/>
        </w:rPr>
        <w:t xml:space="preserve">. And it would make it easier when it comes to sentencing as opposed to the current structure. </w:t>
      </w:r>
    </w:p>
    <w:p w14:paraId="5453A04B" w14:textId="3AE6BD0A" w:rsidR="00643474" w:rsidRDefault="003D4597" w:rsidP="0049307C">
      <w:pPr>
        <w:spacing w:line="360" w:lineRule="auto"/>
        <w:jc w:val="both"/>
        <w:rPr>
          <w:rFonts w:ascii="Arial" w:hAnsi="Arial" w:cs="Arial"/>
        </w:rPr>
      </w:pPr>
      <w:r w:rsidRPr="0049307C">
        <w:rPr>
          <w:rFonts w:ascii="Arial" w:hAnsi="Arial" w:cs="Arial"/>
        </w:rPr>
        <w:lastRenderedPageBreak/>
        <w:t>The Law Commission also believe that the partial defence of provocation needed to be reformed</w:t>
      </w:r>
      <w:r w:rsidR="00643474" w:rsidRPr="0049307C">
        <w:rPr>
          <w:rFonts w:ascii="Arial" w:hAnsi="Arial" w:cs="Arial"/>
        </w:rPr>
        <w:t>.</w:t>
      </w:r>
      <w:r w:rsidR="00DA59A1" w:rsidRPr="0049307C">
        <w:rPr>
          <w:rFonts w:ascii="Arial" w:hAnsi="Arial" w:cs="Arial"/>
        </w:rPr>
        <w:t xml:space="preserve"> Provocation was a previous partial defence to murder that was </w:t>
      </w:r>
      <w:r w:rsidR="00414DE6" w:rsidRPr="0049307C">
        <w:rPr>
          <w:rFonts w:ascii="Arial" w:hAnsi="Arial" w:cs="Arial"/>
        </w:rPr>
        <w:t xml:space="preserve">laid down in </w:t>
      </w:r>
      <w:r w:rsidR="0049307C" w:rsidRPr="0049307C">
        <w:rPr>
          <w:rFonts w:ascii="Arial" w:hAnsi="Arial" w:cs="Arial"/>
        </w:rPr>
        <w:t>(</w:t>
      </w:r>
      <w:r w:rsidR="00414DE6" w:rsidRPr="0049307C">
        <w:rPr>
          <w:rFonts w:ascii="Arial" w:hAnsi="Arial" w:cs="Arial"/>
          <w:i/>
          <w:iCs/>
          <w:u w:val="single"/>
        </w:rPr>
        <w:t>S.4 of The Homicide Act 1957</w:t>
      </w:r>
      <w:r w:rsidR="0049307C" w:rsidRPr="0049307C">
        <w:rPr>
          <w:rFonts w:ascii="Arial" w:hAnsi="Arial" w:cs="Arial"/>
          <w:i/>
          <w:iCs/>
        </w:rPr>
        <w:t>).</w:t>
      </w:r>
      <w:r w:rsidR="00C965AF">
        <w:rPr>
          <w:rFonts w:ascii="Arial" w:hAnsi="Arial" w:cs="Arial"/>
        </w:rPr>
        <w:t xml:space="preserve"> </w:t>
      </w:r>
      <w:r w:rsidR="00414DE6" w:rsidRPr="0049307C">
        <w:rPr>
          <w:rFonts w:ascii="Arial" w:hAnsi="Arial" w:cs="Arial"/>
        </w:rPr>
        <w:t>I</w:t>
      </w:r>
      <w:r w:rsidR="00643474" w:rsidRPr="0049307C">
        <w:rPr>
          <w:rFonts w:ascii="Arial" w:hAnsi="Arial" w:cs="Arial"/>
        </w:rPr>
        <w:t xml:space="preserve">n </w:t>
      </w:r>
      <w:r w:rsidR="00A806CD">
        <w:rPr>
          <w:rFonts w:ascii="Arial" w:hAnsi="Arial" w:cs="Arial"/>
        </w:rPr>
        <w:t>the past</w:t>
      </w:r>
      <w:r w:rsidR="00643474" w:rsidRPr="0049307C">
        <w:rPr>
          <w:rFonts w:ascii="Arial" w:hAnsi="Arial" w:cs="Arial"/>
        </w:rPr>
        <w:t xml:space="preserve"> to have a successful defence of provocation the courts would have to apply ‘the </w:t>
      </w:r>
      <w:r w:rsidR="000B5474" w:rsidRPr="0049307C">
        <w:rPr>
          <w:rFonts w:ascii="Arial" w:hAnsi="Arial" w:cs="Arial"/>
        </w:rPr>
        <w:t>reasonable</w:t>
      </w:r>
      <w:r w:rsidR="00643474" w:rsidRPr="0049307C">
        <w:rPr>
          <w:rFonts w:ascii="Arial" w:hAnsi="Arial" w:cs="Arial"/>
        </w:rPr>
        <w:t xml:space="preserve"> man test.’ This test was </w:t>
      </w:r>
      <w:r w:rsidR="000B5474" w:rsidRPr="0049307C">
        <w:rPr>
          <w:rFonts w:ascii="Arial" w:hAnsi="Arial" w:cs="Arial"/>
        </w:rPr>
        <w:t>a big</w:t>
      </w:r>
      <w:r w:rsidR="00643474" w:rsidRPr="0049307C">
        <w:rPr>
          <w:rFonts w:ascii="Arial" w:hAnsi="Arial" w:cs="Arial"/>
        </w:rPr>
        <w:t xml:space="preserve"> problem with the old </w:t>
      </w:r>
      <w:r w:rsidR="000B5474" w:rsidRPr="0049307C">
        <w:rPr>
          <w:rFonts w:ascii="Arial" w:hAnsi="Arial" w:cs="Arial"/>
        </w:rPr>
        <w:t xml:space="preserve">defence because it gave the courts too many problems. Bickle, </w:t>
      </w:r>
      <w:r w:rsidR="00FD0CD4">
        <w:rPr>
          <w:rFonts w:ascii="Arial" w:hAnsi="Arial" w:cs="Arial"/>
        </w:rPr>
        <w:t>(</w:t>
      </w:r>
      <w:r w:rsidR="000B5474" w:rsidRPr="0049307C">
        <w:rPr>
          <w:rFonts w:ascii="Arial" w:hAnsi="Arial" w:cs="Arial"/>
        </w:rPr>
        <w:t>2008, p. 39)</w:t>
      </w:r>
      <w:r w:rsidR="00DA59A1" w:rsidRPr="0049307C">
        <w:rPr>
          <w:rFonts w:ascii="Arial" w:hAnsi="Arial" w:cs="Arial"/>
        </w:rPr>
        <w:t>.</w:t>
      </w:r>
      <w:r w:rsidR="00A806CD">
        <w:rPr>
          <w:rFonts w:ascii="Arial" w:hAnsi="Arial" w:cs="Arial"/>
        </w:rPr>
        <w:t xml:space="preserve"> The problem was that the term ‘reasonable man’ could be difficult to apply because it is too ambiguous.</w:t>
      </w:r>
      <w:r w:rsidR="00C965AF">
        <w:rPr>
          <w:rFonts w:ascii="Arial" w:hAnsi="Arial" w:cs="Arial"/>
        </w:rPr>
        <w:t xml:space="preserve"> </w:t>
      </w:r>
      <w:r w:rsidR="00414DE6" w:rsidRPr="0049307C">
        <w:rPr>
          <w:rFonts w:ascii="Arial" w:hAnsi="Arial" w:cs="Arial"/>
        </w:rPr>
        <w:t xml:space="preserve">Following The Law Commissions, recommendations the defence of provocation was </w:t>
      </w:r>
      <w:r w:rsidR="00C95A0E" w:rsidRPr="0049307C">
        <w:rPr>
          <w:rFonts w:ascii="Arial" w:hAnsi="Arial" w:cs="Arial"/>
        </w:rPr>
        <w:t xml:space="preserve">changed to the new </w:t>
      </w:r>
      <w:r w:rsidR="0001082D" w:rsidRPr="0049307C">
        <w:rPr>
          <w:rFonts w:ascii="Arial" w:hAnsi="Arial" w:cs="Arial"/>
        </w:rPr>
        <w:t xml:space="preserve">partial </w:t>
      </w:r>
      <w:r w:rsidR="00C95A0E" w:rsidRPr="0049307C">
        <w:rPr>
          <w:rFonts w:ascii="Arial" w:hAnsi="Arial" w:cs="Arial"/>
        </w:rPr>
        <w:t xml:space="preserve">defence of Loss of control. Mitchell </w:t>
      </w:r>
      <w:r w:rsidR="00A806CD">
        <w:rPr>
          <w:rFonts w:ascii="Arial" w:hAnsi="Arial" w:cs="Arial"/>
        </w:rPr>
        <w:t>(</w:t>
      </w:r>
      <w:r w:rsidR="00C95A0E" w:rsidRPr="0049307C">
        <w:rPr>
          <w:rFonts w:ascii="Arial" w:hAnsi="Arial" w:cs="Arial"/>
        </w:rPr>
        <w:t>2021)</w:t>
      </w:r>
      <w:r w:rsidR="005338B1" w:rsidRPr="0049307C">
        <w:rPr>
          <w:rFonts w:ascii="Arial" w:hAnsi="Arial" w:cs="Arial"/>
        </w:rPr>
        <w:t xml:space="preserve">. The new defence was brought in with the </w:t>
      </w:r>
      <w:r w:rsidR="0049307C">
        <w:rPr>
          <w:rFonts w:ascii="Arial" w:hAnsi="Arial" w:cs="Arial"/>
        </w:rPr>
        <w:t>(</w:t>
      </w:r>
      <w:r w:rsidR="005338B1" w:rsidRPr="0049307C">
        <w:rPr>
          <w:rFonts w:ascii="Arial" w:hAnsi="Arial" w:cs="Arial"/>
          <w:i/>
          <w:iCs/>
          <w:u w:val="single"/>
        </w:rPr>
        <w:t>Coroners and Justice Act 2009</w:t>
      </w:r>
      <w:r w:rsidR="0049307C">
        <w:rPr>
          <w:rFonts w:ascii="Arial" w:hAnsi="Arial" w:cs="Arial"/>
          <w:u w:val="single"/>
        </w:rPr>
        <w:t>)</w:t>
      </w:r>
      <w:r w:rsidR="005338B1" w:rsidRPr="0049307C">
        <w:rPr>
          <w:rFonts w:ascii="Arial" w:hAnsi="Arial" w:cs="Arial"/>
        </w:rPr>
        <w:t>, and it changed the defence in the sense that the defendants</w:t>
      </w:r>
      <w:r w:rsidR="0076567C" w:rsidRPr="0049307C">
        <w:rPr>
          <w:rFonts w:ascii="Arial" w:hAnsi="Arial" w:cs="Arial"/>
        </w:rPr>
        <w:t>,</w:t>
      </w:r>
      <w:r w:rsidR="005338B1" w:rsidRPr="0049307C">
        <w:rPr>
          <w:rFonts w:ascii="Arial" w:hAnsi="Arial" w:cs="Arial"/>
        </w:rPr>
        <w:t xml:space="preserve"> loss of control must be caused by a qualifying trigger under </w:t>
      </w:r>
      <w:r w:rsidR="0049307C">
        <w:rPr>
          <w:rFonts w:ascii="Arial" w:hAnsi="Arial" w:cs="Arial"/>
        </w:rPr>
        <w:t>(</w:t>
      </w:r>
      <w:r w:rsidR="005338B1" w:rsidRPr="0049307C">
        <w:rPr>
          <w:rFonts w:ascii="Arial" w:hAnsi="Arial" w:cs="Arial"/>
          <w:i/>
          <w:iCs/>
          <w:u w:val="single"/>
        </w:rPr>
        <w:t>s.54 (1) (b) of the Coroners and Justice Act 2009.</w:t>
      </w:r>
      <w:r w:rsidR="0049307C">
        <w:rPr>
          <w:rFonts w:ascii="Arial" w:hAnsi="Arial" w:cs="Arial"/>
        </w:rPr>
        <w:t xml:space="preserve">) </w:t>
      </w:r>
      <w:r w:rsidR="005338B1" w:rsidRPr="0049307C">
        <w:rPr>
          <w:rFonts w:ascii="Arial" w:hAnsi="Arial" w:cs="Arial"/>
        </w:rPr>
        <w:t xml:space="preserve">The first qualifying trigger is </w:t>
      </w:r>
      <w:r w:rsidR="0076567C" w:rsidRPr="0049307C">
        <w:rPr>
          <w:rFonts w:ascii="Arial" w:hAnsi="Arial" w:cs="Arial"/>
        </w:rPr>
        <w:t>laid out in subsection (3) and states that the defendant must have lost control in the fear of serious violence from the victim.</w:t>
      </w:r>
      <w:r w:rsidR="002B5986" w:rsidRPr="0049307C">
        <w:rPr>
          <w:rFonts w:ascii="Arial" w:hAnsi="Arial" w:cs="Arial"/>
        </w:rPr>
        <w:t xml:space="preserve"> This was defined in the case of </w:t>
      </w:r>
      <w:r w:rsidR="00FD0CD4">
        <w:rPr>
          <w:rFonts w:ascii="Arial" w:hAnsi="Arial" w:cs="Arial"/>
        </w:rPr>
        <w:t>‘</w:t>
      </w:r>
      <w:r w:rsidR="00FD0CD4" w:rsidRPr="00FD0CD4">
        <w:rPr>
          <w:rFonts w:ascii="Arial" w:hAnsi="Arial" w:cs="Arial"/>
          <w:u w:val="single"/>
        </w:rPr>
        <w:t xml:space="preserve">R v </w:t>
      </w:r>
      <w:r w:rsidR="002B5986" w:rsidRPr="00FD0CD4">
        <w:rPr>
          <w:rFonts w:ascii="Arial" w:hAnsi="Arial" w:cs="Arial"/>
          <w:u w:val="single"/>
        </w:rPr>
        <w:t>Pearson (1992)</w:t>
      </w:r>
      <w:r w:rsidR="00FD0CD4">
        <w:rPr>
          <w:rFonts w:ascii="Arial" w:hAnsi="Arial" w:cs="Arial"/>
          <w:u w:val="single"/>
        </w:rPr>
        <w:t>’</w:t>
      </w:r>
      <w:r w:rsidR="002B5986" w:rsidRPr="00FD0CD4">
        <w:rPr>
          <w:rFonts w:ascii="Arial" w:hAnsi="Arial" w:cs="Arial"/>
          <w:u w:val="single"/>
        </w:rPr>
        <w:t>.</w:t>
      </w:r>
      <w:r w:rsidR="002B5986" w:rsidRPr="0049307C">
        <w:rPr>
          <w:rFonts w:ascii="Arial" w:hAnsi="Arial" w:cs="Arial"/>
        </w:rPr>
        <w:t xml:space="preserve"> This is a subjective test </w:t>
      </w:r>
      <w:r w:rsidR="005B5E02" w:rsidRPr="0049307C">
        <w:rPr>
          <w:rFonts w:ascii="Arial" w:hAnsi="Arial" w:cs="Arial"/>
        </w:rPr>
        <w:t xml:space="preserve">because the courts must establish if the </w:t>
      </w:r>
      <w:r w:rsidR="004C0879" w:rsidRPr="0049307C">
        <w:rPr>
          <w:rFonts w:ascii="Arial" w:hAnsi="Arial" w:cs="Arial"/>
        </w:rPr>
        <w:t>defendants</w:t>
      </w:r>
      <w:r w:rsidR="005B5E02" w:rsidRPr="0049307C">
        <w:rPr>
          <w:rFonts w:ascii="Arial" w:hAnsi="Arial" w:cs="Arial"/>
        </w:rPr>
        <w:t xml:space="preserve"> fear was genuine. </w:t>
      </w:r>
      <w:r w:rsidR="0076567C" w:rsidRPr="0049307C">
        <w:rPr>
          <w:rFonts w:ascii="Arial" w:hAnsi="Arial" w:cs="Arial"/>
        </w:rPr>
        <w:t xml:space="preserve"> Actions done or things said by the victim would also amount to a qualifying trigger if the things said and done are of a</w:t>
      </w:r>
      <w:r w:rsidR="0001082D" w:rsidRPr="0049307C">
        <w:rPr>
          <w:rFonts w:ascii="Arial" w:hAnsi="Arial" w:cs="Arial"/>
        </w:rPr>
        <w:t>n</w:t>
      </w:r>
      <w:r w:rsidR="0076567C" w:rsidRPr="0049307C">
        <w:rPr>
          <w:rFonts w:ascii="Arial" w:hAnsi="Arial" w:cs="Arial"/>
        </w:rPr>
        <w:t xml:space="preserve"> extremely grave character</w:t>
      </w:r>
      <w:r w:rsidR="0001082D" w:rsidRPr="0049307C">
        <w:rPr>
          <w:rFonts w:ascii="Arial" w:hAnsi="Arial" w:cs="Arial"/>
        </w:rPr>
        <w:t xml:space="preserve"> as shown in the case of </w:t>
      </w:r>
      <w:r w:rsidR="00FD0CD4">
        <w:rPr>
          <w:rFonts w:ascii="Arial" w:hAnsi="Arial" w:cs="Arial"/>
        </w:rPr>
        <w:t>‘</w:t>
      </w:r>
      <w:r w:rsidR="0001082D" w:rsidRPr="0049307C">
        <w:rPr>
          <w:rFonts w:ascii="Arial" w:hAnsi="Arial" w:cs="Arial"/>
          <w:u w:val="single"/>
        </w:rPr>
        <w:t>R v Hatter (2013)</w:t>
      </w:r>
      <w:r w:rsidR="00FD0CD4">
        <w:rPr>
          <w:rFonts w:ascii="Arial" w:hAnsi="Arial" w:cs="Arial"/>
          <w:u w:val="single"/>
        </w:rPr>
        <w:t>’</w:t>
      </w:r>
      <w:r w:rsidR="0076567C" w:rsidRPr="0049307C">
        <w:rPr>
          <w:rFonts w:ascii="Arial" w:hAnsi="Arial" w:cs="Arial"/>
          <w:u w:val="single"/>
        </w:rPr>
        <w:t xml:space="preserve">. </w:t>
      </w:r>
      <w:r w:rsidR="0076567C" w:rsidRPr="0049307C">
        <w:rPr>
          <w:rFonts w:ascii="Arial" w:hAnsi="Arial" w:cs="Arial"/>
        </w:rPr>
        <w:t xml:space="preserve">This would amount as a qualifying trigger because it could cause the defendant to have a sense of being justifiably wronged. </w:t>
      </w:r>
      <w:r w:rsidR="002B5986" w:rsidRPr="0049307C">
        <w:rPr>
          <w:rFonts w:ascii="Arial" w:hAnsi="Arial" w:cs="Arial"/>
        </w:rPr>
        <w:t xml:space="preserve">Another element to the new defence of Loss of control is that </w:t>
      </w:r>
      <w:r w:rsidR="0076567C" w:rsidRPr="0049307C">
        <w:rPr>
          <w:rFonts w:ascii="Arial" w:hAnsi="Arial" w:cs="Arial"/>
        </w:rPr>
        <w:t xml:space="preserve">(House of Lords 2009). </w:t>
      </w:r>
      <w:r w:rsidR="005B5E02" w:rsidRPr="0049307C">
        <w:rPr>
          <w:rFonts w:ascii="Arial" w:hAnsi="Arial" w:cs="Arial"/>
        </w:rPr>
        <w:t xml:space="preserve">Another element of the new defence is the fact that the </w:t>
      </w:r>
      <w:r w:rsidR="004C0879" w:rsidRPr="0049307C">
        <w:rPr>
          <w:rFonts w:ascii="Arial" w:hAnsi="Arial" w:cs="Arial"/>
        </w:rPr>
        <w:t>defendant’s</w:t>
      </w:r>
      <w:r w:rsidR="005B5E02" w:rsidRPr="0049307C">
        <w:rPr>
          <w:rFonts w:ascii="Arial" w:hAnsi="Arial" w:cs="Arial"/>
        </w:rPr>
        <w:t xml:space="preserve"> loss of control must happen as a result of a qualifying trigger as stated in </w:t>
      </w:r>
      <w:r w:rsidR="00FD0CD4">
        <w:rPr>
          <w:rFonts w:ascii="Arial" w:hAnsi="Arial" w:cs="Arial"/>
        </w:rPr>
        <w:t>(</w:t>
      </w:r>
      <w:r w:rsidR="005B5E02" w:rsidRPr="00FD0CD4">
        <w:rPr>
          <w:rFonts w:ascii="Arial" w:hAnsi="Arial" w:cs="Arial"/>
          <w:i/>
          <w:iCs/>
          <w:u w:val="single"/>
        </w:rPr>
        <w:t>s.54 of The Coroners and Justice Act 2009</w:t>
      </w:r>
      <w:r w:rsidR="00FD0CD4" w:rsidRPr="00FD0CD4">
        <w:rPr>
          <w:rFonts w:ascii="Arial" w:hAnsi="Arial" w:cs="Arial"/>
          <w:i/>
          <w:iCs/>
          <w:u w:val="single"/>
        </w:rPr>
        <w:t>)</w:t>
      </w:r>
      <w:r w:rsidR="005B5E02" w:rsidRPr="00FD0CD4">
        <w:rPr>
          <w:rFonts w:ascii="Arial" w:hAnsi="Arial" w:cs="Arial"/>
          <w:i/>
          <w:iCs/>
        </w:rPr>
        <w:t>.</w:t>
      </w:r>
      <w:r w:rsidR="005B5E02" w:rsidRPr="0049307C">
        <w:rPr>
          <w:rFonts w:ascii="Arial" w:hAnsi="Arial" w:cs="Arial"/>
        </w:rPr>
        <w:t xml:space="preserve"> The case of </w:t>
      </w:r>
      <w:r w:rsidR="00FD0CD4">
        <w:rPr>
          <w:rFonts w:ascii="Arial" w:hAnsi="Arial" w:cs="Arial"/>
        </w:rPr>
        <w:t>‘</w:t>
      </w:r>
      <w:r w:rsidR="005B5E02" w:rsidRPr="0049307C">
        <w:rPr>
          <w:rFonts w:ascii="Arial" w:hAnsi="Arial" w:cs="Arial"/>
          <w:u w:val="single"/>
        </w:rPr>
        <w:t>R v Jewel (1995)</w:t>
      </w:r>
      <w:r w:rsidR="00FD0CD4">
        <w:rPr>
          <w:rFonts w:ascii="Arial" w:hAnsi="Arial" w:cs="Arial"/>
          <w:u w:val="single"/>
        </w:rPr>
        <w:t>’</w:t>
      </w:r>
      <w:r w:rsidR="005B5E02" w:rsidRPr="0049307C">
        <w:rPr>
          <w:rFonts w:ascii="Arial" w:hAnsi="Arial" w:cs="Arial"/>
        </w:rPr>
        <w:t xml:space="preserve"> lays down an important element of this defence and it is the fact that a defendant who claims loss of control is not the same as a defendant claiming they did not have the Mens rea for the offence in question. </w:t>
      </w:r>
      <w:r w:rsidR="0001082D" w:rsidRPr="0049307C">
        <w:rPr>
          <w:rFonts w:ascii="Arial" w:hAnsi="Arial" w:cs="Arial"/>
        </w:rPr>
        <w:t xml:space="preserve">The defence of loss of control has several advantages it to it but the main advantage of the new defence is that </w:t>
      </w:r>
      <w:r w:rsidR="00031912" w:rsidRPr="0049307C">
        <w:rPr>
          <w:rFonts w:ascii="Arial" w:hAnsi="Arial" w:cs="Arial"/>
        </w:rPr>
        <w:t xml:space="preserve">it is easier for juries and for the courts to apply because it has more information surrounding what is required for a successful defence. </w:t>
      </w:r>
    </w:p>
    <w:p w14:paraId="2AF6FC60" w14:textId="77777777" w:rsidR="00C965AF" w:rsidRDefault="00C965AF" w:rsidP="0049307C">
      <w:pPr>
        <w:spacing w:line="360" w:lineRule="auto"/>
        <w:jc w:val="both"/>
        <w:rPr>
          <w:rFonts w:ascii="Arial" w:hAnsi="Arial" w:cs="Arial"/>
        </w:rPr>
      </w:pPr>
    </w:p>
    <w:p w14:paraId="01255A1B" w14:textId="18241592" w:rsidR="00031912" w:rsidRDefault="00552858" w:rsidP="0049307C">
      <w:pPr>
        <w:spacing w:line="360" w:lineRule="auto"/>
        <w:jc w:val="both"/>
        <w:rPr>
          <w:rFonts w:ascii="Arial" w:hAnsi="Arial" w:cs="Arial"/>
        </w:rPr>
      </w:pPr>
      <w:r w:rsidRPr="0049307C">
        <w:rPr>
          <w:rFonts w:ascii="Arial" w:hAnsi="Arial" w:cs="Arial"/>
        </w:rPr>
        <w:t xml:space="preserve">The </w:t>
      </w:r>
      <w:r w:rsidR="006D3749" w:rsidRPr="0049307C">
        <w:rPr>
          <w:rFonts w:ascii="Arial" w:hAnsi="Arial" w:cs="Arial"/>
        </w:rPr>
        <w:t xml:space="preserve">Law Commission put forward for changes to be made to the partial defence of diminished responsibility. </w:t>
      </w:r>
      <w:r w:rsidR="0017259C" w:rsidRPr="0049307C">
        <w:rPr>
          <w:rFonts w:ascii="Arial" w:hAnsi="Arial" w:cs="Arial"/>
        </w:rPr>
        <w:t xml:space="preserve">Following these </w:t>
      </w:r>
      <w:r w:rsidR="004C0879" w:rsidRPr="0049307C">
        <w:rPr>
          <w:rFonts w:ascii="Arial" w:hAnsi="Arial" w:cs="Arial"/>
        </w:rPr>
        <w:t xml:space="preserve">recommendations, </w:t>
      </w:r>
      <w:r w:rsidR="0017259C" w:rsidRPr="0049307C">
        <w:rPr>
          <w:rFonts w:ascii="Arial" w:hAnsi="Arial" w:cs="Arial"/>
        </w:rPr>
        <w:t xml:space="preserve">the diminished responsibility defence was updated. This update changed the requirements for the partial defence of diminished responsibility. (Justice.org 2021). Before the update in the </w:t>
      </w:r>
      <w:r w:rsidR="00FD0CD4">
        <w:rPr>
          <w:rFonts w:ascii="Arial" w:hAnsi="Arial" w:cs="Arial"/>
        </w:rPr>
        <w:t>(</w:t>
      </w:r>
      <w:r w:rsidR="0017259C" w:rsidRPr="00FD0CD4">
        <w:rPr>
          <w:rFonts w:ascii="Arial" w:hAnsi="Arial" w:cs="Arial"/>
          <w:i/>
          <w:iCs/>
          <w:u w:val="single"/>
        </w:rPr>
        <w:t>Coroners and Justice Act 2009</w:t>
      </w:r>
      <w:r w:rsidR="00FD0CD4">
        <w:rPr>
          <w:rFonts w:ascii="Arial" w:hAnsi="Arial" w:cs="Arial"/>
        </w:rPr>
        <w:t xml:space="preserve">) </w:t>
      </w:r>
      <w:r w:rsidR="0017259C" w:rsidRPr="0049307C">
        <w:rPr>
          <w:rFonts w:ascii="Arial" w:hAnsi="Arial" w:cs="Arial"/>
        </w:rPr>
        <w:t>the only way a defence of diminished</w:t>
      </w:r>
      <w:r w:rsidR="00C965AF">
        <w:rPr>
          <w:rFonts w:ascii="Arial" w:hAnsi="Arial" w:cs="Arial"/>
        </w:rPr>
        <w:t xml:space="preserve"> </w:t>
      </w:r>
      <w:r w:rsidR="0017259C" w:rsidRPr="0049307C">
        <w:rPr>
          <w:rFonts w:ascii="Arial" w:hAnsi="Arial" w:cs="Arial"/>
        </w:rPr>
        <w:lastRenderedPageBreak/>
        <w:t xml:space="preserve">responsibility could be put forward if </w:t>
      </w:r>
      <w:r w:rsidR="00714DA8" w:rsidRPr="0049307C">
        <w:rPr>
          <w:rFonts w:ascii="Arial" w:hAnsi="Arial" w:cs="Arial"/>
        </w:rPr>
        <w:t>the defendant was suffering from an ‘abnormality of the mind’ that resulted in the killing.</w:t>
      </w:r>
      <w:r w:rsidR="004C0879" w:rsidRPr="0049307C">
        <w:rPr>
          <w:rFonts w:ascii="Arial" w:hAnsi="Arial" w:cs="Arial"/>
        </w:rPr>
        <w:t xml:space="preserve"> The case of </w:t>
      </w:r>
      <w:r w:rsidR="00FD0CD4">
        <w:rPr>
          <w:rFonts w:ascii="Arial" w:hAnsi="Arial" w:cs="Arial"/>
        </w:rPr>
        <w:t>‘</w:t>
      </w:r>
      <w:r w:rsidR="004C0879" w:rsidRPr="0049307C">
        <w:rPr>
          <w:rFonts w:ascii="Arial" w:hAnsi="Arial" w:cs="Arial"/>
          <w:u w:val="single"/>
        </w:rPr>
        <w:t>R v Byrne (1960)</w:t>
      </w:r>
      <w:r w:rsidR="00FD0CD4">
        <w:rPr>
          <w:rFonts w:ascii="Arial" w:hAnsi="Arial" w:cs="Arial"/>
          <w:u w:val="single"/>
        </w:rPr>
        <w:t>’</w:t>
      </w:r>
      <w:r w:rsidR="004C0879" w:rsidRPr="0049307C">
        <w:rPr>
          <w:rFonts w:ascii="Arial" w:hAnsi="Arial" w:cs="Arial"/>
        </w:rPr>
        <w:t xml:space="preserve"> defined the term ‘abnormality of the mind’ as an impulse which is impossible for the defendant to control. Hall Williams (1961</w:t>
      </w:r>
      <w:r w:rsidR="00EA1BB8" w:rsidRPr="0049307C">
        <w:rPr>
          <w:rFonts w:ascii="Arial" w:hAnsi="Arial" w:cs="Arial"/>
        </w:rPr>
        <w:t>, p</w:t>
      </w:r>
      <w:r w:rsidR="001A03F7" w:rsidRPr="0049307C">
        <w:rPr>
          <w:rFonts w:ascii="Arial" w:hAnsi="Arial" w:cs="Arial"/>
        </w:rPr>
        <w:t>.1</w:t>
      </w:r>
      <w:r w:rsidR="00EA1BB8" w:rsidRPr="0049307C">
        <w:rPr>
          <w:rFonts w:ascii="Arial" w:hAnsi="Arial" w:cs="Arial"/>
        </w:rPr>
        <w:t xml:space="preserve">). </w:t>
      </w:r>
      <w:r w:rsidR="004C0879" w:rsidRPr="0049307C">
        <w:rPr>
          <w:rFonts w:ascii="Arial" w:hAnsi="Arial" w:cs="Arial"/>
        </w:rPr>
        <w:t xml:space="preserve"> </w:t>
      </w:r>
      <w:r w:rsidR="00714DA8" w:rsidRPr="0049307C">
        <w:rPr>
          <w:rFonts w:ascii="Arial" w:hAnsi="Arial" w:cs="Arial"/>
        </w:rPr>
        <w:t>This requirement was updated in 2010 to ‘an abnormality of mental functioning which arose from a recognised medical condition that substantially impaired the ability of the defendant which caused the defendant to act in the way they did. The National Archives (2009).</w:t>
      </w:r>
      <w:r w:rsidR="00EA1BB8" w:rsidRPr="0049307C">
        <w:rPr>
          <w:rFonts w:ascii="Arial" w:hAnsi="Arial" w:cs="Arial"/>
        </w:rPr>
        <w:t xml:space="preserve"> Schizophrenia is</w:t>
      </w:r>
      <w:r w:rsidR="00714DA8" w:rsidRPr="0049307C">
        <w:rPr>
          <w:rFonts w:ascii="Arial" w:hAnsi="Arial" w:cs="Arial"/>
        </w:rPr>
        <w:t xml:space="preserve"> </w:t>
      </w:r>
      <w:r w:rsidR="00EA1BB8" w:rsidRPr="0049307C">
        <w:rPr>
          <w:rFonts w:ascii="Arial" w:hAnsi="Arial" w:cs="Arial"/>
        </w:rPr>
        <w:t xml:space="preserve">an example of a recognised medical condition as shown in the case of </w:t>
      </w:r>
      <w:r w:rsidR="00FD0CD4">
        <w:rPr>
          <w:rFonts w:ascii="Arial" w:hAnsi="Arial" w:cs="Arial"/>
        </w:rPr>
        <w:t>‘</w:t>
      </w:r>
      <w:r w:rsidR="00EA1BB8" w:rsidRPr="0049307C">
        <w:rPr>
          <w:rFonts w:ascii="Arial" w:hAnsi="Arial" w:cs="Arial"/>
          <w:u w:val="single"/>
        </w:rPr>
        <w:t>R v Moyle (2008)</w:t>
      </w:r>
      <w:r w:rsidR="00FD0CD4">
        <w:rPr>
          <w:rFonts w:ascii="Arial" w:hAnsi="Arial" w:cs="Arial"/>
          <w:u w:val="single"/>
        </w:rPr>
        <w:t>’.</w:t>
      </w:r>
      <w:r w:rsidR="00EA1BB8" w:rsidRPr="0049307C">
        <w:rPr>
          <w:rFonts w:ascii="Arial" w:hAnsi="Arial" w:cs="Arial"/>
        </w:rPr>
        <w:t xml:space="preserve"> </w:t>
      </w:r>
      <w:r w:rsidR="00104757" w:rsidRPr="0049307C">
        <w:rPr>
          <w:rFonts w:ascii="Arial" w:hAnsi="Arial" w:cs="Arial"/>
        </w:rPr>
        <w:t xml:space="preserve">This change allows the application of the defence to be used in a fairer way and to add clarity to how the defence is applied in court. Kennefick (2011 p.2) </w:t>
      </w:r>
    </w:p>
    <w:p w14:paraId="4E1D1C10" w14:textId="77777777" w:rsidR="00C965AF" w:rsidRPr="0049307C" w:rsidRDefault="00C965AF" w:rsidP="0049307C">
      <w:pPr>
        <w:spacing w:line="360" w:lineRule="auto"/>
        <w:jc w:val="both"/>
        <w:rPr>
          <w:rFonts w:ascii="Arial" w:hAnsi="Arial" w:cs="Arial"/>
        </w:rPr>
      </w:pPr>
    </w:p>
    <w:p w14:paraId="78B0E319" w14:textId="3CD8A1E6" w:rsidR="00E81F57" w:rsidRDefault="001A03F7" w:rsidP="0049307C">
      <w:pPr>
        <w:spacing w:line="360" w:lineRule="auto"/>
        <w:jc w:val="both"/>
        <w:rPr>
          <w:rFonts w:ascii="Arial" w:hAnsi="Arial" w:cs="Arial"/>
        </w:rPr>
      </w:pPr>
      <w:r w:rsidRPr="0049307C">
        <w:rPr>
          <w:rFonts w:ascii="Arial" w:hAnsi="Arial" w:cs="Arial"/>
        </w:rPr>
        <w:t xml:space="preserve">Following the review of homicide by The Law Commission the Government only listened to some of their recommendations. Even though the Government listened to the law commission and </w:t>
      </w:r>
      <w:r w:rsidR="00056379" w:rsidRPr="0049307C">
        <w:rPr>
          <w:rFonts w:ascii="Arial" w:hAnsi="Arial" w:cs="Arial"/>
        </w:rPr>
        <w:t>reformed the partial defences to murder as discussed above, they did not reform the structure of homicide to the three tier system recommended. According to the T</w:t>
      </w:r>
      <w:r w:rsidR="002A56A4" w:rsidRPr="0049307C">
        <w:rPr>
          <w:rFonts w:ascii="Arial" w:hAnsi="Arial" w:cs="Arial"/>
        </w:rPr>
        <w:t xml:space="preserve">ravis, </w:t>
      </w:r>
      <w:r w:rsidR="00C965AF">
        <w:rPr>
          <w:rFonts w:ascii="Arial" w:hAnsi="Arial" w:cs="Arial"/>
        </w:rPr>
        <w:t>(</w:t>
      </w:r>
      <w:r w:rsidR="00056379" w:rsidRPr="0049307C">
        <w:rPr>
          <w:rFonts w:ascii="Arial" w:hAnsi="Arial" w:cs="Arial"/>
        </w:rPr>
        <w:t xml:space="preserve">2016). The Government are not going to change the structure because of public outrage that might follow. </w:t>
      </w:r>
      <w:r w:rsidR="00C965AF">
        <w:rPr>
          <w:rFonts w:ascii="Arial" w:hAnsi="Arial" w:cs="Arial"/>
        </w:rPr>
        <w:t>The Guardian (2021)</w:t>
      </w:r>
    </w:p>
    <w:p w14:paraId="5DC7C9AC" w14:textId="77777777" w:rsidR="00C965AF" w:rsidRPr="0049307C" w:rsidRDefault="00C965AF" w:rsidP="0049307C">
      <w:pPr>
        <w:spacing w:line="360" w:lineRule="auto"/>
        <w:jc w:val="both"/>
        <w:rPr>
          <w:rFonts w:ascii="Arial" w:hAnsi="Arial" w:cs="Arial"/>
          <w:i/>
          <w:iCs/>
        </w:rPr>
      </w:pPr>
    </w:p>
    <w:p w14:paraId="173B7E54" w14:textId="064CE8AD" w:rsidR="00A4422B" w:rsidRPr="0049307C" w:rsidRDefault="00E3019A" w:rsidP="0049307C">
      <w:pPr>
        <w:spacing w:line="360" w:lineRule="auto"/>
        <w:jc w:val="both"/>
        <w:rPr>
          <w:rFonts w:ascii="Arial" w:hAnsi="Arial" w:cs="Arial"/>
        </w:rPr>
      </w:pPr>
      <w:r>
        <w:rPr>
          <w:rFonts w:ascii="Arial" w:hAnsi="Arial" w:cs="Arial"/>
        </w:rPr>
        <w:t>To summarise</w:t>
      </w:r>
      <w:r w:rsidR="002A56A4" w:rsidRPr="0049307C">
        <w:rPr>
          <w:rFonts w:ascii="Arial" w:hAnsi="Arial" w:cs="Arial"/>
        </w:rPr>
        <w:t xml:space="preserve"> there is a genuine call for the structure of homicide to be reformed. However, the current structure is functioning despite its flaws</w:t>
      </w:r>
      <w:r>
        <w:rPr>
          <w:rFonts w:ascii="Arial" w:hAnsi="Arial" w:cs="Arial"/>
        </w:rPr>
        <w:t>,</w:t>
      </w:r>
      <w:r w:rsidR="002A56A4" w:rsidRPr="0049307C">
        <w:rPr>
          <w:rFonts w:ascii="Arial" w:hAnsi="Arial" w:cs="Arial"/>
        </w:rPr>
        <w:t xml:space="preserve"> therefore there is not a</w:t>
      </w:r>
      <w:r>
        <w:rPr>
          <w:rFonts w:ascii="Arial" w:hAnsi="Arial" w:cs="Arial"/>
        </w:rPr>
        <w:t xml:space="preserve">n urgent </w:t>
      </w:r>
      <w:r w:rsidR="002A56A4" w:rsidRPr="0049307C">
        <w:rPr>
          <w:rFonts w:ascii="Arial" w:hAnsi="Arial" w:cs="Arial"/>
        </w:rPr>
        <w:t>need for reform at this current time</w:t>
      </w:r>
      <w:r w:rsidR="00A4422B">
        <w:rPr>
          <w:rFonts w:ascii="Arial" w:hAnsi="Arial" w:cs="Arial"/>
        </w:rPr>
        <w:t xml:space="preserve">. However, there may be reasons for reform in the </w:t>
      </w:r>
      <w:r w:rsidR="00A806CD">
        <w:rPr>
          <w:rFonts w:ascii="Arial" w:hAnsi="Arial" w:cs="Arial"/>
        </w:rPr>
        <w:t>future,</w:t>
      </w:r>
      <w:r w:rsidR="00A4422B">
        <w:rPr>
          <w:rFonts w:ascii="Arial" w:hAnsi="Arial" w:cs="Arial"/>
        </w:rPr>
        <w:t xml:space="preserve"> but the Government would have to choose that time carefully</w:t>
      </w:r>
      <w:r>
        <w:rPr>
          <w:rFonts w:ascii="Arial" w:hAnsi="Arial" w:cs="Arial"/>
        </w:rPr>
        <w:t xml:space="preserve"> so that it works in the best way possible. </w:t>
      </w:r>
    </w:p>
    <w:p w14:paraId="4ECCE866" w14:textId="25FC7529" w:rsidR="00B16D7A" w:rsidRPr="000B017D" w:rsidRDefault="00B16D7A" w:rsidP="000B017D">
      <w:pPr>
        <w:spacing w:line="360" w:lineRule="auto"/>
        <w:jc w:val="both"/>
        <w:rPr>
          <w:rFonts w:ascii="Arial" w:hAnsi="Arial" w:cs="Arial"/>
          <w:b/>
          <w:bCs/>
          <w:i/>
          <w:iCs/>
          <w:u w:val="single"/>
        </w:rPr>
      </w:pPr>
    </w:p>
    <w:p w14:paraId="61277325" w14:textId="77777777" w:rsidR="00B16D7A" w:rsidRPr="000B017D" w:rsidRDefault="00B16D7A" w:rsidP="000B017D">
      <w:pPr>
        <w:spacing w:line="360" w:lineRule="auto"/>
        <w:jc w:val="both"/>
        <w:rPr>
          <w:rFonts w:ascii="Arial" w:hAnsi="Arial" w:cs="Arial"/>
        </w:rPr>
      </w:pPr>
    </w:p>
    <w:p w14:paraId="4BF80676" w14:textId="051CCC11" w:rsidR="006050B6" w:rsidRPr="000B017D" w:rsidRDefault="006050B6" w:rsidP="000B017D">
      <w:pPr>
        <w:spacing w:line="360" w:lineRule="auto"/>
        <w:jc w:val="both"/>
        <w:rPr>
          <w:rFonts w:ascii="Arial" w:hAnsi="Arial" w:cs="Arial"/>
        </w:rPr>
      </w:pPr>
    </w:p>
    <w:p w14:paraId="3CCD4A92" w14:textId="2257A77D" w:rsidR="006050B6" w:rsidRDefault="006050B6" w:rsidP="000B017D">
      <w:pPr>
        <w:spacing w:line="360" w:lineRule="auto"/>
        <w:jc w:val="both"/>
        <w:rPr>
          <w:rFonts w:ascii="Arial" w:hAnsi="Arial" w:cs="Arial"/>
        </w:rPr>
      </w:pPr>
    </w:p>
    <w:p w14:paraId="17C12953" w14:textId="685B107E" w:rsidR="00132E0C" w:rsidRDefault="00132E0C" w:rsidP="000B017D">
      <w:pPr>
        <w:spacing w:line="360" w:lineRule="auto"/>
        <w:jc w:val="both"/>
        <w:rPr>
          <w:rFonts w:ascii="Arial" w:hAnsi="Arial" w:cs="Arial"/>
        </w:rPr>
      </w:pPr>
    </w:p>
    <w:p w14:paraId="0894AC96" w14:textId="4AAD9ECE" w:rsidR="00132E0C" w:rsidRDefault="00132E0C" w:rsidP="000B017D">
      <w:pPr>
        <w:spacing w:line="360" w:lineRule="auto"/>
        <w:jc w:val="both"/>
        <w:rPr>
          <w:rFonts w:ascii="Arial" w:hAnsi="Arial" w:cs="Arial"/>
        </w:rPr>
      </w:pPr>
    </w:p>
    <w:p w14:paraId="01B2140A" w14:textId="27B776E3" w:rsidR="00132E0C" w:rsidRDefault="00132E0C" w:rsidP="000B017D">
      <w:pPr>
        <w:spacing w:line="360" w:lineRule="auto"/>
        <w:jc w:val="both"/>
        <w:rPr>
          <w:rFonts w:ascii="Arial" w:hAnsi="Arial" w:cs="Arial"/>
        </w:rPr>
      </w:pPr>
    </w:p>
    <w:p w14:paraId="44589F3C" w14:textId="16E19731" w:rsidR="00132E0C" w:rsidRDefault="00132E0C" w:rsidP="000B017D">
      <w:pPr>
        <w:spacing w:line="360" w:lineRule="auto"/>
        <w:jc w:val="both"/>
        <w:rPr>
          <w:rFonts w:ascii="Arial" w:hAnsi="Arial" w:cs="Arial"/>
        </w:rPr>
      </w:pPr>
    </w:p>
    <w:p w14:paraId="6771F6D5" w14:textId="1A1746E3" w:rsidR="00132E0C" w:rsidRDefault="00132E0C" w:rsidP="000B017D">
      <w:pPr>
        <w:spacing w:line="360" w:lineRule="auto"/>
        <w:jc w:val="both"/>
        <w:rPr>
          <w:rFonts w:ascii="Arial" w:hAnsi="Arial" w:cs="Arial"/>
        </w:rPr>
      </w:pPr>
    </w:p>
    <w:p w14:paraId="0A072F76" w14:textId="50B46FCC" w:rsidR="00132E0C" w:rsidRDefault="00132E0C" w:rsidP="000B017D">
      <w:pPr>
        <w:spacing w:line="360" w:lineRule="auto"/>
        <w:jc w:val="both"/>
        <w:rPr>
          <w:rFonts w:ascii="Arial" w:hAnsi="Arial" w:cs="Arial"/>
        </w:rPr>
      </w:pPr>
    </w:p>
    <w:p w14:paraId="3531CC36" w14:textId="77777777" w:rsidR="00132E0C" w:rsidRPr="000B017D" w:rsidRDefault="00132E0C" w:rsidP="000B017D">
      <w:pPr>
        <w:spacing w:line="360" w:lineRule="auto"/>
        <w:jc w:val="both"/>
        <w:rPr>
          <w:rFonts w:ascii="Arial" w:hAnsi="Arial" w:cs="Arial"/>
        </w:rPr>
      </w:pPr>
    </w:p>
    <w:p w14:paraId="5E02001B" w14:textId="77777777" w:rsidR="00E81F57" w:rsidRDefault="00E81F57">
      <w:pPr>
        <w:rPr>
          <w:sz w:val="22"/>
          <w:szCs w:val="22"/>
        </w:rPr>
      </w:pPr>
    </w:p>
    <w:p w14:paraId="3B8B4678" w14:textId="77777777" w:rsidR="00E81F57" w:rsidRDefault="00E81F57">
      <w:pPr>
        <w:rPr>
          <w:sz w:val="22"/>
          <w:szCs w:val="22"/>
        </w:rPr>
      </w:pPr>
    </w:p>
    <w:p w14:paraId="5552F25E" w14:textId="77777777" w:rsidR="00E81F57" w:rsidRDefault="00E81F57">
      <w:pPr>
        <w:rPr>
          <w:sz w:val="22"/>
          <w:szCs w:val="22"/>
        </w:rPr>
      </w:pPr>
    </w:p>
    <w:p w14:paraId="3CE36936" w14:textId="77777777" w:rsidR="00E81F57" w:rsidRDefault="00E81F57">
      <w:pPr>
        <w:rPr>
          <w:sz w:val="22"/>
          <w:szCs w:val="22"/>
        </w:rPr>
      </w:pPr>
    </w:p>
    <w:p w14:paraId="16CC011A" w14:textId="77777777" w:rsidR="00E81F57" w:rsidRDefault="00E81F57">
      <w:pPr>
        <w:rPr>
          <w:sz w:val="22"/>
          <w:szCs w:val="22"/>
        </w:rPr>
      </w:pPr>
    </w:p>
    <w:p w14:paraId="2B0155C4" w14:textId="77777777" w:rsidR="00E81F57" w:rsidRDefault="00E81F57">
      <w:pPr>
        <w:rPr>
          <w:sz w:val="22"/>
          <w:szCs w:val="22"/>
        </w:rPr>
      </w:pPr>
    </w:p>
    <w:p w14:paraId="67D8F2FA" w14:textId="77777777" w:rsidR="00E81F57" w:rsidRDefault="00E81F57">
      <w:pPr>
        <w:rPr>
          <w:sz w:val="22"/>
          <w:szCs w:val="22"/>
        </w:rPr>
      </w:pPr>
    </w:p>
    <w:p w14:paraId="3A7A86F5" w14:textId="77777777" w:rsidR="00E81F57" w:rsidRDefault="00E81F57">
      <w:pPr>
        <w:rPr>
          <w:sz w:val="22"/>
          <w:szCs w:val="22"/>
        </w:rPr>
      </w:pPr>
    </w:p>
    <w:p w14:paraId="30D7F455" w14:textId="77777777" w:rsidR="00E81F57" w:rsidRDefault="00E81F57">
      <w:pPr>
        <w:rPr>
          <w:sz w:val="22"/>
          <w:szCs w:val="22"/>
        </w:rPr>
      </w:pPr>
    </w:p>
    <w:p w14:paraId="43F49F80" w14:textId="77777777" w:rsidR="00EA1BB8" w:rsidRDefault="00EA1BB8">
      <w:pPr>
        <w:rPr>
          <w:sz w:val="22"/>
          <w:szCs w:val="22"/>
        </w:rPr>
      </w:pPr>
    </w:p>
    <w:p w14:paraId="2D457141" w14:textId="77777777" w:rsidR="002A56A4" w:rsidRDefault="002A56A4" w:rsidP="00104757">
      <w:pPr>
        <w:spacing w:line="360" w:lineRule="auto"/>
        <w:rPr>
          <w:rFonts w:ascii="Arial" w:hAnsi="Arial" w:cs="Arial"/>
        </w:rPr>
      </w:pPr>
    </w:p>
    <w:p w14:paraId="659E2B2D" w14:textId="77777777" w:rsidR="0049307C" w:rsidRDefault="0049307C" w:rsidP="00104757">
      <w:pPr>
        <w:spacing w:line="360" w:lineRule="auto"/>
        <w:rPr>
          <w:rFonts w:ascii="Arial" w:hAnsi="Arial" w:cs="Arial"/>
        </w:rPr>
      </w:pPr>
    </w:p>
    <w:p w14:paraId="1D9E7EED" w14:textId="7FDD3DF0" w:rsidR="006050B6" w:rsidRPr="00EA1BB8" w:rsidRDefault="00A64D95" w:rsidP="00104757">
      <w:pPr>
        <w:spacing w:line="360" w:lineRule="auto"/>
        <w:rPr>
          <w:rFonts w:ascii="Arial" w:hAnsi="Arial" w:cs="Arial"/>
        </w:rPr>
      </w:pPr>
      <w:r w:rsidRPr="00EA1BB8">
        <w:rPr>
          <w:rFonts w:ascii="Arial" w:hAnsi="Arial" w:cs="Arial"/>
        </w:rPr>
        <w:t xml:space="preserve">Reference List </w:t>
      </w:r>
    </w:p>
    <w:p w14:paraId="630BD2DF" w14:textId="57A5AC12" w:rsidR="00A64D95" w:rsidRPr="00EA1BB8" w:rsidRDefault="00A64D95" w:rsidP="00104757">
      <w:pPr>
        <w:spacing w:line="360" w:lineRule="auto"/>
        <w:rPr>
          <w:rFonts w:ascii="Arial" w:hAnsi="Arial" w:cs="Arial"/>
        </w:rPr>
      </w:pPr>
    </w:p>
    <w:p w14:paraId="276BB2E8"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Bickle, A. (2008) ‘Proposed Reform to Partial Defences and their Implications for Mentally Disorder Defendants,’ </w:t>
      </w:r>
      <w:r w:rsidRPr="00EA1BB8">
        <w:rPr>
          <w:rFonts w:ascii="Arial" w:hAnsi="Arial" w:cs="Arial"/>
          <w:i/>
          <w:iCs/>
        </w:rPr>
        <w:t xml:space="preserve">Journal of Mental Health Law, </w:t>
      </w:r>
      <w:r w:rsidRPr="00EA1BB8">
        <w:rPr>
          <w:rFonts w:ascii="Arial" w:hAnsi="Arial" w:cs="Arial"/>
        </w:rPr>
        <w:t>pp.39-52</w:t>
      </w:r>
      <w:r w:rsidRPr="00EA1BB8">
        <w:rPr>
          <w:rFonts w:ascii="Arial" w:hAnsi="Arial" w:cs="Arial"/>
          <w:i/>
          <w:iCs/>
        </w:rPr>
        <w:t xml:space="preserve">. </w:t>
      </w:r>
    </w:p>
    <w:p w14:paraId="69BB2DBE"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DPP Law, (2017) </w:t>
      </w:r>
      <w:r w:rsidRPr="00EA1BB8">
        <w:rPr>
          <w:rFonts w:ascii="Arial" w:hAnsi="Arial" w:cs="Arial"/>
          <w:i/>
          <w:iCs/>
        </w:rPr>
        <w:t xml:space="preserve">DPP Law David Phillips &amp; Partners. Available at: </w:t>
      </w:r>
      <w:hyperlink r:id="rId8" w:history="1">
        <w:r w:rsidRPr="00EA1BB8">
          <w:rPr>
            <w:rStyle w:val="Hyperlink"/>
            <w:rFonts w:ascii="Arial" w:hAnsi="Arial" w:cs="Arial"/>
            <w:i/>
            <w:iCs/>
          </w:rPr>
          <w:t>https://www.dpp-law.com/blog/actus-reus-murder/</w:t>
        </w:r>
      </w:hyperlink>
      <w:r w:rsidRPr="00EA1BB8">
        <w:rPr>
          <w:rFonts w:ascii="Arial" w:hAnsi="Arial" w:cs="Arial"/>
          <w:i/>
          <w:iCs/>
        </w:rPr>
        <w:t xml:space="preserve">. (Accessed: 23 October 2021). </w:t>
      </w:r>
    </w:p>
    <w:p w14:paraId="4CD6CC75" w14:textId="77777777" w:rsidR="00A4422B" w:rsidRPr="007F1B1A"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Hall Williams, J.E. (1961) </w:t>
      </w:r>
      <w:r>
        <w:rPr>
          <w:rFonts w:ascii="Arial" w:hAnsi="Arial" w:cs="Arial"/>
        </w:rPr>
        <w:t xml:space="preserve">‘ Irresistible Impulse and Diminished Responsibility’, </w:t>
      </w:r>
      <w:r>
        <w:rPr>
          <w:rFonts w:ascii="Arial" w:hAnsi="Arial" w:cs="Arial"/>
          <w:i/>
          <w:iCs/>
        </w:rPr>
        <w:t xml:space="preserve">The Modern Law Review, </w:t>
      </w:r>
      <w:r>
        <w:rPr>
          <w:rFonts w:ascii="Arial" w:hAnsi="Arial" w:cs="Arial"/>
        </w:rPr>
        <w:t xml:space="preserve">24(1), pp.1 Available at: </w:t>
      </w:r>
      <w:hyperlink r:id="rId9" w:anchor="metadata_info_tab_contents" w:history="1">
        <w:r w:rsidRPr="00B3432E">
          <w:rPr>
            <w:rStyle w:val="Hyperlink"/>
            <w:rFonts w:ascii="Arial" w:hAnsi="Arial" w:cs="Arial"/>
          </w:rPr>
          <w:t>https://www-jstor-org.ezproxy.uwtsd.ac.uk/stable/1093049?seq=1#metadata_info_tab_contents</w:t>
        </w:r>
      </w:hyperlink>
      <w:r>
        <w:rPr>
          <w:rFonts w:ascii="Arial" w:hAnsi="Arial" w:cs="Arial"/>
        </w:rPr>
        <w:t xml:space="preserve">. (Accessed: 1 November 2021). </w:t>
      </w:r>
    </w:p>
    <w:p w14:paraId="676E76B3"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Halsbury’s Laws of England. (2020) </w:t>
      </w:r>
      <w:r w:rsidRPr="00EA1BB8">
        <w:rPr>
          <w:rFonts w:ascii="Arial" w:hAnsi="Arial" w:cs="Arial"/>
          <w:i/>
          <w:iCs/>
        </w:rPr>
        <w:t xml:space="preserve">LexisLibrary. Available at: </w:t>
      </w:r>
      <w:hyperlink r:id="rId10" w:history="1">
        <w:r w:rsidRPr="00EA1BB8">
          <w:rPr>
            <w:rStyle w:val="Hyperlink"/>
            <w:rFonts w:ascii="Arial" w:hAnsi="Arial" w:cs="Arial"/>
            <w:i/>
            <w:iCs/>
          </w:rPr>
          <w:t>https://www.lexisnexis.co.uk/legal/commentary/halsburys-laws-of-england/criminal-law/constructive-manslaughter</w:t>
        </w:r>
      </w:hyperlink>
      <w:r w:rsidRPr="00EA1BB8">
        <w:rPr>
          <w:rFonts w:ascii="Arial" w:hAnsi="Arial" w:cs="Arial"/>
          <w:i/>
          <w:iCs/>
        </w:rPr>
        <w:t>. (Accessed: 26 October 2021)</w:t>
      </w:r>
    </w:p>
    <w:p w14:paraId="13CC94D6" w14:textId="77777777" w:rsidR="00A4422B" w:rsidRPr="00EA1BB8" w:rsidRDefault="00A4422B" w:rsidP="00104757">
      <w:pPr>
        <w:pStyle w:val="ListParagraph"/>
        <w:numPr>
          <w:ilvl w:val="0"/>
          <w:numId w:val="1"/>
        </w:numPr>
        <w:spacing w:line="360" w:lineRule="auto"/>
        <w:rPr>
          <w:rFonts w:ascii="Arial" w:hAnsi="Arial" w:cs="Arial"/>
        </w:rPr>
      </w:pPr>
      <w:r w:rsidRPr="00EA1BB8">
        <w:rPr>
          <w:rFonts w:ascii="Arial" w:hAnsi="Arial" w:cs="Arial"/>
        </w:rPr>
        <w:t xml:space="preserve">Herrin, J. (2020) </w:t>
      </w:r>
      <w:r w:rsidRPr="00EA1BB8">
        <w:rPr>
          <w:rFonts w:ascii="Arial" w:hAnsi="Arial" w:cs="Arial"/>
          <w:i/>
          <w:iCs/>
        </w:rPr>
        <w:t xml:space="preserve">Criminal Law, Text, Cases and Materials. </w:t>
      </w:r>
      <w:r w:rsidRPr="00EA1BB8">
        <w:rPr>
          <w:rFonts w:ascii="Arial" w:hAnsi="Arial" w:cs="Arial"/>
        </w:rPr>
        <w:t>Ninth edn. Oxford: Oxford University Press.</w:t>
      </w:r>
    </w:p>
    <w:p w14:paraId="2A76871F" w14:textId="77777777" w:rsidR="00A4422B" w:rsidRPr="00EA1BB8" w:rsidRDefault="00A4422B" w:rsidP="00104757">
      <w:pPr>
        <w:pStyle w:val="ListParagraph"/>
        <w:numPr>
          <w:ilvl w:val="0"/>
          <w:numId w:val="1"/>
        </w:numPr>
        <w:spacing w:line="360" w:lineRule="auto"/>
        <w:rPr>
          <w:rFonts w:ascii="Arial" w:hAnsi="Arial" w:cs="Arial"/>
        </w:rPr>
      </w:pPr>
      <w:r w:rsidRPr="00EA1BB8">
        <w:rPr>
          <w:rFonts w:ascii="Arial" w:hAnsi="Arial" w:cs="Arial"/>
        </w:rPr>
        <w:t xml:space="preserve">Herrin, J. (2020) </w:t>
      </w:r>
      <w:r w:rsidRPr="00EA1BB8">
        <w:rPr>
          <w:rFonts w:ascii="Arial" w:hAnsi="Arial" w:cs="Arial"/>
          <w:i/>
          <w:iCs/>
        </w:rPr>
        <w:t xml:space="preserve">Criminal Law, Text, Cases and Materials. </w:t>
      </w:r>
      <w:r w:rsidRPr="00EA1BB8">
        <w:rPr>
          <w:rFonts w:ascii="Arial" w:hAnsi="Arial" w:cs="Arial"/>
        </w:rPr>
        <w:t>Ninth edn. Oxford: Oxford University Press.</w:t>
      </w:r>
    </w:p>
    <w:p w14:paraId="202A7EA4"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t>Hossain and Rahi. (2018) ‘</w:t>
      </w:r>
      <w:r w:rsidRPr="00EA1BB8">
        <w:rPr>
          <w:rFonts w:ascii="Arial" w:hAnsi="Arial" w:cs="Arial"/>
          <w:i/>
          <w:iCs/>
        </w:rPr>
        <w:t xml:space="preserve">Murder: A Critical Analysis of the Common Law Definition,’ 9(3), pp.21 available at </w:t>
      </w:r>
      <w:hyperlink r:id="rId11" w:history="1">
        <w:r w:rsidRPr="00EA1BB8">
          <w:rPr>
            <w:rStyle w:val="Hyperlink"/>
            <w:rFonts w:ascii="Arial" w:hAnsi="Arial" w:cs="Arial"/>
            <w:i/>
            <w:iCs/>
          </w:rPr>
          <w:t>https://file.scirp.org/Html/6-3300666_87445.htm</w:t>
        </w:r>
      </w:hyperlink>
      <w:r w:rsidRPr="00EA1BB8">
        <w:rPr>
          <w:rFonts w:ascii="Arial" w:hAnsi="Arial" w:cs="Arial"/>
          <w:i/>
          <w:iCs/>
        </w:rPr>
        <w:t xml:space="preserve">. </w:t>
      </w:r>
    </w:p>
    <w:p w14:paraId="19490CE8"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House of Lords, (2009), Parliament. Available at: </w:t>
      </w:r>
      <w:hyperlink r:id="rId12" w:history="1">
        <w:r w:rsidRPr="00B3432E">
          <w:rPr>
            <w:rStyle w:val="Hyperlink"/>
            <w:rFonts w:ascii="Arial" w:hAnsi="Arial" w:cs="Arial"/>
          </w:rPr>
          <w:t>https://publications.parliament.uk/pa/ld200809/ldbills/033/en/09033x-e.htm</w:t>
        </w:r>
      </w:hyperlink>
      <w:r w:rsidRPr="00EA1BB8">
        <w:rPr>
          <w:rFonts w:ascii="Arial" w:hAnsi="Arial" w:cs="Arial"/>
        </w:rPr>
        <w:t xml:space="preserve">. (Accessed at: 31 October 2021). </w:t>
      </w:r>
    </w:p>
    <w:p w14:paraId="2280E405"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lastRenderedPageBreak/>
        <w:t xml:space="preserve">Jacqueline Beard &amp; Benjamin Politowski, House of Commons Library, (2016) </w:t>
      </w:r>
      <w:r w:rsidRPr="00EA1BB8">
        <w:rPr>
          <w:rFonts w:ascii="Arial" w:hAnsi="Arial" w:cs="Arial"/>
          <w:i/>
          <w:iCs/>
        </w:rPr>
        <w:t xml:space="preserve">Reforming the Law on Homicide. </w:t>
      </w:r>
      <w:r w:rsidRPr="00EA1BB8">
        <w:rPr>
          <w:rFonts w:ascii="Arial" w:hAnsi="Arial" w:cs="Arial"/>
        </w:rPr>
        <w:t xml:space="preserve">London: House of Commons. Available at: </w:t>
      </w:r>
      <w:hyperlink r:id="rId13" w:history="1">
        <w:r w:rsidRPr="00EA1BB8">
          <w:rPr>
            <w:rStyle w:val="Hyperlink"/>
            <w:rFonts w:ascii="Arial" w:hAnsi="Arial" w:cs="Arial"/>
          </w:rPr>
          <w:t>https://researchbriefings.files.parliament.uk/documents/CDP-2016-0094/CDP-2016-0094.pdf</w:t>
        </w:r>
      </w:hyperlink>
      <w:r w:rsidRPr="00EA1BB8">
        <w:rPr>
          <w:rFonts w:ascii="Arial" w:hAnsi="Arial" w:cs="Arial"/>
        </w:rPr>
        <w:t xml:space="preserve">. (Accessed:  25 October 2021). </w:t>
      </w:r>
    </w:p>
    <w:p w14:paraId="45B84F16" w14:textId="77777777" w:rsidR="00A4422B" w:rsidRPr="00D4524A"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Justice (2021) </w:t>
      </w:r>
      <w:r w:rsidRPr="00EA1BB8">
        <w:rPr>
          <w:rFonts w:ascii="Arial" w:hAnsi="Arial" w:cs="Arial"/>
          <w:i/>
          <w:iCs/>
        </w:rPr>
        <w:t xml:space="preserve">Justice,org. </w:t>
      </w:r>
      <w:r w:rsidRPr="00EA1BB8">
        <w:rPr>
          <w:rFonts w:ascii="Arial" w:hAnsi="Arial" w:cs="Arial"/>
        </w:rPr>
        <w:t xml:space="preserve">Available at: </w:t>
      </w:r>
      <w:hyperlink r:id="rId14" w:history="1">
        <w:r w:rsidRPr="00EA1BB8">
          <w:rPr>
            <w:rStyle w:val="Hyperlink"/>
            <w:rFonts w:ascii="Arial" w:hAnsi="Arial" w:cs="Arial"/>
          </w:rPr>
          <w:t>https://justice.org.uk/homicide-law-reform/</w:t>
        </w:r>
      </w:hyperlink>
      <w:r w:rsidRPr="00EA1BB8">
        <w:rPr>
          <w:rFonts w:ascii="Arial" w:hAnsi="Arial" w:cs="Arial"/>
        </w:rPr>
        <w:t>. (Accessed: 31 October 2021)</w:t>
      </w:r>
    </w:p>
    <w:p w14:paraId="4ABECC78" w14:textId="77777777" w:rsidR="00A4422B" w:rsidRPr="00056379" w:rsidRDefault="00A4422B" w:rsidP="00104757">
      <w:pPr>
        <w:pStyle w:val="ListParagraph"/>
        <w:numPr>
          <w:ilvl w:val="0"/>
          <w:numId w:val="1"/>
        </w:numPr>
        <w:spacing w:line="360" w:lineRule="auto"/>
        <w:rPr>
          <w:rFonts w:ascii="Arial" w:hAnsi="Arial" w:cs="Arial"/>
          <w:i/>
          <w:iCs/>
        </w:rPr>
      </w:pPr>
      <w:r>
        <w:rPr>
          <w:rFonts w:ascii="Arial" w:hAnsi="Arial" w:cs="Arial"/>
        </w:rPr>
        <w:t xml:space="preserve">Kennefick, L. (2011) ‘ Introducing a New Diminished Responsibility Defence for England and Wales’, </w:t>
      </w:r>
      <w:r>
        <w:rPr>
          <w:rFonts w:ascii="Arial" w:hAnsi="Arial" w:cs="Arial"/>
          <w:i/>
          <w:iCs/>
        </w:rPr>
        <w:t xml:space="preserve">The Modern Law Review, </w:t>
      </w:r>
      <w:r>
        <w:rPr>
          <w:rFonts w:ascii="Arial" w:hAnsi="Arial" w:cs="Arial"/>
        </w:rPr>
        <w:t xml:space="preserve">74(5), pp. 2. Available at: </w:t>
      </w:r>
      <w:hyperlink r:id="rId15" w:anchor="metadata_info_tab_contents" w:history="1">
        <w:r w:rsidRPr="00B3432E">
          <w:rPr>
            <w:rStyle w:val="Hyperlink"/>
            <w:rFonts w:ascii="Arial" w:hAnsi="Arial" w:cs="Arial"/>
          </w:rPr>
          <w:t>https://www-jstor-org.ezproxy.uwtsd.ac.uk/stable/41302777?seq=2#metadata_info_tab_contents</w:t>
        </w:r>
      </w:hyperlink>
      <w:r>
        <w:rPr>
          <w:rFonts w:ascii="Arial" w:hAnsi="Arial" w:cs="Arial"/>
        </w:rPr>
        <w:t xml:space="preserve">. (Accessed: 1 November 2021). </w:t>
      </w:r>
    </w:p>
    <w:p w14:paraId="14B6EA64" w14:textId="77777777" w:rsidR="00A4422B" w:rsidRPr="0049307C"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Mithchell, (2021), </w:t>
      </w:r>
      <w:r w:rsidRPr="00EA1BB8">
        <w:rPr>
          <w:rFonts w:ascii="Arial" w:hAnsi="Arial" w:cs="Arial"/>
          <w:i/>
          <w:iCs/>
        </w:rPr>
        <w:t xml:space="preserve">Oxford Scholarship Online. </w:t>
      </w:r>
      <w:r w:rsidRPr="00EA1BB8">
        <w:rPr>
          <w:rFonts w:ascii="Arial" w:hAnsi="Arial" w:cs="Arial"/>
        </w:rPr>
        <w:t xml:space="preserve">Available at: </w:t>
      </w:r>
      <w:hyperlink r:id="rId16" w:history="1">
        <w:r w:rsidRPr="00EA1BB8">
          <w:rPr>
            <w:rStyle w:val="Hyperlink"/>
            <w:rFonts w:ascii="Arial" w:hAnsi="Arial" w:cs="Arial"/>
          </w:rPr>
          <w:t>https://oxford.universitypressscholarship.com/view/10.1093/acprof:oso/9780199696796.001.0001/acprof-9780199696796-chapter-8</w:t>
        </w:r>
      </w:hyperlink>
      <w:r w:rsidRPr="00EA1BB8">
        <w:rPr>
          <w:rFonts w:ascii="Arial" w:hAnsi="Arial" w:cs="Arial"/>
        </w:rPr>
        <w:t xml:space="preserve">. (Accessed: 29 October 2021). </w:t>
      </w:r>
    </w:p>
    <w:p w14:paraId="484ACD27" w14:textId="77777777" w:rsidR="00A4422B" w:rsidRPr="00EA1BB8" w:rsidRDefault="00A4422B" w:rsidP="00104757">
      <w:pPr>
        <w:pStyle w:val="ListParagraph"/>
        <w:numPr>
          <w:ilvl w:val="0"/>
          <w:numId w:val="1"/>
        </w:numPr>
        <w:spacing w:line="360" w:lineRule="auto"/>
        <w:rPr>
          <w:rFonts w:ascii="Arial" w:hAnsi="Arial" w:cs="Arial"/>
          <w:i/>
          <w:iCs/>
        </w:rPr>
      </w:pPr>
      <w:r>
        <w:rPr>
          <w:rFonts w:ascii="Arial" w:hAnsi="Arial" w:cs="Arial"/>
          <w:i/>
          <w:iCs/>
        </w:rPr>
        <w:t xml:space="preserve">S.4 The Homicide Act 1957. </w:t>
      </w:r>
      <w:r>
        <w:rPr>
          <w:rFonts w:ascii="Arial" w:hAnsi="Arial" w:cs="Arial"/>
        </w:rPr>
        <w:t>Available at:</w:t>
      </w:r>
      <w:r w:rsidRPr="0049307C">
        <w:t xml:space="preserve"> </w:t>
      </w:r>
      <w:hyperlink r:id="rId17" w:history="1">
        <w:r w:rsidRPr="00B3432E">
          <w:rPr>
            <w:rStyle w:val="Hyperlink"/>
            <w:rFonts w:ascii="Arial" w:hAnsi="Arial" w:cs="Arial"/>
          </w:rPr>
          <w:t>https://www.legislation.gov.uk/ukpga/Eliz2/5-6/11/contents</w:t>
        </w:r>
      </w:hyperlink>
      <w:r>
        <w:rPr>
          <w:rFonts w:ascii="Arial" w:hAnsi="Arial" w:cs="Arial"/>
        </w:rPr>
        <w:t>. (Accessed 28 October 2021)</w:t>
      </w:r>
    </w:p>
    <w:p w14:paraId="78AD2E4D" w14:textId="77777777" w:rsidR="00A4422B" w:rsidRPr="00D4524A" w:rsidRDefault="00A4422B" w:rsidP="00104757">
      <w:pPr>
        <w:pStyle w:val="ListParagraph"/>
        <w:numPr>
          <w:ilvl w:val="0"/>
          <w:numId w:val="1"/>
        </w:numPr>
        <w:spacing w:line="360" w:lineRule="auto"/>
        <w:rPr>
          <w:rFonts w:ascii="Arial" w:hAnsi="Arial" w:cs="Arial"/>
          <w:i/>
          <w:iCs/>
        </w:rPr>
      </w:pPr>
      <w:r>
        <w:rPr>
          <w:rFonts w:ascii="Arial" w:hAnsi="Arial" w:cs="Arial"/>
          <w:i/>
          <w:iCs/>
        </w:rPr>
        <w:t xml:space="preserve">S.54 (1) (b) The Coroner and Justice Act 2009, </w:t>
      </w:r>
      <w:r>
        <w:rPr>
          <w:rFonts w:ascii="Arial" w:hAnsi="Arial" w:cs="Arial"/>
        </w:rPr>
        <w:t>Available at:</w:t>
      </w:r>
      <w:r w:rsidRPr="00FD0CD4">
        <w:t xml:space="preserve"> </w:t>
      </w:r>
      <w:hyperlink r:id="rId18" w:history="1">
        <w:r w:rsidRPr="00B3432E">
          <w:rPr>
            <w:rStyle w:val="Hyperlink"/>
            <w:rFonts w:ascii="Arial" w:hAnsi="Arial" w:cs="Arial"/>
          </w:rPr>
          <w:t>https://www.legislation.gov.uk/ukpga/2009/25/contents</w:t>
        </w:r>
      </w:hyperlink>
      <w:r>
        <w:rPr>
          <w:rFonts w:ascii="Arial" w:hAnsi="Arial" w:cs="Arial"/>
        </w:rPr>
        <w:t>. (Accessed: 29 October 2021)</w:t>
      </w:r>
    </w:p>
    <w:p w14:paraId="26D637B6" w14:textId="77777777" w:rsidR="00A4422B" w:rsidRPr="00EA1BB8" w:rsidRDefault="00A4422B" w:rsidP="00104757">
      <w:pPr>
        <w:pStyle w:val="ListParagraph"/>
        <w:numPr>
          <w:ilvl w:val="0"/>
          <w:numId w:val="1"/>
        </w:numPr>
        <w:spacing w:line="360" w:lineRule="auto"/>
        <w:rPr>
          <w:rFonts w:ascii="Arial" w:hAnsi="Arial" w:cs="Arial"/>
          <w:i/>
          <w:iCs/>
        </w:rPr>
      </w:pPr>
      <w:r>
        <w:rPr>
          <w:rFonts w:ascii="Arial" w:hAnsi="Arial" w:cs="Arial"/>
          <w:i/>
          <w:iCs/>
        </w:rPr>
        <w:t xml:space="preserve">S.54 The Coroners and Justice Act (2009). </w:t>
      </w:r>
      <w:r>
        <w:rPr>
          <w:rFonts w:ascii="Arial" w:hAnsi="Arial" w:cs="Arial"/>
        </w:rPr>
        <w:t xml:space="preserve">Available at: </w:t>
      </w:r>
      <w:hyperlink r:id="rId19" w:history="1">
        <w:r w:rsidRPr="00B3432E">
          <w:rPr>
            <w:rStyle w:val="Hyperlink"/>
            <w:rFonts w:ascii="Arial" w:hAnsi="Arial" w:cs="Arial"/>
          </w:rPr>
          <w:t>https://www.legislation.gov.uk/ukpga/2009/25/contents</w:t>
        </w:r>
      </w:hyperlink>
      <w:r>
        <w:rPr>
          <w:rFonts w:ascii="Arial" w:hAnsi="Arial" w:cs="Arial"/>
        </w:rPr>
        <w:t>. (Accessed: 30 October 2021)</w:t>
      </w:r>
    </w:p>
    <w:p w14:paraId="0323FECA"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Sentencing Council. (2021) </w:t>
      </w:r>
      <w:r w:rsidRPr="00EA1BB8">
        <w:rPr>
          <w:rFonts w:ascii="Arial" w:hAnsi="Arial" w:cs="Arial"/>
          <w:i/>
          <w:iCs/>
        </w:rPr>
        <w:t xml:space="preserve">Sentencing Council. Available at: </w:t>
      </w:r>
      <w:hyperlink r:id="rId20" w:history="1">
        <w:r w:rsidRPr="00EA1BB8">
          <w:rPr>
            <w:rStyle w:val="Hyperlink"/>
            <w:rFonts w:ascii="Arial" w:hAnsi="Arial" w:cs="Arial"/>
            <w:i/>
            <w:iCs/>
          </w:rPr>
          <w:t>https://www.sentencingcouncil.org.uk/blog/post/manslaughter-explained/</w:t>
        </w:r>
      </w:hyperlink>
      <w:r w:rsidRPr="00EA1BB8">
        <w:rPr>
          <w:rFonts w:ascii="Arial" w:hAnsi="Arial" w:cs="Arial"/>
          <w:i/>
          <w:iCs/>
        </w:rPr>
        <w:t>. (Accessed: 26 October 2021)</w:t>
      </w:r>
    </w:p>
    <w:p w14:paraId="16F22B4E" w14:textId="77777777" w:rsidR="00A4422B" w:rsidRPr="00EA1BB8" w:rsidRDefault="00A4422B" w:rsidP="00104757">
      <w:pPr>
        <w:pStyle w:val="ListParagraph"/>
        <w:numPr>
          <w:ilvl w:val="0"/>
          <w:numId w:val="1"/>
        </w:numPr>
        <w:spacing w:line="360" w:lineRule="auto"/>
        <w:rPr>
          <w:rFonts w:ascii="Arial" w:hAnsi="Arial" w:cs="Arial"/>
          <w:i/>
          <w:iCs/>
        </w:rPr>
      </w:pPr>
      <w:r>
        <w:rPr>
          <w:rFonts w:ascii="Arial" w:hAnsi="Arial" w:cs="Arial"/>
          <w:i/>
          <w:iCs/>
        </w:rPr>
        <w:t xml:space="preserve">The Coroners and Justice Act (2009). </w:t>
      </w:r>
      <w:r>
        <w:rPr>
          <w:rFonts w:ascii="Arial" w:hAnsi="Arial" w:cs="Arial"/>
        </w:rPr>
        <w:t xml:space="preserve">Available at: </w:t>
      </w:r>
      <w:hyperlink r:id="rId21" w:history="1">
        <w:r w:rsidRPr="00B3432E">
          <w:rPr>
            <w:rStyle w:val="Hyperlink"/>
            <w:rFonts w:ascii="Arial" w:hAnsi="Arial" w:cs="Arial"/>
          </w:rPr>
          <w:t>https://www.legislation.gov.uk/ukpga/2009/25/contents</w:t>
        </w:r>
      </w:hyperlink>
      <w:r>
        <w:rPr>
          <w:rFonts w:ascii="Arial" w:hAnsi="Arial" w:cs="Arial"/>
        </w:rPr>
        <w:t xml:space="preserve">. (Accessed 31 October 2021). </w:t>
      </w:r>
    </w:p>
    <w:p w14:paraId="63741159" w14:textId="77777777" w:rsidR="00A4422B" w:rsidRDefault="00A4422B" w:rsidP="00104757">
      <w:pPr>
        <w:pStyle w:val="ListParagraph"/>
        <w:numPr>
          <w:ilvl w:val="0"/>
          <w:numId w:val="1"/>
        </w:numPr>
        <w:spacing w:line="360" w:lineRule="auto"/>
        <w:rPr>
          <w:rFonts w:ascii="Arial" w:hAnsi="Arial" w:cs="Arial"/>
          <w:i/>
          <w:iCs/>
        </w:rPr>
      </w:pPr>
      <w:r>
        <w:rPr>
          <w:rFonts w:ascii="Arial" w:hAnsi="Arial" w:cs="Arial"/>
          <w:i/>
          <w:iCs/>
        </w:rPr>
        <w:t xml:space="preserve">The Coroners and Justice Act 2009, </w:t>
      </w:r>
      <w:r w:rsidRPr="0049307C">
        <w:rPr>
          <w:rFonts w:ascii="Arial" w:hAnsi="Arial" w:cs="Arial"/>
        </w:rPr>
        <w:t xml:space="preserve">Available at: </w:t>
      </w:r>
      <w:hyperlink r:id="rId22" w:history="1">
        <w:r w:rsidRPr="00B3432E">
          <w:rPr>
            <w:rStyle w:val="Hyperlink"/>
            <w:rFonts w:ascii="Arial" w:hAnsi="Arial" w:cs="Arial"/>
            <w:i/>
            <w:iCs/>
          </w:rPr>
          <w:t>https://www.legislation.gov.uk/ukpga/2009/25/contents</w:t>
        </w:r>
      </w:hyperlink>
      <w:r>
        <w:rPr>
          <w:rFonts w:ascii="Arial" w:hAnsi="Arial" w:cs="Arial"/>
          <w:i/>
          <w:iCs/>
        </w:rPr>
        <w:t>. (</w:t>
      </w:r>
      <w:r w:rsidRPr="0049307C">
        <w:rPr>
          <w:rFonts w:ascii="Arial" w:hAnsi="Arial" w:cs="Arial"/>
        </w:rPr>
        <w:t>Accessed: 29 October 2021).</w:t>
      </w:r>
    </w:p>
    <w:p w14:paraId="76CA7525" w14:textId="77777777" w:rsidR="00A4422B" w:rsidRPr="0049307C" w:rsidRDefault="00A4422B" w:rsidP="00104757">
      <w:pPr>
        <w:pStyle w:val="ListParagraph"/>
        <w:numPr>
          <w:ilvl w:val="0"/>
          <w:numId w:val="1"/>
        </w:numPr>
        <w:spacing w:line="360" w:lineRule="auto"/>
        <w:rPr>
          <w:rFonts w:ascii="Arial" w:hAnsi="Arial" w:cs="Arial"/>
          <w:i/>
          <w:iCs/>
        </w:rPr>
      </w:pPr>
      <w:r w:rsidRPr="00EA1BB8">
        <w:rPr>
          <w:rFonts w:ascii="Arial" w:hAnsi="Arial" w:cs="Arial"/>
        </w:rPr>
        <w:lastRenderedPageBreak/>
        <w:t xml:space="preserve">The Law Commission, (2005) </w:t>
      </w:r>
      <w:r w:rsidRPr="00EA1BB8">
        <w:rPr>
          <w:rFonts w:ascii="Arial" w:hAnsi="Arial" w:cs="Arial"/>
          <w:i/>
          <w:iCs/>
        </w:rPr>
        <w:t xml:space="preserve">A New Homicide Act For England And Wales?. </w:t>
      </w:r>
      <w:r w:rsidRPr="00EA1BB8">
        <w:rPr>
          <w:rFonts w:ascii="Arial" w:hAnsi="Arial" w:cs="Arial"/>
        </w:rPr>
        <w:t xml:space="preserve">London: Law Commission. Available at: </w:t>
      </w:r>
      <w:hyperlink r:id="rId23" w:history="1">
        <w:r w:rsidRPr="00EA1BB8">
          <w:rPr>
            <w:rStyle w:val="Hyperlink"/>
            <w:rFonts w:ascii="Arial" w:hAnsi="Arial" w:cs="Arial"/>
          </w:rPr>
          <w:t>http://www.lawcom.gov.uk/app/uploads/2015/03/cp177_Murder_Manslaughter_and_Infanticide_consultation_overview_.pdf</w:t>
        </w:r>
      </w:hyperlink>
      <w:r w:rsidRPr="00EA1BB8">
        <w:rPr>
          <w:rFonts w:ascii="Arial" w:hAnsi="Arial" w:cs="Arial"/>
        </w:rPr>
        <w:t xml:space="preserve">. (Accessed: 28 October 2021). </w:t>
      </w:r>
    </w:p>
    <w:p w14:paraId="4FFD0945"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The Law Commission, (2006) </w:t>
      </w:r>
      <w:r w:rsidRPr="00EA1BB8">
        <w:rPr>
          <w:rFonts w:ascii="Arial" w:hAnsi="Arial" w:cs="Arial"/>
          <w:i/>
          <w:iCs/>
        </w:rPr>
        <w:t xml:space="preserve">Murder, Manslaughter And Infanticide. </w:t>
      </w:r>
      <w:r w:rsidRPr="00EA1BB8">
        <w:rPr>
          <w:rFonts w:ascii="Arial" w:hAnsi="Arial" w:cs="Arial"/>
        </w:rPr>
        <w:t xml:space="preserve">London: House of Commons. Available at: </w:t>
      </w:r>
      <w:hyperlink r:id="rId24" w:history="1">
        <w:r w:rsidRPr="00EA1BB8">
          <w:rPr>
            <w:rStyle w:val="Hyperlink"/>
            <w:rFonts w:ascii="Arial" w:hAnsi="Arial" w:cs="Arial"/>
          </w:rPr>
          <w:t>http://www.lawcom.gov.uk/app/uploads/2015/03/lc304_Murder_Manslaughter_and_Infanticide_Report.pdf</w:t>
        </w:r>
      </w:hyperlink>
      <w:r w:rsidRPr="00EA1BB8">
        <w:rPr>
          <w:rFonts w:ascii="Arial" w:hAnsi="Arial" w:cs="Arial"/>
        </w:rPr>
        <w:t>. (Accessed: 24 October 2021).</w:t>
      </w:r>
    </w:p>
    <w:p w14:paraId="39598D95"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The Law Commission, (2006) </w:t>
      </w:r>
      <w:r w:rsidRPr="00EA1BB8">
        <w:rPr>
          <w:rFonts w:ascii="Arial" w:hAnsi="Arial" w:cs="Arial"/>
          <w:i/>
          <w:iCs/>
        </w:rPr>
        <w:t xml:space="preserve">Murder, Manslaughter And Infanticide. </w:t>
      </w:r>
      <w:r w:rsidRPr="00EA1BB8">
        <w:rPr>
          <w:rFonts w:ascii="Arial" w:hAnsi="Arial" w:cs="Arial"/>
        </w:rPr>
        <w:t xml:space="preserve">London: Law Commission. Available at: </w:t>
      </w:r>
      <w:hyperlink r:id="rId25" w:history="1">
        <w:r w:rsidRPr="00EA1BB8">
          <w:rPr>
            <w:rStyle w:val="Hyperlink"/>
            <w:rFonts w:ascii="Arial" w:hAnsi="Arial" w:cs="Arial"/>
          </w:rPr>
          <w:t>http://www.lawcom.gov.uk/app/uploads/2015/03/lc304_Murder_Manslaughter_and_Infanticide_Report.pdf</w:t>
        </w:r>
      </w:hyperlink>
      <w:r w:rsidRPr="00EA1BB8">
        <w:rPr>
          <w:rFonts w:ascii="Arial" w:hAnsi="Arial" w:cs="Arial"/>
        </w:rPr>
        <w:t>. (Accessed: 24 October 2021).</w:t>
      </w:r>
    </w:p>
    <w:p w14:paraId="3B996E16" w14:textId="77777777" w:rsidR="00A4422B" w:rsidRPr="00EA1BB8" w:rsidRDefault="00A4422B" w:rsidP="00104757">
      <w:pPr>
        <w:pStyle w:val="ListParagraph"/>
        <w:numPr>
          <w:ilvl w:val="0"/>
          <w:numId w:val="1"/>
        </w:numPr>
        <w:spacing w:line="360" w:lineRule="auto"/>
        <w:rPr>
          <w:rFonts w:ascii="Arial" w:hAnsi="Arial" w:cs="Arial"/>
          <w:i/>
          <w:iCs/>
        </w:rPr>
      </w:pPr>
      <w:r w:rsidRPr="00EA1BB8">
        <w:rPr>
          <w:rFonts w:ascii="Arial" w:hAnsi="Arial" w:cs="Arial"/>
        </w:rPr>
        <w:t xml:space="preserve">The National Archives, (2009), </w:t>
      </w:r>
      <w:r w:rsidRPr="00EA1BB8">
        <w:rPr>
          <w:rFonts w:ascii="Arial" w:hAnsi="Arial" w:cs="Arial"/>
          <w:i/>
          <w:iCs/>
        </w:rPr>
        <w:t xml:space="preserve">Legislation.gov.uk. </w:t>
      </w:r>
      <w:r w:rsidRPr="00EA1BB8">
        <w:rPr>
          <w:rFonts w:ascii="Arial" w:hAnsi="Arial" w:cs="Arial"/>
        </w:rPr>
        <w:t>Available at:</w:t>
      </w:r>
      <w:r w:rsidRPr="00EA1BB8">
        <w:rPr>
          <w:rFonts w:ascii="Arial" w:hAnsi="Arial" w:cs="Arial"/>
          <w:i/>
          <w:iCs/>
        </w:rPr>
        <w:t xml:space="preserve"> </w:t>
      </w:r>
      <w:r w:rsidRPr="00EA1BB8">
        <w:rPr>
          <w:rFonts w:ascii="Arial" w:hAnsi="Arial" w:cs="Arial"/>
        </w:rPr>
        <w:t xml:space="preserve"> </w:t>
      </w:r>
      <w:hyperlink r:id="rId26" w:history="1">
        <w:r w:rsidRPr="00EA1BB8">
          <w:rPr>
            <w:rStyle w:val="Hyperlink"/>
            <w:rFonts w:ascii="Arial" w:hAnsi="Arial" w:cs="Arial"/>
          </w:rPr>
          <w:t>https://www.legislation.gov.uk/ukpga/2009/25/part/2/chapter/1/crossheading/partial-defence-to-murder-diminished-responsibility</w:t>
        </w:r>
      </w:hyperlink>
      <w:r w:rsidRPr="00EA1BB8">
        <w:rPr>
          <w:rFonts w:ascii="Arial" w:hAnsi="Arial" w:cs="Arial"/>
        </w:rPr>
        <w:t xml:space="preserve">. (Accessed: 31 October 2021). </w:t>
      </w:r>
    </w:p>
    <w:p w14:paraId="08211D7C" w14:textId="77777777" w:rsidR="00A4422B" w:rsidRPr="00EA1BB8" w:rsidRDefault="00A4422B" w:rsidP="00104757">
      <w:pPr>
        <w:pStyle w:val="ListParagraph"/>
        <w:numPr>
          <w:ilvl w:val="0"/>
          <w:numId w:val="1"/>
        </w:numPr>
        <w:spacing w:line="360" w:lineRule="auto"/>
        <w:rPr>
          <w:rFonts w:ascii="Arial" w:hAnsi="Arial" w:cs="Arial"/>
          <w:i/>
          <w:iCs/>
        </w:rPr>
      </w:pPr>
      <w:r>
        <w:rPr>
          <w:rFonts w:ascii="Arial" w:hAnsi="Arial" w:cs="Arial"/>
        </w:rPr>
        <w:t xml:space="preserve">Travis, A. (2016) ‘Murder law will not be reformed, Justice Minister tells MPs’, </w:t>
      </w:r>
      <w:r>
        <w:rPr>
          <w:rFonts w:ascii="Arial" w:hAnsi="Arial" w:cs="Arial"/>
          <w:i/>
          <w:iCs/>
        </w:rPr>
        <w:t xml:space="preserve">The Guardian, </w:t>
      </w:r>
      <w:r>
        <w:rPr>
          <w:rFonts w:ascii="Arial" w:hAnsi="Arial" w:cs="Arial"/>
        </w:rPr>
        <w:t xml:space="preserve">14th September, Available at: </w:t>
      </w:r>
      <w:hyperlink r:id="rId27" w:history="1">
        <w:r w:rsidRPr="00B3432E">
          <w:rPr>
            <w:rStyle w:val="Hyperlink"/>
            <w:rFonts w:ascii="Arial" w:hAnsi="Arial" w:cs="Arial"/>
          </w:rPr>
          <w:t>https://www.theguardian.com/law/2016/sep/14/law-will-not-be-reformed-justice-minister-tells-mps</w:t>
        </w:r>
      </w:hyperlink>
      <w:r>
        <w:rPr>
          <w:rFonts w:ascii="Arial" w:hAnsi="Arial" w:cs="Arial"/>
        </w:rPr>
        <w:t xml:space="preserve">. (Accessed: 1 November 2021). </w:t>
      </w:r>
    </w:p>
    <w:p w14:paraId="76D14FE0" w14:textId="77777777" w:rsidR="00FD0CD4" w:rsidRDefault="00FD0CD4" w:rsidP="00104757">
      <w:pPr>
        <w:spacing w:line="360" w:lineRule="auto"/>
        <w:rPr>
          <w:rFonts w:ascii="Arial" w:hAnsi="Arial" w:cs="Arial"/>
          <w:i/>
          <w:iCs/>
        </w:rPr>
      </w:pPr>
    </w:p>
    <w:p w14:paraId="33A9C52E" w14:textId="77777777" w:rsidR="00A4422B" w:rsidRDefault="00A4422B" w:rsidP="00104757">
      <w:pPr>
        <w:spacing w:line="360" w:lineRule="auto"/>
        <w:rPr>
          <w:rFonts w:ascii="Arial" w:hAnsi="Arial" w:cs="Arial"/>
          <w:b/>
          <w:bCs/>
          <w:u w:val="single"/>
        </w:rPr>
      </w:pPr>
    </w:p>
    <w:p w14:paraId="3F72BA96" w14:textId="77777777" w:rsidR="00A4422B" w:rsidRDefault="00A4422B" w:rsidP="00104757">
      <w:pPr>
        <w:spacing w:line="360" w:lineRule="auto"/>
        <w:rPr>
          <w:rFonts w:ascii="Arial" w:hAnsi="Arial" w:cs="Arial"/>
          <w:b/>
          <w:bCs/>
          <w:u w:val="single"/>
        </w:rPr>
      </w:pPr>
    </w:p>
    <w:p w14:paraId="00CFD0EA" w14:textId="77777777" w:rsidR="00A4422B" w:rsidRDefault="00A4422B" w:rsidP="00104757">
      <w:pPr>
        <w:spacing w:line="360" w:lineRule="auto"/>
        <w:rPr>
          <w:rFonts w:ascii="Arial" w:hAnsi="Arial" w:cs="Arial"/>
          <w:b/>
          <w:bCs/>
          <w:u w:val="single"/>
        </w:rPr>
      </w:pPr>
    </w:p>
    <w:p w14:paraId="54235582" w14:textId="77777777" w:rsidR="00A4422B" w:rsidRDefault="00A4422B" w:rsidP="00104757">
      <w:pPr>
        <w:spacing w:line="360" w:lineRule="auto"/>
        <w:rPr>
          <w:rFonts w:ascii="Arial" w:hAnsi="Arial" w:cs="Arial"/>
          <w:b/>
          <w:bCs/>
          <w:u w:val="single"/>
        </w:rPr>
      </w:pPr>
    </w:p>
    <w:p w14:paraId="56C4EF7D" w14:textId="77777777" w:rsidR="00A4422B" w:rsidRDefault="00A4422B" w:rsidP="00104757">
      <w:pPr>
        <w:spacing w:line="360" w:lineRule="auto"/>
        <w:rPr>
          <w:rFonts w:ascii="Arial" w:hAnsi="Arial" w:cs="Arial"/>
          <w:b/>
          <w:bCs/>
          <w:u w:val="single"/>
        </w:rPr>
      </w:pPr>
    </w:p>
    <w:p w14:paraId="7C92077A" w14:textId="77777777" w:rsidR="00A4422B" w:rsidRDefault="00A4422B" w:rsidP="00104757">
      <w:pPr>
        <w:spacing w:line="360" w:lineRule="auto"/>
        <w:rPr>
          <w:rFonts w:ascii="Arial" w:hAnsi="Arial" w:cs="Arial"/>
          <w:b/>
          <w:bCs/>
          <w:u w:val="single"/>
        </w:rPr>
      </w:pPr>
    </w:p>
    <w:p w14:paraId="71D823CD" w14:textId="77777777" w:rsidR="00A4422B" w:rsidRDefault="00A4422B" w:rsidP="00104757">
      <w:pPr>
        <w:spacing w:line="360" w:lineRule="auto"/>
        <w:rPr>
          <w:rFonts w:ascii="Arial" w:hAnsi="Arial" w:cs="Arial"/>
          <w:b/>
          <w:bCs/>
          <w:u w:val="single"/>
        </w:rPr>
      </w:pPr>
    </w:p>
    <w:p w14:paraId="04D5605C" w14:textId="77777777" w:rsidR="00A4422B" w:rsidRDefault="00A4422B" w:rsidP="00104757">
      <w:pPr>
        <w:spacing w:line="360" w:lineRule="auto"/>
        <w:rPr>
          <w:rFonts w:ascii="Arial" w:hAnsi="Arial" w:cs="Arial"/>
          <w:b/>
          <w:bCs/>
          <w:u w:val="single"/>
        </w:rPr>
      </w:pPr>
    </w:p>
    <w:p w14:paraId="565F4C90" w14:textId="77777777" w:rsidR="00A4422B" w:rsidRDefault="00A4422B" w:rsidP="00104757">
      <w:pPr>
        <w:spacing w:line="360" w:lineRule="auto"/>
        <w:rPr>
          <w:rFonts w:ascii="Arial" w:hAnsi="Arial" w:cs="Arial"/>
          <w:b/>
          <w:bCs/>
          <w:u w:val="single"/>
        </w:rPr>
      </w:pPr>
    </w:p>
    <w:p w14:paraId="71A3B9AD" w14:textId="77777777" w:rsidR="00A4422B" w:rsidRDefault="00A4422B" w:rsidP="00104757">
      <w:pPr>
        <w:spacing w:line="360" w:lineRule="auto"/>
        <w:rPr>
          <w:rFonts w:ascii="Arial" w:hAnsi="Arial" w:cs="Arial"/>
          <w:b/>
          <w:bCs/>
          <w:u w:val="single"/>
        </w:rPr>
      </w:pPr>
    </w:p>
    <w:p w14:paraId="5C8860D0" w14:textId="77777777" w:rsidR="00A4422B" w:rsidRDefault="00A4422B" w:rsidP="00104757">
      <w:pPr>
        <w:spacing w:line="360" w:lineRule="auto"/>
        <w:rPr>
          <w:rFonts w:ascii="Arial" w:hAnsi="Arial" w:cs="Arial"/>
          <w:b/>
          <w:bCs/>
          <w:u w:val="single"/>
        </w:rPr>
      </w:pPr>
    </w:p>
    <w:p w14:paraId="7D7FDBE6" w14:textId="77777777" w:rsidR="00A4422B" w:rsidRDefault="00A4422B" w:rsidP="00104757">
      <w:pPr>
        <w:spacing w:line="360" w:lineRule="auto"/>
        <w:rPr>
          <w:rFonts w:ascii="Arial" w:hAnsi="Arial" w:cs="Arial"/>
          <w:b/>
          <w:bCs/>
          <w:u w:val="single"/>
        </w:rPr>
      </w:pPr>
    </w:p>
    <w:p w14:paraId="5A075384" w14:textId="77777777" w:rsidR="00A4422B" w:rsidRDefault="00A4422B" w:rsidP="00104757">
      <w:pPr>
        <w:spacing w:line="360" w:lineRule="auto"/>
        <w:rPr>
          <w:rFonts w:ascii="Arial" w:hAnsi="Arial" w:cs="Arial"/>
          <w:b/>
          <w:bCs/>
          <w:u w:val="single"/>
        </w:rPr>
      </w:pPr>
    </w:p>
    <w:p w14:paraId="545A3540" w14:textId="77777777" w:rsidR="00A4422B" w:rsidRDefault="00A4422B" w:rsidP="00104757">
      <w:pPr>
        <w:spacing w:line="360" w:lineRule="auto"/>
        <w:rPr>
          <w:rFonts w:ascii="Arial" w:hAnsi="Arial" w:cs="Arial"/>
          <w:b/>
          <w:bCs/>
          <w:u w:val="single"/>
        </w:rPr>
      </w:pPr>
    </w:p>
    <w:p w14:paraId="292AE8EA" w14:textId="77777777" w:rsidR="00A4422B" w:rsidRDefault="00A4422B" w:rsidP="00104757">
      <w:pPr>
        <w:spacing w:line="360" w:lineRule="auto"/>
        <w:rPr>
          <w:rFonts w:ascii="Arial" w:hAnsi="Arial" w:cs="Arial"/>
          <w:b/>
          <w:bCs/>
          <w:u w:val="single"/>
        </w:rPr>
      </w:pPr>
    </w:p>
    <w:p w14:paraId="4773B44C" w14:textId="77777777" w:rsidR="00C965AF" w:rsidRDefault="00C965AF" w:rsidP="00104757">
      <w:pPr>
        <w:spacing w:line="360" w:lineRule="auto"/>
        <w:rPr>
          <w:rFonts w:ascii="Arial" w:hAnsi="Arial" w:cs="Arial"/>
          <w:b/>
          <w:bCs/>
          <w:u w:val="single"/>
        </w:rPr>
      </w:pPr>
    </w:p>
    <w:p w14:paraId="22657484" w14:textId="04B24E55" w:rsidR="006050B6" w:rsidRPr="00EA1BB8" w:rsidRDefault="006050B6" w:rsidP="00104757">
      <w:pPr>
        <w:spacing w:line="360" w:lineRule="auto"/>
        <w:rPr>
          <w:rFonts w:ascii="Arial" w:hAnsi="Arial" w:cs="Arial"/>
          <w:b/>
          <w:bCs/>
          <w:u w:val="single"/>
        </w:rPr>
      </w:pPr>
      <w:r w:rsidRPr="00EA1BB8">
        <w:rPr>
          <w:rFonts w:ascii="Arial" w:hAnsi="Arial" w:cs="Arial"/>
          <w:b/>
          <w:bCs/>
          <w:u w:val="single"/>
        </w:rPr>
        <w:t xml:space="preserve">Case List. </w:t>
      </w:r>
    </w:p>
    <w:p w14:paraId="58B5E86E" w14:textId="55A2B4CD" w:rsidR="00D44B32" w:rsidRPr="00EA1BB8" w:rsidRDefault="00D44B32" w:rsidP="00104757">
      <w:pPr>
        <w:spacing w:line="360" w:lineRule="auto"/>
        <w:rPr>
          <w:rFonts w:ascii="Arial" w:hAnsi="Arial" w:cs="Arial"/>
          <w:b/>
          <w:bCs/>
          <w:u w:val="single"/>
        </w:rPr>
      </w:pPr>
    </w:p>
    <w:p w14:paraId="4C9F68C4" w14:textId="77777777" w:rsidR="00A4422B" w:rsidRPr="00DA59A1" w:rsidRDefault="00A4422B" w:rsidP="00104757">
      <w:pPr>
        <w:pStyle w:val="ListParagraph"/>
        <w:rPr>
          <w:sz w:val="22"/>
          <w:szCs w:val="22"/>
        </w:rPr>
      </w:pPr>
    </w:p>
    <w:p w14:paraId="1A831760" w14:textId="77777777" w:rsidR="00A4422B" w:rsidRPr="00EA1BB8" w:rsidRDefault="00A4422B" w:rsidP="00104757">
      <w:pPr>
        <w:pStyle w:val="ListParagraph"/>
        <w:numPr>
          <w:ilvl w:val="0"/>
          <w:numId w:val="2"/>
        </w:numPr>
        <w:spacing w:line="360" w:lineRule="auto"/>
        <w:rPr>
          <w:rFonts w:ascii="Arial" w:hAnsi="Arial" w:cs="Arial"/>
        </w:rPr>
      </w:pPr>
      <w:r>
        <w:rPr>
          <w:rFonts w:ascii="Arial" w:hAnsi="Arial" w:cs="Arial"/>
        </w:rPr>
        <w:t>‘</w:t>
      </w:r>
      <w:r w:rsidRPr="00EA1BB8">
        <w:rPr>
          <w:rFonts w:ascii="Arial" w:hAnsi="Arial" w:cs="Arial"/>
        </w:rPr>
        <w:t>R v Adomako</w:t>
      </w:r>
      <w:r>
        <w:rPr>
          <w:rFonts w:ascii="Arial" w:hAnsi="Arial" w:cs="Arial"/>
        </w:rPr>
        <w:t>’</w:t>
      </w:r>
      <w:r w:rsidRPr="00EA1BB8">
        <w:rPr>
          <w:rFonts w:ascii="Arial" w:hAnsi="Arial" w:cs="Arial"/>
        </w:rPr>
        <w:t xml:space="preserve"> (1994) AC 171</w:t>
      </w:r>
    </w:p>
    <w:p w14:paraId="32246E21" w14:textId="77777777" w:rsidR="00A4422B" w:rsidRPr="00EA1BB8" w:rsidRDefault="00A4422B" w:rsidP="00104757">
      <w:pPr>
        <w:pStyle w:val="ListParagraph"/>
        <w:numPr>
          <w:ilvl w:val="0"/>
          <w:numId w:val="2"/>
        </w:numPr>
        <w:spacing w:line="360" w:lineRule="auto"/>
        <w:rPr>
          <w:rFonts w:ascii="Arial" w:hAnsi="Arial" w:cs="Arial"/>
        </w:rPr>
      </w:pPr>
      <w:r>
        <w:rPr>
          <w:rFonts w:ascii="Arial" w:hAnsi="Arial" w:cs="Arial"/>
        </w:rPr>
        <w:t>‘</w:t>
      </w:r>
      <w:r w:rsidRPr="00EA1BB8">
        <w:rPr>
          <w:rFonts w:ascii="Arial" w:hAnsi="Arial" w:cs="Arial"/>
        </w:rPr>
        <w:t>R v Bateman</w:t>
      </w:r>
      <w:r>
        <w:rPr>
          <w:rFonts w:ascii="Arial" w:hAnsi="Arial" w:cs="Arial"/>
        </w:rPr>
        <w:t>’</w:t>
      </w:r>
      <w:r w:rsidRPr="00EA1BB8">
        <w:rPr>
          <w:rFonts w:ascii="Arial" w:hAnsi="Arial" w:cs="Arial"/>
        </w:rPr>
        <w:t xml:space="preserve"> (1925) Cr App R 8</w:t>
      </w:r>
    </w:p>
    <w:p w14:paraId="3AA1C0EE" w14:textId="77777777" w:rsidR="00A4422B" w:rsidRPr="00EA1BB8" w:rsidRDefault="00A4422B" w:rsidP="00104757">
      <w:pPr>
        <w:pStyle w:val="ListParagraph"/>
        <w:numPr>
          <w:ilvl w:val="0"/>
          <w:numId w:val="2"/>
        </w:numPr>
        <w:spacing w:line="360" w:lineRule="auto"/>
        <w:rPr>
          <w:rFonts w:ascii="Arial" w:hAnsi="Arial" w:cs="Arial"/>
        </w:rPr>
      </w:pPr>
      <w:r>
        <w:rPr>
          <w:rFonts w:ascii="Arial" w:hAnsi="Arial" w:cs="Arial"/>
        </w:rPr>
        <w:t>‘</w:t>
      </w:r>
      <w:r w:rsidRPr="00EA1BB8">
        <w:rPr>
          <w:rFonts w:ascii="Arial" w:hAnsi="Arial" w:cs="Arial"/>
        </w:rPr>
        <w:t>R v Byrne</w:t>
      </w:r>
      <w:r>
        <w:rPr>
          <w:rFonts w:ascii="Arial" w:hAnsi="Arial" w:cs="Arial"/>
        </w:rPr>
        <w:t>’</w:t>
      </w:r>
      <w:r w:rsidRPr="00EA1BB8">
        <w:rPr>
          <w:rFonts w:ascii="Arial" w:hAnsi="Arial" w:cs="Arial"/>
        </w:rPr>
        <w:t xml:space="preserve"> (1960) QB 396</w:t>
      </w:r>
    </w:p>
    <w:p w14:paraId="6A73353D" w14:textId="77777777" w:rsidR="00A4422B" w:rsidRPr="00EA1BB8" w:rsidRDefault="00A4422B" w:rsidP="00104757">
      <w:pPr>
        <w:pStyle w:val="ListParagraph"/>
        <w:numPr>
          <w:ilvl w:val="0"/>
          <w:numId w:val="2"/>
        </w:numPr>
        <w:spacing w:line="360" w:lineRule="auto"/>
        <w:rPr>
          <w:rFonts w:ascii="Arial" w:hAnsi="Arial" w:cs="Arial"/>
        </w:rPr>
      </w:pPr>
      <w:r>
        <w:rPr>
          <w:rFonts w:ascii="Arial" w:hAnsi="Arial" w:cs="Arial"/>
        </w:rPr>
        <w:t>‘</w:t>
      </w:r>
      <w:r w:rsidRPr="00EA1BB8">
        <w:rPr>
          <w:rFonts w:ascii="Arial" w:hAnsi="Arial" w:cs="Arial"/>
        </w:rPr>
        <w:t>R v Cunningham</w:t>
      </w:r>
      <w:r>
        <w:rPr>
          <w:rFonts w:ascii="Arial" w:hAnsi="Arial" w:cs="Arial"/>
        </w:rPr>
        <w:t>’</w:t>
      </w:r>
      <w:r w:rsidRPr="00EA1BB8">
        <w:rPr>
          <w:rFonts w:ascii="Arial" w:hAnsi="Arial" w:cs="Arial"/>
        </w:rPr>
        <w:t xml:space="preserve"> (1982) AC 566</w:t>
      </w:r>
    </w:p>
    <w:p w14:paraId="60CE49A3" w14:textId="77777777" w:rsidR="00A4422B" w:rsidRPr="00EA1BB8" w:rsidRDefault="00A4422B" w:rsidP="00104757">
      <w:pPr>
        <w:pStyle w:val="ListParagraph"/>
        <w:numPr>
          <w:ilvl w:val="0"/>
          <w:numId w:val="2"/>
        </w:numPr>
        <w:spacing w:line="360" w:lineRule="auto"/>
        <w:rPr>
          <w:rFonts w:ascii="Arial" w:hAnsi="Arial" w:cs="Arial"/>
        </w:rPr>
      </w:pPr>
      <w:r>
        <w:rPr>
          <w:rFonts w:ascii="Arial" w:hAnsi="Arial" w:cs="Arial"/>
        </w:rPr>
        <w:t>‘</w:t>
      </w:r>
      <w:r w:rsidRPr="00EA1BB8">
        <w:rPr>
          <w:rFonts w:ascii="Arial" w:hAnsi="Arial" w:cs="Arial"/>
        </w:rPr>
        <w:t>R v Hatter</w:t>
      </w:r>
      <w:r>
        <w:rPr>
          <w:rFonts w:ascii="Arial" w:hAnsi="Arial" w:cs="Arial"/>
        </w:rPr>
        <w:t>’</w:t>
      </w:r>
      <w:r w:rsidRPr="00EA1BB8">
        <w:rPr>
          <w:rFonts w:ascii="Arial" w:hAnsi="Arial" w:cs="Arial"/>
        </w:rPr>
        <w:t xml:space="preserve"> (2013) CR 322</w:t>
      </w:r>
    </w:p>
    <w:p w14:paraId="64EBE24E" w14:textId="77777777" w:rsidR="00A4422B" w:rsidRPr="00EA1BB8" w:rsidRDefault="00A4422B" w:rsidP="00104757">
      <w:pPr>
        <w:pStyle w:val="ListParagraph"/>
        <w:numPr>
          <w:ilvl w:val="0"/>
          <w:numId w:val="2"/>
        </w:numPr>
        <w:spacing w:line="360" w:lineRule="auto"/>
        <w:rPr>
          <w:rFonts w:ascii="Arial" w:hAnsi="Arial" w:cs="Arial"/>
        </w:rPr>
      </w:pPr>
      <w:r>
        <w:rPr>
          <w:rFonts w:ascii="Arial" w:hAnsi="Arial" w:cs="Arial"/>
        </w:rPr>
        <w:t>‘</w:t>
      </w:r>
      <w:r w:rsidRPr="00EA1BB8">
        <w:rPr>
          <w:rFonts w:ascii="Arial" w:hAnsi="Arial" w:cs="Arial"/>
        </w:rPr>
        <w:t>R v Jewell</w:t>
      </w:r>
      <w:r>
        <w:rPr>
          <w:rFonts w:ascii="Arial" w:hAnsi="Arial" w:cs="Arial"/>
        </w:rPr>
        <w:t>’</w:t>
      </w:r>
      <w:r w:rsidRPr="00EA1BB8">
        <w:rPr>
          <w:rFonts w:ascii="Arial" w:hAnsi="Arial" w:cs="Arial"/>
        </w:rPr>
        <w:t xml:space="preserve"> (1995) Crim 414</w:t>
      </w:r>
    </w:p>
    <w:p w14:paraId="4855C059" w14:textId="77777777" w:rsidR="00A4422B" w:rsidRPr="00EA1BB8" w:rsidRDefault="00A4422B" w:rsidP="00104757">
      <w:pPr>
        <w:pStyle w:val="ListParagraph"/>
        <w:numPr>
          <w:ilvl w:val="0"/>
          <w:numId w:val="2"/>
        </w:numPr>
        <w:spacing w:line="360" w:lineRule="auto"/>
        <w:rPr>
          <w:rFonts w:ascii="Arial" w:hAnsi="Arial" w:cs="Arial"/>
        </w:rPr>
      </w:pPr>
      <w:r>
        <w:rPr>
          <w:rFonts w:ascii="Arial" w:hAnsi="Arial" w:cs="Arial"/>
        </w:rPr>
        <w:t>‘</w:t>
      </w:r>
      <w:r w:rsidRPr="00EA1BB8">
        <w:rPr>
          <w:rFonts w:ascii="Arial" w:hAnsi="Arial" w:cs="Arial"/>
        </w:rPr>
        <w:t>R v Lidar</w:t>
      </w:r>
      <w:r>
        <w:rPr>
          <w:rFonts w:ascii="Arial" w:hAnsi="Arial" w:cs="Arial"/>
        </w:rPr>
        <w:t>’</w:t>
      </w:r>
      <w:r w:rsidRPr="00EA1BB8">
        <w:rPr>
          <w:rFonts w:ascii="Arial" w:hAnsi="Arial" w:cs="Arial"/>
        </w:rPr>
        <w:t xml:space="preserve"> (2000) 4 Archbold News </w:t>
      </w:r>
    </w:p>
    <w:p w14:paraId="1CC0F365" w14:textId="77777777" w:rsidR="00A4422B" w:rsidRPr="00EA1BB8" w:rsidRDefault="00A4422B" w:rsidP="00104757">
      <w:pPr>
        <w:pStyle w:val="ListParagraph"/>
        <w:numPr>
          <w:ilvl w:val="0"/>
          <w:numId w:val="2"/>
        </w:numPr>
        <w:spacing w:line="360" w:lineRule="auto"/>
        <w:rPr>
          <w:rFonts w:ascii="Arial" w:hAnsi="Arial" w:cs="Arial"/>
        </w:rPr>
      </w:pPr>
      <w:r>
        <w:rPr>
          <w:rFonts w:ascii="Arial" w:hAnsi="Arial" w:cs="Arial"/>
        </w:rPr>
        <w:t>‘</w:t>
      </w:r>
      <w:r w:rsidRPr="00EA1BB8">
        <w:rPr>
          <w:rFonts w:ascii="Arial" w:hAnsi="Arial" w:cs="Arial"/>
        </w:rPr>
        <w:t>R v Moyle</w:t>
      </w:r>
      <w:r>
        <w:rPr>
          <w:rFonts w:ascii="Arial" w:hAnsi="Arial" w:cs="Arial"/>
        </w:rPr>
        <w:t>’</w:t>
      </w:r>
      <w:r w:rsidRPr="00EA1BB8">
        <w:rPr>
          <w:rFonts w:ascii="Arial" w:hAnsi="Arial" w:cs="Arial"/>
        </w:rPr>
        <w:t xml:space="preserve"> (2008) Crim 3059</w:t>
      </w:r>
    </w:p>
    <w:p w14:paraId="31463419" w14:textId="77777777" w:rsidR="00A4422B" w:rsidRPr="00EA1BB8" w:rsidRDefault="00A4422B" w:rsidP="00104757">
      <w:pPr>
        <w:pStyle w:val="ListParagraph"/>
        <w:numPr>
          <w:ilvl w:val="0"/>
          <w:numId w:val="2"/>
        </w:numPr>
        <w:spacing w:line="360" w:lineRule="auto"/>
        <w:rPr>
          <w:rFonts w:ascii="Arial" w:hAnsi="Arial" w:cs="Arial"/>
        </w:rPr>
      </w:pPr>
      <w:r>
        <w:rPr>
          <w:rFonts w:ascii="Arial" w:hAnsi="Arial" w:cs="Arial"/>
        </w:rPr>
        <w:t>‘</w:t>
      </w:r>
      <w:r w:rsidRPr="00EA1BB8">
        <w:rPr>
          <w:rFonts w:ascii="Arial" w:hAnsi="Arial" w:cs="Arial"/>
        </w:rPr>
        <w:t>R v Pearson</w:t>
      </w:r>
      <w:r>
        <w:rPr>
          <w:rFonts w:ascii="Arial" w:hAnsi="Arial" w:cs="Arial"/>
        </w:rPr>
        <w:t xml:space="preserve">’ (1992) </w:t>
      </w:r>
      <w:r w:rsidRPr="00EA1BB8">
        <w:rPr>
          <w:rFonts w:ascii="Arial" w:hAnsi="Arial" w:cs="Arial"/>
        </w:rPr>
        <w:t xml:space="preserve"> LR 193</w:t>
      </w:r>
      <w:r w:rsidRPr="00EA1BB8">
        <w:rPr>
          <w:rFonts w:ascii="Arial" w:hAnsi="Arial" w:cs="Arial"/>
        </w:rPr>
        <w:tab/>
      </w:r>
    </w:p>
    <w:sectPr w:rsidR="00A4422B" w:rsidRPr="00EA1BB8" w:rsidSect="004445B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61FB2" w14:textId="77777777" w:rsidR="00655C74" w:rsidRDefault="00655C74" w:rsidP="00A64D95">
      <w:r>
        <w:separator/>
      </w:r>
    </w:p>
  </w:endnote>
  <w:endnote w:type="continuationSeparator" w:id="0">
    <w:p w14:paraId="5E0C9A76" w14:textId="77777777" w:rsidR="00655C74" w:rsidRDefault="00655C74" w:rsidP="00A64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6BBEC" w14:textId="77777777" w:rsidR="00655C74" w:rsidRDefault="00655C74" w:rsidP="00A64D95">
      <w:r>
        <w:separator/>
      </w:r>
    </w:p>
  </w:footnote>
  <w:footnote w:type="continuationSeparator" w:id="0">
    <w:p w14:paraId="0ED4075A" w14:textId="77777777" w:rsidR="00655C74" w:rsidRDefault="00655C74" w:rsidP="00A64D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17EAB"/>
    <w:multiLevelType w:val="hybridMultilevel"/>
    <w:tmpl w:val="E6FC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4C44AB"/>
    <w:multiLevelType w:val="hybridMultilevel"/>
    <w:tmpl w:val="B2944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3E7"/>
    <w:rsid w:val="0001082D"/>
    <w:rsid w:val="000162F7"/>
    <w:rsid w:val="00031912"/>
    <w:rsid w:val="00056379"/>
    <w:rsid w:val="000717A0"/>
    <w:rsid w:val="000B017D"/>
    <w:rsid w:val="000B5474"/>
    <w:rsid w:val="00104757"/>
    <w:rsid w:val="00132E0C"/>
    <w:rsid w:val="00135AC6"/>
    <w:rsid w:val="0017259C"/>
    <w:rsid w:val="00187200"/>
    <w:rsid w:val="001A03F7"/>
    <w:rsid w:val="001A35C9"/>
    <w:rsid w:val="001D01B0"/>
    <w:rsid w:val="001D7922"/>
    <w:rsid w:val="00203C51"/>
    <w:rsid w:val="00231869"/>
    <w:rsid w:val="00291134"/>
    <w:rsid w:val="002A56A4"/>
    <w:rsid w:val="002B5986"/>
    <w:rsid w:val="00317A23"/>
    <w:rsid w:val="003D4597"/>
    <w:rsid w:val="003E5EEC"/>
    <w:rsid w:val="003F449B"/>
    <w:rsid w:val="00414DE6"/>
    <w:rsid w:val="004445B7"/>
    <w:rsid w:val="0049307C"/>
    <w:rsid w:val="004A72C7"/>
    <w:rsid w:val="004C0879"/>
    <w:rsid w:val="00513780"/>
    <w:rsid w:val="005338B1"/>
    <w:rsid w:val="00552858"/>
    <w:rsid w:val="00574F80"/>
    <w:rsid w:val="005B5E02"/>
    <w:rsid w:val="006050B6"/>
    <w:rsid w:val="0061444B"/>
    <w:rsid w:val="00643474"/>
    <w:rsid w:val="00655C74"/>
    <w:rsid w:val="00662784"/>
    <w:rsid w:val="006D3749"/>
    <w:rsid w:val="006F0C16"/>
    <w:rsid w:val="006F3C37"/>
    <w:rsid w:val="00714DA8"/>
    <w:rsid w:val="0076567C"/>
    <w:rsid w:val="00766869"/>
    <w:rsid w:val="00791656"/>
    <w:rsid w:val="007A6424"/>
    <w:rsid w:val="007F1B1A"/>
    <w:rsid w:val="008A03E7"/>
    <w:rsid w:val="008A645A"/>
    <w:rsid w:val="008A76D5"/>
    <w:rsid w:val="008C18E4"/>
    <w:rsid w:val="009230AE"/>
    <w:rsid w:val="009A236B"/>
    <w:rsid w:val="00A07B7C"/>
    <w:rsid w:val="00A41497"/>
    <w:rsid w:val="00A4422B"/>
    <w:rsid w:val="00A64D95"/>
    <w:rsid w:val="00A806CD"/>
    <w:rsid w:val="00A90056"/>
    <w:rsid w:val="00AB338D"/>
    <w:rsid w:val="00AE7FE1"/>
    <w:rsid w:val="00B16D7A"/>
    <w:rsid w:val="00BD7736"/>
    <w:rsid w:val="00C0722C"/>
    <w:rsid w:val="00C13F95"/>
    <w:rsid w:val="00C1546B"/>
    <w:rsid w:val="00C45401"/>
    <w:rsid w:val="00C95A0E"/>
    <w:rsid w:val="00C96490"/>
    <w:rsid w:val="00C965AF"/>
    <w:rsid w:val="00CB7F99"/>
    <w:rsid w:val="00D35347"/>
    <w:rsid w:val="00D44B32"/>
    <w:rsid w:val="00D4524A"/>
    <w:rsid w:val="00D90332"/>
    <w:rsid w:val="00DA59A1"/>
    <w:rsid w:val="00DB0FB6"/>
    <w:rsid w:val="00E3019A"/>
    <w:rsid w:val="00E81F57"/>
    <w:rsid w:val="00E84EE9"/>
    <w:rsid w:val="00EA1BB8"/>
    <w:rsid w:val="00F3474E"/>
    <w:rsid w:val="00FD0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91D6E"/>
  <w15:chartTrackingRefBased/>
  <w15:docId w15:val="{15C4A5C1-6B4A-3147-974C-80AD8C41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18E4"/>
    <w:rPr>
      <w:color w:val="0563C1" w:themeColor="hyperlink"/>
      <w:u w:val="single"/>
    </w:rPr>
  </w:style>
  <w:style w:type="character" w:styleId="UnresolvedMention">
    <w:name w:val="Unresolved Mention"/>
    <w:basedOn w:val="DefaultParagraphFont"/>
    <w:uiPriority w:val="99"/>
    <w:semiHidden/>
    <w:unhideWhenUsed/>
    <w:rsid w:val="008C18E4"/>
    <w:rPr>
      <w:color w:val="605E5C"/>
      <w:shd w:val="clear" w:color="auto" w:fill="E1DFDD"/>
    </w:rPr>
  </w:style>
  <w:style w:type="character" w:styleId="FollowedHyperlink">
    <w:name w:val="FollowedHyperlink"/>
    <w:basedOn w:val="DefaultParagraphFont"/>
    <w:uiPriority w:val="99"/>
    <w:semiHidden/>
    <w:unhideWhenUsed/>
    <w:rsid w:val="008C18E4"/>
    <w:rPr>
      <w:color w:val="954F72" w:themeColor="followedHyperlink"/>
      <w:u w:val="single"/>
    </w:rPr>
  </w:style>
  <w:style w:type="paragraph" w:styleId="NoSpacing">
    <w:name w:val="No Spacing"/>
    <w:link w:val="NoSpacingChar"/>
    <w:uiPriority w:val="1"/>
    <w:qFormat/>
    <w:rsid w:val="004445B7"/>
    <w:rPr>
      <w:rFonts w:eastAsiaTheme="minorEastAsia"/>
      <w:sz w:val="22"/>
      <w:szCs w:val="22"/>
      <w:lang w:val="en-US" w:eastAsia="zh-CN"/>
    </w:rPr>
  </w:style>
  <w:style w:type="character" w:customStyle="1" w:styleId="NoSpacingChar">
    <w:name w:val="No Spacing Char"/>
    <w:basedOn w:val="DefaultParagraphFont"/>
    <w:link w:val="NoSpacing"/>
    <w:uiPriority w:val="1"/>
    <w:rsid w:val="004445B7"/>
    <w:rPr>
      <w:rFonts w:eastAsiaTheme="minorEastAsia"/>
      <w:sz w:val="22"/>
      <w:szCs w:val="22"/>
      <w:lang w:val="en-US" w:eastAsia="zh-CN"/>
    </w:rPr>
  </w:style>
  <w:style w:type="paragraph" w:styleId="Header">
    <w:name w:val="header"/>
    <w:basedOn w:val="Normal"/>
    <w:link w:val="HeaderChar"/>
    <w:uiPriority w:val="99"/>
    <w:unhideWhenUsed/>
    <w:rsid w:val="00A64D95"/>
    <w:pPr>
      <w:tabs>
        <w:tab w:val="center" w:pos="4513"/>
        <w:tab w:val="right" w:pos="9026"/>
      </w:tabs>
    </w:pPr>
  </w:style>
  <w:style w:type="character" w:customStyle="1" w:styleId="HeaderChar">
    <w:name w:val="Header Char"/>
    <w:basedOn w:val="DefaultParagraphFont"/>
    <w:link w:val="Header"/>
    <w:uiPriority w:val="99"/>
    <w:rsid w:val="00A64D95"/>
  </w:style>
  <w:style w:type="paragraph" w:styleId="Footer">
    <w:name w:val="footer"/>
    <w:basedOn w:val="Normal"/>
    <w:link w:val="FooterChar"/>
    <w:uiPriority w:val="99"/>
    <w:unhideWhenUsed/>
    <w:rsid w:val="00A64D95"/>
    <w:pPr>
      <w:tabs>
        <w:tab w:val="center" w:pos="4513"/>
        <w:tab w:val="right" w:pos="9026"/>
      </w:tabs>
    </w:pPr>
  </w:style>
  <w:style w:type="character" w:customStyle="1" w:styleId="FooterChar">
    <w:name w:val="Footer Char"/>
    <w:basedOn w:val="DefaultParagraphFont"/>
    <w:link w:val="Footer"/>
    <w:uiPriority w:val="99"/>
    <w:rsid w:val="00A64D95"/>
  </w:style>
  <w:style w:type="paragraph" w:styleId="ListParagraph">
    <w:name w:val="List Paragraph"/>
    <w:basedOn w:val="Normal"/>
    <w:uiPriority w:val="34"/>
    <w:qFormat/>
    <w:rsid w:val="007916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pp-law.com/blog/actus-reus-murder/" TargetMode="External"/><Relationship Id="rId13" Type="http://schemas.openxmlformats.org/officeDocument/2006/relationships/hyperlink" Target="https://researchbriefings.files.parliament.uk/documents/CDP-2016-0094/CDP-2016-0094.pdf" TargetMode="External"/><Relationship Id="rId18" Type="http://schemas.openxmlformats.org/officeDocument/2006/relationships/hyperlink" Target="https://www.legislation.gov.uk/ukpga/2009/25/contents" TargetMode="External"/><Relationship Id="rId26" Type="http://schemas.openxmlformats.org/officeDocument/2006/relationships/hyperlink" Target="https://www.legislation.gov.uk/ukpga/2009/25/part/2/chapter/1/crossheading/partial-defence-to-murder-diminished-responsibility" TargetMode="External"/><Relationship Id="rId3" Type="http://schemas.openxmlformats.org/officeDocument/2006/relationships/styles" Target="styles.xml"/><Relationship Id="rId21" Type="http://schemas.openxmlformats.org/officeDocument/2006/relationships/hyperlink" Target="https://www.legislation.gov.uk/ukpga/2009/25/contents" TargetMode="External"/><Relationship Id="rId7" Type="http://schemas.openxmlformats.org/officeDocument/2006/relationships/endnotes" Target="endnotes.xml"/><Relationship Id="rId12" Type="http://schemas.openxmlformats.org/officeDocument/2006/relationships/hyperlink" Target="https://publications.parliament.uk/pa/ld200809/ldbills/033/en/09033x-e.htm" TargetMode="External"/><Relationship Id="rId17" Type="http://schemas.openxmlformats.org/officeDocument/2006/relationships/hyperlink" Target="https://www.legislation.gov.uk/ukpga/Eliz2/5-6/11/contents" TargetMode="External"/><Relationship Id="rId25" Type="http://schemas.openxmlformats.org/officeDocument/2006/relationships/hyperlink" Target="http://www.lawcom.gov.uk/app/uploads/2015/03/lc304_Murder_Manslaughter_and_Infanticide_Report.pdf" TargetMode="External"/><Relationship Id="rId2" Type="http://schemas.openxmlformats.org/officeDocument/2006/relationships/numbering" Target="numbering.xml"/><Relationship Id="rId16" Type="http://schemas.openxmlformats.org/officeDocument/2006/relationships/hyperlink" Target="https://oxford.universitypressscholarship.com/view/10.1093/acprof:oso/9780199696796.001.0001/acprof-9780199696796-chapter-8" TargetMode="External"/><Relationship Id="rId20" Type="http://schemas.openxmlformats.org/officeDocument/2006/relationships/hyperlink" Target="https://www.sentencingcouncil.org.uk/blog/post/manslaughter-explaine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cirp.org/Html/6-3300666_87445.htm" TargetMode="External"/><Relationship Id="rId24" Type="http://schemas.openxmlformats.org/officeDocument/2006/relationships/hyperlink" Target="http://www.lawcom.gov.uk/app/uploads/2015/03/lc304_Murder_Manslaughter_and_Infanticide_Report.pdf" TargetMode="External"/><Relationship Id="rId5" Type="http://schemas.openxmlformats.org/officeDocument/2006/relationships/webSettings" Target="webSettings.xml"/><Relationship Id="rId15" Type="http://schemas.openxmlformats.org/officeDocument/2006/relationships/hyperlink" Target="https://www-jstor-org.ezproxy.uwtsd.ac.uk/stable/41302777?seq=2" TargetMode="External"/><Relationship Id="rId23" Type="http://schemas.openxmlformats.org/officeDocument/2006/relationships/hyperlink" Target="http://www.lawcom.gov.uk/app/uploads/2015/03/cp177_Murder_Manslaughter_and_Infanticide_consultation_overview_.pdf" TargetMode="External"/><Relationship Id="rId28" Type="http://schemas.openxmlformats.org/officeDocument/2006/relationships/fontTable" Target="fontTable.xml"/><Relationship Id="rId10" Type="http://schemas.openxmlformats.org/officeDocument/2006/relationships/hyperlink" Target="https://www.lexisnexis.co.uk/legal/commentary/halsburys-laws-of-england/criminal-law/constructive-manslaughter" TargetMode="External"/><Relationship Id="rId19" Type="http://schemas.openxmlformats.org/officeDocument/2006/relationships/hyperlink" Target="https://www.legislation.gov.uk/ukpga/2009/25/contents" TargetMode="External"/><Relationship Id="rId4" Type="http://schemas.openxmlformats.org/officeDocument/2006/relationships/settings" Target="settings.xml"/><Relationship Id="rId9" Type="http://schemas.openxmlformats.org/officeDocument/2006/relationships/hyperlink" Target="https://www-jstor-org.ezproxy.uwtsd.ac.uk/stable/1093049?seq=1" TargetMode="External"/><Relationship Id="rId14" Type="http://schemas.openxmlformats.org/officeDocument/2006/relationships/hyperlink" Target="https://justice.org.uk/homicide-law-reform/" TargetMode="External"/><Relationship Id="rId22" Type="http://schemas.openxmlformats.org/officeDocument/2006/relationships/hyperlink" Target="https://www.legislation.gov.uk/ukpga/2009/25/contents" TargetMode="External"/><Relationship Id="rId27" Type="http://schemas.openxmlformats.org/officeDocument/2006/relationships/hyperlink" Target="https://www.theguardian.com/law/2016/sep/14/law-will-not-be-reformed-justice-minister-tells-m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2389</Words>
  <Characters>13621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Criminal Law</vt:lpstr>
    </vt:vector>
  </TitlesOfParts>
  <Company/>
  <LinksUpToDate>false</LinksUpToDate>
  <CharactersWithSpaces>15979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dc:title>
  <dc:subject>BMLW4005</dc:subject>
  <dc:creator>Oliver Rowe 2100430</dc:creator>
  <cp:keywords/>
  <dc:description/>
  <cp:lastModifiedBy>264027 (Olly Rowe)</cp:lastModifiedBy>
  <cp:revision>5</cp:revision>
  <dcterms:created xsi:type="dcterms:W3CDTF">2021-11-03T12:50:00Z</dcterms:created>
  <dcterms:modified xsi:type="dcterms:W3CDTF">2021-11-04T22:40:00Z</dcterms:modified>
</cp:coreProperties>
</file>