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4C82788B" w14:textId="33B2CFB5" w:rsidR="00094908" w:rsidRDefault="00094908" w:rsidP="0009490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D20524">
              <w:rPr>
                <w:rFonts w:ascii="Times New Roman" w:hAnsi="Times New Roman" w:cs="Times New Roman"/>
                <w:b/>
                <w:color w:val="auto"/>
                <w:sz w:val="48"/>
              </w:rPr>
              <w:t>Steph Martin</w:t>
            </w:r>
            <w:r>
              <w:rPr>
                <w:rFonts w:ascii="Times New Roman" w:hAnsi="Times New Roman" w:cs="Times New Roman"/>
                <w:b/>
                <w:color w:val="auto"/>
                <w:sz w:val="48"/>
              </w:rPr>
              <w:t xml:space="preserve"> </w:t>
            </w:r>
          </w:p>
          <w:p w14:paraId="4457401E" w14:textId="77777777" w:rsidR="00094908" w:rsidRDefault="00094908" w:rsidP="00094908">
            <w:pPr>
              <w:overflowPunct/>
              <w:autoSpaceDE/>
              <w:autoSpaceDN/>
              <w:adjustRightInd/>
              <w:ind w:right="-957"/>
              <w:textAlignment w:val="auto"/>
              <w:rPr>
                <w:rFonts w:ascii="Times New Roman" w:hAnsi="Times New Roman" w:cs="Times New Roman"/>
                <w:b/>
                <w:color w:val="auto"/>
                <w:sz w:val="48"/>
              </w:rPr>
            </w:pPr>
          </w:p>
          <w:p w14:paraId="62438DA5" w14:textId="184F7751" w:rsidR="00094908" w:rsidRDefault="00094908" w:rsidP="0009490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Email address: </w:t>
            </w:r>
            <w:r w:rsidR="00D20524">
              <w:rPr>
                <w:rFonts w:ascii="Times New Roman" w:hAnsi="Times New Roman" w:cs="Times New Roman"/>
                <w:b/>
                <w:color w:val="auto"/>
                <w:sz w:val="48"/>
              </w:rPr>
              <w:t>steph_verney@hotmail.com</w:t>
            </w:r>
          </w:p>
          <w:p w14:paraId="549DEF79" w14:textId="77777777" w:rsidR="00094908" w:rsidRDefault="00094908" w:rsidP="00094908">
            <w:pPr>
              <w:overflowPunct/>
              <w:autoSpaceDE/>
              <w:autoSpaceDN/>
              <w:adjustRightInd/>
              <w:ind w:right="-957"/>
              <w:textAlignment w:val="auto"/>
              <w:rPr>
                <w:rFonts w:ascii="Times New Roman" w:hAnsi="Times New Roman" w:cs="Times New Roman"/>
                <w:b/>
                <w:color w:val="auto"/>
                <w:sz w:val="48"/>
              </w:rPr>
            </w:pPr>
          </w:p>
          <w:p w14:paraId="49F8CA73" w14:textId="77777777" w:rsidR="00094908" w:rsidRDefault="00094908" w:rsidP="00094908">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 Number:</w:t>
            </w:r>
            <w:r>
              <w:rPr>
                <w:rFonts w:ascii="Times New Roman" w:hAnsi="Times New Roman" w:cs="Times New Roman"/>
                <w:b/>
                <w:color w:val="auto"/>
                <w:sz w:val="48"/>
              </w:rPr>
              <w:t xml:space="preserve"> </w:t>
            </w:r>
          </w:p>
          <w:p w14:paraId="687B8148" w14:textId="3463744A" w:rsidR="00094908" w:rsidRPr="005D3F07" w:rsidRDefault="00094908" w:rsidP="00094908">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w:t>
            </w:r>
            <w:r w:rsidR="00D20524">
              <w:rPr>
                <w:rFonts w:ascii="Times New Roman" w:hAnsi="Times New Roman" w:cs="Times New Roman"/>
                <w:b/>
                <w:color w:val="auto"/>
                <w:sz w:val="48"/>
              </w:rPr>
              <w:t>222113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10C7C292"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3B1536">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F3370DA" w14:textId="77777777" w:rsidR="009B3815" w:rsidRPr="006108C9" w:rsidRDefault="009B3815" w:rsidP="009B3815">
            <w:pPr>
              <w:jc w:val="both"/>
              <w:rPr>
                <w:sz w:val="24"/>
                <w:szCs w:val="24"/>
              </w:rPr>
            </w:pPr>
          </w:p>
          <w:p w14:paraId="237D4CA4" w14:textId="77777777" w:rsidR="009B3815" w:rsidRDefault="009B3815" w:rsidP="009B3815">
            <w:pPr>
              <w:jc w:val="both"/>
              <w:rPr>
                <w:sz w:val="24"/>
                <w:szCs w:val="24"/>
              </w:rPr>
            </w:pPr>
            <w:r w:rsidRPr="006108C9">
              <w:rPr>
                <w:i/>
                <w:sz w:val="24"/>
                <w:szCs w:val="24"/>
              </w:rPr>
              <w:t>500 words</w:t>
            </w:r>
            <w:r w:rsidRPr="006108C9">
              <w:rPr>
                <w:sz w:val="24"/>
                <w:szCs w:val="24"/>
              </w:rPr>
              <w:t xml:space="preserve"> (+/- 10%: include your actual word count at the end of each section)</w:t>
            </w:r>
            <w:r>
              <w:rPr>
                <w:sz w:val="24"/>
                <w:szCs w:val="24"/>
              </w:rPr>
              <w:t>.</w:t>
            </w:r>
          </w:p>
          <w:p w14:paraId="0318E819" w14:textId="77777777" w:rsidR="00FC0334" w:rsidRDefault="00FC0334" w:rsidP="00FF7EBB">
            <w:pPr>
              <w:jc w:val="both"/>
              <w:rPr>
                <w:sz w:val="24"/>
                <w:szCs w:val="24"/>
              </w:rPr>
            </w:pPr>
          </w:p>
          <w:p w14:paraId="552E233F" w14:textId="37786E78" w:rsidR="007A693F" w:rsidRDefault="00496A60" w:rsidP="003C2948">
            <w:pPr>
              <w:spacing w:line="360" w:lineRule="auto"/>
              <w:jc w:val="both"/>
              <w:rPr>
                <w:sz w:val="24"/>
                <w:szCs w:val="24"/>
              </w:rPr>
            </w:pPr>
            <w:r>
              <w:rPr>
                <w:sz w:val="24"/>
                <w:szCs w:val="24"/>
              </w:rPr>
              <w:t xml:space="preserve">Within Wales the Social Services and Wellbeing (Wales) Act (2014) </w:t>
            </w:r>
            <w:r w:rsidR="007A693F">
              <w:rPr>
                <w:sz w:val="24"/>
                <w:szCs w:val="24"/>
              </w:rPr>
              <w:t xml:space="preserve">[SSWBA] </w:t>
            </w:r>
            <w:r>
              <w:rPr>
                <w:sz w:val="24"/>
                <w:szCs w:val="24"/>
              </w:rPr>
              <w:t>provides the main legislative framework for safeguarding adults</w:t>
            </w:r>
            <w:r w:rsidR="009E25A1">
              <w:rPr>
                <w:sz w:val="24"/>
                <w:szCs w:val="24"/>
              </w:rPr>
              <w:t xml:space="preserve">. </w:t>
            </w:r>
            <w:r w:rsidR="007A693F">
              <w:rPr>
                <w:sz w:val="24"/>
                <w:szCs w:val="24"/>
              </w:rPr>
              <w:t>According to [SSWBA] s126(1) defines at adult at risk as one who:</w:t>
            </w:r>
          </w:p>
          <w:p w14:paraId="53A4F57E" w14:textId="04E18B86" w:rsidR="007A693F" w:rsidRPr="007A693F" w:rsidRDefault="007A693F" w:rsidP="003C2948">
            <w:pPr>
              <w:spacing w:line="360" w:lineRule="auto"/>
              <w:jc w:val="both"/>
              <w:rPr>
                <w:sz w:val="24"/>
                <w:szCs w:val="24"/>
              </w:rPr>
            </w:pPr>
            <w:r>
              <w:rPr>
                <w:sz w:val="24"/>
                <w:szCs w:val="24"/>
              </w:rPr>
              <w:t xml:space="preserve">a) </w:t>
            </w:r>
            <w:r w:rsidRPr="007A693F">
              <w:rPr>
                <w:sz w:val="24"/>
                <w:szCs w:val="24"/>
              </w:rPr>
              <w:t>Is experiencing or is at risk of abuse or neglect,</w:t>
            </w:r>
          </w:p>
          <w:p w14:paraId="7A6AB903" w14:textId="5BB25098" w:rsidR="007A693F" w:rsidRPr="007A693F" w:rsidRDefault="007A693F" w:rsidP="003C2948">
            <w:pPr>
              <w:spacing w:line="360" w:lineRule="auto"/>
              <w:jc w:val="both"/>
              <w:rPr>
                <w:sz w:val="24"/>
                <w:szCs w:val="24"/>
              </w:rPr>
            </w:pPr>
            <w:r>
              <w:rPr>
                <w:sz w:val="24"/>
                <w:szCs w:val="24"/>
              </w:rPr>
              <w:t xml:space="preserve">b) </w:t>
            </w:r>
            <w:r w:rsidRPr="007A693F">
              <w:rPr>
                <w:sz w:val="24"/>
                <w:szCs w:val="24"/>
              </w:rPr>
              <w:t>Has needs for care and support (whether or not the authority is meeting any of those needs), and</w:t>
            </w:r>
          </w:p>
          <w:p w14:paraId="710B33E5" w14:textId="0DC758EF" w:rsidR="00496A60" w:rsidRDefault="007A693F" w:rsidP="003C2948">
            <w:pPr>
              <w:spacing w:line="360" w:lineRule="auto"/>
              <w:jc w:val="both"/>
              <w:rPr>
                <w:sz w:val="24"/>
                <w:szCs w:val="24"/>
              </w:rPr>
            </w:pPr>
            <w:r>
              <w:rPr>
                <w:sz w:val="24"/>
                <w:szCs w:val="24"/>
              </w:rPr>
              <w:t xml:space="preserve">c) </w:t>
            </w:r>
            <w:r w:rsidRPr="007A693F">
              <w:rPr>
                <w:sz w:val="24"/>
                <w:szCs w:val="24"/>
              </w:rPr>
              <w:t>As a result of those needs is unable to protect himself or herself against the abuse or neglect or the risk of it.</w:t>
            </w:r>
          </w:p>
          <w:p w14:paraId="1C75F478" w14:textId="4BD4FDD3" w:rsidR="003C2948" w:rsidRDefault="003C2948" w:rsidP="003C2948">
            <w:pPr>
              <w:spacing w:line="360" w:lineRule="auto"/>
              <w:jc w:val="both"/>
              <w:rPr>
                <w:sz w:val="24"/>
                <w:szCs w:val="24"/>
              </w:rPr>
            </w:pPr>
            <w:r>
              <w:rPr>
                <w:sz w:val="24"/>
                <w:szCs w:val="24"/>
              </w:rPr>
              <w:t>Abuse can be categorised as physical, sexual, psychological, emotional, or financial or take the form of neglect.</w:t>
            </w:r>
          </w:p>
          <w:p w14:paraId="4242C220" w14:textId="77777777" w:rsidR="003C2948" w:rsidRDefault="003C2948" w:rsidP="003C2948">
            <w:pPr>
              <w:spacing w:line="360" w:lineRule="auto"/>
              <w:jc w:val="both"/>
              <w:rPr>
                <w:sz w:val="24"/>
                <w:szCs w:val="24"/>
              </w:rPr>
            </w:pPr>
          </w:p>
          <w:p w14:paraId="1A31865B" w14:textId="4025B328" w:rsidR="003C2948" w:rsidRDefault="009E25A1" w:rsidP="003C2948">
            <w:pPr>
              <w:spacing w:line="360" w:lineRule="auto"/>
              <w:jc w:val="both"/>
              <w:rPr>
                <w:sz w:val="24"/>
                <w:szCs w:val="24"/>
              </w:rPr>
            </w:pPr>
            <w:r>
              <w:rPr>
                <w:sz w:val="24"/>
                <w:szCs w:val="24"/>
              </w:rPr>
              <w:t>The requirements of the [SSWBA} (2014) are underpinned by international and national legislation and encompass their principles including</w:t>
            </w:r>
            <w:r w:rsidRPr="009E25A1">
              <w:rPr>
                <w:sz w:val="24"/>
                <w:szCs w:val="24"/>
              </w:rPr>
              <w:t xml:space="preserve"> </w:t>
            </w:r>
            <w:r w:rsidR="0081531A" w:rsidRPr="0081531A">
              <w:rPr>
                <w:sz w:val="24"/>
                <w:szCs w:val="24"/>
              </w:rPr>
              <w:t>The United Nations Principles for Older Persons</w:t>
            </w:r>
            <w:r>
              <w:rPr>
                <w:sz w:val="24"/>
                <w:szCs w:val="24"/>
              </w:rPr>
              <w:t xml:space="preserve"> 1991 within which t</w:t>
            </w:r>
            <w:r w:rsidR="0081531A" w:rsidRPr="0081531A">
              <w:rPr>
                <w:sz w:val="24"/>
                <w:szCs w:val="24"/>
              </w:rPr>
              <w:t>here are 18 principles, which can be grouped under five themes: independence, participation, care, self-fulfilment</w:t>
            </w:r>
            <w:r w:rsidR="0081531A">
              <w:rPr>
                <w:sz w:val="24"/>
                <w:szCs w:val="24"/>
              </w:rPr>
              <w:t>,</w:t>
            </w:r>
            <w:r w:rsidR="0081531A" w:rsidRPr="0081531A">
              <w:rPr>
                <w:sz w:val="24"/>
                <w:szCs w:val="24"/>
              </w:rPr>
              <w:t xml:space="preserve"> and dignity</w:t>
            </w:r>
            <w:r w:rsidR="0081531A">
              <w:rPr>
                <w:sz w:val="24"/>
                <w:szCs w:val="24"/>
              </w:rPr>
              <w:t xml:space="preserve">. </w:t>
            </w:r>
            <w:r w:rsidR="00B43579">
              <w:rPr>
                <w:sz w:val="24"/>
                <w:szCs w:val="24"/>
              </w:rPr>
              <w:t>The Human Rights Act (1998) articles 2 and 3 are also particularly relevant to adult safeguarding.</w:t>
            </w:r>
          </w:p>
          <w:p w14:paraId="7D898BFD" w14:textId="77777777" w:rsidR="009E25A1" w:rsidRDefault="009E25A1" w:rsidP="003C2948">
            <w:pPr>
              <w:spacing w:line="360" w:lineRule="auto"/>
              <w:jc w:val="both"/>
              <w:rPr>
                <w:sz w:val="24"/>
                <w:szCs w:val="24"/>
              </w:rPr>
            </w:pPr>
          </w:p>
          <w:p w14:paraId="5BCCC9CC" w14:textId="133739EB" w:rsidR="009E25A1" w:rsidRDefault="009E25A1" w:rsidP="003C2948">
            <w:pPr>
              <w:spacing w:line="360" w:lineRule="auto"/>
              <w:jc w:val="both"/>
              <w:rPr>
                <w:sz w:val="24"/>
                <w:szCs w:val="24"/>
              </w:rPr>
            </w:pPr>
            <w:r w:rsidRPr="009E25A1">
              <w:rPr>
                <w:sz w:val="24"/>
                <w:szCs w:val="24"/>
              </w:rPr>
              <w:lastRenderedPageBreak/>
              <w:t xml:space="preserve">Section 128 </w:t>
            </w:r>
            <w:r>
              <w:rPr>
                <w:sz w:val="24"/>
                <w:szCs w:val="24"/>
              </w:rPr>
              <w:t>[SSWBA]</w:t>
            </w:r>
            <w:r w:rsidRPr="009E25A1">
              <w:rPr>
                <w:sz w:val="24"/>
                <w:szCs w:val="24"/>
              </w:rPr>
              <w:t xml:space="preserve"> (2014) documents </w:t>
            </w:r>
            <w:r>
              <w:rPr>
                <w:sz w:val="24"/>
                <w:szCs w:val="24"/>
              </w:rPr>
              <w:t>the</w:t>
            </w:r>
            <w:r w:rsidRPr="009E25A1">
              <w:rPr>
                <w:sz w:val="24"/>
                <w:szCs w:val="24"/>
              </w:rPr>
              <w:t xml:space="preserve"> duty to report</w:t>
            </w:r>
            <w:r>
              <w:rPr>
                <w:sz w:val="24"/>
                <w:szCs w:val="24"/>
              </w:rPr>
              <w:t xml:space="preserve"> concerns and i</w:t>
            </w:r>
            <w:r w:rsidRPr="009E25A1">
              <w:rPr>
                <w:sz w:val="24"/>
                <w:szCs w:val="24"/>
              </w:rPr>
              <w:t xml:space="preserve">n </w:t>
            </w:r>
            <w:r>
              <w:rPr>
                <w:sz w:val="24"/>
                <w:szCs w:val="24"/>
              </w:rPr>
              <w:t>compliance</w:t>
            </w:r>
            <w:r w:rsidRPr="009E25A1">
              <w:rPr>
                <w:sz w:val="24"/>
                <w:szCs w:val="24"/>
              </w:rPr>
              <w:t xml:space="preserve"> with the organisational Corporate Safeguarding Policy (XXX 202</w:t>
            </w:r>
            <w:r>
              <w:rPr>
                <w:sz w:val="24"/>
                <w:szCs w:val="24"/>
              </w:rPr>
              <w:t>3</w:t>
            </w:r>
            <w:r w:rsidRPr="009E25A1">
              <w:rPr>
                <w:sz w:val="24"/>
                <w:szCs w:val="24"/>
              </w:rPr>
              <w:t xml:space="preserve">) should an </w:t>
            </w:r>
            <w:r w:rsidR="002A0DFB">
              <w:rPr>
                <w:sz w:val="24"/>
                <w:szCs w:val="24"/>
              </w:rPr>
              <w:t>adult at risk</w:t>
            </w:r>
            <w:r>
              <w:rPr>
                <w:sz w:val="24"/>
                <w:szCs w:val="24"/>
              </w:rPr>
              <w:t xml:space="preserve"> </w:t>
            </w:r>
            <w:r w:rsidRPr="009E25A1">
              <w:rPr>
                <w:sz w:val="24"/>
                <w:szCs w:val="24"/>
              </w:rPr>
              <w:t xml:space="preserve">be </w:t>
            </w:r>
            <w:r w:rsidR="00296E45" w:rsidRPr="009E25A1">
              <w:rPr>
                <w:sz w:val="24"/>
                <w:szCs w:val="24"/>
              </w:rPr>
              <w:t>identified;</w:t>
            </w:r>
            <w:r w:rsidRPr="009E25A1">
              <w:rPr>
                <w:sz w:val="24"/>
                <w:szCs w:val="24"/>
              </w:rPr>
              <w:t xml:space="preserve"> a referral would be submitted to the Adult Safeguarding Team</w:t>
            </w:r>
            <w:r>
              <w:rPr>
                <w:sz w:val="24"/>
                <w:szCs w:val="24"/>
              </w:rPr>
              <w:t>. The Local Authority has a duty to investigate these concerns</w:t>
            </w:r>
            <w:r w:rsidR="004D1C96">
              <w:rPr>
                <w:sz w:val="24"/>
                <w:szCs w:val="24"/>
              </w:rPr>
              <w:t xml:space="preserve"> and must ascertain whether the individual has care and support needs which are eligible and meet thresholds for safeguarding interventions</w:t>
            </w:r>
            <w:r w:rsidR="00AE3EA0">
              <w:rPr>
                <w:sz w:val="24"/>
                <w:szCs w:val="24"/>
              </w:rPr>
              <w:t>.</w:t>
            </w:r>
            <w:r w:rsidR="004D1C96">
              <w:rPr>
                <w:sz w:val="24"/>
                <w:szCs w:val="24"/>
              </w:rPr>
              <w:t xml:space="preserve"> </w:t>
            </w:r>
            <w:r w:rsidR="00AE3EA0">
              <w:rPr>
                <w:sz w:val="24"/>
                <w:szCs w:val="24"/>
              </w:rPr>
              <w:t>U</w:t>
            </w:r>
            <w:r w:rsidR="004D1C96">
              <w:rPr>
                <w:sz w:val="24"/>
                <w:szCs w:val="24"/>
              </w:rPr>
              <w:t>nder Section 126 [SSWBA] eligible needs are d</w:t>
            </w:r>
            <w:r w:rsidR="004D1C96" w:rsidRPr="004D1C96">
              <w:rPr>
                <w:sz w:val="24"/>
                <w:szCs w:val="24"/>
              </w:rPr>
              <w:t>etailed in The Care and Support (Eligibility) (Wales) Regulations (2015).</w:t>
            </w:r>
            <w:r w:rsidR="00CB000C">
              <w:rPr>
                <w:sz w:val="24"/>
                <w:szCs w:val="24"/>
              </w:rPr>
              <w:t xml:space="preserve"> </w:t>
            </w:r>
            <w:r w:rsidR="00D105B7">
              <w:rPr>
                <w:sz w:val="24"/>
                <w:szCs w:val="24"/>
              </w:rPr>
              <w:t xml:space="preserve">In 2019 the All-Wales Safeguarding Procedures were developed to support practitioners to develop consistency in responding to safeguarding concerns. The development of a supporting app allows practitioners to access up to date information. </w:t>
            </w:r>
          </w:p>
          <w:p w14:paraId="2BFD42D3" w14:textId="77777777" w:rsidR="00CB000C" w:rsidRDefault="00CB000C" w:rsidP="003C2948">
            <w:pPr>
              <w:spacing w:line="360" w:lineRule="auto"/>
              <w:jc w:val="both"/>
              <w:rPr>
                <w:sz w:val="24"/>
                <w:szCs w:val="24"/>
              </w:rPr>
            </w:pPr>
          </w:p>
          <w:p w14:paraId="5B350845" w14:textId="356A4801" w:rsidR="0081531A" w:rsidRDefault="00CB000C" w:rsidP="0017402A">
            <w:pPr>
              <w:spacing w:line="360" w:lineRule="auto"/>
              <w:jc w:val="both"/>
              <w:rPr>
                <w:sz w:val="24"/>
                <w:szCs w:val="24"/>
              </w:rPr>
            </w:pPr>
            <w:r>
              <w:rPr>
                <w:sz w:val="24"/>
                <w:szCs w:val="24"/>
              </w:rPr>
              <w:t xml:space="preserve">In undertaking such an assessment, the Local Authority must have consideration for whether the individual being assessed has capacity. </w:t>
            </w:r>
            <w:r w:rsidR="0017402A" w:rsidRPr="0017402A">
              <w:rPr>
                <w:sz w:val="24"/>
                <w:szCs w:val="24"/>
              </w:rPr>
              <w:t>The Mental Capacity Act 2005 protects individuals who do not have the ability to make decisions for themselves. “A person must be assumed to have capacity unless it is established that he lacks capacity” (MCA 2005, S.1(2)). Where it has been assessed and deemed an individual lacks capacity a decision must be made in their best interests (MCA 2005, S.1(5)). Any best interests decision concluded must have regard to the “least restrictive of the person's rights and freedom of action’ (MCA 2005, S.1(6)).</w:t>
            </w:r>
            <w:r w:rsidR="00C34960">
              <w:rPr>
                <w:sz w:val="24"/>
                <w:szCs w:val="24"/>
              </w:rPr>
              <w:t xml:space="preserve"> It is also important to note that mental capacity can fluctuate (McKenzie and Wilson, 2020).</w:t>
            </w:r>
            <w:r>
              <w:rPr>
                <w:sz w:val="24"/>
                <w:szCs w:val="24"/>
              </w:rPr>
              <w:t xml:space="preserve"> </w:t>
            </w:r>
          </w:p>
          <w:p w14:paraId="0E20BFE6" w14:textId="77777777" w:rsidR="008C18F1" w:rsidRDefault="008C18F1" w:rsidP="0017402A">
            <w:pPr>
              <w:spacing w:line="360" w:lineRule="auto"/>
              <w:jc w:val="both"/>
              <w:rPr>
                <w:sz w:val="24"/>
                <w:szCs w:val="24"/>
              </w:rPr>
            </w:pPr>
          </w:p>
          <w:p w14:paraId="7613835E" w14:textId="65A3B66A" w:rsidR="00E964E1" w:rsidRDefault="00CB000C" w:rsidP="00383FD7">
            <w:pPr>
              <w:spacing w:line="360" w:lineRule="auto"/>
              <w:jc w:val="both"/>
              <w:rPr>
                <w:sz w:val="24"/>
                <w:szCs w:val="24"/>
              </w:rPr>
            </w:pPr>
            <w:r>
              <w:rPr>
                <w:sz w:val="24"/>
                <w:szCs w:val="24"/>
              </w:rPr>
              <w:t xml:space="preserve">In order to undertake a thorough investigation, the social worker must have an opportunity to speak directly with the adult at risk where there are difficulties in doing so  </w:t>
            </w:r>
            <w:r w:rsidR="0017402A" w:rsidRPr="0017402A">
              <w:rPr>
                <w:sz w:val="24"/>
                <w:szCs w:val="24"/>
              </w:rPr>
              <w:t xml:space="preserve">The Adult Protection and Support Orders </w:t>
            </w:r>
            <w:r w:rsidR="00383FD7">
              <w:rPr>
                <w:sz w:val="24"/>
                <w:szCs w:val="24"/>
              </w:rPr>
              <w:t xml:space="preserve">[APSO] </w:t>
            </w:r>
            <w:r w:rsidR="0017402A" w:rsidRPr="0017402A">
              <w:rPr>
                <w:sz w:val="24"/>
                <w:szCs w:val="24"/>
              </w:rPr>
              <w:t>(Authorised Officer) (Wales) Regulations 2015</w:t>
            </w:r>
            <w:r w:rsidR="00383FD7">
              <w:rPr>
                <w:sz w:val="24"/>
                <w:szCs w:val="24"/>
              </w:rPr>
              <w:t xml:space="preserve"> are also in place to support Local Authorities to investigate concerns of an adult at risk where there is felt to be obstructions in place to them having meaningful conversations in private with the adult suspected to be at risk. </w:t>
            </w:r>
            <w:r w:rsidR="00383FD7" w:rsidRPr="00383FD7">
              <w:rPr>
                <w:sz w:val="24"/>
                <w:szCs w:val="24"/>
              </w:rPr>
              <w:t xml:space="preserve">The purposes of an </w:t>
            </w:r>
            <w:r w:rsidR="00383FD7">
              <w:rPr>
                <w:sz w:val="24"/>
                <w:szCs w:val="24"/>
              </w:rPr>
              <w:t>[APSO] are to</w:t>
            </w:r>
            <w:r w:rsidR="00383FD7" w:rsidRPr="00383FD7">
              <w:rPr>
                <w:sz w:val="24"/>
                <w:szCs w:val="24"/>
              </w:rPr>
              <w:t xml:space="preserve"> enable the authorised officer properly to assess whether the person is an adult</w:t>
            </w:r>
            <w:r w:rsidR="00383FD7">
              <w:rPr>
                <w:sz w:val="24"/>
                <w:szCs w:val="24"/>
              </w:rPr>
              <w:t xml:space="preserve"> </w:t>
            </w:r>
            <w:r w:rsidR="00383FD7" w:rsidRPr="00383FD7">
              <w:rPr>
                <w:sz w:val="24"/>
                <w:szCs w:val="24"/>
              </w:rPr>
              <w:t xml:space="preserve">at risk and to </w:t>
            </w:r>
            <w:r w:rsidR="00DA081F" w:rsidRPr="00383FD7">
              <w:rPr>
                <w:sz w:val="24"/>
                <w:szCs w:val="24"/>
              </w:rPr>
              <w:t>decide</w:t>
            </w:r>
            <w:r w:rsidR="00383FD7" w:rsidRPr="00383FD7">
              <w:rPr>
                <w:sz w:val="24"/>
                <w:szCs w:val="24"/>
              </w:rPr>
              <w:t xml:space="preserve"> as required by section 126(2) of the </w:t>
            </w:r>
            <w:r w:rsidR="00383FD7">
              <w:rPr>
                <w:sz w:val="24"/>
                <w:szCs w:val="24"/>
              </w:rPr>
              <w:t>[SSWBA] (</w:t>
            </w:r>
            <w:r w:rsidR="00383FD7" w:rsidRPr="00383FD7">
              <w:rPr>
                <w:sz w:val="24"/>
                <w:szCs w:val="24"/>
              </w:rPr>
              <w:t>2014</w:t>
            </w:r>
            <w:r w:rsidR="00383FD7">
              <w:rPr>
                <w:sz w:val="24"/>
                <w:szCs w:val="24"/>
              </w:rPr>
              <w:t>)</w:t>
            </w:r>
            <w:r w:rsidR="00383FD7" w:rsidRPr="00383FD7">
              <w:rPr>
                <w:sz w:val="24"/>
                <w:szCs w:val="24"/>
              </w:rPr>
              <w:t xml:space="preserve"> on what, if any, action should be</w:t>
            </w:r>
            <w:r w:rsidR="00383FD7">
              <w:rPr>
                <w:sz w:val="24"/>
                <w:szCs w:val="24"/>
              </w:rPr>
              <w:t xml:space="preserve"> </w:t>
            </w:r>
            <w:r w:rsidR="007E5581">
              <w:rPr>
                <w:sz w:val="24"/>
                <w:szCs w:val="24"/>
              </w:rPr>
              <w:t>t</w:t>
            </w:r>
            <w:r w:rsidR="00383FD7" w:rsidRPr="00383FD7">
              <w:rPr>
                <w:sz w:val="24"/>
                <w:szCs w:val="24"/>
              </w:rPr>
              <w:t>aken.</w:t>
            </w:r>
            <w:r w:rsidR="00383FD7" w:rsidRPr="00383FD7">
              <w:rPr>
                <w:sz w:val="24"/>
                <w:szCs w:val="24"/>
              </w:rPr>
              <w:cr/>
            </w:r>
          </w:p>
          <w:p w14:paraId="26411B93" w14:textId="4EF24F7E" w:rsidR="00E964E1" w:rsidRDefault="00E964E1" w:rsidP="00383FD7">
            <w:pPr>
              <w:spacing w:line="360" w:lineRule="auto"/>
              <w:jc w:val="both"/>
              <w:rPr>
                <w:sz w:val="24"/>
                <w:szCs w:val="24"/>
              </w:rPr>
            </w:pPr>
            <w:r w:rsidRPr="00E964E1">
              <w:rPr>
                <w:sz w:val="24"/>
                <w:szCs w:val="24"/>
              </w:rPr>
              <w:t>The safeguarding enquiries process should empower adults to make informed choices</w:t>
            </w:r>
            <w:r>
              <w:rPr>
                <w:sz w:val="24"/>
                <w:szCs w:val="24"/>
              </w:rPr>
              <w:t xml:space="preserve"> and</w:t>
            </w:r>
            <w:r w:rsidRPr="00E964E1">
              <w:rPr>
                <w:sz w:val="24"/>
                <w:szCs w:val="24"/>
              </w:rPr>
              <w:t xml:space="preserve"> enable </w:t>
            </w:r>
            <w:r>
              <w:rPr>
                <w:sz w:val="24"/>
                <w:szCs w:val="24"/>
              </w:rPr>
              <w:t xml:space="preserve">them to have </w:t>
            </w:r>
            <w:r w:rsidRPr="00E964E1">
              <w:rPr>
                <w:sz w:val="24"/>
                <w:szCs w:val="24"/>
              </w:rPr>
              <w:t>full participation</w:t>
            </w:r>
            <w:r>
              <w:rPr>
                <w:sz w:val="24"/>
                <w:szCs w:val="24"/>
              </w:rPr>
              <w:t xml:space="preserve"> in the investigation with emphasis on</w:t>
            </w:r>
            <w:r w:rsidRPr="00E964E1">
              <w:rPr>
                <w:sz w:val="24"/>
                <w:szCs w:val="24"/>
              </w:rPr>
              <w:t xml:space="preserve"> </w:t>
            </w:r>
            <w:r>
              <w:rPr>
                <w:sz w:val="24"/>
                <w:szCs w:val="24"/>
              </w:rPr>
              <w:t xml:space="preserve">collaborative </w:t>
            </w:r>
            <w:r>
              <w:rPr>
                <w:sz w:val="24"/>
                <w:szCs w:val="24"/>
              </w:rPr>
              <w:lastRenderedPageBreak/>
              <w:t xml:space="preserve">practice. Any </w:t>
            </w:r>
            <w:r w:rsidRPr="00E964E1">
              <w:rPr>
                <w:sz w:val="24"/>
                <w:szCs w:val="24"/>
              </w:rPr>
              <w:t xml:space="preserve">care and support plan </w:t>
            </w:r>
            <w:r>
              <w:rPr>
                <w:sz w:val="24"/>
                <w:szCs w:val="24"/>
              </w:rPr>
              <w:t>should outline</w:t>
            </w:r>
            <w:r w:rsidRPr="00E964E1">
              <w:rPr>
                <w:sz w:val="24"/>
                <w:szCs w:val="24"/>
              </w:rPr>
              <w:t xml:space="preserve"> the individuals safeguarding wellbeing outcomes</w:t>
            </w:r>
            <w:r>
              <w:rPr>
                <w:sz w:val="24"/>
                <w:szCs w:val="24"/>
              </w:rPr>
              <w:t xml:space="preserve"> as identified through mutual agreement.</w:t>
            </w:r>
          </w:p>
          <w:p w14:paraId="63464B6B" w14:textId="77777777" w:rsidR="00E964E1" w:rsidRDefault="00E964E1" w:rsidP="00383FD7">
            <w:pPr>
              <w:spacing w:line="360" w:lineRule="auto"/>
              <w:jc w:val="both"/>
              <w:rPr>
                <w:sz w:val="24"/>
                <w:szCs w:val="24"/>
              </w:rPr>
            </w:pPr>
          </w:p>
          <w:p w14:paraId="31C1274F" w14:textId="6B7996CA" w:rsidR="00E964E1" w:rsidRPr="00E964E1" w:rsidRDefault="00E964E1" w:rsidP="00E964E1">
            <w:pPr>
              <w:spacing w:line="360" w:lineRule="auto"/>
              <w:jc w:val="center"/>
              <w:rPr>
                <w:b/>
                <w:bCs/>
                <w:sz w:val="24"/>
                <w:szCs w:val="24"/>
              </w:rPr>
            </w:pPr>
            <w:r w:rsidRPr="00E964E1">
              <w:rPr>
                <w:b/>
                <w:bCs/>
                <w:sz w:val="24"/>
                <w:szCs w:val="24"/>
              </w:rPr>
              <w:t>Word Count-</w:t>
            </w:r>
            <w:r>
              <w:rPr>
                <w:b/>
                <w:bCs/>
                <w:sz w:val="24"/>
                <w:szCs w:val="24"/>
              </w:rPr>
              <w:t xml:space="preserve"> 5</w:t>
            </w:r>
            <w:r w:rsidR="00AE3EA0">
              <w:rPr>
                <w:b/>
                <w:bCs/>
                <w:sz w:val="24"/>
                <w:szCs w:val="24"/>
              </w:rPr>
              <w:t>53</w:t>
            </w:r>
          </w:p>
          <w:p w14:paraId="21F1F060" w14:textId="77777777" w:rsidR="0017402A" w:rsidRDefault="0017402A" w:rsidP="00FF7EBB">
            <w:pPr>
              <w:jc w:val="both"/>
              <w:rPr>
                <w:sz w:val="24"/>
                <w:szCs w:val="24"/>
              </w:rPr>
            </w:pPr>
          </w:p>
          <w:p w14:paraId="00C94438" w14:textId="77777777" w:rsidR="007A628F" w:rsidRDefault="00496A60" w:rsidP="009B3815">
            <w:pPr>
              <w:jc w:val="both"/>
              <w:rPr>
                <w:b/>
                <w:sz w:val="24"/>
                <w:szCs w:val="24"/>
              </w:rPr>
            </w:pPr>
            <w:r>
              <w:rPr>
                <w:b/>
                <w:sz w:val="24"/>
                <w:szCs w:val="24"/>
              </w:rPr>
              <w:t>References</w:t>
            </w:r>
          </w:p>
          <w:p w14:paraId="5BD3F6C6" w14:textId="7A659525" w:rsidR="00C34960" w:rsidRPr="00C34960" w:rsidRDefault="00C34960" w:rsidP="009B3815">
            <w:pPr>
              <w:jc w:val="both"/>
              <w:rPr>
                <w:bCs/>
                <w:sz w:val="24"/>
                <w:szCs w:val="24"/>
              </w:rPr>
            </w:pPr>
            <w:r>
              <w:rPr>
                <w:bCs/>
                <w:sz w:val="24"/>
                <w:szCs w:val="24"/>
              </w:rPr>
              <w:t xml:space="preserve">McKenzie, J and Wilson, K (2020) </w:t>
            </w:r>
            <w:r w:rsidRPr="00C34960">
              <w:rPr>
                <w:bCs/>
                <w:i/>
                <w:iCs/>
                <w:sz w:val="24"/>
                <w:szCs w:val="24"/>
              </w:rPr>
              <w:t>Assessing Mental Capacity: A Handbook to Guide Professionals from Basic to Advanced Practice</w:t>
            </w:r>
            <w:r w:rsidRPr="00C34960">
              <w:rPr>
                <w:bCs/>
                <w:sz w:val="24"/>
                <w:szCs w:val="24"/>
              </w:rPr>
              <w:t>.</w:t>
            </w:r>
            <w:r>
              <w:rPr>
                <w:bCs/>
                <w:sz w:val="24"/>
                <w:szCs w:val="24"/>
              </w:rPr>
              <w:t xml:space="preserve"> </w:t>
            </w:r>
            <w:r w:rsidRPr="00C34960">
              <w:rPr>
                <w:bCs/>
                <w:sz w:val="24"/>
                <w:szCs w:val="24"/>
              </w:rPr>
              <w:t>United Kingdom: Taylor &amp; Francis.</w:t>
            </w:r>
          </w:p>
          <w:p w14:paraId="6D08F4EB" w14:textId="0582D949" w:rsidR="005363B0" w:rsidRPr="005363B0" w:rsidRDefault="005363B0" w:rsidP="009B3815">
            <w:pPr>
              <w:jc w:val="both"/>
              <w:rPr>
                <w:bCs/>
                <w:sz w:val="24"/>
                <w:szCs w:val="24"/>
              </w:rPr>
            </w:pPr>
            <w:r w:rsidRPr="005363B0">
              <w:rPr>
                <w:bCs/>
                <w:sz w:val="24"/>
                <w:szCs w:val="24"/>
              </w:rPr>
              <w:t>The Care and Support (Eligibility) (Wales) Regulations 2015</w:t>
            </w:r>
          </w:p>
          <w:p w14:paraId="495CC521" w14:textId="22C857C6" w:rsidR="009E25A1" w:rsidRPr="009E25A1" w:rsidRDefault="009E25A1" w:rsidP="009B3815">
            <w:pPr>
              <w:jc w:val="both"/>
              <w:rPr>
                <w:bCs/>
                <w:sz w:val="24"/>
                <w:szCs w:val="24"/>
              </w:rPr>
            </w:pPr>
            <w:r w:rsidRPr="009E25A1">
              <w:rPr>
                <w:bCs/>
                <w:sz w:val="24"/>
                <w:szCs w:val="24"/>
              </w:rPr>
              <w:t>Corporate Safeguarding Policy</w:t>
            </w:r>
            <w:r>
              <w:rPr>
                <w:bCs/>
                <w:sz w:val="24"/>
                <w:szCs w:val="24"/>
              </w:rPr>
              <w:t xml:space="preserve"> (XXX, 2023)</w:t>
            </w:r>
          </w:p>
          <w:p w14:paraId="4746A4D0" w14:textId="24CC2ADA" w:rsidR="00496A60" w:rsidRPr="00496A60" w:rsidRDefault="00496A60" w:rsidP="009B3815">
            <w:pPr>
              <w:jc w:val="both"/>
              <w:rPr>
                <w:bCs/>
                <w:sz w:val="24"/>
                <w:szCs w:val="24"/>
              </w:rPr>
            </w:pPr>
            <w:r>
              <w:rPr>
                <w:bCs/>
                <w:sz w:val="24"/>
                <w:szCs w:val="24"/>
              </w:rPr>
              <w:t>Human Rights Act 1998</w:t>
            </w:r>
          </w:p>
          <w:p w14:paraId="5036931E" w14:textId="1F3BEE1B" w:rsidR="00496A60" w:rsidRPr="00496A60" w:rsidRDefault="00496A60" w:rsidP="009B3815">
            <w:pPr>
              <w:jc w:val="both"/>
              <w:rPr>
                <w:bCs/>
                <w:sz w:val="24"/>
                <w:szCs w:val="24"/>
              </w:rPr>
            </w:pPr>
            <w:r w:rsidRPr="00496A60">
              <w:rPr>
                <w:bCs/>
                <w:sz w:val="24"/>
                <w:szCs w:val="24"/>
              </w:rPr>
              <w:t>Mental Capacity Act (2005)</w:t>
            </w:r>
          </w:p>
          <w:p w14:paraId="2AB9FC23" w14:textId="25132F8D" w:rsidR="00496A60" w:rsidRDefault="00496A60" w:rsidP="009B3815">
            <w:pPr>
              <w:jc w:val="both"/>
              <w:rPr>
                <w:bCs/>
                <w:sz w:val="24"/>
                <w:szCs w:val="24"/>
              </w:rPr>
            </w:pPr>
            <w:r w:rsidRPr="00496A60">
              <w:rPr>
                <w:bCs/>
                <w:sz w:val="24"/>
                <w:szCs w:val="24"/>
              </w:rPr>
              <w:t xml:space="preserve">Social Services and Wellbeing (Wales) Act </w:t>
            </w:r>
            <w:r>
              <w:rPr>
                <w:bCs/>
                <w:sz w:val="24"/>
                <w:szCs w:val="24"/>
              </w:rPr>
              <w:t>(</w:t>
            </w:r>
            <w:r w:rsidRPr="00496A60">
              <w:rPr>
                <w:bCs/>
                <w:sz w:val="24"/>
                <w:szCs w:val="24"/>
              </w:rPr>
              <w:t>2014)</w:t>
            </w:r>
          </w:p>
          <w:p w14:paraId="5EDEB7F0" w14:textId="34630AC8" w:rsidR="0081531A" w:rsidRDefault="0081531A" w:rsidP="009B3815">
            <w:pPr>
              <w:jc w:val="both"/>
              <w:rPr>
                <w:bCs/>
                <w:sz w:val="24"/>
                <w:szCs w:val="24"/>
              </w:rPr>
            </w:pPr>
            <w:r w:rsidRPr="0081531A">
              <w:rPr>
                <w:bCs/>
                <w:sz w:val="24"/>
                <w:szCs w:val="24"/>
              </w:rPr>
              <w:t>The Adult Protection and Support Orders (Authorised Officer) (Wales) Regulations 2015</w:t>
            </w:r>
          </w:p>
          <w:p w14:paraId="7BC46DB3" w14:textId="77777777" w:rsidR="00496A60" w:rsidRDefault="00496A60" w:rsidP="009B3815">
            <w:pPr>
              <w:jc w:val="both"/>
              <w:rPr>
                <w:bCs/>
                <w:sz w:val="24"/>
                <w:szCs w:val="24"/>
              </w:rPr>
            </w:pPr>
            <w:r w:rsidRPr="00496A60">
              <w:rPr>
                <w:bCs/>
                <w:sz w:val="24"/>
                <w:szCs w:val="24"/>
              </w:rPr>
              <w:t>The United Nations Principles for Older Persons (1991)</w:t>
            </w:r>
          </w:p>
          <w:p w14:paraId="0F77CFB0" w14:textId="408C3E66" w:rsidR="00D105B7" w:rsidRDefault="00D105B7" w:rsidP="009B3815">
            <w:pPr>
              <w:jc w:val="both"/>
              <w:rPr>
                <w:bCs/>
                <w:sz w:val="24"/>
                <w:szCs w:val="24"/>
              </w:rPr>
            </w:pPr>
            <w:r>
              <w:rPr>
                <w:bCs/>
                <w:sz w:val="24"/>
                <w:szCs w:val="24"/>
              </w:rPr>
              <w:t>Wales Safeguarding Procedures (2019)</w:t>
            </w:r>
          </w:p>
          <w:p w14:paraId="03BD6D93" w14:textId="46871C47" w:rsidR="00C34960" w:rsidRPr="00496A60" w:rsidRDefault="00C34960" w:rsidP="009B3815">
            <w:pPr>
              <w:jc w:val="both"/>
              <w:rPr>
                <w:bCs/>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2DB61764" w14:textId="77777777" w:rsidR="00EB1345" w:rsidRPr="006108C9" w:rsidRDefault="00EB1345" w:rsidP="00EB1345">
            <w:pPr>
              <w:jc w:val="both"/>
              <w:rPr>
                <w:sz w:val="24"/>
                <w:szCs w:val="24"/>
              </w:rPr>
            </w:pPr>
          </w:p>
          <w:p w14:paraId="3DAC28A0" w14:textId="77777777" w:rsidR="00EB1345" w:rsidRDefault="00EB1345" w:rsidP="00EB1345">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Pr>
                <w:i/>
                <w:sz w:val="24"/>
                <w:szCs w:val="24"/>
              </w:rPr>
              <w:t>.</w:t>
            </w:r>
          </w:p>
          <w:p w14:paraId="473D6ECB" w14:textId="77777777" w:rsidR="00C53633" w:rsidRDefault="00C53633" w:rsidP="00EB1345">
            <w:pPr>
              <w:jc w:val="both"/>
              <w:rPr>
                <w:i/>
                <w:sz w:val="24"/>
                <w:szCs w:val="24"/>
              </w:rPr>
            </w:pPr>
          </w:p>
          <w:p w14:paraId="448D1881" w14:textId="1B51206A" w:rsidR="00C53633" w:rsidRPr="00C53633" w:rsidRDefault="00C53633" w:rsidP="00C53633">
            <w:pPr>
              <w:spacing w:line="360" w:lineRule="auto"/>
              <w:jc w:val="both"/>
              <w:rPr>
                <w:iCs/>
                <w:sz w:val="24"/>
                <w:szCs w:val="24"/>
              </w:rPr>
            </w:pPr>
            <w:r w:rsidRPr="00C53633">
              <w:rPr>
                <w:iCs/>
                <w:sz w:val="24"/>
                <w:szCs w:val="24"/>
              </w:rPr>
              <w:t xml:space="preserve">In Wales, the legal framework for safeguarding children and adults has some key differences. </w:t>
            </w:r>
            <w:r>
              <w:rPr>
                <w:iCs/>
                <w:sz w:val="24"/>
                <w:szCs w:val="24"/>
              </w:rPr>
              <w:t>‘At risk’ Adults</w:t>
            </w:r>
            <w:r w:rsidRPr="00C53633">
              <w:rPr>
                <w:iCs/>
                <w:sz w:val="24"/>
                <w:szCs w:val="24"/>
              </w:rPr>
              <w:t xml:space="preserve"> </w:t>
            </w:r>
            <w:r>
              <w:rPr>
                <w:iCs/>
                <w:sz w:val="24"/>
                <w:szCs w:val="24"/>
              </w:rPr>
              <w:t>are</w:t>
            </w:r>
            <w:r w:rsidRPr="00C53633">
              <w:rPr>
                <w:iCs/>
                <w:sz w:val="24"/>
                <w:szCs w:val="24"/>
              </w:rPr>
              <w:t xml:space="preserve"> protected under the Social Services and Wellbeing (Wales) Act 2014</w:t>
            </w:r>
            <w:r>
              <w:rPr>
                <w:iCs/>
                <w:sz w:val="24"/>
                <w:szCs w:val="24"/>
              </w:rPr>
              <w:t xml:space="preserve"> [SSWBA]</w:t>
            </w:r>
            <w:r w:rsidRPr="00C53633">
              <w:rPr>
                <w:iCs/>
                <w:sz w:val="24"/>
                <w:szCs w:val="24"/>
              </w:rPr>
              <w:t xml:space="preserve"> </w:t>
            </w:r>
            <w:r>
              <w:rPr>
                <w:iCs/>
                <w:sz w:val="24"/>
                <w:szCs w:val="24"/>
              </w:rPr>
              <w:t xml:space="preserve">with reporting mechanisms to the local safeguarding adults board. </w:t>
            </w:r>
            <w:r w:rsidRPr="00C53633">
              <w:rPr>
                <w:iCs/>
                <w:sz w:val="24"/>
                <w:szCs w:val="24"/>
              </w:rPr>
              <w:t>The National Safeguarding Boards ensure a coordinated multi-agency response to safeguarding is taken in Wales</w:t>
            </w:r>
            <w:r>
              <w:rPr>
                <w:iCs/>
                <w:sz w:val="24"/>
                <w:szCs w:val="24"/>
              </w:rPr>
              <w:t>. Within children’s the primary legislation remains Childrens Act (1989) alongside [SSWBA] 2014. Concerns regarding children should be reported to the Local Authority or relevant child protection agency i.e. NSPCC.</w:t>
            </w:r>
          </w:p>
          <w:p w14:paraId="490EB763" w14:textId="77777777" w:rsidR="00423226" w:rsidRDefault="00423226" w:rsidP="00EB1345">
            <w:pPr>
              <w:jc w:val="both"/>
              <w:rPr>
                <w:i/>
                <w:sz w:val="24"/>
                <w:szCs w:val="24"/>
              </w:rPr>
            </w:pPr>
          </w:p>
          <w:p w14:paraId="795C6051" w14:textId="77777777" w:rsidR="00FC0334" w:rsidRDefault="00FC0334" w:rsidP="00FC0334">
            <w:pPr>
              <w:jc w:val="both"/>
              <w:rPr>
                <w:sz w:val="24"/>
                <w:szCs w:val="24"/>
              </w:rPr>
            </w:pPr>
          </w:p>
          <w:p w14:paraId="161B3188" w14:textId="4487EF09" w:rsidR="00B523DC" w:rsidRDefault="006C2AE8" w:rsidP="006C2AE8">
            <w:pPr>
              <w:spacing w:line="360" w:lineRule="auto"/>
              <w:jc w:val="both"/>
              <w:rPr>
                <w:sz w:val="24"/>
                <w:szCs w:val="24"/>
              </w:rPr>
            </w:pPr>
            <w:r>
              <w:rPr>
                <w:sz w:val="24"/>
                <w:szCs w:val="24"/>
              </w:rPr>
              <w:t>In respect of the differences between safeguarding adults and children there is one main differences in relation to the autonomy and decision-making powers afforded to the individual deemed to be at risk. A</w:t>
            </w:r>
            <w:r w:rsidR="00423226">
              <w:rPr>
                <w:sz w:val="24"/>
                <w:szCs w:val="24"/>
              </w:rPr>
              <w:t>n</w:t>
            </w:r>
            <w:r>
              <w:rPr>
                <w:sz w:val="24"/>
                <w:szCs w:val="24"/>
              </w:rPr>
              <w:t xml:space="preserve"> adult who is deemed to be at risk has the </w:t>
            </w:r>
            <w:r w:rsidRPr="006C2AE8">
              <w:rPr>
                <w:sz w:val="24"/>
                <w:szCs w:val="24"/>
              </w:rPr>
              <w:t>self</w:t>
            </w:r>
            <w:r>
              <w:rPr>
                <w:sz w:val="24"/>
                <w:szCs w:val="24"/>
              </w:rPr>
              <w:t xml:space="preserve">-governance to make their own decisions, even if these are perceived by professionals to be ‘risky’ as long as they </w:t>
            </w:r>
            <w:r>
              <w:rPr>
                <w:sz w:val="24"/>
                <w:szCs w:val="24"/>
              </w:rPr>
              <w:lastRenderedPageBreak/>
              <w:t>are deemed under the Mental Capacity Act (2005) to have the mental capacity to make that decision and as long as that decision making is not deemed to be a risk to their own health and safety or the safety of others in which case they may be detained under the Mental Health Act (1983).</w:t>
            </w:r>
            <w:r w:rsidR="005B5323">
              <w:rPr>
                <w:sz w:val="24"/>
                <w:szCs w:val="24"/>
              </w:rPr>
              <w:t xml:space="preserve"> Categories of abuse within adults also differ i.e., inclusion of financial abuse- this can be very difficult as adults with capacity could make choices to continue in situations even if they know they are being taken advantage of.</w:t>
            </w:r>
          </w:p>
          <w:p w14:paraId="6F895CE1" w14:textId="6637F07F" w:rsidR="006C2AE8" w:rsidRDefault="006C2AE8" w:rsidP="006C2AE8">
            <w:pPr>
              <w:spacing w:line="360" w:lineRule="auto"/>
              <w:jc w:val="both"/>
              <w:rPr>
                <w:sz w:val="24"/>
                <w:szCs w:val="24"/>
              </w:rPr>
            </w:pPr>
          </w:p>
          <w:p w14:paraId="5050E998" w14:textId="10B6F4B7" w:rsidR="006C2AE8" w:rsidRDefault="006C2AE8" w:rsidP="006C2AE8">
            <w:pPr>
              <w:spacing w:line="360" w:lineRule="auto"/>
              <w:jc w:val="both"/>
              <w:rPr>
                <w:sz w:val="24"/>
                <w:szCs w:val="24"/>
              </w:rPr>
            </w:pPr>
            <w:r>
              <w:rPr>
                <w:sz w:val="24"/>
                <w:szCs w:val="24"/>
              </w:rPr>
              <w:t xml:space="preserve">Within children’s safeguarding </w:t>
            </w:r>
            <w:r w:rsidR="00423226">
              <w:rPr>
                <w:sz w:val="24"/>
                <w:szCs w:val="24"/>
              </w:rPr>
              <w:t xml:space="preserve">if </w:t>
            </w:r>
            <w:r>
              <w:rPr>
                <w:sz w:val="24"/>
                <w:szCs w:val="24"/>
              </w:rPr>
              <w:t>the Local Authority deems the threshold has been met for significant harm (Children Act, 1989) social services have a responsibility to investigate regardless of the parents or child’s wishes</w:t>
            </w:r>
            <w:r w:rsidR="002F1F78">
              <w:rPr>
                <w:sz w:val="24"/>
                <w:szCs w:val="24"/>
              </w:rPr>
              <w:t xml:space="preserve">. Although engagement and cooperation is always sought from families their consent can </w:t>
            </w:r>
            <w:r w:rsidR="00A413E5">
              <w:rPr>
                <w:sz w:val="24"/>
                <w:szCs w:val="24"/>
              </w:rPr>
              <w:t xml:space="preserve">be </w:t>
            </w:r>
            <w:r w:rsidR="00A413E5" w:rsidRPr="002F1F78">
              <w:rPr>
                <w:sz w:val="24"/>
                <w:szCs w:val="24"/>
              </w:rPr>
              <w:t>superseded</w:t>
            </w:r>
            <w:r w:rsidR="002F1F78">
              <w:rPr>
                <w:sz w:val="24"/>
                <w:szCs w:val="24"/>
              </w:rPr>
              <w:t xml:space="preserve"> in the interests of the child’s welfare.</w:t>
            </w:r>
            <w:r w:rsidR="00423226">
              <w:rPr>
                <w:sz w:val="24"/>
                <w:szCs w:val="24"/>
              </w:rPr>
              <w:t xml:space="preserve"> Children’s capacity to make decisions is determined through </w:t>
            </w:r>
            <w:r w:rsidR="00423226" w:rsidRPr="00423226">
              <w:rPr>
                <w:sz w:val="24"/>
                <w:szCs w:val="24"/>
              </w:rPr>
              <w:t xml:space="preserve">Gillick </w:t>
            </w:r>
            <w:r w:rsidR="005F28C9" w:rsidRPr="00423226">
              <w:rPr>
                <w:sz w:val="24"/>
                <w:szCs w:val="24"/>
              </w:rPr>
              <w:t xml:space="preserve">competency </w:t>
            </w:r>
            <w:r w:rsidR="005F28C9">
              <w:rPr>
                <w:sz w:val="24"/>
                <w:szCs w:val="24"/>
              </w:rPr>
              <w:t>assessment</w:t>
            </w:r>
            <w:r w:rsidR="00423226">
              <w:rPr>
                <w:sz w:val="24"/>
                <w:szCs w:val="24"/>
              </w:rPr>
              <w:t xml:space="preserve">, in consideration of their age and level if understanding, which </w:t>
            </w:r>
            <w:r w:rsidR="00423226" w:rsidRPr="00423226">
              <w:rPr>
                <w:sz w:val="24"/>
                <w:szCs w:val="24"/>
              </w:rPr>
              <w:t>help people who work with children to balance the need to listen to children's wishes with the responsibility to keep them safe</w:t>
            </w:r>
            <w:r w:rsidR="00423226">
              <w:rPr>
                <w:sz w:val="24"/>
                <w:szCs w:val="24"/>
              </w:rPr>
              <w:t xml:space="preserve"> (Hayes et al, 2012).</w:t>
            </w:r>
          </w:p>
          <w:p w14:paraId="2DE00061" w14:textId="77777777" w:rsidR="005F28C9" w:rsidRDefault="005F28C9" w:rsidP="006C2AE8">
            <w:pPr>
              <w:spacing w:line="360" w:lineRule="auto"/>
              <w:jc w:val="both"/>
              <w:rPr>
                <w:sz w:val="24"/>
                <w:szCs w:val="24"/>
              </w:rPr>
            </w:pPr>
          </w:p>
          <w:p w14:paraId="69894874" w14:textId="52393296" w:rsidR="005F28C9" w:rsidRDefault="005F28C9" w:rsidP="006C2AE8">
            <w:pPr>
              <w:spacing w:line="360" w:lineRule="auto"/>
              <w:jc w:val="both"/>
              <w:rPr>
                <w:sz w:val="24"/>
                <w:szCs w:val="24"/>
              </w:rPr>
            </w:pPr>
            <w:r>
              <w:rPr>
                <w:sz w:val="24"/>
                <w:szCs w:val="24"/>
              </w:rPr>
              <w:t>Another difference is in the involvement of parents/guardians in the safeguarding process. In children’s safeguarding, parents and carers are often widely considered and strongly involved within the safeguarding process. Douglas and Fourie (2012) discusses the importance of seeking to understand the parents perspective of the safeguarding process and ensuring they are partners in the assessment. This is in contrast to adults safeguarding within which the focus is often on an individual adult,</w:t>
            </w:r>
            <w:r w:rsidR="00FD40A2">
              <w:rPr>
                <w:sz w:val="24"/>
                <w:szCs w:val="24"/>
              </w:rPr>
              <w:t xml:space="preserve"> </w:t>
            </w:r>
            <w:r>
              <w:rPr>
                <w:sz w:val="24"/>
                <w:szCs w:val="24"/>
              </w:rPr>
              <w:t xml:space="preserve">with limited emphasis on family </w:t>
            </w:r>
            <w:r w:rsidR="00FD40A2">
              <w:rPr>
                <w:sz w:val="24"/>
                <w:szCs w:val="24"/>
              </w:rPr>
              <w:t xml:space="preserve">unless it is deemed to be in the adult’s best interests, or they lack capacity to make decisions.  </w:t>
            </w:r>
          </w:p>
          <w:p w14:paraId="00D1EFB8" w14:textId="77777777" w:rsidR="006C2AE8" w:rsidRDefault="006C2AE8" w:rsidP="006C2AE8">
            <w:pPr>
              <w:spacing w:line="360" w:lineRule="auto"/>
              <w:rPr>
                <w:sz w:val="24"/>
                <w:szCs w:val="24"/>
              </w:rPr>
            </w:pPr>
          </w:p>
          <w:p w14:paraId="39A2351D" w14:textId="1338DCF8" w:rsidR="006C2AE8" w:rsidRDefault="006C2AE8" w:rsidP="006C2AE8">
            <w:pPr>
              <w:spacing w:line="360" w:lineRule="auto"/>
              <w:rPr>
                <w:b/>
                <w:bCs/>
                <w:sz w:val="24"/>
                <w:szCs w:val="24"/>
              </w:rPr>
            </w:pPr>
            <w:r w:rsidRPr="006C2AE8">
              <w:rPr>
                <w:b/>
                <w:bCs/>
                <w:sz w:val="24"/>
                <w:szCs w:val="24"/>
              </w:rPr>
              <w:t xml:space="preserve">Word Count- </w:t>
            </w:r>
            <w:r w:rsidR="00C53633">
              <w:rPr>
                <w:b/>
                <w:bCs/>
                <w:sz w:val="24"/>
                <w:szCs w:val="24"/>
              </w:rPr>
              <w:t xml:space="preserve"> 4</w:t>
            </w:r>
            <w:r w:rsidR="005B5323">
              <w:rPr>
                <w:b/>
                <w:bCs/>
                <w:sz w:val="24"/>
                <w:szCs w:val="24"/>
              </w:rPr>
              <w:t>34</w:t>
            </w:r>
          </w:p>
          <w:p w14:paraId="66DEEB07" w14:textId="77777777" w:rsidR="006C2AE8" w:rsidRPr="006C2AE8" w:rsidRDefault="006C2AE8" w:rsidP="006C2AE8">
            <w:pPr>
              <w:spacing w:line="360" w:lineRule="auto"/>
              <w:rPr>
                <w:b/>
                <w:bCs/>
                <w:sz w:val="24"/>
                <w:szCs w:val="24"/>
              </w:rPr>
            </w:pPr>
          </w:p>
          <w:p w14:paraId="5102CF04" w14:textId="77777777" w:rsidR="006C2AE8" w:rsidRDefault="006C2AE8" w:rsidP="006C2AE8">
            <w:pPr>
              <w:spacing w:line="360" w:lineRule="auto"/>
              <w:rPr>
                <w:b/>
                <w:bCs/>
                <w:sz w:val="24"/>
                <w:szCs w:val="24"/>
              </w:rPr>
            </w:pPr>
            <w:r w:rsidRPr="006C2AE8">
              <w:rPr>
                <w:b/>
                <w:bCs/>
                <w:sz w:val="24"/>
                <w:szCs w:val="24"/>
              </w:rPr>
              <w:t>References</w:t>
            </w:r>
          </w:p>
          <w:p w14:paraId="37411946" w14:textId="48E16519" w:rsidR="006C2AE8" w:rsidRDefault="006C2AE8" w:rsidP="006C2AE8">
            <w:pPr>
              <w:spacing w:line="360" w:lineRule="auto"/>
              <w:rPr>
                <w:sz w:val="24"/>
                <w:szCs w:val="24"/>
              </w:rPr>
            </w:pPr>
            <w:r w:rsidRPr="006C2AE8">
              <w:rPr>
                <w:sz w:val="24"/>
                <w:szCs w:val="24"/>
              </w:rPr>
              <w:t>Children Act (1989)</w:t>
            </w:r>
          </w:p>
          <w:p w14:paraId="2379E32C" w14:textId="1A5268A1" w:rsidR="005F28C9" w:rsidRDefault="005F28C9" w:rsidP="006C2AE8">
            <w:pPr>
              <w:spacing w:line="360" w:lineRule="auto"/>
              <w:rPr>
                <w:sz w:val="24"/>
                <w:szCs w:val="24"/>
              </w:rPr>
            </w:pPr>
            <w:r w:rsidRPr="005F28C9">
              <w:rPr>
                <w:sz w:val="24"/>
                <w:szCs w:val="24"/>
              </w:rPr>
              <w:t>Douglas, V., Fourie, J. (2021</w:t>
            </w:r>
            <w:r w:rsidRPr="005F28C9">
              <w:rPr>
                <w:i/>
                <w:iCs/>
                <w:sz w:val="24"/>
                <w:szCs w:val="24"/>
              </w:rPr>
              <w:t>). Safeguarding Children, Young People and Families</w:t>
            </w:r>
            <w:r w:rsidRPr="005F28C9">
              <w:rPr>
                <w:sz w:val="24"/>
                <w:szCs w:val="24"/>
              </w:rPr>
              <w:t>. United Kingdom: SAGE Publications.</w:t>
            </w:r>
          </w:p>
          <w:p w14:paraId="6872A10B" w14:textId="6AE66631" w:rsidR="00423226" w:rsidRPr="006C2AE8" w:rsidRDefault="00423226" w:rsidP="006C2AE8">
            <w:pPr>
              <w:spacing w:line="360" w:lineRule="auto"/>
              <w:rPr>
                <w:sz w:val="24"/>
                <w:szCs w:val="24"/>
              </w:rPr>
            </w:pPr>
            <w:r w:rsidRPr="00423226">
              <w:rPr>
                <w:sz w:val="24"/>
                <w:szCs w:val="24"/>
              </w:rPr>
              <w:lastRenderedPageBreak/>
              <w:t>Hayes, M., Gilmore, S., Glennon, L., Williams, C. (2012). </w:t>
            </w:r>
            <w:r w:rsidRPr="005F28C9">
              <w:rPr>
                <w:i/>
                <w:iCs/>
                <w:sz w:val="24"/>
                <w:szCs w:val="24"/>
              </w:rPr>
              <w:t>Hayes and Williams' Family Law</w:t>
            </w:r>
            <w:r w:rsidRPr="00423226">
              <w:rPr>
                <w:sz w:val="24"/>
                <w:szCs w:val="24"/>
              </w:rPr>
              <w:t>. United Kingdom: OUP Oxford.</w:t>
            </w:r>
          </w:p>
          <w:p w14:paraId="086D6392" w14:textId="77777777" w:rsidR="006C2AE8" w:rsidRDefault="006C2AE8" w:rsidP="006C2AE8">
            <w:pPr>
              <w:spacing w:line="360" w:lineRule="auto"/>
              <w:rPr>
                <w:sz w:val="24"/>
                <w:szCs w:val="24"/>
              </w:rPr>
            </w:pPr>
            <w:r>
              <w:rPr>
                <w:sz w:val="24"/>
                <w:szCs w:val="24"/>
              </w:rPr>
              <w:t>Mental Capacity Act (2005)</w:t>
            </w:r>
          </w:p>
          <w:p w14:paraId="374CF020" w14:textId="5DECE1B6" w:rsidR="006C2AE8" w:rsidRDefault="006C2AE8" w:rsidP="006C2AE8">
            <w:pPr>
              <w:spacing w:line="360" w:lineRule="auto"/>
              <w:rPr>
                <w:sz w:val="24"/>
                <w:szCs w:val="24"/>
              </w:rPr>
            </w:pPr>
            <w:r>
              <w:rPr>
                <w:sz w:val="24"/>
                <w:szCs w:val="24"/>
              </w:rPr>
              <w:t>Mental Health Act (1983)</w:t>
            </w:r>
          </w:p>
          <w:p w14:paraId="4F883BE8" w14:textId="139843D3" w:rsidR="00C53633" w:rsidRDefault="00C53633" w:rsidP="006C2AE8">
            <w:pPr>
              <w:spacing w:line="360" w:lineRule="auto"/>
              <w:rPr>
                <w:sz w:val="24"/>
                <w:szCs w:val="24"/>
              </w:rPr>
            </w:pPr>
            <w:r>
              <w:rPr>
                <w:sz w:val="24"/>
                <w:szCs w:val="24"/>
              </w:rPr>
              <w:t>Social Services and Wellbeing (Wales) Act 2014</w:t>
            </w:r>
          </w:p>
          <w:p w14:paraId="08760B3D" w14:textId="2F699E5E" w:rsidR="006C2AE8" w:rsidRPr="006108C9" w:rsidRDefault="006C2AE8" w:rsidP="00D20524">
            <w:pPr>
              <w:spacing w:line="360" w:lineRule="auto"/>
              <w:jc w:val="center"/>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4ACF37" w14:textId="77777777" w:rsidR="00CD2CBA" w:rsidRDefault="00CD2CBA">
      <w:r>
        <w:separator/>
      </w:r>
    </w:p>
  </w:endnote>
  <w:endnote w:type="continuationSeparator" w:id="0">
    <w:p w14:paraId="08A49070" w14:textId="77777777" w:rsidR="00CD2CBA" w:rsidRDefault="00CD2C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FAEED" w14:textId="77777777" w:rsidR="00CD2CBA" w:rsidRDefault="00CD2CBA">
      <w:r>
        <w:separator/>
      </w:r>
    </w:p>
  </w:footnote>
  <w:footnote w:type="continuationSeparator" w:id="0">
    <w:p w14:paraId="4D806177" w14:textId="77777777" w:rsidR="00CD2CBA" w:rsidRDefault="00CD2C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4908"/>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402A"/>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E347B"/>
    <w:rsid w:val="001F4552"/>
    <w:rsid w:val="002019EB"/>
    <w:rsid w:val="00204B58"/>
    <w:rsid w:val="00205051"/>
    <w:rsid w:val="00211F65"/>
    <w:rsid w:val="00214047"/>
    <w:rsid w:val="00216563"/>
    <w:rsid w:val="0021792F"/>
    <w:rsid w:val="00220D06"/>
    <w:rsid w:val="002246A0"/>
    <w:rsid w:val="00230439"/>
    <w:rsid w:val="002327CD"/>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839FA"/>
    <w:rsid w:val="00291ADD"/>
    <w:rsid w:val="002920DF"/>
    <w:rsid w:val="00292F3D"/>
    <w:rsid w:val="00295CA1"/>
    <w:rsid w:val="00296E45"/>
    <w:rsid w:val="002A0DFB"/>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78"/>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6737A"/>
    <w:rsid w:val="0037066E"/>
    <w:rsid w:val="00372DB4"/>
    <w:rsid w:val="00373A36"/>
    <w:rsid w:val="0037419E"/>
    <w:rsid w:val="00375AF5"/>
    <w:rsid w:val="003761BD"/>
    <w:rsid w:val="00377448"/>
    <w:rsid w:val="00377884"/>
    <w:rsid w:val="003826BD"/>
    <w:rsid w:val="00383FD7"/>
    <w:rsid w:val="00385414"/>
    <w:rsid w:val="00390074"/>
    <w:rsid w:val="00392F73"/>
    <w:rsid w:val="00393600"/>
    <w:rsid w:val="0039762B"/>
    <w:rsid w:val="003A0C37"/>
    <w:rsid w:val="003A1B6B"/>
    <w:rsid w:val="003A46C0"/>
    <w:rsid w:val="003A600E"/>
    <w:rsid w:val="003A6513"/>
    <w:rsid w:val="003B1536"/>
    <w:rsid w:val="003B16C7"/>
    <w:rsid w:val="003B3115"/>
    <w:rsid w:val="003B435E"/>
    <w:rsid w:val="003C19F1"/>
    <w:rsid w:val="003C2948"/>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5DA8"/>
    <w:rsid w:val="003F67A4"/>
    <w:rsid w:val="00400786"/>
    <w:rsid w:val="00401FDA"/>
    <w:rsid w:val="004046F0"/>
    <w:rsid w:val="0040668F"/>
    <w:rsid w:val="00411EF7"/>
    <w:rsid w:val="00412677"/>
    <w:rsid w:val="00423226"/>
    <w:rsid w:val="00425160"/>
    <w:rsid w:val="00430DE3"/>
    <w:rsid w:val="004348AE"/>
    <w:rsid w:val="004376C0"/>
    <w:rsid w:val="0044223A"/>
    <w:rsid w:val="00450B67"/>
    <w:rsid w:val="00451851"/>
    <w:rsid w:val="0045189A"/>
    <w:rsid w:val="00453343"/>
    <w:rsid w:val="004538C3"/>
    <w:rsid w:val="00457E1C"/>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96A60"/>
    <w:rsid w:val="004A2A49"/>
    <w:rsid w:val="004A5A64"/>
    <w:rsid w:val="004B5553"/>
    <w:rsid w:val="004B600B"/>
    <w:rsid w:val="004B6822"/>
    <w:rsid w:val="004B69F6"/>
    <w:rsid w:val="004C2D3A"/>
    <w:rsid w:val="004D03C4"/>
    <w:rsid w:val="004D0BF1"/>
    <w:rsid w:val="004D0F4E"/>
    <w:rsid w:val="004D1C96"/>
    <w:rsid w:val="004D3278"/>
    <w:rsid w:val="004D35A4"/>
    <w:rsid w:val="004D445F"/>
    <w:rsid w:val="004D5F84"/>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363B0"/>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7AB"/>
    <w:rsid w:val="00594F9F"/>
    <w:rsid w:val="005A1B4C"/>
    <w:rsid w:val="005A545C"/>
    <w:rsid w:val="005B134C"/>
    <w:rsid w:val="005B271A"/>
    <w:rsid w:val="005B3A2D"/>
    <w:rsid w:val="005B5323"/>
    <w:rsid w:val="005C1567"/>
    <w:rsid w:val="005C28D3"/>
    <w:rsid w:val="005C6CE5"/>
    <w:rsid w:val="005D3F07"/>
    <w:rsid w:val="005D4A1E"/>
    <w:rsid w:val="005D4F72"/>
    <w:rsid w:val="005E13EA"/>
    <w:rsid w:val="005E17F1"/>
    <w:rsid w:val="005F28C9"/>
    <w:rsid w:val="005F64AA"/>
    <w:rsid w:val="005F6AB7"/>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AE8"/>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0F46"/>
    <w:rsid w:val="007A1F6A"/>
    <w:rsid w:val="007A628F"/>
    <w:rsid w:val="007A693F"/>
    <w:rsid w:val="007B0DE3"/>
    <w:rsid w:val="007B1BFD"/>
    <w:rsid w:val="007B7191"/>
    <w:rsid w:val="007C1D94"/>
    <w:rsid w:val="007C556F"/>
    <w:rsid w:val="007C5ABE"/>
    <w:rsid w:val="007C6A87"/>
    <w:rsid w:val="007D0A07"/>
    <w:rsid w:val="007D0F11"/>
    <w:rsid w:val="007D133D"/>
    <w:rsid w:val="007D3EB4"/>
    <w:rsid w:val="007D3F16"/>
    <w:rsid w:val="007E5581"/>
    <w:rsid w:val="007F10BD"/>
    <w:rsid w:val="007F312E"/>
    <w:rsid w:val="007F3F7E"/>
    <w:rsid w:val="007F4BA4"/>
    <w:rsid w:val="00813CEC"/>
    <w:rsid w:val="0081531A"/>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228F"/>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8F1"/>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0BA"/>
    <w:rsid w:val="0098262C"/>
    <w:rsid w:val="0098427C"/>
    <w:rsid w:val="00986B43"/>
    <w:rsid w:val="00986C0B"/>
    <w:rsid w:val="00986D46"/>
    <w:rsid w:val="00991FDA"/>
    <w:rsid w:val="00992ACA"/>
    <w:rsid w:val="009A5F3B"/>
    <w:rsid w:val="009A5F79"/>
    <w:rsid w:val="009A6F87"/>
    <w:rsid w:val="009B006F"/>
    <w:rsid w:val="009B0B61"/>
    <w:rsid w:val="009B28C0"/>
    <w:rsid w:val="009B3178"/>
    <w:rsid w:val="009B3815"/>
    <w:rsid w:val="009B3E46"/>
    <w:rsid w:val="009B7136"/>
    <w:rsid w:val="009C337F"/>
    <w:rsid w:val="009C53E7"/>
    <w:rsid w:val="009C6092"/>
    <w:rsid w:val="009C7342"/>
    <w:rsid w:val="009D4365"/>
    <w:rsid w:val="009D477B"/>
    <w:rsid w:val="009D4E3B"/>
    <w:rsid w:val="009D59C2"/>
    <w:rsid w:val="009D7BC9"/>
    <w:rsid w:val="009E122F"/>
    <w:rsid w:val="009E1982"/>
    <w:rsid w:val="009E25A1"/>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13E5"/>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97E89"/>
    <w:rsid w:val="00AA252C"/>
    <w:rsid w:val="00AA666E"/>
    <w:rsid w:val="00AA7960"/>
    <w:rsid w:val="00AB5518"/>
    <w:rsid w:val="00AC3A0E"/>
    <w:rsid w:val="00AC4A04"/>
    <w:rsid w:val="00AC5679"/>
    <w:rsid w:val="00AD336F"/>
    <w:rsid w:val="00AE134C"/>
    <w:rsid w:val="00AE1868"/>
    <w:rsid w:val="00AE2564"/>
    <w:rsid w:val="00AE301F"/>
    <w:rsid w:val="00AE3302"/>
    <w:rsid w:val="00AE3EA0"/>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579"/>
    <w:rsid w:val="00B436BF"/>
    <w:rsid w:val="00B47734"/>
    <w:rsid w:val="00B50FBA"/>
    <w:rsid w:val="00B523DC"/>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960"/>
    <w:rsid w:val="00C34C23"/>
    <w:rsid w:val="00C368FA"/>
    <w:rsid w:val="00C42005"/>
    <w:rsid w:val="00C432B6"/>
    <w:rsid w:val="00C4664D"/>
    <w:rsid w:val="00C472AA"/>
    <w:rsid w:val="00C50A05"/>
    <w:rsid w:val="00C53633"/>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03B3"/>
    <w:rsid w:val="00C92C71"/>
    <w:rsid w:val="00C93F8F"/>
    <w:rsid w:val="00CA0894"/>
    <w:rsid w:val="00CA3593"/>
    <w:rsid w:val="00CA5726"/>
    <w:rsid w:val="00CA7E6A"/>
    <w:rsid w:val="00CB000C"/>
    <w:rsid w:val="00CB258E"/>
    <w:rsid w:val="00CB3C8F"/>
    <w:rsid w:val="00CC02F1"/>
    <w:rsid w:val="00CC1122"/>
    <w:rsid w:val="00CC11A6"/>
    <w:rsid w:val="00CC135E"/>
    <w:rsid w:val="00CC7226"/>
    <w:rsid w:val="00CD0735"/>
    <w:rsid w:val="00CD2CBA"/>
    <w:rsid w:val="00CD45E3"/>
    <w:rsid w:val="00CD4771"/>
    <w:rsid w:val="00CD5089"/>
    <w:rsid w:val="00CD5D3F"/>
    <w:rsid w:val="00CD7E1F"/>
    <w:rsid w:val="00CE4BC4"/>
    <w:rsid w:val="00CE7DA2"/>
    <w:rsid w:val="00CF2F8A"/>
    <w:rsid w:val="00CF3DB3"/>
    <w:rsid w:val="00D0274B"/>
    <w:rsid w:val="00D0503D"/>
    <w:rsid w:val="00D052BC"/>
    <w:rsid w:val="00D07026"/>
    <w:rsid w:val="00D105B7"/>
    <w:rsid w:val="00D146AE"/>
    <w:rsid w:val="00D20524"/>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081F"/>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05F8"/>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64E1"/>
    <w:rsid w:val="00E97171"/>
    <w:rsid w:val="00EA4D48"/>
    <w:rsid w:val="00EA7ADF"/>
    <w:rsid w:val="00EB1345"/>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0A2"/>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legds">
    <w:name w:val="legds"/>
    <w:basedOn w:val="DefaultParagraphFont"/>
    <w:rsid w:val="00EB1345"/>
  </w:style>
  <w:style w:type="character" w:styleId="Emphasis">
    <w:name w:val="Emphasis"/>
    <w:basedOn w:val="DefaultParagraphFont"/>
    <w:uiPriority w:val="20"/>
    <w:qFormat/>
    <w:rsid w:val="00EB134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969148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1292</Words>
  <Characters>7371</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8646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thom martin</cp:lastModifiedBy>
  <cp:revision>4</cp:revision>
  <cp:lastPrinted>2020-02-11T19:20:00Z</cp:lastPrinted>
  <dcterms:created xsi:type="dcterms:W3CDTF">2023-10-01T14:05:00Z</dcterms:created>
  <dcterms:modified xsi:type="dcterms:W3CDTF">2023-10-01T14:31:00Z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