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9DAB176" w:rsidP="29DAB176" w:rsidRDefault="29DAB176" w14:paraId="5DDCDA24" w14:textId="2C8B4435">
      <w:pPr>
        <w:pStyle w:val="Normal"/>
        <w:rPr>
          <w:rFonts w:ascii="sans-serif" w:hAnsi="sans-serif" w:eastAsia="sans-serif" w:cs="sans-serif"/>
          <w:b w:val="0"/>
          <w:bCs w:val="0"/>
          <w:i w:val="0"/>
          <w:iCs w:val="0"/>
          <w:caps w:val="0"/>
          <w:smallCaps w:val="0"/>
          <w:noProof w:val="0"/>
          <w:color w:val="202122"/>
          <w:sz w:val="21"/>
          <w:szCs w:val="21"/>
          <w:lang w:val="en-US"/>
        </w:rPr>
      </w:pPr>
      <w:r w:rsidRPr="29DAB176" w:rsidR="29DAB176">
        <w:rPr>
          <w:rFonts w:ascii="sans-serif" w:hAnsi="sans-serif" w:eastAsia="sans-serif" w:cs="sans-serif"/>
          <w:b w:val="0"/>
          <w:bCs w:val="0"/>
          <w:i w:val="0"/>
          <w:iCs w:val="0"/>
          <w:caps w:val="0"/>
          <w:smallCaps w:val="0"/>
          <w:noProof w:val="0"/>
          <w:color w:val="202122"/>
          <w:sz w:val="21"/>
          <w:szCs w:val="21"/>
          <w:lang w:val="en-US"/>
        </w:rPr>
        <w:t xml:space="preserve">In the United Kingdom we have a system of courts which we call the judiciary. The object of these courts is to interpret, defend and apply laws. It can be regarded that the judiciary is a key part in dispute resolutions, under the doctrine of the separation of powers. The judiciary itself does not make statutory law. This falls into the responsibility of the legislature. They also do not enforce the law. That responsibility is left to the executive. They are, however, the part which interprets, </w:t>
      </w:r>
      <w:r w:rsidRPr="29DAB176" w:rsidR="29DAB176">
        <w:rPr>
          <w:rFonts w:ascii="sans-serif" w:hAnsi="sans-serif" w:eastAsia="sans-serif" w:cs="sans-serif"/>
          <w:b w:val="0"/>
          <w:bCs w:val="0"/>
          <w:i w:val="0"/>
          <w:iCs w:val="0"/>
          <w:caps w:val="0"/>
          <w:smallCaps w:val="0"/>
          <w:noProof w:val="0"/>
          <w:color w:val="202122"/>
          <w:sz w:val="20"/>
          <w:szCs w:val="20"/>
          <w:lang w:val="en-US"/>
        </w:rPr>
        <w:t>defends</w:t>
      </w:r>
      <w:r w:rsidRPr="29DAB176" w:rsidR="29DAB176">
        <w:rPr>
          <w:rFonts w:ascii="sans-serif" w:hAnsi="sans-serif" w:eastAsia="sans-serif" w:cs="sans-serif"/>
          <w:b w:val="0"/>
          <w:bCs w:val="0"/>
          <w:i w:val="0"/>
          <w:iCs w:val="0"/>
          <w:caps w:val="0"/>
          <w:smallCaps w:val="0"/>
          <w:noProof w:val="0"/>
          <w:color w:val="202122"/>
          <w:sz w:val="21"/>
          <w:szCs w:val="21"/>
          <w:lang w:val="en-US"/>
        </w:rPr>
        <w:t xml:space="preserve"> </w:t>
      </w:r>
      <w:r w:rsidRPr="29DAB176" w:rsidR="29DAB176">
        <w:rPr>
          <w:rFonts w:ascii="sans-serif" w:hAnsi="sans-serif" w:eastAsia="sans-serif" w:cs="sans-serif"/>
          <w:b w:val="0"/>
          <w:bCs w:val="0"/>
          <w:i w:val="0"/>
          <w:iCs w:val="0"/>
          <w:caps w:val="0"/>
          <w:smallCaps w:val="0"/>
          <w:noProof w:val="0"/>
          <w:color w:val="202122"/>
          <w:sz w:val="21"/>
          <w:szCs w:val="21"/>
          <w:lang w:val="en-US"/>
        </w:rPr>
        <w:t>and applies the law to the facts of each case.</w:t>
      </w:r>
    </w:p>
    <w:p w:rsidR="29DAB176" w:rsidP="43D707AE" w:rsidRDefault="29DAB176" w14:paraId="05ADC1EB" w14:textId="501467E9">
      <w:pPr>
        <w:rPr>
          <w:rFonts w:ascii="sans-serif" w:hAnsi="sans-serif" w:eastAsia="sans-serif" w:cs="sans-serif"/>
          <w:b w:val="0"/>
          <w:bCs w:val="0"/>
          <w:i w:val="0"/>
          <w:iCs w:val="0"/>
          <w:caps w:val="0"/>
          <w:smallCaps w:val="0"/>
          <w:noProof w:val="0"/>
          <w:color w:val="202122"/>
          <w:sz w:val="21"/>
          <w:szCs w:val="21"/>
          <w:lang w:val="en-US"/>
        </w:rPr>
      </w:pPr>
      <w:r w:rsidRPr="43D707AE" w:rsidR="29DAB176">
        <w:rPr>
          <w:rFonts w:ascii="sans-serif" w:hAnsi="sans-serif" w:eastAsia="sans-serif" w:cs="sans-serif"/>
          <w:b w:val="0"/>
          <w:bCs w:val="0"/>
          <w:i w:val="0"/>
          <w:iCs w:val="0"/>
          <w:caps w:val="0"/>
          <w:smallCaps w:val="0"/>
          <w:noProof w:val="0"/>
          <w:color w:val="202122"/>
          <w:sz w:val="21"/>
          <w:szCs w:val="21"/>
          <w:lang w:val="en-US"/>
        </w:rPr>
        <w:t xml:space="preserve">In England and Wales there are various levels of judiciary. These various levels are ordered into a hierarchy of importance. This hierarchy is kept in strict order in which court they sit. This is to help spread the workload between the courts. For example, the court of appeal of England and Wales are given more weight than district judges sitting in their own relative county court. Some judges have United Kingdom-wide </w:t>
      </w:r>
      <w:r w:rsidRPr="43D707AE" w:rsidR="29DAB176">
        <w:rPr>
          <w:rFonts w:ascii="sans-serif" w:hAnsi="sans-serif" w:eastAsia="sans-serif" w:cs="sans-serif"/>
          <w:b w:val="0"/>
          <w:bCs w:val="0"/>
          <w:i w:val="0"/>
          <w:iCs w:val="0"/>
          <w:caps w:val="0"/>
          <w:smallCaps w:val="0"/>
          <w:noProof w:val="0"/>
          <w:color w:val="202122"/>
          <w:sz w:val="21"/>
          <w:szCs w:val="21"/>
          <w:lang w:val="en-US"/>
        </w:rPr>
        <w:t>jurisdiction</w:t>
      </w:r>
      <w:r w:rsidRPr="43D707AE" w:rsidR="29DAB176">
        <w:rPr>
          <w:rFonts w:ascii="sans-serif" w:hAnsi="sans-serif" w:eastAsia="sans-serif" w:cs="sans-serif"/>
          <w:b w:val="0"/>
          <w:bCs w:val="0"/>
          <w:i w:val="0"/>
          <w:iCs w:val="0"/>
          <w:caps w:val="0"/>
          <w:smallCaps w:val="0"/>
          <w:noProof w:val="0"/>
          <w:color w:val="202122"/>
          <w:sz w:val="21"/>
          <w:szCs w:val="21"/>
          <w:lang w:val="en-US"/>
        </w:rPr>
        <w:t xml:space="preserve">. As for example they can sit in the England and Wales court but can also </w:t>
      </w:r>
      <w:r w:rsidRPr="43D707AE" w:rsidR="29DAB176">
        <w:rPr>
          <w:rFonts w:ascii="sans-serif" w:hAnsi="sans-serif" w:eastAsia="sans-serif" w:cs="sans-serif"/>
          <w:b w:val="0"/>
          <w:bCs w:val="0"/>
          <w:i w:val="0"/>
          <w:iCs w:val="0"/>
          <w:caps w:val="0"/>
          <w:smallCaps w:val="0"/>
          <w:noProof w:val="0"/>
          <w:color w:val="202122"/>
          <w:sz w:val="21"/>
          <w:szCs w:val="21"/>
          <w:lang w:val="en-US"/>
        </w:rPr>
        <w:t>stand for</w:t>
      </w:r>
      <w:r w:rsidRPr="43D707AE" w:rsidR="29DAB176">
        <w:rPr>
          <w:rFonts w:ascii="sans-serif" w:hAnsi="sans-serif" w:eastAsia="sans-serif" w:cs="sans-serif"/>
          <w:b w:val="0"/>
          <w:bCs w:val="0"/>
          <w:i w:val="0"/>
          <w:iCs w:val="0"/>
          <w:caps w:val="0"/>
          <w:smallCaps w:val="0"/>
          <w:noProof w:val="0"/>
          <w:color w:val="202122"/>
          <w:sz w:val="21"/>
          <w:szCs w:val="21"/>
          <w:lang w:val="en-US"/>
        </w:rPr>
        <w:t xml:space="preserve"> ‘justices of the United Kingdom Supreme court’ and sometimes be members of the </w:t>
      </w:r>
      <w:r w:rsidRPr="43D707AE" w:rsidR="29DAB176">
        <w:rPr>
          <w:rFonts w:ascii="sans-serif" w:hAnsi="sans-serif" w:eastAsia="sans-serif" w:cs="sans-serif"/>
          <w:b w:val="0"/>
          <w:bCs w:val="0"/>
          <w:i w:val="0"/>
          <w:iCs w:val="0"/>
          <w:caps w:val="0"/>
          <w:smallCaps w:val="0"/>
          <w:noProof w:val="0"/>
          <w:color w:val="202122"/>
          <w:sz w:val="21"/>
          <w:szCs w:val="21"/>
          <w:lang w:val="en-US"/>
        </w:rPr>
        <w:t>tribunal's</w:t>
      </w:r>
      <w:r w:rsidRPr="43D707AE" w:rsidR="29DAB176">
        <w:rPr>
          <w:rFonts w:ascii="sans-serif" w:hAnsi="sans-serif" w:eastAsia="sans-serif" w:cs="sans-serif"/>
          <w:b w:val="0"/>
          <w:bCs w:val="0"/>
          <w:i w:val="0"/>
          <w:iCs w:val="0"/>
          <w:caps w:val="0"/>
          <w:smallCaps w:val="0"/>
          <w:noProof w:val="0"/>
          <w:color w:val="202122"/>
          <w:sz w:val="21"/>
          <w:szCs w:val="21"/>
          <w:lang w:val="en-US"/>
        </w:rPr>
        <w:t xml:space="preserve"> judiciary.</w:t>
      </w:r>
    </w:p>
    <w:p w:rsidR="29DAB176" w:rsidP="180630A9" w:rsidRDefault="29DAB176" w14:paraId="12487173" w14:textId="48404B03">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1"/>
          <w:szCs w:val="21"/>
          <w:u w:val="none"/>
          <w:lang w:val="en-US"/>
        </w:rPr>
      </w:pPr>
      <w:r w:rsidRPr="180630A9" w:rsidR="29DAB176">
        <w:rPr>
          <w:rFonts w:ascii="sans-serif" w:hAnsi="sans-serif" w:eastAsia="sans-serif" w:cs="sans-serif"/>
          <w:b w:val="0"/>
          <w:bCs w:val="0"/>
          <w:i w:val="0"/>
          <w:iCs w:val="0"/>
          <w:caps w:val="0"/>
          <w:smallCaps w:val="0"/>
          <w:noProof w:val="0"/>
          <w:color w:val="202122"/>
          <w:sz w:val="21"/>
          <w:szCs w:val="21"/>
          <w:lang w:val="en-US"/>
        </w:rPr>
        <w:t xml:space="preserve">The Supreme Court of the United Kingdom have judges called ‘Justices of the Supreme Court of the United Kingdom’ The Supreme Court is the highest court in the United Kingdom it oversees all courts cases from England and Wales, </w:t>
      </w:r>
      <w:r w:rsidRPr="180630A9" w:rsidR="29DAB176">
        <w:rPr>
          <w:rFonts w:ascii="sans-serif" w:hAnsi="sans-serif" w:eastAsia="sans-serif" w:cs="sans-serif"/>
          <w:b w:val="0"/>
          <w:bCs w:val="0"/>
          <w:i w:val="0"/>
          <w:iCs w:val="0"/>
          <w:caps w:val="0"/>
          <w:smallCaps w:val="0"/>
          <w:noProof w:val="0"/>
          <w:color w:val="202122"/>
          <w:sz w:val="21"/>
          <w:szCs w:val="21"/>
          <w:lang w:val="en-US"/>
        </w:rPr>
        <w:t>Scotland</w:t>
      </w:r>
      <w:r w:rsidRPr="180630A9" w:rsidR="29DAB176">
        <w:rPr>
          <w:rFonts w:ascii="sans-serif" w:hAnsi="sans-serif" w:eastAsia="sans-serif" w:cs="sans-serif"/>
          <w:b w:val="0"/>
          <w:bCs w:val="0"/>
          <w:i w:val="0"/>
          <w:iCs w:val="0"/>
          <w:caps w:val="0"/>
          <w:smallCaps w:val="0"/>
          <w:noProof w:val="0"/>
          <w:color w:val="202122"/>
          <w:sz w:val="21"/>
          <w:szCs w:val="21"/>
          <w:lang w:val="en-US"/>
        </w:rPr>
        <w:t xml:space="preserve"> and Northern Ireland. Who have their own separate courts as well as having the higher-ranking Supreme Court. S.23 (2) of the constitutional reform Act 2005 sets limits on the number of judges who are members of the court which </w:t>
      </w:r>
      <w:r w:rsidRPr="180630A9" w:rsidR="29DAB176">
        <w:rPr>
          <w:rFonts w:ascii="sans-serif" w:hAnsi="sans-serif" w:eastAsia="sans-serif" w:cs="sans-serif"/>
          <w:b w:val="0"/>
          <w:bCs w:val="0"/>
          <w:i w:val="0"/>
          <w:iCs w:val="0"/>
          <w:caps w:val="0"/>
          <w:smallCaps w:val="0"/>
          <w:noProof w:val="0"/>
          <w:color w:val="202122"/>
          <w:sz w:val="21"/>
          <w:szCs w:val="21"/>
          <w:lang w:val="en-US"/>
        </w:rPr>
        <w:t>established</w:t>
      </w:r>
      <w:r w:rsidRPr="180630A9" w:rsidR="29DAB176">
        <w:rPr>
          <w:rFonts w:ascii="sans-serif" w:hAnsi="sans-serif" w:eastAsia="sans-serif" w:cs="sans-serif"/>
          <w:b w:val="0"/>
          <w:bCs w:val="0"/>
          <w:i w:val="0"/>
          <w:iCs w:val="0"/>
          <w:caps w:val="0"/>
          <w:smallCaps w:val="0"/>
          <w:noProof w:val="0"/>
          <w:color w:val="202122"/>
          <w:sz w:val="21"/>
          <w:szCs w:val="21"/>
          <w:lang w:val="en-US"/>
        </w:rPr>
        <w:t xml:space="preserve"> the court in the first place.</w:t>
      </w:r>
      <w:r w:rsidRPr="180630A9" w:rsidR="43D707AE">
        <w:rPr>
          <w:rFonts w:ascii="Open Sans" w:hAnsi="Open Sans" w:eastAsia="Open Sans" w:cs="Open Sans"/>
          <w:b w:val="1"/>
          <w:bCs w:val="1"/>
          <w:i w:val="0"/>
          <w:iCs w:val="0"/>
          <w:caps w:val="0"/>
          <w:smallCaps w:val="0"/>
          <w:noProof w:val="0"/>
          <w:color w:val="000000" w:themeColor="text1" w:themeTint="FF" w:themeShade="FF"/>
          <w:sz w:val="19"/>
          <w:szCs w:val="19"/>
          <w:lang w:val="en-US"/>
        </w:rPr>
        <w:t xml:space="preserve"> (Constitutional Reform Act 2005, 2022)</w:t>
      </w:r>
      <w:r w:rsidRPr="180630A9" w:rsidR="29DAB176">
        <w:rPr>
          <w:rFonts w:ascii="sans-serif" w:hAnsi="sans-serif" w:eastAsia="sans-serif" w:cs="sans-serif"/>
          <w:b w:val="1"/>
          <w:bCs w:val="1"/>
          <w:i w:val="0"/>
          <w:iCs w:val="0"/>
          <w:caps w:val="0"/>
          <w:smallCaps w:val="0"/>
          <w:noProof w:val="0"/>
          <w:color w:val="202122"/>
          <w:sz w:val="21"/>
          <w:szCs w:val="21"/>
          <w:lang w:val="en-US"/>
        </w:rPr>
        <w:t xml:space="preserve"> </w:t>
      </w:r>
      <w:r w:rsidRPr="180630A9" w:rsidR="29DAB176">
        <w:rPr>
          <w:rFonts w:ascii="sans-serif" w:hAnsi="sans-serif" w:eastAsia="sans-serif" w:cs="sans-serif"/>
          <w:b w:val="0"/>
          <w:bCs w:val="0"/>
          <w:i w:val="0"/>
          <w:iCs w:val="0"/>
          <w:caps w:val="0"/>
          <w:smallCaps w:val="0"/>
          <w:noProof w:val="0"/>
          <w:color w:val="202122"/>
          <w:sz w:val="21"/>
          <w:szCs w:val="21"/>
          <w:lang w:val="en-US"/>
        </w:rPr>
        <w:t>To become a judge in the Supreme Court the Queen will be the person to decide whether to appoint you or not, on the advice from the Prime Minister currently in term. The Queen, however, can increase the number of judges by going through an order in council under s.23 (3)</w:t>
      </w:r>
      <w:r w:rsidRPr="180630A9"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180630A9" w:rsidR="43D707AE">
        <w:rPr>
          <w:rFonts w:ascii="Open Sans" w:hAnsi="Open Sans" w:eastAsia="Open Sans" w:cs="Open Sans"/>
          <w:b w:val="1"/>
          <w:bCs w:val="1"/>
          <w:i w:val="0"/>
          <w:iCs w:val="0"/>
          <w:caps w:val="0"/>
          <w:smallCaps w:val="0"/>
          <w:noProof w:val="0"/>
          <w:color w:val="000000" w:themeColor="text1" w:themeTint="FF" w:themeShade="FF"/>
          <w:sz w:val="19"/>
          <w:szCs w:val="19"/>
          <w:lang w:val="en-US"/>
        </w:rPr>
        <w:t>(Constitutional Reform Act 2005, 2022)</w:t>
      </w:r>
      <w:r w:rsidRPr="180630A9" w:rsidR="29DAB176">
        <w:rPr>
          <w:rFonts w:ascii="sans-serif" w:hAnsi="sans-serif" w:eastAsia="sans-serif" w:cs="sans-serif"/>
          <w:b w:val="0"/>
          <w:bCs w:val="0"/>
          <w:i w:val="0"/>
          <w:iCs w:val="0"/>
          <w:caps w:val="0"/>
          <w:smallCaps w:val="0"/>
          <w:noProof w:val="0"/>
          <w:color w:val="202122"/>
          <w:sz w:val="21"/>
          <w:szCs w:val="21"/>
          <w:lang w:val="en-US"/>
        </w:rPr>
        <w:t>. In the time of writing there are 12 positions distributed to the judges. They include a President, a Deputy President and 10 Justices. The judges promoted into this court are allowed to have the prefix Lord or Lady for life. As a symbol of respect for being part of the United Kingdom's highest court. In these courts there is a constitutional principle known as the Separation of Powers. The separation of powers was created by 18</w:t>
      </w:r>
      <w:r w:rsidRPr="180630A9" w:rsidR="29DAB176">
        <w:rPr>
          <w:rFonts w:ascii="sans-serif" w:hAnsi="sans-serif" w:eastAsia="sans-serif" w:cs="sans-serif"/>
          <w:b w:val="0"/>
          <w:bCs w:val="0"/>
          <w:i w:val="0"/>
          <w:iCs w:val="0"/>
          <w:caps w:val="0"/>
          <w:smallCaps w:val="0"/>
          <w:noProof w:val="0"/>
          <w:color w:val="202122"/>
          <w:sz w:val="21"/>
          <w:szCs w:val="21"/>
          <w:vertAlign w:val="superscript"/>
          <w:lang w:val="en-US"/>
        </w:rPr>
        <w:t>th</w:t>
      </w:r>
      <w:r w:rsidRPr="180630A9" w:rsidR="29DAB176">
        <w:rPr>
          <w:rFonts w:ascii="sans-serif" w:hAnsi="sans-serif" w:eastAsia="sans-serif" w:cs="sans-serif"/>
          <w:b w:val="0"/>
          <w:bCs w:val="0"/>
          <w:i w:val="0"/>
          <w:iCs w:val="0"/>
          <w:caps w:val="0"/>
          <w:smallCaps w:val="0"/>
          <w:noProof w:val="0"/>
          <w:color w:val="202122"/>
          <w:sz w:val="21"/>
          <w:szCs w:val="21"/>
          <w:lang w:val="en-US"/>
        </w:rPr>
        <w:t xml:space="preserve"> century French Philosopher Montesquieu “in the spirits of laws” he had seen. “</w:t>
      </w:r>
      <w:r w:rsidRPr="180630A9" w:rsidR="29DAB176">
        <w:rPr>
          <w:rFonts w:ascii="Calibri" w:hAnsi="Calibri" w:eastAsia="Calibri" w:cs="Calibri"/>
          <w:b w:val="0"/>
          <w:bCs w:val="0"/>
          <w:i w:val="0"/>
          <w:iCs w:val="0"/>
          <w:caps w:val="0"/>
          <w:smallCaps w:val="0"/>
          <w:strike w:val="0"/>
          <w:dstrike w:val="0"/>
          <w:noProof w:val="0"/>
          <w:color w:val="000000" w:themeColor="text1" w:themeTint="FF" w:themeShade="FF"/>
          <w:sz w:val="21"/>
          <w:szCs w:val="21"/>
          <w:u w:val="none"/>
          <w:lang w:val="en-US"/>
        </w:rPr>
        <w:t>When the legislative and executive powers are united in the same person or in the same body of magistrates, there can be no liberty. The same monarch or senate would enact tyrannical laws and execute them in a tyrannical manner.” He argued that there would be no liberty if judiciary was not separated from legislative and executive powers.” He believed that all state power was to be divided into three: Executive, Legislative and Judiciary.</w:t>
      </w:r>
      <w:r w:rsidRPr="180630A9"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180630A9" w:rsidR="43D707AE">
        <w:rPr>
          <w:rFonts w:ascii="Open Sans" w:hAnsi="Open Sans" w:eastAsia="Open Sans" w:cs="Open Sans"/>
          <w:b w:val="1"/>
          <w:bCs w:val="1"/>
          <w:i w:val="0"/>
          <w:iCs w:val="0"/>
          <w:caps w:val="0"/>
          <w:smallCaps w:val="0"/>
          <w:noProof w:val="0"/>
          <w:color w:val="000000" w:themeColor="text1" w:themeTint="FF" w:themeShade="FF"/>
          <w:sz w:val="19"/>
          <w:szCs w:val="19"/>
          <w:lang w:val="en-US"/>
        </w:rPr>
        <w:t>(Montesquieu, Cohler, Miller, and Stone, 1989)</w:t>
      </w:r>
      <w:r w:rsidRPr="180630A9" w:rsidR="29DAB176">
        <w:rPr>
          <w:rFonts w:ascii="Calibri" w:hAnsi="Calibri" w:eastAsia="Calibri" w:cs="Calibri"/>
          <w:b w:val="0"/>
          <w:bCs w:val="0"/>
          <w:i w:val="0"/>
          <w:iCs w:val="0"/>
          <w:caps w:val="0"/>
          <w:smallCaps w:val="0"/>
          <w:strike w:val="0"/>
          <w:dstrike w:val="0"/>
          <w:noProof w:val="0"/>
          <w:color w:val="000000" w:themeColor="text1" w:themeTint="FF" w:themeShade="FF"/>
          <w:sz w:val="21"/>
          <w:szCs w:val="21"/>
          <w:u w:val="none"/>
          <w:lang w:val="en-US"/>
        </w:rPr>
        <w:t xml:space="preserve"> Each of these powers </w:t>
      </w:r>
      <w:r w:rsidRPr="180630A9" w:rsidR="29DAB176">
        <w:rPr>
          <w:rFonts w:ascii="Calibri" w:hAnsi="Calibri" w:eastAsia="Calibri" w:cs="Calibri"/>
          <w:b w:val="0"/>
          <w:bCs w:val="0"/>
          <w:i w:val="0"/>
          <w:iCs w:val="0"/>
          <w:caps w:val="0"/>
          <w:smallCaps w:val="0"/>
          <w:strike w:val="0"/>
          <w:dstrike w:val="0"/>
          <w:noProof w:val="0"/>
          <w:color w:val="000000" w:themeColor="text1" w:themeTint="FF" w:themeShade="FF"/>
          <w:sz w:val="21"/>
          <w:szCs w:val="21"/>
          <w:u w:val="none"/>
          <w:lang w:val="en-US"/>
        </w:rPr>
        <w:t>have</w:t>
      </w:r>
      <w:r w:rsidRPr="180630A9" w:rsidR="29DAB176">
        <w:rPr>
          <w:rFonts w:ascii="Calibri" w:hAnsi="Calibri" w:eastAsia="Calibri" w:cs="Calibri"/>
          <w:b w:val="0"/>
          <w:bCs w:val="0"/>
          <w:i w:val="0"/>
          <w:iCs w:val="0"/>
          <w:caps w:val="0"/>
          <w:smallCaps w:val="0"/>
          <w:strike w:val="0"/>
          <w:dstrike w:val="0"/>
          <w:noProof w:val="0"/>
          <w:color w:val="000000" w:themeColor="text1" w:themeTint="FF" w:themeShade="FF"/>
          <w:sz w:val="21"/>
          <w:szCs w:val="21"/>
          <w:u w:val="none"/>
          <w:lang w:val="en-US"/>
        </w:rPr>
        <w:t xml:space="preserve"> different jobs to help spread out the workload. The executive is the administration of the law. The legislative are the people trusted to make the laws and the judicial are responsible to enforce the laws in places like court. Parliament as the supreme law maker creates statues (acts) of parliament, which in recent times have replaced case law as the dominant source of law within the legal system. </w:t>
      </w:r>
    </w:p>
    <w:p w:rsidR="43D707AE" w:rsidP="43D707AE" w:rsidRDefault="43D707AE" w14:paraId="690B719C" w14:textId="14AC7F8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US"/>
        </w:rPr>
      </w:pPr>
      <w:r w:rsidRPr="43D707AE" w:rsidR="43D707AE">
        <w:rPr>
          <w:rFonts w:ascii="Calibri" w:hAnsi="Calibri" w:eastAsia="Calibri" w:cs="Calibri"/>
          <w:b w:val="0"/>
          <w:bCs w:val="0"/>
          <w:i w:val="0"/>
          <w:iCs w:val="0"/>
          <w:caps w:val="0"/>
          <w:smallCaps w:val="0"/>
          <w:strike w:val="0"/>
          <w:dstrike w:val="0"/>
          <w:noProof w:val="0"/>
          <w:color w:val="000000" w:themeColor="text1" w:themeTint="FF" w:themeShade="FF"/>
          <w:sz w:val="21"/>
          <w:szCs w:val="21"/>
          <w:u w:val="none"/>
          <w:lang w:val="en-US"/>
        </w:rPr>
        <w:t xml:space="preserve">There are certain regulations that need to be met for appointing a new justice in the Supreme Court. This is covered by </w:t>
      </w:r>
      <w:r w:rsidRPr="43D707AE" w:rsidR="43D707AE">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US"/>
        </w:rPr>
        <w:t xml:space="preserve">Sections 25 to 31 and Schedule 8, of the Constitutional Reform Act 2005 </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w:t>
      </w:r>
      <w:r w:rsidRPr="43D707AE" w:rsidR="43D707AE">
        <w:rPr>
          <w:rFonts w:ascii="Open Sans" w:hAnsi="Open Sans" w:eastAsia="Open Sans" w:cs="Open Sans"/>
          <w:b w:val="1"/>
          <w:bCs w:val="1"/>
          <w:i w:val="0"/>
          <w:iCs w:val="0"/>
          <w:caps w:val="0"/>
          <w:smallCaps w:val="0"/>
          <w:noProof w:val="0"/>
          <w:color w:val="000000" w:themeColor="text1" w:themeTint="FF" w:themeShade="FF"/>
          <w:sz w:val="19"/>
          <w:szCs w:val="19"/>
          <w:lang w:val="en-US"/>
        </w:rPr>
        <w:t>Constitutional Reform Act 2005, 2022)</w:t>
      </w:r>
      <w:r w:rsidRPr="43D707AE" w:rsidR="43D707AE">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lang w:val="en-US"/>
        </w:rPr>
        <w:t>,</w:t>
      </w:r>
      <w:r w:rsidRPr="43D707AE" w:rsidR="43D707AE">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US"/>
        </w:rPr>
        <w:t xml:space="preserve"> as amended by the Crime and Courts Act 2013</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43D707AE" w:rsidR="43D707AE">
        <w:rPr>
          <w:rFonts w:ascii="Open Sans" w:hAnsi="Open Sans" w:eastAsia="Open Sans" w:cs="Open Sans"/>
          <w:b w:val="1"/>
          <w:bCs w:val="1"/>
          <w:i w:val="0"/>
          <w:iCs w:val="0"/>
          <w:caps w:val="0"/>
          <w:smallCaps w:val="0"/>
          <w:noProof w:val="0"/>
          <w:color w:val="000000" w:themeColor="text1" w:themeTint="FF" w:themeShade="FF"/>
          <w:sz w:val="19"/>
          <w:szCs w:val="19"/>
          <w:lang w:val="en-US"/>
        </w:rPr>
        <w:t>(Crime and Courts Act 2013, part 1: National Crime Agency, 2022)</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w:t>
      </w:r>
      <w:r w:rsidRPr="43D707AE" w:rsidR="43D707AE">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US"/>
        </w:rPr>
        <w:t xml:space="preserve"> Section 25 of the 2005 Act sets out the statutory qualifications needed for the appointment. Section 25 has now been amended since, by sections 50-52 of the Tribunals and Enforcement Act 2007. “The required qualifications are that the applicants must have held a position in a high judicial office for at least two years prior to appointment.” “Applicants must also satisfy the judicial- appointment eligibility condition on a 15-year basis or have been a qualifying practitioner for at least 15 years”.</w:t>
      </w:r>
      <w:r w:rsidRPr="43D707AE" w:rsidR="43D707AE">
        <w:rPr>
          <w:rFonts w:ascii="Open Sans" w:hAnsi="Open Sans" w:eastAsia="Open Sans" w:cs="Open Sans"/>
          <w:b w:val="1"/>
          <w:bCs w:val="1"/>
          <w:i w:val="0"/>
          <w:iCs w:val="0"/>
          <w:caps w:val="0"/>
          <w:smallCaps w:val="0"/>
          <w:noProof w:val="0"/>
          <w:color w:val="000000" w:themeColor="text1" w:themeTint="FF" w:themeShade="FF"/>
          <w:sz w:val="19"/>
          <w:szCs w:val="19"/>
          <w:lang w:val="en-US"/>
        </w:rPr>
        <w:t xml:space="preserve"> (</w:t>
      </w:r>
      <w:r w:rsidRPr="43D707AE" w:rsidR="43D707AE">
        <w:rPr>
          <w:rFonts w:ascii="Open Sans" w:hAnsi="Open Sans" w:eastAsia="Open Sans" w:cs="Open Sans"/>
          <w:b w:val="1"/>
          <w:bCs w:val="1"/>
          <w:i w:val="0"/>
          <w:iCs w:val="0"/>
          <w:caps w:val="0"/>
          <w:smallCaps w:val="0"/>
          <w:noProof w:val="0"/>
          <w:color w:val="000000" w:themeColor="text1" w:themeTint="FF" w:themeShade="FF"/>
          <w:sz w:val="19"/>
          <w:szCs w:val="19"/>
          <w:lang w:val="en-US"/>
        </w:rPr>
        <w:t>Court, 2022).</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43D707AE" w:rsidR="43D707AE">
        <w:rPr>
          <w:rFonts w:ascii="Calibri" w:hAnsi="Calibri" w:eastAsia="Calibri" w:cs="Calibri" w:asciiTheme="minorAscii" w:hAnsiTheme="minorAscii" w:eastAsiaTheme="minorAscii" w:cstheme="minorAscii"/>
          <w:noProof w:val="0"/>
          <w:color w:val="auto"/>
          <w:sz w:val="21"/>
          <w:szCs w:val="21"/>
          <w:lang w:val="en-US"/>
        </w:rPr>
        <w:t xml:space="preserve">The Lord Chancellor handles meeting a selection commission, which is normally done by sending a letter to the President of the Court, who chairs the panel. The Deputy President is no longer a member of a selection commission because of amendments made by the Crime and Courts Act 2013. Instead, the President must appoint a senior judge from anywhere in the United Kingdom, who must not be a Justice of the Supreme Court. In addition, each of the Judicial Appointments Commissions for England and Wales, Scotland's Judicial Appointments Board, and Northern Ireland's Judicial Appointments Commission has a member. A layperson must make up at least one of the representatives. </w:t>
      </w:r>
      <w:r w:rsidRPr="43D707AE" w:rsidR="43D707AE">
        <w:rPr>
          <w:rFonts w:ascii="Calibri" w:hAnsi="Calibri" w:eastAsia="Calibri" w:cs="Calibri" w:asciiTheme="minorAscii" w:hAnsiTheme="minorAscii" w:eastAsiaTheme="minorAscii" w:cstheme="minorAscii"/>
          <w:b w:val="1"/>
          <w:bCs w:val="1"/>
          <w:noProof w:val="0"/>
          <w:color w:val="auto"/>
          <w:sz w:val="21"/>
          <w:szCs w:val="21"/>
          <w:lang w:val="en-US"/>
        </w:rPr>
        <w:t>(Commision Board, 2022)</w:t>
      </w:r>
    </w:p>
    <w:p w:rsidR="29DAB176" w:rsidP="180630A9" w:rsidRDefault="29DAB176" w14:paraId="52799E16" w14:textId="0655F3A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180630A9" w:rsidR="180630A9">
        <w:rPr>
          <w:b w:val="0"/>
          <w:bCs w:val="0"/>
          <w:i w:val="0"/>
          <w:iCs w:val="0"/>
          <w:noProof w:val="0"/>
          <w:color w:val="auto"/>
          <w:lang w:val="en-US"/>
        </w:rPr>
        <w:t xml:space="preserve">When it comes to talking about whether your ethnicity and gender affects how decisions are made in the judiciary there are a lot of factors that would affect this. As in any workplace there will be some sort of prejudice, whether that is on purpose or not.  There will also be people who have different views on how other genders and ethnicities work and how good they will be at their job based on that. The senior judiciary's lack of diversity is unacceptable. Women make up a small percentage of the senior judiciary, and BAME (Black, Asian, and minority ethnic) persons make up even less. It is believed that increasing diversity in the judiciary will help influence the development of the law, and that it is critical that justice is not only delivered by, but also seen to be delivered by, a court that is more representative of today's society. Despite the commitments made by the Judicial Appointments Commission, the senior judiciary, and the legal professions to </w:t>
      </w:r>
      <w:r w:rsidRPr="180630A9" w:rsidR="180630A9">
        <w:rPr>
          <w:noProof w:val="0"/>
          <w:lang w:val="en-US"/>
        </w:rPr>
        <w:t>establish</w:t>
      </w:r>
      <w:r w:rsidRPr="180630A9" w:rsidR="180630A9">
        <w:rPr>
          <w:noProof w:val="0"/>
          <w:lang w:val="en-US"/>
        </w:rPr>
        <w:t xml:space="preserve"> a diverse judiciary, little has changed. In the more senior courts, women, and to a lesser extent BAME individuals, are becoming District Judges and Tribunal Judges in greater numbers.</w:t>
      </w:r>
      <w:r w:rsidRPr="180630A9" w:rsidR="180630A9">
        <w:rPr>
          <w:rFonts w:ascii="Open Sans" w:hAnsi="Open Sans" w:eastAsia="Open Sans" w:cs="Open Sans"/>
          <w:b w:val="1"/>
          <w:bCs w:val="1"/>
          <w:i w:val="0"/>
          <w:iCs w:val="0"/>
          <w:caps w:val="0"/>
          <w:smallCaps w:val="0"/>
          <w:noProof w:val="0"/>
          <w:color w:val="000000" w:themeColor="text1" w:themeTint="FF" w:themeShade="FF"/>
          <w:sz w:val="19"/>
          <w:szCs w:val="19"/>
          <w:lang w:val="en-US"/>
        </w:rPr>
        <w:t xml:space="preserve"> (Increasing Judicial Diversity - JUSTICE, 2022). </w:t>
      </w: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Current demographics for the Uk supreme court say that 91.5% of the judiciary re white males, with the other 8.5 coming from the “BAME” group. This suggests that the main number of people appointed to the judiciary are white middle-aged men. This can be seen as a problem as some people regard it as ‘racist’ due to the fact they appoint so little “BAME” members. To fix this they would have to change their ways and start to appoint more members from the “BAME” group and appoint more women to gain a more diverse judiciary and stop any prejudice and problems occurring. It would also give the benefit of having people from various backgrounds. This helps as they all see the world slightly different, resulting in the laws covering all groups of people and therefore leading to a better legal structure in the United Kingdom. To </w:t>
      </w: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amend</w:t>
      </w: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this problem the United </w:t>
      </w: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Kingdom's</w:t>
      </w: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supreme court has also been working hard to fix it by adding actions called such as the internship </w:t>
      </w: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programme</w:t>
      </w: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180630A9" w:rsidR="180630A9">
        <w:rPr>
          <w:rFonts w:ascii="Open Sans" w:hAnsi="Open Sans" w:eastAsia="Open Sans" w:cs="Open Sans"/>
          <w:noProof w:val="0"/>
          <w:sz w:val="19"/>
          <w:szCs w:val="19"/>
          <w:lang w:val="en-US"/>
        </w:rPr>
        <w:t xml:space="preserve">The scheme's goal is to encourage lawyers from underrepresented groups and backgrounds to pursue a career in law, as well as to dispel any preconceived notions about the Court and its Justices, in line with the Court's Diversity &amp; Inclusion Strategy. It </w:t>
      </w:r>
      <w:r w:rsidRPr="180630A9" w:rsidR="180630A9">
        <w:rPr>
          <w:rFonts w:ascii="Open Sans" w:hAnsi="Open Sans" w:eastAsia="Open Sans" w:cs="Open Sans"/>
          <w:noProof w:val="0"/>
          <w:sz w:val="19"/>
          <w:szCs w:val="19"/>
          <w:lang w:val="en-US"/>
        </w:rPr>
        <w:t>exceeded</w:t>
      </w:r>
      <w:r w:rsidRPr="180630A9" w:rsidR="180630A9">
        <w:rPr>
          <w:rFonts w:ascii="Open Sans" w:hAnsi="Open Sans" w:eastAsia="Open Sans" w:cs="Open Sans"/>
          <w:noProof w:val="0"/>
          <w:sz w:val="19"/>
          <w:szCs w:val="19"/>
          <w:lang w:val="en-US"/>
        </w:rPr>
        <w:t xml:space="preserve"> everyone's expectations as a first pilot, and it has been decided that the plan will be repeated in 2022. Interested applicants can apply through Bridging the Bar later this year when the position is published. This is a major step towards a more diverse Judiciary and a more diverse United Kingdom. </w:t>
      </w:r>
      <w:r w:rsidRPr="180630A9" w:rsidR="180630A9">
        <w:rPr>
          <w:rFonts w:ascii="Open Sans" w:hAnsi="Open Sans" w:eastAsia="Open Sans" w:cs="Open Sans"/>
          <w:b w:val="1"/>
          <w:bCs w:val="1"/>
          <w:i w:val="0"/>
          <w:iCs w:val="0"/>
          <w:caps w:val="0"/>
          <w:smallCaps w:val="0"/>
          <w:noProof w:val="0"/>
          <w:color w:val="000000" w:themeColor="text1" w:themeTint="FF" w:themeShade="FF"/>
          <w:sz w:val="19"/>
          <w:szCs w:val="19"/>
          <w:lang w:val="en-US"/>
        </w:rPr>
        <w:t>(Court, 2022)</w:t>
      </w:r>
    </w:p>
    <w:p w:rsidR="180630A9" w:rsidP="180630A9" w:rsidRDefault="180630A9" w14:paraId="7D46F667" w14:textId="56C5F36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180630A9" w:rsidP="180630A9" w:rsidRDefault="180630A9" w14:paraId="60707736" w14:textId="79840D31">
      <w:pPr>
        <w:pStyle w:val="Normal"/>
        <w:rPr>
          <w:rFonts w:ascii="Open Sans" w:hAnsi="Open Sans" w:eastAsia="Open Sans" w:cs="Open Sans"/>
          <w:b w:val="1"/>
          <w:bCs w:val="1"/>
          <w:i w:val="0"/>
          <w:iCs w:val="0"/>
          <w:caps w:val="0"/>
          <w:smallCaps w:val="0"/>
          <w:noProof w:val="0"/>
          <w:color w:val="000000" w:themeColor="text1" w:themeTint="FF" w:themeShade="FF"/>
          <w:sz w:val="19"/>
          <w:szCs w:val="19"/>
          <w:lang w:val="en-US"/>
        </w:rPr>
      </w:pPr>
    </w:p>
    <w:p w:rsidR="29DAB176" w:rsidP="29DAB176" w:rsidRDefault="29DAB176" w14:paraId="2BE06E1D" w14:textId="759474F1">
      <w:pPr>
        <w:pStyle w:val="Normal"/>
        <w:rPr>
          <w:rFonts w:ascii="sans-serif" w:hAnsi="sans-serif" w:eastAsia="sans-serif" w:cs="sans-serif"/>
          <w:b w:val="1"/>
          <w:bCs w:val="1"/>
          <w:i w:val="0"/>
          <w:iCs w:val="0"/>
          <w:caps w:val="0"/>
          <w:smallCaps w:val="0"/>
          <w:noProof w:val="0"/>
          <w:color w:val="202122"/>
          <w:sz w:val="21"/>
          <w:szCs w:val="21"/>
          <w:lang w:val="en-US"/>
        </w:rPr>
      </w:pPr>
    </w:p>
    <w:p w:rsidR="29DAB176" w:rsidP="29DAB176" w:rsidRDefault="29DAB176" w14:paraId="79A8EC2A" w14:textId="0485765F">
      <w:pPr>
        <w:pStyle w:val="Normal"/>
        <w:rPr>
          <w:rFonts w:ascii="sans-serif" w:hAnsi="sans-serif" w:eastAsia="sans-serif" w:cs="sans-serif"/>
          <w:b w:val="1"/>
          <w:bCs w:val="1"/>
          <w:i w:val="0"/>
          <w:iCs w:val="0"/>
          <w:caps w:val="0"/>
          <w:smallCaps w:val="0"/>
          <w:noProof w:val="0"/>
          <w:color w:val="202122"/>
          <w:sz w:val="21"/>
          <w:szCs w:val="21"/>
          <w:lang w:val="en-US"/>
        </w:rPr>
      </w:pPr>
    </w:p>
    <w:p w:rsidR="43D707AE" w:rsidP="43D707AE" w:rsidRDefault="43D707AE" w14:paraId="3B706DE9" w14:textId="363C25F2">
      <w:pPr>
        <w:pStyle w:val="Normal"/>
        <w:rPr>
          <w:rFonts w:ascii="sans-serif" w:hAnsi="sans-serif" w:eastAsia="sans-serif" w:cs="sans-serif"/>
          <w:b w:val="1"/>
          <w:bCs w:val="1"/>
          <w:i w:val="0"/>
          <w:iCs w:val="0"/>
          <w:caps w:val="0"/>
          <w:smallCaps w:val="0"/>
          <w:noProof w:val="0"/>
          <w:color w:val="202122"/>
          <w:sz w:val="21"/>
          <w:szCs w:val="21"/>
          <w:u w:val="single"/>
          <w:lang w:val="en-US"/>
        </w:rPr>
      </w:pPr>
    </w:p>
    <w:p w:rsidR="43D707AE" w:rsidP="43D707AE" w:rsidRDefault="43D707AE" w14:paraId="4B48E26A" w14:textId="15338BD0">
      <w:pPr>
        <w:pStyle w:val="Normal"/>
        <w:rPr>
          <w:rFonts w:ascii="sans-serif" w:hAnsi="sans-serif" w:eastAsia="sans-serif" w:cs="sans-serif"/>
          <w:b w:val="1"/>
          <w:bCs w:val="1"/>
          <w:i w:val="0"/>
          <w:iCs w:val="0"/>
          <w:caps w:val="0"/>
          <w:smallCaps w:val="0"/>
          <w:noProof w:val="0"/>
          <w:color w:val="202122"/>
          <w:sz w:val="21"/>
          <w:szCs w:val="21"/>
          <w:u w:val="single"/>
          <w:lang w:val="en-US"/>
        </w:rPr>
      </w:pPr>
    </w:p>
    <w:p w:rsidR="43D707AE" w:rsidP="43D707AE" w:rsidRDefault="43D707AE" w14:paraId="2637C682" w14:textId="0C22EF91">
      <w:pPr>
        <w:pStyle w:val="Normal"/>
        <w:rPr>
          <w:rFonts w:ascii="sans-serif" w:hAnsi="sans-serif" w:eastAsia="sans-serif" w:cs="sans-serif"/>
          <w:b w:val="1"/>
          <w:bCs w:val="1"/>
          <w:i w:val="0"/>
          <w:iCs w:val="0"/>
          <w:caps w:val="0"/>
          <w:smallCaps w:val="0"/>
          <w:noProof w:val="0"/>
          <w:color w:val="202122"/>
          <w:sz w:val="21"/>
          <w:szCs w:val="21"/>
          <w:u w:val="single"/>
          <w:lang w:val="en-US"/>
        </w:rPr>
      </w:pPr>
    </w:p>
    <w:p w:rsidR="43D707AE" w:rsidP="43D707AE" w:rsidRDefault="43D707AE" w14:paraId="0C393AA1" w14:textId="4D272E2D">
      <w:pPr>
        <w:pStyle w:val="Normal"/>
        <w:rPr>
          <w:rFonts w:ascii="sans-serif" w:hAnsi="sans-serif" w:eastAsia="sans-serif" w:cs="sans-serif"/>
          <w:b w:val="1"/>
          <w:bCs w:val="1"/>
          <w:i w:val="0"/>
          <w:iCs w:val="0"/>
          <w:caps w:val="0"/>
          <w:smallCaps w:val="0"/>
          <w:noProof w:val="0"/>
          <w:color w:val="202122"/>
          <w:sz w:val="21"/>
          <w:szCs w:val="21"/>
          <w:u w:val="single"/>
          <w:lang w:val="en-US"/>
        </w:rPr>
      </w:pPr>
    </w:p>
    <w:p w:rsidR="43D707AE" w:rsidP="43D707AE" w:rsidRDefault="43D707AE" w14:paraId="60608EE6" w14:textId="75291EA8">
      <w:pPr>
        <w:pStyle w:val="Normal"/>
        <w:rPr>
          <w:rFonts w:ascii="sans-serif" w:hAnsi="sans-serif" w:eastAsia="sans-serif" w:cs="sans-serif"/>
          <w:b w:val="1"/>
          <w:bCs w:val="1"/>
          <w:i w:val="0"/>
          <w:iCs w:val="0"/>
          <w:caps w:val="0"/>
          <w:smallCaps w:val="0"/>
          <w:noProof w:val="0"/>
          <w:color w:val="202122"/>
          <w:sz w:val="21"/>
          <w:szCs w:val="21"/>
          <w:u w:val="single"/>
          <w:lang w:val="en-US"/>
        </w:rPr>
      </w:pPr>
    </w:p>
    <w:p w:rsidR="43D707AE" w:rsidP="43D707AE" w:rsidRDefault="43D707AE" w14:paraId="16BD4F74" w14:textId="7843E7EF">
      <w:pPr>
        <w:pStyle w:val="Normal"/>
        <w:rPr>
          <w:rFonts w:ascii="sans-serif" w:hAnsi="sans-serif" w:eastAsia="sans-serif" w:cs="sans-serif"/>
          <w:b w:val="1"/>
          <w:bCs w:val="1"/>
          <w:i w:val="0"/>
          <w:iCs w:val="0"/>
          <w:caps w:val="0"/>
          <w:smallCaps w:val="0"/>
          <w:noProof w:val="0"/>
          <w:color w:val="202122"/>
          <w:sz w:val="21"/>
          <w:szCs w:val="21"/>
          <w:u w:val="single"/>
          <w:lang w:val="en-US"/>
        </w:rPr>
      </w:pPr>
    </w:p>
    <w:p w:rsidR="43D707AE" w:rsidP="43D707AE" w:rsidRDefault="43D707AE" w14:paraId="69CE6FE9" w14:textId="69F98F5F">
      <w:pPr>
        <w:pStyle w:val="Normal"/>
        <w:rPr>
          <w:rFonts w:ascii="sans-serif" w:hAnsi="sans-serif" w:eastAsia="sans-serif" w:cs="sans-serif"/>
          <w:b w:val="1"/>
          <w:bCs w:val="1"/>
          <w:i w:val="0"/>
          <w:iCs w:val="0"/>
          <w:caps w:val="0"/>
          <w:smallCaps w:val="0"/>
          <w:noProof w:val="0"/>
          <w:color w:val="202122"/>
          <w:sz w:val="21"/>
          <w:szCs w:val="21"/>
          <w:u w:val="single"/>
          <w:lang w:val="en-US"/>
        </w:rPr>
      </w:pPr>
    </w:p>
    <w:p w:rsidR="29DAB176" w:rsidP="43D707AE" w:rsidRDefault="29DAB176" w14:paraId="6BB96EE9" w14:textId="2DB3433A">
      <w:pPr>
        <w:pStyle w:val="Normal"/>
        <w:rPr>
          <w:rFonts w:ascii="sans-serif" w:hAnsi="sans-serif" w:eastAsia="sans-serif" w:cs="sans-serif"/>
          <w:b w:val="0"/>
          <w:bCs w:val="0"/>
          <w:i w:val="0"/>
          <w:iCs w:val="0"/>
          <w:caps w:val="0"/>
          <w:smallCaps w:val="0"/>
          <w:noProof w:val="0"/>
          <w:color w:val="202122"/>
          <w:sz w:val="21"/>
          <w:szCs w:val="21"/>
          <w:lang w:val="en-US"/>
        </w:rPr>
      </w:pPr>
      <w:r w:rsidRPr="43D707AE" w:rsidR="43D707AE">
        <w:rPr>
          <w:rFonts w:ascii="sans-serif" w:hAnsi="sans-serif" w:eastAsia="sans-serif" w:cs="sans-serif"/>
          <w:b w:val="1"/>
          <w:bCs w:val="1"/>
          <w:i w:val="0"/>
          <w:iCs w:val="0"/>
          <w:caps w:val="0"/>
          <w:smallCaps w:val="0"/>
          <w:noProof w:val="0"/>
          <w:color w:val="202122"/>
          <w:sz w:val="21"/>
          <w:szCs w:val="21"/>
          <w:u w:val="single"/>
          <w:lang w:val="en-US"/>
        </w:rPr>
        <w:t>Reference list</w:t>
      </w:r>
      <w:r w:rsidRPr="43D707AE" w:rsidR="43D707AE">
        <w:rPr>
          <w:rFonts w:ascii="sans-serif" w:hAnsi="sans-serif" w:eastAsia="sans-serif" w:cs="sans-serif"/>
          <w:b w:val="1"/>
          <w:bCs w:val="1"/>
          <w:i w:val="0"/>
          <w:iCs w:val="0"/>
          <w:caps w:val="0"/>
          <w:smallCaps w:val="0"/>
          <w:noProof w:val="0"/>
          <w:color w:val="202122"/>
          <w:sz w:val="21"/>
          <w:szCs w:val="21"/>
          <w:lang w:val="en-US"/>
        </w:rPr>
        <w:t xml:space="preserve"> </w:t>
      </w:r>
    </w:p>
    <w:p w:rsidR="43D707AE" w:rsidP="43D707AE" w:rsidRDefault="43D707AE" w14:paraId="1E1EACCA" w14:textId="73CDFB3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Board, C., 2022. </w:t>
      </w:r>
      <w:r w:rsidRPr="43D707AE" w:rsidR="43D707AE">
        <w:rPr>
          <w:rFonts w:ascii="Open Sans" w:hAnsi="Open Sans" w:eastAsia="Open Sans" w:cs="Open Sans"/>
          <w:b w:val="0"/>
          <w:bCs w:val="0"/>
          <w:i w:val="1"/>
          <w:iCs w:val="1"/>
          <w:caps w:val="0"/>
          <w:smallCaps w:val="0"/>
          <w:noProof w:val="0"/>
          <w:color w:val="000000" w:themeColor="text1" w:themeTint="FF" w:themeShade="FF"/>
          <w:sz w:val="19"/>
          <w:szCs w:val="19"/>
          <w:lang w:val="en-US"/>
        </w:rPr>
        <w:t>Supreme Court launches selection process for new justices - The Supreme Court</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[online] Supremecourt.uk. Available at: &lt;https://www.supremecourt.uk/news/supreme-court-launches-selection-process-for-new-justices.html&gt; [Accessed 4 March 2022].</w:t>
      </w:r>
    </w:p>
    <w:p w:rsidR="43D707AE" w:rsidP="43D707AE" w:rsidRDefault="43D707AE" w14:paraId="3C602947" w14:textId="7FF7449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180630A9"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Court, T., 2022. </w:t>
      </w:r>
      <w:r w:rsidRPr="180630A9" w:rsidR="43D707AE">
        <w:rPr>
          <w:rFonts w:ascii="Open Sans" w:hAnsi="Open Sans" w:eastAsia="Open Sans" w:cs="Open Sans"/>
          <w:b w:val="0"/>
          <w:bCs w:val="0"/>
          <w:i w:val="1"/>
          <w:iCs w:val="1"/>
          <w:caps w:val="0"/>
          <w:smallCaps w:val="0"/>
          <w:noProof w:val="0"/>
          <w:color w:val="000000" w:themeColor="text1" w:themeTint="FF" w:themeShade="FF"/>
          <w:sz w:val="19"/>
          <w:szCs w:val="19"/>
          <w:lang w:val="en-US"/>
        </w:rPr>
        <w:t>Appointments of Justices - The Supreme Court</w:t>
      </w:r>
      <w:r w:rsidRPr="180630A9"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[online] Supremecourt.uk. Available at: &lt;https://www.supremecourt.uk/about/appointments-of-justices.html&gt; [Accessed 4 March 2022].</w:t>
      </w:r>
    </w:p>
    <w:p w:rsidR="180630A9" w:rsidP="180630A9" w:rsidRDefault="180630A9" w14:paraId="69247ECE" w14:textId="56987B8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Court, T., 2022. </w:t>
      </w:r>
      <w:r w:rsidRPr="180630A9" w:rsidR="180630A9">
        <w:rPr>
          <w:rFonts w:ascii="Open Sans" w:hAnsi="Open Sans" w:eastAsia="Open Sans" w:cs="Open Sans"/>
          <w:b w:val="0"/>
          <w:bCs w:val="0"/>
          <w:i w:val="1"/>
          <w:iCs w:val="1"/>
          <w:caps w:val="0"/>
          <w:smallCaps w:val="0"/>
          <w:noProof w:val="0"/>
          <w:color w:val="000000" w:themeColor="text1" w:themeTint="FF" w:themeShade="FF"/>
          <w:sz w:val="19"/>
          <w:szCs w:val="19"/>
          <w:lang w:val="en-US"/>
        </w:rPr>
        <w:t>Diversity and Inclusion at the Supreme Court and JCPC - The Supreme Court</w:t>
      </w: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 [online] Supremecourt.uk. Available at: &lt;https://www.supremecourt.uk/about/diversity-and-inclusion.html&gt; [Accessed 4 March 2022].</w:t>
      </w:r>
    </w:p>
    <w:p w:rsidR="43D707AE" w:rsidP="43D707AE" w:rsidRDefault="43D707AE" w14:paraId="7F2EE943" w14:textId="1AFD9E6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180630A9"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GOV.UK. 2022. </w:t>
      </w:r>
      <w:r w:rsidRPr="180630A9" w:rsidR="43D707AE">
        <w:rPr>
          <w:rFonts w:ascii="Open Sans" w:hAnsi="Open Sans" w:eastAsia="Open Sans" w:cs="Open Sans"/>
          <w:b w:val="0"/>
          <w:bCs w:val="0"/>
          <w:i w:val="1"/>
          <w:iCs w:val="1"/>
          <w:caps w:val="0"/>
          <w:smallCaps w:val="0"/>
          <w:noProof w:val="0"/>
          <w:color w:val="000000" w:themeColor="text1" w:themeTint="FF" w:themeShade="FF"/>
          <w:sz w:val="19"/>
          <w:szCs w:val="19"/>
          <w:lang w:val="en-US"/>
        </w:rPr>
        <w:t>Crime and Courts Act 2013, part 1: National Crime Agency</w:t>
      </w:r>
      <w:r w:rsidRPr="180630A9"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&lt;https://www.gov.uk/government/publications/crime-and-courts-bill-part-1-national-crime-agency&gt; [Accessed 4 March 2022].</w:t>
      </w:r>
    </w:p>
    <w:p w:rsidR="180630A9" w:rsidP="180630A9" w:rsidRDefault="180630A9" w14:paraId="70129571" w14:textId="1B25CFA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JUSTICE. 2022. </w:t>
      </w:r>
      <w:r w:rsidRPr="180630A9" w:rsidR="180630A9">
        <w:rPr>
          <w:rFonts w:ascii="Open Sans" w:hAnsi="Open Sans" w:eastAsia="Open Sans" w:cs="Open Sans"/>
          <w:b w:val="0"/>
          <w:bCs w:val="0"/>
          <w:i w:val="1"/>
          <w:iCs w:val="1"/>
          <w:caps w:val="0"/>
          <w:smallCaps w:val="0"/>
          <w:noProof w:val="0"/>
          <w:color w:val="000000" w:themeColor="text1" w:themeTint="FF" w:themeShade="FF"/>
          <w:sz w:val="19"/>
          <w:szCs w:val="19"/>
          <w:lang w:val="en-US"/>
        </w:rPr>
        <w:t>Increasing Judicial Diversity - JUSTICE</w:t>
      </w:r>
      <w:r w:rsidRPr="180630A9" w:rsidR="180630A9">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&lt;https://justice.org.uk/our-work/judicial-diversity/?fbclid=IwAR3IiE9M1qS8r7EAL2PpWMQnTkIMoYMi_kM7Z0FLv4z4DCLJqF6LoL_25QY&gt; [Accessed 4 March 2022].</w:t>
      </w:r>
    </w:p>
    <w:p w:rsidR="43D707AE" w:rsidP="43D707AE" w:rsidRDefault="43D707AE" w14:paraId="2280D14C" w14:textId="08831AF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Legislation.gov.uk. 2022. </w:t>
      </w:r>
      <w:r w:rsidRPr="43D707AE" w:rsidR="43D707AE">
        <w:rPr>
          <w:rFonts w:ascii="Open Sans" w:hAnsi="Open Sans" w:eastAsia="Open Sans" w:cs="Open Sans"/>
          <w:b w:val="0"/>
          <w:bCs w:val="0"/>
          <w:i w:val="1"/>
          <w:iCs w:val="1"/>
          <w:caps w:val="0"/>
          <w:smallCaps w:val="0"/>
          <w:noProof w:val="0"/>
          <w:color w:val="000000" w:themeColor="text1" w:themeTint="FF" w:themeShade="FF"/>
          <w:sz w:val="19"/>
          <w:szCs w:val="19"/>
          <w:lang w:val="en-US"/>
        </w:rPr>
        <w:t>Constitutional Reform Act 2005</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&lt;https://www.legislation.gov.</w:t>
      </w:r>
      <w:proofErr w:type="spellStart"/>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uk</w:t>
      </w:r>
      <w:proofErr w:type="spellEnd"/>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w:t>
      </w:r>
      <w:proofErr w:type="spellStart"/>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ukpga</w:t>
      </w:r>
      <w:proofErr w:type="spellEnd"/>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/2005/4/contents&gt; [Accessed 4 March 2022].</w:t>
      </w:r>
    </w:p>
    <w:p w:rsidR="43D707AE" w:rsidP="43D707AE" w:rsidRDefault="43D707AE" w14:paraId="48C456A0" w14:textId="23F3BB5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Legislation.gov.uk. 2022. </w:t>
      </w:r>
      <w:r w:rsidRPr="43D707AE" w:rsidR="43D707AE">
        <w:rPr>
          <w:rFonts w:ascii="Open Sans" w:hAnsi="Open Sans" w:eastAsia="Open Sans" w:cs="Open Sans"/>
          <w:b w:val="0"/>
          <w:bCs w:val="0"/>
          <w:i w:val="1"/>
          <w:iCs w:val="1"/>
          <w:caps w:val="0"/>
          <w:smallCaps w:val="0"/>
          <w:noProof w:val="0"/>
          <w:color w:val="000000" w:themeColor="text1" w:themeTint="FF" w:themeShade="FF"/>
          <w:sz w:val="19"/>
          <w:szCs w:val="19"/>
          <w:lang w:val="en-US"/>
        </w:rPr>
        <w:t>Constitutional Reform Act 2005</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&lt;https://www.legislation.gov.</w:t>
      </w:r>
      <w:proofErr w:type="spellStart"/>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uk</w:t>
      </w:r>
      <w:proofErr w:type="spellEnd"/>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w:t>
      </w:r>
      <w:proofErr w:type="spellStart"/>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ukpga</w:t>
      </w:r>
      <w:proofErr w:type="spellEnd"/>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/2005/4/section/23&gt; [Accessed 4 March 2022].</w:t>
      </w:r>
    </w:p>
    <w:p w:rsidR="43D707AE" w:rsidP="43D707AE" w:rsidRDefault="43D707AE" w14:paraId="4D41F1E9" w14:textId="4650122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Legislation.gov.uk. 2022. </w:t>
      </w:r>
      <w:r w:rsidRPr="43D707AE" w:rsidR="43D707AE">
        <w:rPr>
          <w:rFonts w:ascii="Open Sans" w:hAnsi="Open Sans" w:eastAsia="Open Sans" w:cs="Open Sans"/>
          <w:b w:val="0"/>
          <w:bCs w:val="0"/>
          <w:i w:val="1"/>
          <w:iCs w:val="1"/>
          <w:caps w:val="0"/>
          <w:smallCaps w:val="0"/>
          <w:noProof w:val="0"/>
          <w:color w:val="000000" w:themeColor="text1" w:themeTint="FF" w:themeShade="FF"/>
          <w:sz w:val="19"/>
          <w:szCs w:val="19"/>
          <w:lang w:val="en-US"/>
        </w:rPr>
        <w:t>Constitutional Reform Act 2005</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&lt;https://www.legislation.gov.uk/ukpga/2005/4/section/23#:~:text=23The%20Supreme%20Court&amp;text=(4)No%20recommendation%20may%20be,of%20each%20House%20of%20Parliament&gt; [Accessed 3 March 2022].</w:t>
      </w:r>
    </w:p>
    <w:p w:rsidR="43D707AE" w:rsidP="43D707AE" w:rsidRDefault="43D707AE" w14:paraId="7BBC4E01" w14:textId="572242B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Montesquieu, C., Cohler, A., Miller, B. and Stone, H., 1989. </w:t>
      </w:r>
      <w:r w:rsidRPr="43D707AE" w:rsidR="43D707AE">
        <w:rPr>
          <w:rFonts w:ascii="Open Sans" w:hAnsi="Open Sans" w:eastAsia="Open Sans" w:cs="Open Sans"/>
          <w:b w:val="0"/>
          <w:bCs w:val="0"/>
          <w:i w:val="1"/>
          <w:iCs w:val="1"/>
          <w:caps w:val="0"/>
          <w:smallCaps w:val="0"/>
          <w:noProof w:val="0"/>
          <w:color w:val="000000" w:themeColor="text1" w:themeTint="FF" w:themeShade="FF"/>
          <w:sz w:val="19"/>
          <w:szCs w:val="19"/>
          <w:lang w:val="en-US"/>
        </w:rPr>
        <w:t>The spirit of the laws</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Cambridge: Cambridge University Press, </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p. chapter</w:t>
      </w:r>
      <w:r w:rsidRPr="43D707AE" w:rsidR="43D707A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VI.</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dBRzMGg47BTtrq" id="P4DtQOTi"/>
    <int:WordHash hashCode="FiNCzSReCiV7Qq" id="QO3u5p2a"/>
    <int:WordHash hashCode="4v9J1SCa3vsdVy" id="dtcVSJwU"/>
    <int:WordHash hashCode="VRyAVr/dM977IK" id="V1RIOnP3"/>
    <int:WordHash hashCode="RoHRJMxsS3O6q/" id="V6CT5EV1"/>
    <int:ParagraphRange paragraphId="306737523" textId="874379172" start="1801" length="4" invalidationStart="1801" invalidationLength="4" id="qI2tXnKU"/>
    <int:WordHash hashCode="ni8UUdXdlt6RIo" id="INdYjAUg"/>
    <int:ParagraphRange paragraphId="306737523" textId="1212173059" start="1879" length="4" invalidationStart="1879" invalidationLength="4" id="wrErNSXD"/>
  </int:Manifest>
  <int:Observations>
    <int:Content id="P4DtQOTi">
      <int:Rejection type="AugLoop_Text_Critique"/>
    </int:Content>
    <int:Content id="QO3u5p2a">
      <int:Rejection type="AugLoop_Text_Critique"/>
    </int:Content>
    <int:Content id="dtcVSJwU">
      <int:Rejection type="AugLoop_Text_Critique"/>
    </int:Content>
    <int:Content id="V1RIOnP3">
      <int:Rejection type="AugLoop_Text_Critique"/>
    </int:Content>
    <int:Content id="V6CT5EV1">
      <int:Rejection type="AugLoop_Text_Critique"/>
    </int:Content>
    <int:Content id="qI2tXnKU">
      <int:Rejection type="LegacyProofing"/>
    </int:Content>
    <int:Content id="INdYjAUg">
      <int:Rejection type="LegacyProofing"/>
    </int:Content>
    <int:Content id="wrErNSXD">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AB693F"/>
    <w:rsid w:val="001E1F48"/>
    <w:rsid w:val="001E1F48"/>
    <w:rsid w:val="005F0EC7"/>
    <w:rsid w:val="01B9EFA9"/>
    <w:rsid w:val="01F14C88"/>
    <w:rsid w:val="01F14C88"/>
    <w:rsid w:val="0355C00A"/>
    <w:rsid w:val="0396D115"/>
    <w:rsid w:val="0414AC48"/>
    <w:rsid w:val="0419EB5A"/>
    <w:rsid w:val="048AEE17"/>
    <w:rsid w:val="05180228"/>
    <w:rsid w:val="05180228"/>
    <w:rsid w:val="051BAD87"/>
    <w:rsid w:val="05A2271E"/>
    <w:rsid w:val="07518C1C"/>
    <w:rsid w:val="0773368B"/>
    <w:rsid w:val="09ECC8B0"/>
    <w:rsid w:val="09ECC8B0"/>
    <w:rsid w:val="0A31C34C"/>
    <w:rsid w:val="0B3CAACB"/>
    <w:rsid w:val="0B5E7FA2"/>
    <w:rsid w:val="0BCD93AD"/>
    <w:rsid w:val="0BCD93AD"/>
    <w:rsid w:val="0D246972"/>
    <w:rsid w:val="0EAB693F"/>
    <w:rsid w:val="0EC039D3"/>
    <w:rsid w:val="112B53A8"/>
    <w:rsid w:val="12EBBF14"/>
    <w:rsid w:val="131728FF"/>
    <w:rsid w:val="134D5EA2"/>
    <w:rsid w:val="14467E6A"/>
    <w:rsid w:val="15E56A98"/>
    <w:rsid w:val="1707AC26"/>
    <w:rsid w:val="180630A9"/>
    <w:rsid w:val="1A3F4CE8"/>
    <w:rsid w:val="1A3F4CE8"/>
    <w:rsid w:val="1B1FEE49"/>
    <w:rsid w:val="1BA6AA61"/>
    <w:rsid w:val="1BFDE4CF"/>
    <w:rsid w:val="1BFDE4CF"/>
    <w:rsid w:val="1C225D53"/>
    <w:rsid w:val="1CFC9342"/>
    <w:rsid w:val="1F59FE15"/>
    <w:rsid w:val="1FA00CA6"/>
    <w:rsid w:val="21083747"/>
    <w:rsid w:val="21D00465"/>
    <w:rsid w:val="2507A527"/>
    <w:rsid w:val="25414AF4"/>
    <w:rsid w:val="292A13A9"/>
    <w:rsid w:val="292A13A9"/>
    <w:rsid w:val="297911E8"/>
    <w:rsid w:val="29DAB176"/>
    <w:rsid w:val="29DB164A"/>
    <w:rsid w:val="2AD3D13E"/>
    <w:rsid w:val="2B14E249"/>
    <w:rsid w:val="2C36E1F8"/>
    <w:rsid w:val="2C6FA19F"/>
    <w:rsid w:val="2D12B70C"/>
    <w:rsid w:val="2D12B70C"/>
    <w:rsid w:val="2D155CC0"/>
    <w:rsid w:val="2FCE61C1"/>
    <w:rsid w:val="2FCF2B0F"/>
    <w:rsid w:val="2FE8536C"/>
    <w:rsid w:val="30B367AF"/>
    <w:rsid w:val="316AFB70"/>
    <w:rsid w:val="316AFB70"/>
    <w:rsid w:val="319F4CCC"/>
    <w:rsid w:val="32AFB027"/>
    <w:rsid w:val="32AFB027"/>
    <w:rsid w:val="32DEE323"/>
    <w:rsid w:val="34AF6150"/>
    <w:rsid w:val="3640A101"/>
    <w:rsid w:val="36CC66CA"/>
    <w:rsid w:val="36CC66CA"/>
    <w:rsid w:val="3AF893CD"/>
    <w:rsid w:val="3B7BCF9E"/>
    <w:rsid w:val="3B987AF4"/>
    <w:rsid w:val="3B987AF4"/>
    <w:rsid w:val="41BD5E1C"/>
    <w:rsid w:val="41BD5E1C"/>
    <w:rsid w:val="42ACDE65"/>
    <w:rsid w:val="42D98C43"/>
    <w:rsid w:val="42D98C43"/>
    <w:rsid w:val="43592E7D"/>
    <w:rsid w:val="4396E1DC"/>
    <w:rsid w:val="43D707AE"/>
    <w:rsid w:val="44AAB1D8"/>
    <w:rsid w:val="464ADC31"/>
    <w:rsid w:val="468359CC"/>
    <w:rsid w:val="481F2A2D"/>
    <w:rsid w:val="482D6FAC"/>
    <w:rsid w:val="48F1D73D"/>
    <w:rsid w:val="48F1D73D"/>
    <w:rsid w:val="4DC9D662"/>
    <w:rsid w:val="4E2186BC"/>
    <w:rsid w:val="4E2186BC"/>
    <w:rsid w:val="4F3A1B4C"/>
    <w:rsid w:val="51640770"/>
    <w:rsid w:val="51F09BF8"/>
    <w:rsid w:val="51F09BF8"/>
    <w:rsid w:val="5271DD9A"/>
    <w:rsid w:val="52F87AD8"/>
    <w:rsid w:val="56B09232"/>
    <w:rsid w:val="573B9A91"/>
    <w:rsid w:val="57454EBD"/>
    <w:rsid w:val="57454EBD"/>
    <w:rsid w:val="5AA8A032"/>
    <w:rsid w:val="5AEF270B"/>
    <w:rsid w:val="5AEF270B"/>
    <w:rsid w:val="5B370792"/>
    <w:rsid w:val="5CBF06A8"/>
    <w:rsid w:val="5F582C9C"/>
    <w:rsid w:val="5F582C9C"/>
    <w:rsid w:val="5FBCF83E"/>
    <w:rsid w:val="5FD37AE7"/>
    <w:rsid w:val="5FF6A76A"/>
    <w:rsid w:val="602C0C49"/>
    <w:rsid w:val="603C8AC8"/>
    <w:rsid w:val="60F3FCFD"/>
    <w:rsid w:val="611F44BA"/>
    <w:rsid w:val="6222C935"/>
    <w:rsid w:val="6222C935"/>
    <w:rsid w:val="62C44046"/>
    <w:rsid w:val="63189CEF"/>
    <w:rsid w:val="65C78FAC"/>
    <w:rsid w:val="65C78FAC"/>
    <w:rsid w:val="665C477E"/>
    <w:rsid w:val="669C712A"/>
    <w:rsid w:val="6A54F7C3"/>
    <w:rsid w:val="6AEF9EFE"/>
    <w:rsid w:val="6AEF9EFE"/>
    <w:rsid w:val="6C76862C"/>
    <w:rsid w:val="6D4E5750"/>
    <w:rsid w:val="6D8C9885"/>
    <w:rsid w:val="6D8C9885"/>
    <w:rsid w:val="6DD2A191"/>
    <w:rsid w:val="6E593ECF"/>
    <w:rsid w:val="6F2B0E9A"/>
    <w:rsid w:val="6F753B20"/>
    <w:rsid w:val="708D5B16"/>
    <w:rsid w:val="72E18886"/>
    <w:rsid w:val="74090791"/>
    <w:rsid w:val="74090791"/>
    <w:rsid w:val="747D58E7"/>
    <w:rsid w:val="747EF203"/>
    <w:rsid w:val="747EF203"/>
    <w:rsid w:val="755EC358"/>
    <w:rsid w:val="7597AA6A"/>
    <w:rsid w:val="76096429"/>
    <w:rsid w:val="771CF822"/>
    <w:rsid w:val="77337ACB"/>
    <w:rsid w:val="77E6F8B8"/>
    <w:rsid w:val="7A730913"/>
    <w:rsid w:val="7A8E4810"/>
    <w:rsid w:val="7A8E4810"/>
    <w:rsid w:val="7AD42B6E"/>
    <w:rsid w:val="7B11EE7D"/>
    <w:rsid w:val="7B11EE7D"/>
    <w:rsid w:val="7C171F18"/>
    <w:rsid w:val="7C2A1871"/>
    <w:rsid w:val="7DC5E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B693F"/>
  <w15:chartTrackingRefBased/>
  <w15:docId w15:val="{0650787D-397B-4A70-B500-C9E03758A5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fe2fe685f5aa4f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2022-03-02T18:45:18.8974469Z</dcterms:created>
  <dcterms:modified xsi:type="dcterms:W3CDTF">2022-03-04T16:24:58.9283094Z</dcterms:modified>
  <dc:creator>Patrick Grey (2104767)</dc:creator>
  <lastModifiedBy>Patrick Grey (2104767)</lastModifiedBy>
</coreProperties>
</file>