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35B68" w14:textId="1676A73C" w:rsidR="003B250D" w:rsidRDefault="003B250D">
      <w:pPr>
        <w:rPr>
          <w:sz w:val="32"/>
          <w:szCs w:val="36"/>
          <w:lang w:val="en-US"/>
        </w:rPr>
      </w:pPr>
    </w:p>
    <w:p w14:paraId="3B37F1B5" w14:textId="77777777" w:rsidR="003B250D" w:rsidRPr="000011DB" w:rsidRDefault="003B250D" w:rsidP="003B250D">
      <w:pPr>
        <w:spacing w:line="360" w:lineRule="auto"/>
        <w:rPr>
          <w:sz w:val="32"/>
          <w:szCs w:val="36"/>
          <w:lang w:val="en-US"/>
        </w:rPr>
      </w:pPr>
      <w:r w:rsidRPr="00A406E5">
        <w:rPr>
          <w:rFonts w:ascii="Arial" w:hAnsi="Arial" w:cs="Arial"/>
          <w:noProof/>
        </w:rPr>
        <w:drawing>
          <wp:anchor distT="0" distB="0" distL="114300" distR="114300" simplePos="0" relativeHeight="251659264" behindDoc="0" locked="0" layoutInCell="1" allowOverlap="1" wp14:anchorId="05FD8606" wp14:editId="6A0B3944">
            <wp:simplePos x="0" y="0"/>
            <wp:positionH relativeFrom="column">
              <wp:posOffset>0</wp:posOffset>
            </wp:positionH>
            <wp:positionV relativeFrom="paragraph">
              <wp:posOffset>382270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anchor>
        </w:drawing>
      </w:r>
    </w:p>
    <w:p w14:paraId="6C407C5D" w14:textId="77777777" w:rsidR="003B250D" w:rsidRDefault="003B250D" w:rsidP="003B250D">
      <w:pPr>
        <w:spacing w:line="360" w:lineRule="auto"/>
        <w:rPr>
          <w:sz w:val="32"/>
          <w:szCs w:val="36"/>
          <w:lang w:val="en-US"/>
        </w:rPr>
      </w:pPr>
    </w:p>
    <w:p w14:paraId="00EFE896" w14:textId="77777777" w:rsidR="003B250D" w:rsidRDefault="003B250D" w:rsidP="003B250D">
      <w:pPr>
        <w:spacing w:line="360" w:lineRule="auto"/>
        <w:rPr>
          <w:sz w:val="32"/>
          <w:szCs w:val="36"/>
          <w:lang w:val="en-US"/>
        </w:rPr>
      </w:pPr>
    </w:p>
    <w:p w14:paraId="0EBA6C15" w14:textId="77777777" w:rsidR="003B250D" w:rsidRDefault="003B250D" w:rsidP="003B250D">
      <w:pPr>
        <w:spacing w:line="360" w:lineRule="auto"/>
        <w:rPr>
          <w:sz w:val="32"/>
          <w:szCs w:val="36"/>
          <w:lang w:val="en-US"/>
        </w:rPr>
      </w:pPr>
    </w:p>
    <w:tbl>
      <w:tblPr>
        <w:tblStyle w:val="TableGrid"/>
        <w:tblW w:w="9922" w:type="dxa"/>
        <w:tblLayout w:type="fixed"/>
        <w:tblLook w:val="0000" w:firstRow="0" w:lastRow="0" w:firstColumn="0" w:lastColumn="0" w:noHBand="0" w:noVBand="0"/>
      </w:tblPr>
      <w:tblGrid>
        <w:gridCol w:w="2093"/>
        <w:gridCol w:w="3293"/>
        <w:gridCol w:w="2268"/>
        <w:gridCol w:w="2268"/>
      </w:tblGrid>
      <w:tr w:rsidR="008F3965" w:rsidRPr="00756F4C" w14:paraId="7AB4E32F" w14:textId="77777777" w:rsidTr="008F3965">
        <w:tc>
          <w:tcPr>
            <w:tcW w:w="2093" w:type="dxa"/>
          </w:tcPr>
          <w:p w14:paraId="20D10DD7" w14:textId="26D1D6C5" w:rsidR="008F3965" w:rsidRPr="00756F4C" w:rsidRDefault="008F3965" w:rsidP="008F3965">
            <w:pPr>
              <w:spacing w:before="120" w:after="120" w:line="360" w:lineRule="auto"/>
              <w:rPr>
                <w:rFonts w:cs="Times New Roman"/>
                <w:b/>
                <w:szCs w:val="24"/>
              </w:rPr>
            </w:pPr>
            <w:r>
              <w:rPr>
                <w:rFonts w:cs="Times New Roman"/>
                <w:b/>
                <w:szCs w:val="24"/>
              </w:rPr>
              <w:t>Student name:</w:t>
            </w:r>
          </w:p>
        </w:tc>
        <w:tc>
          <w:tcPr>
            <w:tcW w:w="3293" w:type="dxa"/>
          </w:tcPr>
          <w:p w14:paraId="0F0CB688" w14:textId="07D44D4F" w:rsidR="008F3965" w:rsidRPr="00756F4C" w:rsidRDefault="00867B27" w:rsidP="008F3965">
            <w:pPr>
              <w:spacing w:before="120" w:after="120" w:line="360" w:lineRule="auto"/>
              <w:rPr>
                <w:rFonts w:cs="Times New Roman"/>
                <w:b/>
                <w:szCs w:val="24"/>
              </w:rPr>
            </w:pPr>
            <w:r w:rsidRPr="00867B27">
              <w:rPr>
                <w:rFonts w:cs="Times New Roman"/>
                <w:b/>
                <w:szCs w:val="24"/>
              </w:rPr>
              <w:t>MD Didarul Islam Anik</w:t>
            </w:r>
          </w:p>
        </w:tc>
        <w:tc>
          <w:tcPr>
            <w:tcW w:w="2268" w:type="dxa"/>
          </w:tcPr>
          <w:p w14:paraId="75C32AD3" w14:textId="3F9FFE56" w:rsidR="008F3965" w:rsidRPr="00756F4C" w:rsidRDefault="008F3965" w:rsidP="008F3965">
            <w:pPr>
              <w:spacing w:before="120" w:after="120" w:line="360" w:lineRule="auto"/>
              <w:rPr>
                <w:rFonts w:cs="Times New Roman"/>
                <w:b/>
                <w:szCs w:val="24"/>
              </w:rPr>
            </w:pPr>
            <w:r>
              <w:rPr>
                <w:rFonts w:cs="Times New Roman"/>
                <w:b/>
                <w:szCs w:val="24"/>
              </w:rPr>
              <w:t>Student ID number:</w:t>
            </w:r>
          </w:p>
        </w:tc>
        <w:tc>
          <w:tcPr>
            <w:tcW w:w="2268" w:type="dxa"/>
          </w:tcPr>
          <w:p w14:paraId="5B4ED7AD" w14:textId="7B1988BF" w:rsidR="008F3965" w:rsidRPr="00756F4C" w:rsidRDefault="00867B27" w:rsidP="008F3965">
            <w:pPr>
              <w:spacing w:before="120" w:after="120" w:line="360" w:lineRule="auto"/>
              <w:rPr>
                <w:rFonts w:cs="Times New Roman"/>
                <w:b/>
                <w:szCs w:val="24"/>
              </w:rPr>
            </w:pPr>
            <w:r w:rsidRPr="00867B27">
              <w:rPr>
                <w:rFonts w:cs="Times New Roman"/>
                <w:b/>
                <w:szCs w:val="24"/>
              </w:rPr>
              <w:t>2505168</w:t>
            </w:r>
          </w:p>
        </w:tc>
      </w:tr>
      <w:tr w:rsidR="003B250D" w:rsidRPr="00756F4C" w14:paraId="121327D6" w14:textId="77777777" w:rsidTr="008F3965">
        <w:tc>
          <w:tcPr>
            <w:tcW w:w="2093" w:type="dxa"/>
          </w:tcPr>
          <w:p w14:paraId="087C6C07" w14:textId="77777777" w:rsidR="003B250D" w:rsidRPr="00756F4C" w:rsidRDefault="003B250D" w:rsidP="00766FC8">
            <w:pPr>
              <w:spacing w:before="120" w:after="120" w:line="360" w:lineRule="auto"/>
              <w:rPr>
                <w:rFonts w:cs="Times New Roman"/>
                <w:b/>
                <w:szCs w:val="24"/>
              </w:rPr>
            </w:pPr>
            <w:r w:rsidRPr="00756F4C">
              <w:rPr>
                <w:rFonts w:cs="Times New Roman"/>
                <w:b/>
                <w:szCs w:val="24"/>
              </w:rPr>
              <w:t>Programme:</w:t>
            </w:r>
          </w:p>
        </w:tc>
        <w:tc>
          <w:tcPr>
            <w:tcW w:w="7829" w:type="dxa"/>
            <w:gridSpan w:val="3"/>
          </w:tcPr>
          <w:p w14:paraId="2848F607" w14:textId="77777777" w:rsidR="003B250D" w:rsidRPr="00756F4C" w:rsidRDefault="003B250D" w:rsidP="00766FC8">
            <w:pPr>
              <w:spacing w:before="120" w:after="120" w:line="360" w:lineRule="auto"/>
              <w:rPr>
                <w:rFonts w:cs="Times New Roman"/>
                <w:b/>
                <w:szCs w:val="24"/>
              </w:rPr>
            </w:pPr>
            <w:r w:rsidRPr="00756F4C">
              <w:rPr>
                <w:rFonts w:cs="Times New Roman"/>
                <w:szCs w:val="24"/>
              </w:rPr>
              <w:t>MBA</w:t>
            </w:r>
          </w:p>
        </w:tc>
      </w:tr>
      <w:tr w:rsidR="003B250D" w:rsidRPr="00756F4C" w14:paraId="4A2CC443" w14:textId="77777777" w:rsidTr="008F3965">
        <w:tc>
          <w:tcPr>
            <w:tcW w:w="2093" w:type="dxa"/>
          </w:tcPr>
          <w:p w14:paraId="03EC068D" w14:textId="77777777" w:rsidR="003B250D" w:rsidRPr="00756F4C" w:rsidRDefault="003B250D" w:rsidP="00766FC8">
            <w:pPr>
              <w:spacing w:before="120" w:after="120" w:line="360" w:lineRule="auto"/>
              <w:rPr>
                <w:rFonts w:cs="Times New Roman"/>
                <w:b/>
                <w:szCs w:val="24"/>
              </w:rPr>
            </w:pPr>
            <w:r w:rsidRPr="00756F4C">
              <w:rPr>
                <w:rFonts w:cs="Times New Roman"/>
                <w:b/>
                <w:szCs w:val="24"/>
              </w:rPr>
              <w:t>Module:</w:t>
            </w:r>
          </w:p>
        </w:tc>
        <w:tc>
          <w:tcPr>
            <w:tcW w:w="7829" w:type="dxa"/>
            <w:gridSpan w:val="3"/>
          </w:tcPr>
          <w:p w14:paraId="10C3FF7B" w14:textId="77777777" w:rsidR="003B250D" w:rsidRPr="00756F4C" w:rsidRDefault="003B250D" w:rsidP="00766FC8">
            <w:pPr>
              <w:spacing w:before="120" w:after="120" w:line="360" w:lineRule="auto"/>
              <w:rPr>
                <w:rFonts w:cs="Times New Roman"/>
                <w:b/>
                <w:szCs w:val="24"/>
              </w:rPr>
            </w:pPr>
            <w:r w:rsidRPr="00756F4C">
              <w:rPr>
                <w:rFonts w:cs="Times New Roman"/>
                <w:szCs w:val="24"/>
              </w:rPr>
              <w:t>Finance for Business Managers</w:t>
            </w:r>
          </w:p>
        </w:tc>
      </w:tr>
      <w:tr w:rsidR="003B250D" w:rsidRPr="00756F4C" w14:paraId="6FAB7515" w14:textId="77777777" w:rsidTr="008F3965">
        <w:tc>
          <w:tcPr>
            <w:tcW w:w="2093" w:type="dxa"/>
          </w:tcPr>
          <w:p w14:paraId="3272091F" w14:textId="77777777" w:rsidR="003B250D" w:rsidRPr="00756F4C" w:rsidRDefault="003B250D" w:rsidP="00766FC8">
            <w:pPr>
              <w:spacing w:before="120" w:after="120" w:line="360" w:lineRule="auto"/>
              <w:rPr>
                <w:rFonts w:cs="Times New Roman"/>
                <w:b/>
                <w:szCs w:val="24"/>
              </w:rPr>
            </w:pPr>
            <w:r w:rsidRPr="00756F4C">
              <w:rPr>
                <w:rFonts w:cs="Times New Roman"/>
                <w:b/>
                <w:szCs w:val="24"/>
              </w:rPr>
              <w:t>Module code:</w:t>
            </w:r>
          </w:p>
        </w:tc>
        <w:tc>
          <w:tcPr>
            <w:tcW w:w="3293" w:type="dxa"/>
          </w:tcPr>
          <w:p w14:paraId="5BD4A860" w14:textId="77777777" w:rsidR="003B250D" w:rsidRPr="00756F4C" w:rsidRDefault="003B250D" w:rsidP="00766FC8">
            <w:pPr>
              <w:spacing w:before="120" w:after="120" w:line="360" w:lineRule="auto"/>
              <w:rPr>
                <w:rFonts w:cs="Times New Roman"/>
                <w:b/>
                <w:szCs w:val="24"/>
              </w:rPr>
            </w:pPr>
            <w:r w:rsidRPr="00756F4C">
              <w:rPr>
                <w:rFonts w:cs="Times New Roman"/>
                <w:bCs/>
                <w:szCs w:val="24"/>
              </w:rPr>
              <w:t>BMMB7005D</w:t>
            </w:r>
          </w:p>
        </w:tc>
        <w:tc>
          <w:tcPr>
            <w:tcW w:w="2268" w:type="dxa"/>
          </w:tcPr>
          <w:p w14:paraId="084C5AF9" w14:textId="77777777" w:rsidR="003B250D" w:rsidRPr="00756F4C" w:rsidRDefault="003B250D" w:rsidP="00766FC8">
            <w:pPr>
              <w:pStyle w:val="Heading2"/>
              <w:spacing w:line="360" w:lineRule="auto"/>
              <w:outlineLvl w:val="1"/>
              <w:rPr>
                <w:rFonts w:cs="Times New Roman"/>
                <w:color w:val="auto"/>
                <w:sz w:val="24"/>
                <w:szCs w:val="24"/>
              </w:rPr>
            </w:pPr>
            <w:r w:rsidRPr="00756F4C">
              <w:rPr>
                <w:rFonts w:cs="Times New Roman"/>
                <w:color w:val="auto"/>
                <w:sz w:val="24"/>
                <w:szCs w:val="24"/>
              </w:rPr>
              <w:t>Contribution to Overall Module Assessment (%):</w:t>
            </w:r>
          </w:p>
        </w:tc>
        <w:tc>
          <w:tcPr>
            <w:tcW w:w="2268" w:type="dxa"/>
          </w:tcPr>
          <w:p w14:paraId="744AABBD" w14:textId="77777777" w:rsidR="003B250D" w:rsidRPr="00756F4C" w:rsidRDefault="003B250D" w:rsidP="00766FC8">
            <w:pPr>
              <w:spacing w:before="120" w:after="120" w:line="360" w:lineRule="auto"/>
              <w:rPr>
                <w:rFonts w:cs="Times New Roman"/>
                <w:b/>
                <w:szCs w:val="24"/>
              </w:rPr>
            </w:pPr>
            <w:r w:rsidRPr="00756F4C">
              <w:rPr>
                <w:rFonts w:cs="Times New Roman"/>
                <w:szCs w:val="24"/>
              </w:rPr>
              <w:t>100%</w:t>
            </w:r>
          </w:p>
        </w:tc>
      </w:tr>
      <w:tr w:rsidR="003B250D" w:rsidRPr="00756F4C" w14:paraId="61A3E685" w14:textId="77777777" w:rsidTr="008F3965">
        <w:tc>
          <w:tcPr>
            <w:tcW w:w="2093" w:type="dxa"/>
          </w:tcPr>
          <w:p w14:paraId="1FB7978C" w14:textId="77777777" w:rsidR="003B250D" w:rsidRPr="00756F4C" w:rsidRDefault="003B250D" w:rsidP="00766FC8">
            <w:pPr>
              <w:spacing w:before="120" w:after="120" w:line="360" w:lineRule="auto"/>
              <w:rPr>
                <w:rFonts w:cs="Times New Roman"/>
                <w:b/>
                <w:szCs w:val="24"/>
              </w:rPr>
            </w:pPr>
            <w:r w:rsidRPr="00756F4C">
              <w:rPr>
                <w:rFonts w:cs="Times New Roman"/>
                <w:b/>
                <w:szCs w:val="24"/>
              </w:rPr>
              <w:t>Lecturer:</w:t>
            </w:r>
          </w:p>
        </w:tc>
        <w:tc>
          <w:tcPr>
            <w:tcW w:w="3293" w:type="dxa"/>
          </w:tcPr>
          <w:p w14:paraId="613DA582" w14:textId="77777777" w:rsidR="003B250D" w:rsidRPr="00756F4C" w:rsidRDefault="003B250D" w:rsidP="00766FC8">
            <w:pPr>
              <w:spacing w:before="120" w:after="120" w:line="360" w:lineRule="auto"/>
              <w:rPr>
                <w:rFonts w:cs="Times New Roman"/>
                <w:b/>
                <w:szCs w:val="24"/>
              </w:rPr>
            </w:pPr>
            <w:r w:rsidRPr="00756F4C">
              <w:rPr>
                <w:rFonts w:cs="Times New Roman"/>
                <w:szCs w:val="24"/>
              </w:rPr>
              <w:t>Marie Pitson</w:t>
            </w:r>
          </w:p>
        </w:tc>
        <w:tc>
          <w:tcPr>
            <w:tcW w:w="2268" w:type="dxa"/>
          </w:tcPr>
          <w:p w14:paraId="1503494A" w14:textId="77777777" w:rsidR="003B250D" w:rsidRPr="00756F4C" w:rsidRDefault="003B250D" w:rsidP="00766FC8">
            <w:pPr>
              <w:spacing w:before="120" w:after="120" w:line="360" w:lineRule="auto"/>
              <w:rPr>
                <w:rFonts w:cs="Times New Roman"/>
                <w:b/>
                <w:szCs w:val="24"/>
              </w:rPr>
            </w:pPr>
            <w:r w:rsidRPr="00756F4C">
              <w:rPr>
                <w:rFonts w:cs="Times New Roman"/>
                <w:b/>
                <w:szCs w:val="24"/>
              </w:rPr>
              <w:t>Internal Verifier:</w:t>
            </w:r>
          </w:p>
        </w:tc>
        <w:tc>
          <w:tcPr>
            <w:tcW w:w="2268" w:type="dxa"/>
          </w:tcPr>
          <w:p w14:paraId="3A1F664A" w14:textId="77777777" w:rsidR="003B250D" w:rsidRPr="00756F4C" w:rsidRDefault="003B250D" w:rsidP="00766FC8">
            <w:pPr>
              <w:spacing w:before="120" w:after="120" w:line="360" w:lineRule="auto"/>
              <w:rPr>
                <w:rFonts w:cs="Times New Roman"/>
                <w:b/>
                <w:szCs w:val="24"/>
              </w:rPr>
            </w:pPr>
            <w:r w:rsidRPr="00756F4C">
              <w:rPr>
                <w:rFonts w:cs="Times New Roman"/>
                <w:szCs w:val="24"/>
              </w:rPr>
              <w:t>Badir Miftah</w:t>
            </w:r>
          </w:p>
        </w:tc>
      </w:tr>
      <w:tr w:rsidR="003B250D" w:rsidRPr="00756F4C" w14:paraId="72F6377E" w14:textId="77777777" w:rsidTr="008F3965">
        <w:tc>
          <w:tcPr>
            <w:tcW w:w="2093" w:type="dxa"/>
          </w:tcPr>
          <w:p w14:paraId="67CF5AA6" w14:textId="77777777" w:rsidR="003B250D" w:rsidRPr="00756F4C" w:rsidRDefault="003B250D" w:rsidP="00766FC8">
            <w:pPr>
              <w:spacing w:before="120" w:after="120" w:line="360" w:lineRule="auto"/>
              <w:rPr>
                <w:rFonts w:cs="Times New Roman"/>
                <w:b/>
                <w:szCs w:val="24"/>
              </w:rPr>
            </w:pPr>
            <w:r w:rsidRPr="00756F4C">
              <w:rPr>
                <w:rFonts w:cs="Times New Roman"/>
                <w:b/>
                <w:szCs w:val="24"/>
              </w:rPr>
              <w:t>Assignment Title:</w:t>
            </w:r>
          </w:p>
        </w:tc>
        <w:tc>
          <w:tcPr>
            <w:tcW w:w="3293" w:type="dxa"/>
          </w:tcPr>
          <w:p w14:paraId="18D58672" w14:textId="1C95FE4A" w:rsidR="003B250D" w:rsidRPr="00756F4C" w:rsidRDefault="003B250D" w:rsidP="00766FC8">
            <w:pPr>
              <w:spacing w:before="120" w:after="120" w:line="360" w:lineRule="auto"/>
              <w:rPr>
                <w:rFonts w:cs="Times New Roman"/>
                <w:szCs w:val="24"/>
              </w:rPr>
            </w:pPr>
            <w:r>
              <w:rPr>
                <w:rFonts w:cs="Times New Roman"/>
                <w:szCs w:val="24"/>
              </w:rPr>
              <w:t xml:space="preserve">Finance Report for </w:t>
            </w:r>
            <w:r w:rsidR="00A40B29">
              <w:rPr>
                <w:lang w:val="en-US"/>
              </w:rPr>
              <w:t xml:space="preserve">Rolls-Royce Holdings </w:t>
            </w:r>
            <w:r>
              <w:rPr>
                <w:rFonts w:cs="Times New Roman"/>
                <w:szCs w:val="24"/>
              </w:rPr>
              <w:t xml:space="preserve">Plc &amp; </w:t>
            </w:r>
            <w:r w:rsidRPr="00756F4C">
              <w:rPr>
                <w:rFonts w:cs="Times New Roman"/>
                <w:szCs w:val="24"/>
              </w:rPr>
              <w:t>Westward Plc</w:t>
            </w:r>
          </w:p>
        </w:tc>
        <w:tc>
          <w:tcPr>
            <w:tcW w:w="2268" w:type="dxa"/>
          </w:tcPr>
          <w:p w14:paraId="52938BB8" w14:textId="77777777" w:rsidR="003B250D" w:rsidRPr="00756F4C" w:rsidRDefault="003B250D" w:rsidP="00766FC8">
            <w:pPr>
              <w:spacing w:before="120" w:after="120" w:line="360" w:lineRule="auto"/>
              <w:rPr>
                <w:rFonts w:cs="Times New Roman"/>
                <w:b/>
                <w:szCs w:val="24"/>
              </w:rPr>
            </w:pPr>
            <w:r w:rsidRPr="00756F4C">
              <w:rPr>
                <w:rFonts w:cs="Times New Roman"/>
                <w:b/>
                <w:szCs w:val="24"/>
              </w:rPr>
              <w:t>Word count (or equivalent):</w:t>
            </w:r>
          </w:p>
        </w:tc>
        <w:tc>
          <w:tcPr>
            <w:tcW w:w="2268" w:type="dxa"/>
          </w:tcPr>
          <w:p w14:paraId="0163F68D" w14:textId="77777777" w:rsidR="003B250D" w:rsidRPr="00756F4C" w:rsidRDefault="003B250D" w:rsidP="00766FC8">
            <w:pPr>
              <w:spacing w:before="120" w:after="120" w:line="360" w:lineRule="auto"/>
              <w:rPr>
                <w:rFonts w:cs="Times New Roman"/>
                <w:b/>
                <w:szCs w:val="24"/>
              </w:rPr>
            </w:pPr>
            <w:r w:rsidRPr="00756F4C">
              <w:rPr>
                <w:rFonts w:cs="Times New Roman"/>
                <w:szCs w:val="24"/>
              </w:rPr>
              <w:t>5000 words</w:t>
            </w:r>
          </w:p>
        </w:tc>
      </w:tr>
      <w:tr w:rsidR="003B250D" w:rsidRPr="00756F4C" w14:paraId="16A75209" w14:textId="77777777" w:rsidTr="008F3965">
        <w:tc>
          <w:tcPr>
            <w:tcW w:w="2093" w:type="dxa"/>
          </w:tcPr>
          <w:p w14:paraId="6ABBC66C" w14:textId="77777777" w:rsidR="003B250D" w:rsidRPr="00756F4C" w:rsidRDefault="003B250D" w:rsidP="00766FC8">
            <w:pPr>
              <w:spacing w:before="120" w:after="120" w:line="360" w:lineRule="auto"/>
              <w:rPr>
                <w:rFonts w:cs="Times New Roman"/>
                <w:b/>
                <w:szCs w:val="24"/>
              </w:rPr>
            </w:pPr>
            <w:r w:rsidRPr="00756F4C">
              <w:rPr>
                <w:rFonts w:cs="Times New Roman"/>
                <w:b/>
                <w:szCs w:val="24"/>
              </w:rPr>
              <w:t>Submission deadline:</w:t>
            </w:r>
          </w:p>
        </w:tc>
        <w:tc>
          <w:tcPr>
            <w:tcW w:w="3293" w:type="dxa"/>
          </w:tcPr>
          <w:p w14:paraId="40B806F5" w14:textId="77777777" w:rsidR="003B250D" w:rsidRPr="00756F4C" w:rsidRDefault="003B250D" w:rsidP="00766FC8">
            <w:pPr>
              <w:spacing w:before="120" w:after="120" w:line="360" w:lineRule="auto"/>
              <w:rPr>
                <w:rFonts w:cs="Times New Roman"/>
                <w:szCs w:val="24"/>
              </w:rPr>
            </w:pPr>
            <w:r w:rsidRPr="00756F4C">
              <w:rPr>
                <w:rFonts w:cs="Times New Roman"/>
                <w:szCs w:val="24"/>
              </w:rPr>
              <w:t>12</w:t>
            </w:r>
            <w:r w:rsidRPr="00756F4C">
              <w:rPr>
                <w:rFonts w:cs="Times New Roman"/>
                <w:szCs w:val="24"/>
                <w:vertAlign w:val="superscript"/>
              </w:rPr>
              <w:t>th</w:t>
            </w:r>
            <w:r w:rsidRPr="00756F4C">
              <w:rPr>
                <w:rFonts w:cs="Times New Roman"/>
                <w:szCs w:val="24"/>
              </w:rPr>
              <w:t xml:space="preserve"> January 2026</w:t>
            </w:r>
          </w:p>
        </w:tc>
        <w:tc>
          <w:tcPr>
            <w:tcW w:w="2268" w:type="dxa"/>
          </w:tcPr>
          <w:p w14:paraId="6EEFCA28" w14:textId="77777777" w:rsidR="003B250D" w:rsidRPr="00756F4C" w:rsidRDefault="003B250D" w:rsidP="00766FC8">
            <w:pPr>
              <w:spacing w:before="120" w:after="120" w:line="360" w:lineRule="auto"/>
              <w:rPr>
                <w:rFonts w:cs="Times New Roman"/>
                <w:b/>
                <w:szCs w:val="24"/>
              </w:rPr>
            </w:pPr>
          </w:p>
        </w:tc>
        <w:tc>
          <w:tcPr>
            <w:tcW w:w="2268" w:type="dxa"/>
          </w:tcPr>
          <w:p w14:paraId="002B429E" w14:textId="77777777" w:rsidR="003B250D" w:rsidRPr="00756F4C" w:rsidRDefault="003B250D" w:rsidP="00766FC8">
            <w:pPr>
              <w:spacing w:before="120" w:after="120" w:line="360" w:lineRule="auto"/>
              <w:rPr>
                <w:rFonts w:cs="Times New Roman"/>
                <w:szCs w:val="24"/>
              </w:rPr>
            </w:pPr>
          </w:p>
        </w:tc>
      </w:tr>
    </w:tbl>
    <w:p w14:paraId="2C02E44F" w14:textId="77777777" w:rsidR="003B250D" w:rsidRDefault="003B250D" w:rsidP="003B250D">
      <w:pPr>
        <w:spacing w:line="360" w:lineRule="auto"/>
        <w:rPr>
          <w:sz w:val="32"/>
          <w:szCs w:val="36"/>
          <w:lang w:val="en-US"/>
        </w:rPr>
      </w:pPr>
    </w:p>
    <w:p w14:paraId="60FA656A" w14:textId="01116B54" w:rsidR="003B250D" w:rsidRDefault="003B250D">
      <w:pPr>
        <w:rPr>
          <w:sz w:val="32"/>
          <w:szCs w:val="36"/>
          <w:lang w:val="en-US"/>
        </w:rPr>
      </w:pPr>
    </w:p>
    <w:p w14:paraId="144F2480" w14:textId="77777777" w:rsidR="003B250D" w:rsidRDefault="003B250D">
      <w:pPr>
        <w:rPr>
          <w:sz w:val="32"/>
          <w:szCs w:val="36"/>
          <w:lang w:val="en-US"/>
        </w:rPr>
      </w:pPr>
    </w:p>
    <w:p w14:paraId="486F5092" w14:textId="77777777" w:rsidR="009C643C" w:rsidRDefault="009C643C">
      <w:pPr>
        <w:spacing w:after="160"/>
        <w:jc w:val="left"/>
        <w:rPr>
          <w:sz w:val="32"/>
          <w:szCs w:val="36"/>
          <w:lang w:val="en-US"/>
        </w:rPr>
      </w:pPr>
      <w:r>
        <w:rPr>
          <w:sz w:val="32"/>
          <w:szCs w:val="36"/>
          <w:lang w:val="en-US"/>
        </w:rPr>
        <w:br w:type="page"/>
      </w:r>
    </w:p>
    <w:p w14:paraId="7B18C372" w14:textId="77777777" w:rsidR="00BF541D" w:rsidRDefault="00BF541D" w:rsidP="00BF541D">
      <w:pPr>
        <w:pStyle w:val="Heading1"/>
        <w:spacing w:line="360" w:lineRule="auto"/>
        <w:rPr>
          <w:lang w:val="en-US"/>
        </w:rPr>
      </w:pPr>
      <w:bookmarkStart w:id="0" w:name="_Toc219063770"/>
      <w:r>
        <w:rPr>
          <w:lang w:val="en-US"/>
        </w:rPr>
        <w:lastRenderedPageBreak/>
        <w:t>Executive Summary</w:t>
      </w:r>
      <w:bookmarkEnd w:id="0"/>
    </w:p>
    <w:p w14:paraId="050BF421" w14:textId="7407CC66" w:rsidR="00BF541D" w:rsidRPr="00BF541D" w:rsidRDefault="00BF541D" w:rsidP="00BF541D">
      <w:pPr>
        <w:spacing w:after="160" w:line="360" w:lineRule="auto"/>
        <w:rPr>
          <w:rFonts w:eastAsiaTheme="majorEastAsia" w:cstheme="majorBidi"/>
          <w:b/>
          <w:color w:val="2F5496" w:themeColor="accent1" w:themeShade="BF"/>
          <w:sz w:val="32"/>
          <w:szCs w:val="50"/>
          <w:lang w:val="en-US"/>
        </w:rPr>
      </w:pPr>
      <w:r>
        <w:rPr>
          <w:lang w:val="en-US"/>
        </w:rPr>
        <w:t xml:space="preserve">This report </w:t>
      </w:r>
      <w:r w:rsidR="00284435">
        <w:rPr>
          <w:lang w:val="en-US"/>
        </w:rPr>
        <w:t>provides</w:t>
      </w:r>
      <w:r>
        <w:rPr>
          <w:lang w:val="en-US"/>
        </w:rPr>
        <w:t xml:space="preserve"> an in-depth financial performance analysis of Rolls-Royce Holdings PLC by using ratios</w:t>
      </w:r>
      <w:r w:rsidR="00284435">
        <w:rPr>
          <w:lang w:val="en-US"/>
        </w:rPr>
        <w:t>,</w:t>
      </w:r>
      <w:r>
        <w:rPr>
          <w:lang w:val="en-US"/>
        </w:rPr>
        <w:t xml:space="preserve"> while elucidating the investment decision for Westward PLC by using both net present value and internal rate of return to choose from the three options given. The report has provided critical insights </w:t>
      </w:r>
      <w:r w:rsidR="00284435">
        <w:rPr>
          <w:lang w:val="en-US"/>
        </w:rPr>
        <w:t>into</w:t>
      </w:r>
      <w:r>
        <w:rPr>
          <w:lang w:val="en-US"/>
        </w:rPr>
        <w:t xml:space="preserve"> how investment appraisal techniques can be used while showcasing their limitations. At the same time, the use of ratio analysis to drive necessary recommendations has been elaborated while considering the limitations of the use of ratio analysis. Overall, the report has encompassed necessary decision-making insights that managers of both companies, Rolls-Royce Holdings PLC and Westward PLC, can utili</w:t>
      </w:r>
      <w:r w:rsidR="00284435">
        <w:rPr>
          <w:lang w:val="en-US"/>
        </w:rPr>
        <w:t>s</w:t>
      </w:r>
      <w:r>
        <w:rPr>
          <w:lang w:val="en-US"/>
        </w:rPr>
        <w:t>e to drive effective decision-making.</w:t>
      </w:r>
      <w:r>
        <w:rPr>
          <w:lang w:val="en-US"/>
        </w:rPr>
        <w:br w:type="page"/>
      </w:r>
    </w:p>
    <w:sdt>
      <w:sdtPr>
        <w:rPr>
          <w:rFonts w:ascii="Times New Roman" w:eastAsiaTheme="minorHAnsi" w:hAnsi="Times New Roman" w:cstheme="minorBidi"/>
          <w:color w:val="auto"/>
          <w:kern w:val="2"/>
          <w:sz w:val="24"/>
          <w:szCs w:val="30"/>
          <w:lang w:eastAsia="en-US"/>
          <w14:ligatures w14:val="standardContextual"/>
        </w:rPr>
        <w:id w:val="1745690338"/>
        <w:docPartObj>
          <w:docPartGallery w:val="Table of Contents"/>
          <w:docPartUnique/>
        </w:docPartObj>
      </w:sdtPr>
      <w:sdtEndPr>
        <w:rPr>
          <w:b/>
          <w:bCs/>
        </w:rPr>
      </w:sdtEndPr>
      <w:sdtContent>
        <w:p w14:paraId="1357AB32" w14:textId="3FE33C76" w:rsidR="009C643C" w:rsidRDefault="009C643C">
          <w:pPr>
            <w:pStyle w:val="TOCHeading"/>
          </w:pPr>
          <w:r>
            <w:t>Table of Contents</w:t>
          </w:r>
        </w:p>
        <w:p w14:paraId="1EEBEDE8" w14:textId="012701FC" w:rsidR="00BF541D" w:rsidRDefault="009C643C">
          <w:pPr>
            <w:pStyle w:val="TOC1"/>
            <w:tabs>
              <w:tab w:val="right" w:leader="dot" w:pos="9016"/>
            </w:tabs>
            <w:rPr>
              <w:rFonts w:asciiTheme="minorHAnsi" w:eastAsiaTheme="minorEastAsia" w:hAnsiTheme="minorHAnsi" w:cs="Vrinda"/>
              <w:noProof/>
              <w:lang w:eastAsia="en-GB" w:bidi="bn-IN"/>
            </w:rPr>
          </w:pPr>
          <w:r>
            <w:fldChar w:fldCharType="begin"/>
          </w:r>
          <w:r>
            <w:instrText xml:space="preserve"> TOC \o "1-3" \h \z \u </w:instrText>
          </w:r>
          <w:r>
            <w:fldChar w:fldCharType="separate"/>
          </w:r>
          <w:hyperlink w:anchor="_Toc219063770" w:history="1">
            <w:r w:rsidR="00BF541D" w:rsidRPr="0076672F">
              <w:rPr>
                <w:rStyle w:val="Hyperlink"/>
                <w:noProof/>
                <w:lang w:val="en-US"/>
              </w:rPr>
              <w:t>Executive Summary</w:t>
            </w:r>
            <w:r w:rsidR="00BF541D">
              <w:rPr>
                <w:noProof/>
                <w:webHidden/>
              </w:rPr>
              <w:tab/>
            </w:r>
            <w:r w:rsidR="00BF541D">
              <w:rPr>
                <w:noProof/>
                <w:webHidden/>
              </w:rPr>
              <w:fldChar w:fldCharType="begin"/>
            </w:r>
            <w:r w:rsidR="00BF541D">
              <w:rPr>
                <w:noProof/>
                <w:webHidden/>
              </w:rPr>
              <w:instrText xml:space="preserve"> PAGEREF _Toc219063770 \h </w:instrText>
            </w:r>
            <w:r w:rsidR="00BF541D">
              <w:rPr>
                <w:noProof/>
                <w:webHidden/>
              </w:rPr>
            </w:r>
            <w:r w:rsidR="00BF541D">
              <w:rPr>
                <w:noProof/>
                <w:webHidden/>
              </w:rPr>
              <w:fldChar w:fldCharType="separate"/>
            </w:r>
            <w:r w:rsidR="00BF541D">
              <w:rPr>
                <w:noProof/>
                <w:webHidden/>
              </w:rPr>
              <w:t>2</w:t>
            </w:r>
            <w:r w:rsidR="00BF541D">
              <w:rPr>
                <w:noProof/>
                <w:webHidden/>
              </w:rPr>
              <w:fldChar w:fldCharType="end"/>
            </w:r>
          </w:hyperlink>
        </w:p>
        <w:p w14:paraId="5C12A8CF" w14:textId="6A1AD076" w:rsidR="00BF541D" w:rsidRDefault="00D03E7D">
          <w:pPr>
            <w:pStyle w:val="TOC1"/>
            <w:tabs>
              <w:tab w:val="right" w:leader="dot" w:pos="9016"/>
            </w:tabs>
            <w:rPr>
              <w:rFonts w:asciiTheme="minorHAnsi" w:eastAsiaTheme="minorEastAsia" w:hAnsiTheme="minorHAnsi" w:cs="Vrinda"/>
              <w:noProof/>
              <w:lang w:eastAsia="en-GB" w:bidi="bn-IN"/>
            </w:rPr>
          </w:pPr>
          <w:hyperlink w:anchor="_Toc219063771" w:history="1">
            <w:r w:rsidR="00BF541D" w:rsidRPr="0076672F">
              <w:rPr>
                <w:rStyle w:val="Hyperlink"/>
                <w:noProof/>
                <w:lang w:val="en-US"/>
              </w:rPr>
              <w:t>Introduction</w:t>
            </w:r>
            <w:r w:rsidR="00BF541D">
              <w:rPr>
                <w:noProof/>
                <w:webHidden/>
              </w:rPr>
              <w:tab/>
            </w:r>
            <w:r w:rsidR="00BF541D">
              <w:rPr>
                <w:noProof/>
                <w:webHidden/>
              </w:rPr>
              <w:fldChar w:fldCharType="begin"/>
            </w:r>
            <w:r w:rsidR="00BF541D">
              <w:rPr>
                <w:noProof/>
                <w:webHidden/>
              </w:rPr>
              <w:instrText xml:space="preserve"> PAGEREF _Toc219063771 \h </w:instrText>
            </w:r>
            <w:r w:rsidR="00BF541D">
              <w:rPr>
                <w:noProof/>
                <w:webHidden/>
              </w:rPr>
            </w:r>
            <w:r w:rsidR="00BF541D">
              <w:rPr>
                <w:noProof/>
                <w:webHidden/>
              </w:rPr>
              <w:fldChar w:fldCharType="separate"/>
            </w:r>
            <w:r w:rsidR="00BF541D">
              <w:rPr>
                <w:noProof/>
                <w:webHidden/>
              </w:rPr>
              <w:t>5</w:t>
            </w:r>
            <w:r w:rsidR="00BF541D">
              <w:rPr>
                <w:noProof/>
                <w:webHidden/>
              </w:rPr>
              <w:fldChar w:fldCharType="end"/>
            </w:r>
          </w:hyperlink>
        </w:p>
        <w:p w14:paraId="52E2EAA2" w14:textId="65B403AD" w:rsidR="00BF541D" w:rsidRDefault="00D03E7D">
          <w:pPr>
            <w:pStyle w:val="TOC1"/>
            <w:tabs>
              <w:tab w:val="right" w:leader="dot" w:pos="9016"/>
            </w:tabs>
            <w:rPr>
              <w:rFonts w:asciiTheme="minorHAnsi" w:eastAsiaTheme="minorEastAsia" w:hAnsiTheme="minorHAnsi" w:cs="Vrinda"/>
              <w:noProof/>
              <w:lang w:eastAsia="en-GB" w:bidi="bn-IN"/>
            </w:rPr>
          </w:pPr>
          <w:hyperlink w:anchor="_Toc219063772" w:history="1">
            <w:r w:rsidR="00BF541D" w:rsidRPr="0076672F">
              <w:rPr>
                <w:rStyle w:val="Hyperlink"/>
                <w:noProof/>
                <w:lang w:val="en-US"/>
              </w:rPr>
              <w:t>Part One: Financial Ratio Analysis of Rolls-Royce Holdings Plc</w:t>
            </w:r>
            <w:r w:rsidR="00BF541D">
              <w:rPr>
                <w:noProof/>
                <w:webHidden/>
              </w:rPr>
              <w:tab/>
            </w:r>
            <w:r w:rsidR="00BF541D">
              <w:rPr>
                <w:noProof/>
                <w:webHidden/>
              </w:rPr>
              <w:fldChar w:fldCharType="begin"/>
            </w:r>
            <w:r w:rsidR="00BF541D">
              <w:rPr>
                <w:noProof/>
                <w:webHidden/>
              </w:rPr>
              <w:instrText xml:space="preserve"> PAGEREF _Toc219063772 \h </w:instrText>
            </w:r>
            <w:r w:rsidR="00BF541D">
              <w:rPr>
                <w:noProof/>
                <w:webHidden/>
              </w:rPr>
            </w:r>
            <w:r w:rsidR="00BF541D">
              <w:rPr>
                <w:noProof/>
                <w:webHidden/>
              </w:rPr>
              <w:fldChar w:fldCharType="separate"/>
            </w:r>
            <w:r w:rsidR="00BF541D">
              <w:rPr>
                <w:noProof/>
                <w:webHidden/>
              </w:rPr>
              <w:t>6</w:t>
            </w:r>
            <w:r w:rsidR="00BF541D">
              <w:rPr>
                <w:noProof/>
                <w:webHidden/>
              </w:rPr>
              <w:fldChar w:fldCharType="end"/>
            </w:r>
          </w:hyperlink>
        </w:p>
        <w:p w14:paraId="66503618" w14:textId="79059D75" w:rsidR="00BF541D" w:rsidRDefault="00D03E7D">
          <w:pPr>
            <w:pStyle w:val="TOC2"/>
            <w:tabs>
              <w:tab w:val="right" w:leader="dot" w:pos="9016"/>
            </w:tabs>
            <w:rPr>
              <w:rFonts w:asciiTheme="minorHAnsi" w:eastAsiaTheme="minorEastAsia" w:hAnsiTheme="minorHAnsi" w:cs="Vrinda"/>
              <w:noProof/>
              <w:lang w:eastAsia="en-GB" w:bidi="bn-IN"/>
            </w:rPr>
          </w:pPr>
          <w:hyperlink w:anchor="_Toc219063773" w:history="1">
            <w:r w:rsidR="00BF541D" w:rsidRPr="0076672F">
              <w:rPr>
                <w:rStyle w:val="Hyperlink"/>
                <w:noProof/>
                <w:lang w:val="en-US"/>
              </w:rPr>
              <w:t>Overview of Rolls-Royce Holdings PLC</w:t>
            </w:r>
            <w:r w:rsidR="00BF541D">
              <w:rPr>
                <w:noProof/>
                <w:webHidden/>
              </w:rPr>
              <w:tab/>
            </w:r>
            <w:r w:rsidR="00BF541D">
              <w:rPr>
                <w:noProof/>
                <w:webHidden/>
              </w:rPr>
              <w:fldChar w:fldCharType="begin"/>
            </w:r>
            <w:r w:rsidR="00BF541D">
              <w:rPr>
                <w:noProof/>
                <w:webHidden/>
              </w:rPr>
              <w:instrText xml:space="preserve"> PAGEREF _Toc219063773 \h </w:instrText>
            </w:r>
            <w:r w:rsidR="00BF541D">
              <w:rPr>
                <w:noProof/>
                <w:webHidden/>
              </w:rPr>
            </w:r>
            <w:r w:rsidR="00BF541D">
              <w:rPr>
                <w:noProof/>
                <w:webHidden/>
              </w:rPr>
              <w:fldChar w:fldCharType="separate"/>
            </w:r>
            <w:r w:rsidR="00BF541D">
              <w:rPr>
                <w:noProof/>
                <w:webHidden/>
              </w:rPr>
              <w:t>6</w:t>
            </w:r>
            <w:r w:rsidR="00BF541D">
              <w:rPr>
                <w:noProof/>
                <w:webHidden/>
              </w:rPr>
              <w:fldChar w:fldCharType="end"/>
            </w:r>
          </w:hyperlink>
        </w:p>
        <w:p w14:paraId="2E38307B" w14:textId="17B31EC4" w:rsidR="00BF541D" w:rsidRDefault="00D03E7D">
          <w:pPr>
            <w:pStyle w:val="TOC2"/>
            <w:tabs>
              <w:tab w:val="right" w:leader="dot" w:pos="9016"/>
            </w:tabs>
            <w:rPr>
              <w:rFonts w:asciiTheme="minorHAnsi" w:eastAsiaTheme="minorEastAsia" w:hAnsiTheme="minorHAnsi" w:cs="Vrinda"/>
              <w:noProof/>
              <w:lang w:eastAsia="en-GB" w:bidi="bn-IN"/>
            </w:rPr>
          </w:pPr>
          <w:hyperlink w:anchor="_Toc219063774" w:history="1">
            <w:r w:rsidR="00BF541D" w:rsidRPr="0076672F">
              <w:rPr>
                <w:rStyle w:val="Hyperlink"/>
                <w:noProof/>
                <w:lang w:val="en-US"/>
              </w:rPr>
              <w:t>Calculation and Analysis of Financial Ratios</w:t>
            </w:r>
            <w:r w:rsidR="00BF541D">
              <w:rPr>
                <w:noProof/>
                <w:webHidden/>
              </w:rPr>
              <w:tab/>
            </w:r>
            <w:r w:rsidR="00BF541D">
              <w:rPr>
                <w:noProof/>
                <w:webHidden/>
              </w:rPr>
              <w:fldChar w:fldCharType="begin"/>
            </w:r>
            <w:r w:rsidR="00BF541D">
              <w:rPr>
                <w:noProof/>
                <w:webHidden/>
              </w:rPr>
              <w:instrText xml:space="preserve"> PAGEREF _Toc219063774 \h </w:instrText>
            </w:r>
            <w:r w:rsidR="00BF541D">
              <w:rPr>
                <w:noProof/>
                <w:webHidden/>
              </w:rPr>
            </w:r>
            <w:r w:rsidR="00BF541D">
              <w:rPr>
                <w:noProof/>
                <w:webHidden/>
              </w:rPr>
              <w:fldChar w:fldCharType="separate"/>
            </w:r>
            <w:r w:rsidR="00BF541D">
              <w:rPr>
                <w:noProof/>
                <w:webHidden/>
              </w:rPr>
              <w:t>7</w:t>
            </w:r>
            <w:r w:rsidR="00BF541D">
              <w:rPr>
                <w:noProof/>
                <w:webHidden/>
              </w:rPr>
              <w:fldChar w:fldCharType="end"/>
            </w:r>
          </w:hyperlink>
        </w:p>
        <w:p w14:paraId="3CA89887" w14:textId="78367FFD" w:rsidR="00BF541D" w:rsidRDefault="00D03E7D">
          <w:pPr>
            <w:pStyle w:val="TOC3"/>
            <w:tabs>
              <w:tab w:val="right" w:leader="dot" w:pos="9016"/>
            </w:tabs>
            <w:rPr>
              <w:rFonts w:asciiTheme="minorHAnsi" w:eastAsiaTheme="minorEastAsia" w:hAnsiTheme="minorHAnsi" w:cs="Vrinda"/>
              <w:noProof/>
              <w:lang w:eastAsia="en-GB" w:bidi="bn-IN"/>
            </w:rPr>
          </w:pPr>
          <w:hyperlink w:anchor="_Toc219063775" w:history="1">
            <w:r w:rsidR="00BF541D" w:rsidRPr="0076672F">
              <w:rPr>
                <w:rStyle w:val="Hyperlink"/>
                <w:rFonts w:cs="Times New Roman"/>
                <w:b/>
                <w:bCs/>
                <w:noProof/>
                <w:lang w:val="en-US"/>
              </w:rPr>
              <w:t>Profitability Ratios</w:t>
            </w:r>
            <w:r w:rsidR="00BF541D">
              <w:rPr>
                <w:noProof/>
                <w:webHidden/>
              </w:rPr>
              <w:tab/>
            </w:r>
            <w:r w:rsidR="00BF541D">
              <w:rPr>
                <w:noProof/>
                <w:webHidden/>
              </w:rPr>
              <w:fldChar w:fldCharType="begin"/>
            </w:r>
            <w:r w:rsidR="00BF541D">
              <w:rPr>
                <w:noProof/>
                <w:webHidden/>
              </w:rPr>
              <w:instrText xml:space="preserve"> PAGEREF _Toc219063775 \h </w:instrText>
            </w:r>
            <w:r w:rsidR="00BF541D">
              <w:rPr>
                <w:noProof/>
                <w:webHidden/>
              </w:rPr>
            </w:r>
            <w:r w:rsidR="00BF541D">
              <w:rPr>
                <w:noProof/>
                <w:webHidden/>
              </w:rPr>
              <w:fldChar w:fldCharType="separate"/>
            </w:r>
            <w:r w:rsidR="00BF541D">
              <w:rPr>
                <w:noProof/>
                <w:webHidden/>
              </w:rPr>
              <w:t>7</w:t>
            </w:r>
            <w:r w:rsidR="00BF541D">
              <w:rPr>
                <w:noProof/>
                <w:webHidden/>
              </w:rPr>
              <w:fldChar w:fldCharType="end"/>
            </w:r>
          </w:hyperlink>
        </w:p>
        <w:p w14:paraId="2AF05593" w14:textId="333A9CDC" w:rsidR="00BF541D" w:rsidRDefault="00D03E7D">
          <w:pPr>
            <w:pStyle w:val="TOC3"/>
            <w:tabs>
              <w:tab w:val="right" w:leader="dot" w:pos="9016"/>
            </w:tabs>
            <w:rPr>
              <w:rFonts w:asciiTheme="minorHAnsi" w:eastAsiaTheme="minorEastAsia" w:hAnsiTheme="minorHAnsi" w:cs="Vrinda"/>
              <w:noProof/>
              <w:lang w:eastAsia="en-GB" w:bidi="bn-IN"/>
            </w:rPr>
          </w:pPr>
          <w:hyperlink w:anchor="_Toc219063776" w:history="1">
            <w:r w:rsidR="00BF541D" w:rsidRPr="0076672F">
              <w:rPr>
                <w:rStyle w:val="Hyperlink"/>
                <w:rFonts w:cs="Times New Roman"/>
                <w:b/>
                <w:bCs/>
                <w:noProof/>
                <w:lang w:val="en-US"/>
              </w:rPr>
              <w:t>Liquidity Ratios</w:t>
            </w:r>
            <w:r w:rsidR="00BF541D">
              <w:rPr>
                <w:noProof/>
                <w:webHidden/>
              </w:rPr>
              <w:tab/>
            </w:r>
            <w:r w:rsidR="00BF541D">
              <w:rPr>
                <w:noProof/>
                <w:webHidden/>
              </w:rPr>
              <w:fldChar w:fldCharType="begin"/>
            </w:r>
            <w:r w:rsidR="00BF541D">
              <w:rPr>
                <w:noProof/>
                <w:webHidden/>
              </w:rPr>
              <w:instrText xml:space="preserve"> PAGEREF _Toc219063776 \h </w:instrText>
            </w:r>
            <w:r w:rsidR="00BF541D">
              <w:rPr>
                <w:noProof/>
                <w:webHidden/>
              </w:rPr>
            </w:r>
            <w:r w:rsidR="00BF541D">
              <w:rPr>
                <w:noProof/>
                <w:webHidden/>
              </w:rPr>
              <w:fldChar w:fldCharType="separate"/>
            </w:r>
            <w:r w:rsidR="00BF541D">
              <w:rPr>
                <w:noProof/>
                <w:webHidden/>
              </w:rPr>
              <w:t>8</w:t>
            </w:r>
            <w:r w:rsidR="00BF541D">
              <w:rPr>
                <w:noProof/>
                <w:webHidden/>
              </w:rPr>
              <w:fldChar w:fldCharType="end"/>
            </w:r>
          </w:hyperlink>
        </w:p>
        <w:p w14:paraId="610FBCC5" w14:textId="24AACDA9" w:rsidR="00BF541D" w:rsidRDefault="00D03E7D">
          <w:pPr>
            <w:pStyle w:val="TOC3"/>
            <w:tabs>
              <w:tab w:val="right" w:leader="dot" w:pos="9016"/>
            </w:tabs>
            <w:rPr>
              <w:rFonts w:asciiTheme="minorHAnsi" w:eastAsiaTheme="minorEastAsia" w:hAnsiTheme="minorHAnsi" w:cs="Vrinda"/>
              <w:noProof/>
              <w:lang w:eastAsia="en-GB" w:bidi="bn-IN"/>
            </w:rPr>
          </w:pPr>
          <w:hyperlink w:anchor="_Toc219063777" w:history="1">
            <w:r w:rsidR="00BF541D" w:rsidRPr="0076672F">
              <w:rPr>
                <w:rStyle w:val="Hyperlink"/>
                <w:rFonts w:cs="Times New Roman"/>
                <w:b/>
                <w:bCs/>
                <w:noProof/>
                <w:lang w:val="en-US"/>
              </w:rPr>
              <w:t>Gearing Ratios</w:t>
            </w:r>
            <w:r w:rsidR="00BF541D">
              <w:rPr>
                <w:noProof/>
                <w:webHidden/>
              </w:rPr>
              <w:tab/>
            </w:r>
            <w:r w:rsidR="00BF541D">
              <w:rPr>
                <w:noProof/>
                <w:webHidden/>
              </w:rPr>
              <w:fldChar w:fldCharType="begin"/>
            </w:r>
            <w:r w:rsidR="00BF541D">
              <w:rPr>
                <w:noProof/>
                <w:webHidden/>
              </w:rPr>
              <w:instrText xml:space="preserve"> PAGEREF _Toc219063777 \h </w:instrText>
            </w:r>
            <w:r w:rsidR="00BF541D">
              <w:rPr>
                <w:noProof/>
                <w:webHidden/>
              </w:rPr>
            </w:r>
            <w:r w:rsidR="00BF541D">
              <w:rPr>
                <w:noProof/>
                <w:webHidden/>
              </w:rPr>
              <w:fldChar w:fldCharType="separate"/>
            </w:r>
            <w:r w:rsidR="00BF541D">
              <w:rPr>
                <w:noProof/>
                <w:webHidden/>
              </w:rPr>
              <w:t>9</w:t>
            </w:r>
            <w:r w:rsidR="00BF541D">
              <w:rPr>
                <w:noProof/>
                <w:webHidden/>
              </w:rPr>
              <w:fldChar w:fldCharType="end"/>
            </w:r>
          </w:hyperlink>
        </w:p>
        <w:p w14:paraId="33C9BFA3" w14:textId="05EE8B60" w:rsidR="00BF541D" w:rsidRDefault="00D03E7D">
          <w:pPr>
            <w:pStyle w:val="TOC3"/>
            <w:tabs>
              <w:tab w:val="right" w:leader="dot" w:pos="9016"/>
            </w:tabs>
            <w:rPr>
              <w:rFonts w:asciiTheme="minorHAnsi" w:eastAsiaTheme="minorEastAsia" w:hAnsiTheme="minorHAnsi" w:cs="Vrinda"/>
              <w:noProof/>
              <w:lang w:eastAsia="en-GB" w:bidi="bn-IN"/>
            </w:rPr>
          </w:pPr>
          <w:hyperlink w:anchor="_Toc219063778" w:history="1">
            <w:r w:rsidR="00BF541D" w:rsidRPr="0076672F">
              <w:rPr>
                <w:rStyle w:val="Hyperlink"/>
                <w:rFonts w:cs="Times New Roman"/>
                <w:b/>
                <w:bCs/>
                <w:noProof/>
                <w:lang w:val="en-US"/>
              </w:rPr>
              <w:t>Efficiency Ratios</w:t>
            </w:r>
            <w:r w:rsidR="00BF541D">
              <w:rPr>
                <w:noProof/>
                <w:webHidden/>
              </w:rPr>
              <w:tab/>
            </w:r>
            <w:r w:rsidR="00BF541D">
              <w:rPr>
                <w:noProof/>
                <w:webHidden/>
              </w:rPr>
              <w:fldChar w:fldCharType="begin"/>
            </w:r>
            <w:r w:rsidR="00BF541D">
              <w:rPr>
                <w:noProof/>
                <w:webHidden/>
              </w:rPr>
              <w:instrText xml:space="preserve"> PAGEREF _Toc219063778 \h </w:instrText>
            </w:r>
            <w:r w:rsidR="00BF541D">
              <w:rPr>
                <w:noProof/>
                <w:webHidden/>
              </w:rPr>
            </w:r>
            <w:r w:rsidR="00BF541D">
              <w:rPr>
                <w:noProof/>
                <w:webHidden/>
              </w:rPr>
              <w:fldChar w:fldCharType="separate"/>
            </w:r>
            <w:r w:rsidR="00BF541D">
              <w:rPr>
                <w:noProof/>
                <w:webHidden/>
              </w:rPr>
              <w:t>10</w:t>
            </w:r>
            <w:r w:rsidR="00BF541D">
              <w:rPr>
                <w:noProof/>
                <w:webHidden/>
              </w:rPr>
              <w:fldChar w:fldCharType="end"/>
            </w:r>
          </w:hyperlink>
        </w:p>
        <w:p w14:paraId="5DC9A389" w14:textId="1B8FD074" w:rsidR="00BF541D" w:rsidRDefault="00D03E7D">
          <w:pPr>
            <w:pStyle w:val="TOC3"/>
            <w:tabs>
              <w:tab w:val="right" w:leader="dot" w:pos="9016"/>
            </w:tabs>
            <w:rPr>
              <w:rFonts w:asciiTheme="minorHAnsi" w:eastAsiaTheme="minorEastAsia" w:hAnsiTheme="minorHAnsi" w:cs="Vrinda"/>
              <w:noProof/>
              <w:lang w:eastAsia="en-GB" w:bidi="bn-IN"/>
            </w:rPr>
          </w:pPr>
          <w:hyperlink w:anchor="_Toc219063779" w:history="1">
            <w:r w:rsidR="00BF541D" w:rsidRPr="0076672F">
              <w:rPr>
                <w:rStyle w:val="Hyperlink"/>
                <w:rFonts w:cs="Times New Roman"/>
                <w:b/>
                <w:bCs/>
                <w:noProof/>
                <w:lang w:val="en-US"/>
              </w:rPr>
              <w:t>Investor Ratios</w:t>
            </w:r>
            <w:r w:rsidR="00BF541D">
              <w:rPr>
                <w:noProof/>
                <w:webHidden/>
              </w:rPr>
              <w:tab/>
            </w:r>
            <w:r w:rsidR="00BF541D">
              <w:rPr>
                <w:noProof/>
                <w:webHidden/>
              </w:rPr>
              <w:fldChar w:fldCharType="begin"/>
            </w:r>
            <w:r w:rsidR="00BF541D">
              <w:rPr>
                <w:noProof/>
                <w:webHidden/>
              </w:rPr>
              <w:instrText xml:space="preserve"> PAGEREF _Toc219063779 \h </w:instrText>
            </w:r>
            <w:r w:rsidR="00BF541D">
              <w:rPr>
                <w:noProof/>
                <w:webHidden/>
              </w:rPr>
            </w:r>
            <w:r w:rsidR="00BF541D">
              <w:rPr>
                <w:noProof/>
                <w:webHidden/>
              </w:rPr>
              <w:fldChar w:fldCharType="separate"/>
            </w:r>
            <w:r w:rsidR="00BF541D">
              <w:rPr>
                <w:noProof/>
                <w:webHidden/>
              </w:rPr>
              <w:t>11</w:t>
            </w:r>
            <w:r w:rsidR="00BF541D">
              <w:rPr>
                <w:noProof/>
                <w:webHidden/>
              </w:rPr>
              <w:fldChar w:fldCharType="end"/>
            </w:r>
          </w:hyperlink>
        </w:p>
        <w:p w14:paraId="1B939803" w14:textId="10388652" w:rsidR="00BF541D" w:rsidRDefault="00D03E7D">
          <w:pPr>
            <w:pStyle w:val="TOC2"/>
            <w:tabs>
              <w:tab w:val="right" w:leader="dot" w:pos="9016"/>
            </w:tabs>
            <w:rPr>
              <w:rFonts w:asciiTheme="minorHAnsi" w:eastAsiaTheme="minorEastAsia" w:hAnsiTheme="minorHAnsi" w:cs="Vrinda"/>
              <w:noProof/>
              <w:lang w:eastAsia="en-GB" w:bidi="bn-IN"/>
            </w:rPr>
          </w:pPr>
          <w:hyperlink w:anchor="_Toc219063780" w:history="1">
            <w:r w:rsidR="00BF541D" w:rsidRPr="0076672F">
              <w:rPr>
                <w:rStyle w:val="Hyperlink"/>
                <w:noProof/>
                <w:lang w:val="en-US"/>
              </w:rPr>
              <w:t>Critical Evaluation of Financial Ratios and Analysis</w:t>
            </w:r>
            <w:r w:rsidR="00BF541D">
              <w:rPr>
                <w:noProof/>
                <w:webHidden/>
              </w:rPr>
              <w:tab/>
            </w:r>
            <w:r w:rsidR="00BF541D">
              <w:rPr>
                <w:noProof/>
                <w:webHidden/>
              </w:rPr>
              <w:fldChar w:fldCharType="begin"/>
            </w:r>
            <w:r w:rsidR="00BF541D">
              <w:rPr>
                <w:noProof/>
                <w:webHidden/>
              </w:rPr>
              <w:instrText xml:space="preserve"> PAGEREF _Toc219063780 \h </w:instrText>
            </w:r>
            <w:r w:rsidR="00BF541D">
              <w:rPr>
                <w:noProof/>
                <w:webHidden/>
              </w:rPr>
            </w:r>
            <w:r w:rsidR="00BF541D">
              <w:rPr>
                <w:noProof/>
                <w:webHidden/>
              </w:rPr>
              <w:fldChar w:fldCharType="separate"/>
            </w:r>
            <w:r w:rsidR="00BF541D">
              <w:rPr>
                <w:noProof/>
                <w:webHidden/>
              </w:rPr>
              <w:t>12</w:t>
            </w:r>
            <w:r w:rsidR="00BF541D">
              <w:rPr>
                <w:noProof/>
                <w:webHidden/>
              </w:rPr>
              <w:fldChar w:fldCharType="end"/>
            </w:r>
          </w:hyperlink>
        </w:p>
        <w:p w14:paraId="083B6B62" w14:textId="3135A1FC" w:rsidR="00BF541D" w:rsidRDefault="00D03E7D">
          <w:pPr>
            <w:pStyle w:val="TOC3"/>
            <w:tabs>
              <w:tab w:val="right" w:leader="dot" w:pos="9016"/>
            </w:tabs>
            <w:rPr>
              <w:rFonts w:asciiTheme="minorHAnsi" w:eastAsiaTheme="minorEastAsia" w:hAnsiTheme="minorHAnsi" w:cs="Vrinda"/>
              <w:noProof/>
              <w:lang w:eastAsia="en-GB" w:bidi="bn-IN"/>
            </w:rPr>
          </w:pPr>
          <w:hyperlink w:anchor="_Toc219063781" w:history="1">
            <w:r w:rsidR="00BF541D" w:rsidRPr="0076672F">
              <w:rPr>
                <w:rStyle w:val="Hyperlink"/>
                <w:rFonts w:cs="Times New Roman"/>
                <w:b/>
                <w:bCs/>
                <w:noProof/>
                <w:lang w:val="en-US"/>
              </w:rPr>
              <w:t>Trends and Changes over the Period</w:t>
            </w:r>
            <w:r w:rsidR="00BF541D">
              <w:rPr>
                <w:noProof/>
                <w:webHidden/>
              </w:rPr>
              <w:tab/>
            </w:r>
            <w:r w:rsidR="00BF541D">
              <w:rPr>
                <w:noProof/>
                <w:webHidden/>
              </w:rPr>
              <w:fldChar w:fldCharType="begin"/>
            </w:r>
            <w:r w:rsidR="00BF541D">
              <w:rPr>
                <w:noProof/>
                <w:webHidden/>
              </w:rPr>
              <w:instrText xml:space="preserve"> PAGEREF _Toc219063781 \h </w:instrText>
            </w:r>
            <w:r w:rsidR="00BF541D">
              <w:rPr>
                <w:noProof/>
                <w:webHidden/>
              </w:rPr>
            </w:r>
            <w:r w:rsidR="00BF541D">
              <w:rPr>
                <w:noProof/>
                <w:webHidden/>
              </w:rPr>
              <w:fldChar w:fldCharType="separate"/>
            </w:r>
            <w:r w:rsidR="00BF541D">
              <w:rPr>
                <w:noProof/>
                <w:webHidden/>
              </w:rPr>
              <w:t>12</w:t>
            </w:r>
            <w:r w:rsidR="00BF541D">
              <w:rPr>
                <w:noProof/>
                <w:webHidden/>
              </w:rPr>
              <w:fldChar w:fldCharType="end"/>
            </w:r>
          </w:hyperlink>
        </w:p>
        <w:p w14:paraId="6A933C3B" w14:textId="52154A3A" w:rsidR="00BF541D" w:rsidRDefault="00D03E7D">
          <w:pPr>
            <w:pStyle w:val="TOC3"/>
            <w:tabs>
              <w:tab w:val="right" w:leader="dot" w:pos="9016"/>
            </w:tabs>
            <w:rPr>
              <w:rFonts w:asciiTheme="minorHAnsi" w:eastAsiaTheme="minorEastAsia" w:hAnsiTheme="minorHAnsi" w:cs="Vrinda"/>
              <w:noProof/>
              <w:lang w:eastAsia="en-GB" w:bidi="bn-IN"/>
            </w:rPr>
          </w:pPr>
          <w:hyperlink w:anchor="_Toc219063782" w:history="1">
            <w:r w:rsidR="00BF541D" w:rsidRPr="0076672F">
              <w:rPr>
                <w:rStyle w:val="Hyperlink"/>
                <w:rFonts w:cs="Times New Roman"/>
                <w:b/>
                <w:bCs/>
                <w:noProof/>
                <w:lang w:val="en-US"/>
              </w:rPr>
              <w:t>Reasons for Changes in Ratios</w:t>
            </w:r>
            <w:r w:rsidR="00BF541D">
              <w:rPr>
                <w:noProof/>
                <w:webHidden/>
              </w:rPr>
              <w:tab/>
            </w:r>
            <w:r w:rsidR="00BF541D">
              <w:rPr>
                <w:noProof/>
                <w:webHidden/>
              </w:rPr>
              <w:fldChar w:fldCharType="begin"/>
            </w:r>
            <w:r w:rsidR="00BF541D">
              <w:rPr>
                <w:noProof/>
                <w:webHidden/>
              </w:rPr>
              <w:instrText xml:space="preserve"> PAGEREF _Toc219063782 \h </w:instrText>
            </w:r>
            <w:r w:rsidR="00BF541D">
              <w:rPr>
                <w:noProof/>
                <w:webHidden/>
              </w:rPr>
            </w:r>
            <w:r w:rsidR="00BF541D">
              <w:rPr>
                <w:noProof/>
                <w:webHidden/>
              </w:rPr>
              <w:fldChar w:fldCharType="separate"/>
            </w:r>
            <w:r w:rsidR="00BF541D">
              <w:rPr>
                <w:noProof/>
                <w:webHidden/>
              </w:rPr>
              <w:t>13</w:t>
            </w:r>
            <w:r w:rsidR="00BF541D">
              <w:rPr>
                <w:noProof/>
                <w:webHidden/>
              </w:rPr>
              <w:fldChar w:fldCharType="end"/>
            </w:r>
          </w:hyperlink>
        </w:p>
        <w:p w14:paraId="2D7A9507" w14:textId="72701853" w:rsidR="00BF541D" w:rsidRDefault="00D03E7D">
          <w:pPr>
            <w:pStyle w:val="TOC3"/>
            <w:tabs>
              <w:tab w:val="right" w:leader="dot" w:pos="9016"/>
            </w:tabs>
            <w:rPr>
              <w:rFonts w:asciiTheme="minorHAnsi" w:eastAsiaTheme="minorEastAsia" w:hAnsiTheme="minorHAnsi" w:cs="Vrinda"/>
              <w:noProof/>
              <w:lang w:eastAsia="en-GB" w:bidi="bn-IN"/>
            </w:rPr>
          </w:pPr>
          <w:hyperlink w:anchor="_Toc219063783" w:history="1">
            <w:r w:rsidR="00BF541D" w:rsidRPr="0076672F">
              <w:rPr>
                <w:rStyle w:val="Hyperlink"/>
                <w:rFonts w:cs="Times New Roman"/>
                <w:b/>
                <w:bCs/>
                <w:noProof/>
                <w:lang w:val="en-US"/>
              </w:rPr>
              <w:t>Comparisons with Industry Benchmark</w:t>
            </w:r>
            <w:r w:rsidR="00BF541D">
              <w:rPr>
                <w:noProof/>
                <w:webHidden/>
              </w:rPr>
              <w:tab/>
            </w:r>
            <w:r w:rsidR="00BF541D">
              <w:rPr>
                <w:noProof/>
                <w:webHidden/>
              </w:rPr>
              <w:fldChar w:fldCharType="begin"/>
            </w:r>
            <w:r w:rsidR="00BF541D">
              <w:rPr>
                <w:noProof/>
                <w:webHidden/>
              </w:rPr>
              <w:instrText xml:space="preserve"> PAGEREF _Toc219063783 \h </w:instrText>
            </w:r>
            <w:r w:rsidR="00BF541D">
              <w:rPr>
                <w:noProof/>
                <w:webHidden/>
              </w:rPr>
            </w:r>
            <w:r w:rsidR="00BF541D">
              <w:rPr>
                <w:noProof/>
                <w:webHidden/>
              </w:rPr>
              <w:fldChar w:fldCharType="separate"/>
            </w:r>
            <w:r w:rsidR="00BF541D">
              <w:rPr>
                <w:noProof/>
                <w:webHidden/>
              </w:rPr>
              <w:t>14</w:t>
            </w:r>
            <w:r w:rsidR="00BF541D">
              <w:rPr>
                <w:noProof/>
                <w:webHidden/>
              </w:rPr>
              <w:fldChar w:fldCharType="end"/>
            </w:r>
          </w:hyperlink>
        </w:p>
        <w:p w14:paraId="52B3EF1B" w14:textId="7D2507B8" w:rsidR="00BF541D" w:rsidRDefault="00D03E7D">
          <w:pPr>
            <w:pStyle w:val="TOC3"/>
            <w:tabs>
              <w:tab w:val="right" w:leader="dot" w:pos="9016"/>
            </w:tabs>
            <w:rPr>
              <w:rFonts w:asciiTheme="minorHAnsi" w:eastAsiaTheme="minorEastAsia" w:hAnsiTheme="minorHAnsi" w:cs="Vrinda"/>
              <w:noProof/>
              <w:lang w:eastAsia="en-GB" w:bidi="bn-IN"/>
            </w:rPr>
          </w:pPr>
          <w:hyperlink w:anchor="_Toc219063784" w:history="1">
            <w:r w:rsidR="00BF541D" w:rsidRPr="0076672F">
              <w:rPr>
                <w:rStyle w:val="Hyperlink"/>
                <w:rFonts w:cs="Times New Roman"/>
                <w:b/>
                <w:bCs/>
                <w:noProof/>
                <w:lang w:val="en-US"/>
              </w:rPr>
              <w:t>Limitations of Ratio Analysis</w:t>
            </w:r>
            <w:r w:rsidR="00BF541D">
              <w:rPr>
                <w:noProof/>
                <w:webHidden/>
              </w:rPr>
              <w:tab/>
            </w:r>
            <w:r w:rsidR="00BF541D">
              <w:rPr>
                <w:noProof/>
                <w:webHidden/>
              </w:rPr>
              <w:fldChar w:fldCharType="begin"/>
            </w:r>
            <w:r w:rsidR="00BF541D">
              <w:rPr>
                <w:noProof/>
                <w:webHidden/>
              </w:rPr>
              <w:instrText xml:space="preserve"> PAGEREF _Toc219063784 \h </w:instrText>
            </w:r>
            <w:r w:rsidR="00BF541D">
              <w:rPr>
                <w:noProof/>
                <w:webHidden/>
              </w:rPr>
            </w:r>
            <w:r w:rsidR="00BF541D">
              <w:rPr>
                <w:noProof/>
                <w:webHidden/>
              </w:rPr>
              <w:fldChar w:fldCharType="separate"/>
            </w:r>
            <w:r w:rsidR="00BF541D">
              <w:rPr>
                <w:noProof/>
                <w:webHidden/>
              </w:rPr>
              <w:t>14</w:t>
            </w:r>
            <w:r w:rsidR="00BF541D">
              <w:rPr>
                <w:noProof/>
                <w:webHidden/>
              </w:rPr>
              <w:fldChar w:fldCharType="end"/>
            </w:r>
          </w:hyperlink>
        </w:p>
        <w:p w14:paraId="5BE8B62C" w14:textId="4B3379CA" w:rsidR="00BF541D" w:rsidRDefault="00D03E7D">
          <w:pPr>
            <w:pStyle w:val="TOC2"/>
            <w:tabs>
              <w:tab w:val="right" w:leader="dot" w:pos="9016"/>
            </w:tabs>
            <w:rPr>
              <w:rFonts w:asciiTheme="minorHAnsi" w:eastAsiaTheme="minorEastAsia" w:hAnsiTheme="minorHAnsi" w:cs="Vrinda"/>
              <w:noProof/>
              <w:lang w:eastAsia="en-GB" w:bidi="bn-IN"/>
            </w:rPr>
          </w:pPr>
          <w:hyperlink w:anchor="_Toc219063785" w:history="1">
            <w:r w:rsidR="00BF541D" w:rsidRPr="0076672F">
              <w:rPr>
                <w:rStyle w:val="Hyperlink"/>
                <w:noProof/>
                <w:lang w:val="en-US"/>
              </w:rPr>
              <w:t>Recommendations for Improving Financial Management</w:t>
            </w:r>
            <w:r w:rsidR="00BF541D">
              <w:rPr>
                <w:noProof/>
                <w:webHidden/>
              </w:rPr>
              <w:tab/>
            </w:r>
            <w:r w:rsidR="00BF541D">
              <w:rPr>
                <w:noProof/>
                <w:webHidden/>
              </w:rPr>
              <w:fldChar w:fldCharType="begin"/>
            </w:r>
            <w:r w:rsidR="00BF541D">
              <w:rPr>
                <w:noProof/>
                <w:webHidden/>
              </w:rPr>
              <w:instrText xml:space="preserve"> PAGEREF _Toc219063785 \h </w:instrText>
            </w:r>
            <w:r w:rsidR="00BF541D">
              <w:rPr>
                <w:noProof/>
                <w:webHidden/>
              </w:rPr>
            </w:r>
            <w:r w:rsidR="00BF541D">
              <w:rPr>
                <w:noProof/>
                <w:webHidden/>
              </w:rPr>
              <w:fldChar w:fldCharType="separate"/>
            </w:r>
            <w:r w:rsidR="00BF541D">
              <w:rPr>
                <w:noProof/>
                <w:webHidden/>
              </w:rPr>
              <w:t>15</w:t>
            </w:r>
            <w:r w:rsidR="00BF541D">
              <w:rPr>
                <w:noProof/>
                <w:webHidden/>
              </w:rPr>
              <w:fldChar w:fldCharType="end"/>
            </w:r>
          </w:hyperlink>
        </w:p>
        <w:p w14:paraId="09A1AE3F" w14:textId="60D86DB7" w:rsidR="00BF541D" w:rsidRDefault="00D03E7D">
          <w:pPr>
            <w:pStyle w:val="TOC1"/>
            <w:tabs>
              <w:tab w:val="right" w:leader="dot" w:pos="9016"/>
            </w:tabs>
            <w:rPr>
              <w:rFonts w:asciiTheme="minorHAnsi" w:eastAsiaTheme="minorEastAsia" w:hAnsiTheme="minorHAnsi" w:cs="Vrinda"/>
              <w:noProof/>
              <w:lang w:eastAsia="en-GB" w:bidi="bn-IN"/>
            </w:rPr>
          </w:pPr>
          <w:hyperlink w:anchor="_Toc219063786" w:history="1">
            <w:r w:rsidR="00BF541D" w:rsidRPr="0076672F">
              <w:rPr>
                <w:rStyle w:val="Hyperlink"/>
                <w:noProof/>
                <w:lang w:val="en-US"/>
              </w:rPr>
              <w:t>Part Two: Investment Appraisal for Westward Plc</w:t>
            </w:r>
            <w:r w:rsidR="00BF541D">
              <w:rPr>
                <w:noProof/>
                <w:webHidden/>
              </w:rPr>
              <w:tab/>
            </w:r>
            <w:r w:rsidR="00BF541D">
              <w:rPr>
                <w:noProof/>
                <w:webHidden/>
              </w:rPr>
              <w:fldChar w:fldCharType="begin"/>
            </w:r>
            <w:r w:rsidR="00BF541D">
              <w:rPr>
                <w:noProof/>
                <w:webHidden/>
              </w:rPr>
              <w:instrText xml:space="preserve"> PAGEREF _Toc219063786 \h </w:instrText>
            </w:r>
            <w:r w:rsidR="00BF541D">
              <w:rPr>
                <w:noProof/>
                <w:webHidden/>
              </w:rPr>
            </w:r>
            <w:r w:rsidR="00BF541D">
              <w:rPr>
                <w:noProof/>
                <w:webHidden/>
              </w:rPr>
              <w:fldChar w:fldCharType="separate"/>
            </w:r>
            <w:r w:rsidR="00BF541D">
              <w:rPr>
                <w:noProof/>
                <w:webHidden/>
              </w:rPr>
              <w:t>16</w:t>
            </w:r>
            <w:r w:rsidR="00BF541D">
              <w:rPr>
                <w:noProof/>
                <w:webHidden/>
              </w:rPr>
              <w:fldChar w:fldCharType="end"/>
            </w:r>
          </w:hyperlink>
        </w:p>
        <w:p w14:paraId="1AA66ED2" w14:textId="612A78AF" w:rsidR="00BF541D" w:rsidRDefault="00D03E7D">
          <w:pPr>
            <w:pStyle w:val="TOC2"/>
            <w:tabs>
              <w:tab w:val="right" w:leader="dot" w:pos="9016"/>
            </w:tabs>
            <w:rPr>
              <w:rFonts w:asciiTheme="minorHAnsi" w:eastAsiaTheme="minorEastAsia" w:hAnsiTheme="minorHAnsi" w:cs="Vrinda"/>
              <w:noProof/>
              <w:lang w:eastAsia="en-GB" w:bidi="bn-IN"/>
            </w:rPr>
          </w:pPr>
          <w:hyperlink w:anchor="_Toc219063787" w:history="1">
            <w:r w:rsidR="00BF541D" w:rsidRPr="0076672F">
              <w:rPr>
                <w:rStyle w:val="Hyperlink"/>
                <w:noProof/>
                <w:lang w:val="en-US"/>
              </w:rPr>
              <w:t>Background and Investment Options</w:t>
            </w:r>
            <w:r w:rsidR="00BF541D">
              <w:rPr>
                <w:noProof/>
                <w:webHidden/>
              </w:rPr>
              <w:tab/>
            </w:r>
            <w:r w:rsidR="00BF541D">
              <w:rPr>
                <w:noProof/>
                <w:webHidden/>
              </w:rPr>
              <w:fldChar w:fldCharType="begin"/>
            </w:r>
            <w:r w:rsidR="00BF541D">
              <w:rPr>
                <w:noProof/>
                <w:webHidden/>
              </w:rPr>
              <w:instrText xml:space="preserve"> PAGEREF _Toc219063787 \h </w:instrText>
            </w:r>
            <w:r w:rsidR="00BF541D">
              <w:rPr>
                <w:noProof/>
                <w:webHidden/>
              </w:rPr>
            </w:r>
            <w:r w:rsidR="00BF541D">
              <w:rPr>
                <w:noProof/>
                <w:webHidden/>
              </w:rPr>
              <w:fldChar w:fldCharType="separate"/>
            </w:r>
            <w:r w:rsidR="00BF541D">
              <w:rPr>
                <w:noProof/>
                <w:webHidden/>
              </w:rPr>
              <w:t>16</w:t>
            </w:r>
            <w:r w:rsidR="00BF541D">
              <w:rPr>
                <w:noProof/>
                <w:webHidden/>
              </w:rPr>
              <w:fldChar w:fldCharType="end"/>
            </w:r>
          </w:hyperlink>
        </w:p>
        <w:p w14:paraId="7DF63026" w14:textId="4138B42C" w:rsidR="00BF541D" w:rsidRDefault="00D03E7D">
          <w:pPr>
            <w:pStyle w:val="TOC2"/>
            <w:tabs>
              <w:tab w:val="right" w:leader="dot" w:pos="9016"/>
            </w:tabs>
            <w:rPr>
              <w:rFonts w:asciiTheme="minorHAnsi" w:eastAsiaTheme="minorEastAsia" w:hAnsiTheme="minorHAnsi" w:cs="Vrinda"/>
              <w:noProof/>
              <w:lang w:eastAsia="en-GB" w:bidi="bn-IN"/>
            </w:rPr>
          </w:pPr>
          <w:hyperlink w:anchor="_Toc219063788" w:history="1">
            <w:r w:rsidR="00BF541D" w:rsidRPr="0076672F">
              <w:rPr>
                <w:rStyle w:val="Hyperlink"/>
                <w:noProof/>
                <w:lang w:val="en-US"/>
              </w:rPr>
              <w:t>Net Present Value Analysis</w:t>
            </w:r>
            <w:r w:rsidR="00BF541D">
              <w:rPr>
                <w:noProof/>
                <w:webHidden/>
              </w:rPr>
              <w:tab/>
            </w:r>
            <w:r w:rsidR="00BF541D">
              <w:rPr>
                <w:noProof/>
                <w:webHidden/>
              </w:rPr>
              <w:fldChar w:fldCharType="begin"/>
            </w:r>
            <w:r w:rsidR="00BF541D">
              <w:rPr>
                <w:noProof/>
                <w:webHidden/>
              </w:rPr>
              <w:instrText xml:space="preserve"> PAGEREF _Toc219063788 \h </w:instrText>
            </w:r>
            <w:r w:rsidR="00BF541D">
              <w:rPr>
                <w:noProof/>
                <w:webHidden/>
              </w:rPr>
            </w:r>
            <w:r w:rsidR="00BF541D">
              <w:rPr>
                <w:noProof/>
                <w:webHidden/>
              </w:rPr>
              <w:fldChar w:fldCharType="separate"/>
            </w:r>
            <w:r w:rsidR="00BF541D">
              <w:rPr>
                <w:noProof/>
                <w:webHidden/>
              </w:rPr>
              <w:t>16</w:t>
            </w:r>
            <w:r w:rsidR="00BF541D">
              <w:rPr>
                <w:noProof/>
                <w:webHidden/>
              </w:rPr>
              <w:fldChar w:fldCharType="end"/>
            </w:r>
          </w:hyperlink>
        </w:p>
        <w:p w14:paraId="68A2150B" w14:textId="0ED67EB3" w:rsidR="00BF541D" w:rsidRDefault="00D03E7D">
          <w:pPr>
            <w:pStyle w:val="TOC3"/>
            <w:tabs>
              <w:tab w:val="right" w:leader="dot" w:pos="9016"/>
            </w:tabs>
            <w:rPr>
              <w:rFonts w:asciiTheme="minorHAnsi" w:eastAsiaTheme="minorEastAsia" w:hAnsiTheme="minorHAnsi" w:cs="Vrinda"/>
              <w:noProof/>
              <w:lang w:eastAsia="en-GB" w:bidi="bn-IN"/>
            </w:rPr>
          </w:pPr>
          <w:hyperlink w:anchor="_Toc219063789" w:history="1">
            <w:r w:rsidR="00BF541D" w:rsidRPr="0076672F">
              <w:rPr>
                <w:rStyle w:val="Hyperlink"/>
                <w:rFonts w:cs="Times New Roman"/>
                <w:b/>
                <w:bCs/>
                <w:noProof/>
                <w:lang w:val="en-US"/>
              </w:rPr>
              <w:t>Theoretical Foundation of NPV</w:t>
            </w:r>
            <w:r w:rsidR="00BF541D">
              <w:rPr>
                <w:noProof/>
                <w:webHidden/>
              </w:rPr>
              <w:tab/>
            </w:r>
            <w:r w:rsidR="00BF541D">
              <w:rPr>
                <w:noProof/>
                <w:webHidden/>
              </w:rPr>
              <w:fldChar w:fldCharType="begin"/>
            </w:r>
            <w:r w:rsidR="00BF541D">
              <w:rPr>
                <w:noProof/>
                <w:webHidden/>
              </w:rPr>
              <w:instrText xml:space="preserve"> PAGEREF _Toc219063789 \h </w:instrText>
            </w:r>
            <w:r w:rsidR="00BF541D">
              <w:rPr>
                <w:noProof/>
                <w:webHidden/>
              </w:rPr>
            </w:r>
            <w:r w:rsidR="00BF541D">
              <w:rPr>
                <w:noProof/>
                <w:webHidden/>
              </w:rPr>
              <w:fldChar w:fldCharType="separate"/>
            </w:r>
            <w:r w:rsidR="00BF541D">
              <w:rPr>
                <w:noProof/>
                <w:webHidden/>
              </w:rPr>
              <w:t>16</w:t>
            </w:r>
            <w:r w:rsidR="00BF541D">
              <w:rPr>
                <w:noProof/>
                <w:webHidden/>
              </w:rPr>
              <w:fldChar w:fldCharType="end"/>
            </w:r>
          </w:hyperlink>
        </w:p>
        <w:p w14:paraId="2D0E2EC6" w14:textId="5BF8EEE6" w:rsidR="00BF541D" w:rsidRDefault="00D03E7D">
          <w:pPr>
            <w:pStyle w:val="TOC3"/>
            <w:tabs>
              <w:tab w:val="right" w:leader="dot" w:pos="9016"/>
            </w:tabs>
            <w:rPr>
              <w:rFonts w:asciiTheme="minorHAnsi" w:eastAsiaTheme="minorEastAsia" w:hAnsiTheme="minorHAnsi" w:cs="Vrinda"/>
              <w:noProof/>
              <w:lang w:eastAsia="en-GB" w:bidi="bn-IN"/>
            </w:rPr>
          </w:pPr>
          <w:hyperlink w:anchor="_Toc219063790" w:history="1">
            <w:r w:rsidR="00BF541D" w:rsidRPr="0076672F">
              <w:rPr>
                <w:rStyle w:val="Hyperlink"/>
                <w:rFonts w:cs="Times New Roman"/>
                <w:b/>
                <w:bCs/>
                <w:noProof/>
                <w:lang w:val="en-US"/>
              </w:rPr>
              <w:t>NPV Calculations</w:t>
            </w:r>
            <w:r w:rsidR="00BF541D">
              <w:rPr>
                <w:noProof/>
                <w:webHidden/>
              </w:rPr>
              <w:tab/>
            </w:r>
            <w:r w:rsidR="00BF541D">
              <w:rPr>
                <w:noProof/>
                <w:webHidden/>
              </w:rPr>
              <w:fldChar w:fldCharType="begin"/>
            </w:r>
            <w:r w:rsidR="00BF541D">
              <w:rPr>
                <w:noProof/>
                <w:webHidden/>
              </w:rPr>
              <w:instrText xml:space="preserve"> PAGEREF _Toc219063790 \h </w:instrText>
            </w:r>
            <w:r w:rsidR="00BF541D">
              <w:rPr>
                <w:noProof/>
                <w:webHidden/>
              </w:rPr>
            </w:r>
            <w:r w:rsidR="00BF541D">
              <w:rPr>
                <w:noProof/>
                <w:webHidden/>
              </w:rPr>
              <w:fldChar w:fldCharType="separate"/>
            </w:r>
            <w:r w:rsidR="00BF541D">
              <w:rPr>
                <w:noProof/>
                <w:webHidden/>
              </w:rPr>
              <w:t>16</w:t>
            </w:r>
            <w:r w:rsidR="00BF541D">
              <w:rPr>
                <w:noProof/>
                <w:webHidden/>
              </w:rPr>
              <w:fldChar w:fldCharType="end"/>
            </w:r>
          </w:hyperlink>
        </w:p>
        <w:p w14:paraId="14252B5D" w14:textId="1E7029CF" w:rsidR="00BF541D" w:rsidRDefault="00D03E7D">
          <w:pPr>
            <w:pStyle w:val="TOC3"/>
            <w:tabs>
              <w:tab w:val="right" w:leader="dot" w:pos="9016"/>
            </w:tabs>
            <w:rPr>
              <w:rFonts w:asciiTheme="minorHAnsi" w:eastAsiaTheme="minorEastAsia" w:hAnsiTheme="minorHAnsi" w:cs="Vrinda"/>
              <w:noProof/>
              <w:lang w:eastAsia="en-GB" w:bidi="bn-IN"/>
            </w:rPr>
          </w:pPr>
          <w:hyperlink w:anchor="_Toc219063791" w:history="1">
            <w:r w:rsidR="00BF541D" w:rsidRPr="0076672F">
              <w:rPr>
                <w:rStyle w:val="Hyperlink"/>
                <w:rFonts w:cs="Times New Roman"/>
                <w:b/>
                <w:bCs/>
                <w:noProof/>
                <w:lang w:val="en-US"/>
              </w:rPr>
              <w:t>NPV Recommendations</w:t>
            </w:r>
            <w:r w:rsidR="00BF541D">
              <w:rPr>
                <w:noProof/>
                <w:webHidden/>
              </w:rPr>
              <w:tab/>
            </w:r>
            <w:r w:rsidR="00BF541D">
              <w:rPr>
                <w:noProof/>
                <w:webHidden/>
              </w:rPr>
              <w:fldChar w:fldCharType="begin"/>
            </w:r>
            <w:r w:rsidR="00BF541D">
              <w:rPr>
                <w:noProof/>
                <w:webHidden/>
              </w:rPr>
              <w:instrText xml:space="preserve"> PAGEREF _Toc219063791 \h </w:instrText>
            </w:r>
            <w:r w:rsidR="00BF541D">
              <w:rPr>
                <w:noProof/>
                <w:webHidden/>
              </w:rPr>
            </w:r>
            <w:r w:rsidR="00BF541D">
              <w:rPr>
                <w:noProof/>
                <w:webHidden/>
              </w:rPr>
              <w:fldChar w:fldCharType="separate"/>
            </w:r>
            <w:r w:rsidR="00BF541D">
              <w:rPr>
                <w:noProof/>
                <w:webHidden/>
              </w:rPr>
              <w:t>18</w:t>
            </w:r>
            <w:r w:rsidR="00BF541D">
              <w:rPr>
                <w:noProof/>
                <w:webHidden/>
              </w:rPr>
              <w:fldChar w:fldCharType="end"/>
            </w:r>
          </w:hyperlink>
        </w:p>
        <w:p w14:paraId="70FD428F" w14:textId="2561A1CB" w:rsidR="00BF541D" w:rsidRDefault="00D03E7D">
          <w:pPr>
            <w:pStyle w:val="TOC2"/>
            <w:tabs>
              <w:tab w:val="right" w:leader="dot" w:pos="9016"/>
            </w:tabs>
            <w:rPr>
              <w:rFonts w:asciiTheme="minorHAnsi" w:eastAsiaTheme="minorEastAsia" w:hAnsiTheme="minorHAnsi" w:cs="Vrinda"/>
              <w:noProof/>
              <w:lang w:eastAsia="en-GB" w:bidi="bn-IN"/>
            </w:rPr>
          </w:pPr>
          <w:hyperlink w:anchor="_Toc219063792" w:history="1">
            <w:r w:rsidR="00BF541D" w:rsidRPr="0076672F">
              <w:rPr>
                <w:rStyle w:val="Hyperlink"/>
                <w:noProof/>
                <w:lang w:val="en-US"/>
              </w:rPr>
              <w:t>Internal Rate of Return Analysis</w:t>
            </w:r>
            <w:r w:rsidR="00BF541D">
              <w:rPr>
                <w:noProof/>
                <w:webHidden/>
              </w:rPr>
              <w:tab/>
            </w:r>
            <w:r w:rsidR="00BF541D">
              <w:rPr>
                <w:noProof/>
                <w:webHidden/>
              </w:rPr>
              <w:fldChar w:fldCharType="begin"/>
            </w:r>
            <w:r w:rsidR="00BF541D">
              <w:rPr>
                <w:noProof/>
                <w:webHidden/>
              </w:rPr>
              <w:instrText xml:space="preserve"> PAGEREF _Toc219063792 \h </w:instrText>
            </w:r>
            <w:r w:rsidR="00BF541D">
              <w:rPr>
                <w:noProof/>
                <w:webHidden/>
              </w:rPr>
            </w:r>
            <w:r w:rsidR="00BF541D">
              <w:rPr>
                <w:noProof/>
                <w:webHidden/>
              </w:rPr>
              <w:fldChar w:fldCharType="separate"/>
            </w:r>
            <w:r w:rsidR="00BF541D">
              <w:rPr>
                <w:noProof/>
                <w:webHidden/>
              </w:rPr>
              <w:t>18</w:t>
            </w:r>
            <w:r w:rsidR="00BF541D">
              <w:rPr>
                <w:noProof/>
                <w:webHidden/>
              </w:rPr>
              <w:fldChar w:fldCharType="end"/>
            </w:r>
          </w:hyperlink>
        </w:p>
        <w:p w14:paraId="3EEF557F" w14:textId="676A30FA" w:rsidR="00BF541D" w:rsidRDefault="00D03E7D">
          <w:pPr>
            <w:pStyle w:val="TOC3"/>
            <w:tabs>
              <w:tab w:val="right" w:leader="dot" w:pos="9016"/>
            </w:tabs>
            <w:rPr>
              <w:rFonts w:asciiTheme="minorHAnsi" w:eastAsiaTheme="minorEastAsia" w:hAnsiTheme="minorHAnsi" w:cs="Vrinda"/>
              <w:noProof/>
              <w:lang w:eastAsia="en-GB" w:bidi="bn-IN"/>
            </w:rPr>
          </w:pPr>
          <w:hyperlink w:anchor="_Toc219063793" w:history="1">
            <w:r w:rsidR="00BF541D" w:rsidRPr="0076672F">
              <w:rPr>
                <w:rStyle w:val="Hyperlink"/>
                <w:rFonts w:cs="Times New Roman"/>
                <w:b/>
                <w:bCs/>
                <w:noProof/>
                <w:lang w:val="en-US"/>
              </w:rPr>
              <w:t>Theoretical Foundation of IRR</w:t>
            </w:r>
            <w:r w:rsidR="00BF541D">
              <w:rPr>
                <w:noProof/>
                <w:webHidden/>
              </w:rPr>
              <w:tab/>
            </w:r>
            <w:r w:rsidR="00BF541D">
              <w:rPr>
                <w:noProof/>
                <w:webHidden/>
              </w:rPr>
              <w:fldChar w:fldCharType="begin"/>
            </w:r>
            <w:r w:rsidR="00BF541D">
              <w:rPr>
                <w:noProof/>
                <w:webHidden/>
              </w:rPr>
              <w:instrText xml:space="preserve"> PAGEREF _Toc219063793 \h </w:instrText>
            </w:r>
            <w:r w:rsidR="00BF541D">
              <w:rPr>
                <w:noProof/>
                <w:webHidden/>
              </w:rPr>
            </w:r>
            <w:r w:rsidR="00BF541D">
              <w:rPr>
                <w:noProof/>
                <w:webHidden/>
              </w:rPr>
              <w:fldChar w:fldCharType="separate"/>
            </w:r>
            <w:r w:rsidR="00BF541D">
              <w:rPr>
                <w:noProof/>
                <w:webHidden/>
              </w:rPr>
              <w:t>18</w:t>
            </w:r>
            <w:r w:rsidR="00BF541D">
              <w:rPr>
                <w:noProof/>
                <w:webHidden/>
              </w:rPr>
              <w:fldChar w:fldCharType="end"/>
            </w:r>
          </w:hyperlink>
        </w:p>
        <w:p w14:paraId="7EAFB20A" w14:textId="6CAA9B23" w:rsidR="00BF541D" w:rsidRDefault="00D03E7D">
          <w:pPr>
            <w:pStyle w:val="TOC3"/>
            <w:tabs>
              <w:tab w:val="right" w:leader="dot" w:pos="9016"/>
            </w:tabs>
            <w:rPr>
              <w:rFonts w:asciiTheme="minorHAnsi" w:eastAsiaTheme="minorEastAsia" w:hAnsiTheme="minorHAnsi" w:cs="Vrinda"/>
              <w:noProof/>
              <w:lang w:eastAsia="en-GB" w:bidi="bn-IN"/>
            </w:rPr>
          </w:pPr>
          <w:hyperlink w:anchor="_Toc219063794" w:history="1">
            <w:r w:rsidR="00BF541D" w:rsidRPr="0076672F">
              <w:rPr>
                <w:rStyle w:val="Hyperlink"/>
                <w:rFonts w:cs="Times New Roman"/>
                <w:b/>
                <w:bCs/>
                <w:noProof/>
                <w:lang w:val="en-US"/>
              </w:rPr>
              <w:t>IRR Calculation of Option B</w:t>
            </w:r>
            <w:r w:rsidR="00BF541D">
              <w:rPr>
                <w:noProof/>
                <w:webHidden/>
              </w:rPr>
              <w:tab/>
            </w:r>
            <w:r w:rsidR="00BF541D">
              <w:rPr>
                <w:noProof/>
                <w:webHidden/>
              </w:rPr>
              <w:fldChar w:fldCharType="begin"/>
            </w:r>
            <w:r w:rsidR="00BF541D">
              <w:rPr>
                <w:noProof/>
                <w:webHidden/>
              </w:rPr>
              <w:instrText xml:space="preserve"> PAGEREF _Toc219063794 \h </w:instrText>
            </w:r>
            <w:r w:rsidR="00BF541D">
              <w:rPr>
                <w:noProof/>
                <w:webHidden/>
              </w:rPr>
            </w:r>
            <w:r w:rsidR="00BF541D">
              <w:rPr>
                <w:noProof/>
                <w:webHidden/>
              </w:rPr>
              <w:fldChar w:fldCharType="separate"/>
            </w:r>
            <w:r w:rsidR="00BF541D">
              <w:rPr>
                <w:noProof/>
                <w:webHidden/>
              </w:rPr>
              <w:t>18</w:t>
            </w:r>
            <w:r w:rsidR="00BF541D">
              <w:rPr>
                <w:noProof/>
                <w:webHidden/>
              </w:rPr>
              <w:fldChar w:fldCharType="end"/>
            </w:r>
          </w:hyperlink>
        </w:p>
        <w:p w14:paraId="354E1FB9" w14:textId="2BD61B26" w:rsidR="00BF541D" w:rsidRDefault="00D03E7D">
          <w:pPr>
            <w:pStyle w:val="TOC3"/>
            <w:tabs>
              <w:tab w:val="right" w:leader="dot" w:pos="9016"/>
            </w:tabs>
            <w:rPr>
              <w:rFonts w:asciiTheme="minorHAnsi" w:eastAsiaTheme="minorEastAsia" w:hAnsiTheme="minorHAnsi" w:cs="Vrinda"/>
              <w:noProof/>
              <w:lang w:eastAsia="en-GB" w:bidi="bn-IN"/>
            </w:rPr>
          </w:pPr>
          <w:hyperlink w:anchor="_Toc219063795" w:history="1">
            <w:r w:rsidR="00BF541D" w:rsidRPr="0076672F">
              <w:rPr>
                <w:rStyle w:val="Hyperlink"/>
                <w:rFonts w:cs="Times New Roman"/>
                <w:b/>
                <w:bCs/>
                <w:noProof/>
                <w:lang w:val="en-US"/>
              </w:rPr>
              <w:t>IRR Interpretation</w:t>
            </w:r>
            <w:r w:rsidR="00BF541D">
              <w:rPr>
                <w:noProof/>
                <w:webHidden/>
              </w:rPr>
              <w:tab/>
            </w:r>
            <w:r w:rsidR="00BF541D">
              <w:rPr>
                <w:noProof/>
                <w:webHidden/>
              </w:rPr>
              <w:fldChar w:fldCharType="begin"/>
            </w:r>
            <w:r w:rsidR="00BF541D">
              <w:rPr>
                <w:noProof/>
                <w:webHidden/>
              </w:rPr>
              <w:instrText xml:space="preserve"> PAGEREF _Toc219063795 \h </w:instrText>
            </w:r>
            <w:r w:rsidR="00BF541D">
              <w:rPr>
                <w:noProof/>
                <w:webHidden/>
              </w:rPr>
            </w:r>
            <w:r w:rsidR="00BF541D">
              <w:rPr>
                <w:noProof/>
                <w:webHidden/>
              </w:rPr>
              <w:fldChar w:fldCharType="separate"/>
            </w:r>
            <w:r w:rsidR="00BF541D">
              <w:rPr>
                <w:noProof/>
                <w:webHidden/>
              </w:rPr>
              <w:t>19</w:t>
            </w:r>
            <w:r w:rsidR="00BF541D">
              <w:rPr>
                <w:noProof/>
                <w:webHidden/>
              </w:rPr>
              <w:fldChar w:fldCharType="end"/>
            </w:r>
          </w:hyperlink>
        </w:p>
        <w:p w14:paraId="1123B9E0" w14:textId="6F6B5D34" w:rsidR="00BF541D" w:rsidRDefault="00D03E7D">
          <w:pPr>
            <w:pStyle w:val="TOC2"/>
            <w:tabs>
              <w:tab w:val="right" w:leader="dot" w:pos="9016"/>
            </w:tabs>
            <w:rPr>
              <w:rFonts w:asciiTheme="minorHAnsi" w:eastAsiaTheme="minorEastAsia" w:hAnsiTheme="minorHAnsi" w:cs="Vrinda"/>
              <w:noProof/>
              <w:lang w:eastAsia="en-GB" w:bidi="bn-IN"/>
            </w:rPr>
          </w:pPr>
          <w:hyperlink w:anchor="_Toc219063796" w:history="1">
            <w:r w:rsidR="00BF541D" w:rsidRPr="0076672F">
              <w:rPr>
                <w:rStyle w:val="Hyperlink"/>
                <w:noProof/>
                <w:lang w:val="en-US"/>
              </w:rPr>
              <w:t>Theoretical Arguments for NPV as the Best Investment Appraisal Method</w:t>
            </w:r>
            <w:r w:rsidR="00BF541D">
              <w:rPr>
                <w:noProof/>
                <w:webHidden/>
              </w:rPr>
              <w:tab/>
            </w:r>
            <w:r w:rsidR="00BF541D">
              <w:rPr>
                <w:noProof/>
                <w:webHidden/>
              </w:rPr>
              <w:fldChar w:fldCharType="begin"/>
            </w:r>
            <w:r w:rsidR="00BF541D">
              <w:rPr>
                <w:noProof/>
                <w:webHidden/>
              </w:rPr>
              <w:instrText xml:space="preserve"> PAGEREF _Toc219063796 \h </w:instrText>
            </w:r>
            <w:r w:rsidR="00BF541D">
              <w:rPr>
                <w:noProof/>
                <w:webHidden/>
              </w:rPr>
            </w:r>
            <w:r w:rsidR="00BF541D">
              <w:rPr>
                <w:noProof/>
                <w:webHidden/>
              </w:rPr>
              <w:fldChar w:fldCharType="separate"/>
            </w:r>
            <w:r w:rsidR="00BF541D">
              <w:rPr>
                <w:noProof/>
                <w:webHidden/>
              </w:rPr>
              <w:t>19</w:t>
            </w:r>
            <w:r w:rsidR="00BF541D">
              <w:rPr>
                <w:noProof/>
                <w:webHidden/>
              </w:rPr>
              <w:fldChar w:fldCharType="end"/>
            </w:r>
          </w:hyperlink>
        </w:p>
        <w:p w14:paraId="229E8CA9" w14:textId="30DF9193" w:rsidR="00BF541D" w:rsidRDefault="00D03E7D">
          <w:pPr>
            <w:pStyle w:val="TOC2"/>
            <w:tabs>
              <w:tab w:val="right" w:leader="dot" w:pos="9016"/>
            </w:tabs>
            <w:rPr>
              <w:rFonts w:asciiTheme="minorHAnsi" w:eastAsiaTheme="minorEastAsia" w:hAnsiTheme="minorHAnsi" w:cs="Vrinda"/>
              <w:noProof/>
              <w:lang w:eastAsia="en-GB" w:bidi="bn-IN"/>
            </w:rPr>
          </w:pPr>
          <w:hyperlink w:anchor="_Toc219063797" w:history="1">
            <w:r w:rsidR="00BF541D" w:rsidRPr="0076672F">
              <w:rPr>
                <w:rStyle w:val="Hyperlink"/>
                <w:noProof/>
                <w:lang w:val="en-US"/>
              </w:rPr>
              <w:t>Continued Popularity of Non-Discounting Methods</w:t>
            </w:r>
            <w:r w:rsidR="00BF541D">
              <w:rPr>
                <w:noProof/>
                <w:webHidden/>
              </w:rPr>
              <w:tab/>
            </w:r>
            <w:r w:rsidR="00BF541D">
              <w:rPr>
                <w:noProof/>
                <w:webHidden/>
              </w:rPr>
              <w:fldChar w:fldCharType="begin"/>
            </w:r>
            <w:r w:rsidR="00BF541D">
              <w:rPr>
                <w:noProof/>
                <w:webHidden/>
              </w:rPr>
              <w:instrText xml:space="preserve"> PAGEREF _Toc219063797 \h </w:instrText>
            </w:r>
            <w:r w:rsidR="00BF541D">
              <w:rPr>
                <w:noProof/>
                <w:webHidden/>
              </w:rPr>
            </w:r>
            <w:r w:rsidR="00BF541D">
              <w:rPr>
                <w:noProof/>
                <w:webHidden/>
              </w:rPr>
              <w:fldChar w:fldCharType="separate"/>
            </w:r>
            <w:r w:rsidR="00BF541D">
              <w:rPr>
                <w:noProof/>
                <w:webHidden/>
              </w:rPr>
              <w:t>20</w:t>
            </w:r>
            <w:r w:rsidR="00BF541D">
              <w:rPr>
                <w:noProof/>
                <w:webHidden/>
              </w:rPr>
              <w:fldChar w:fldCharType="end"/>
            </w:r>
          </w:hyperlink>
        </w:p>
        <w:p w14:paraId="3786F168" w14:textId="4331C9CA" w:rsidR="00BF541D" w:rsidRDefault="00D03E7D">
          <w:pPr>
            <w:pStyle w:val="TOC2"/>
            <w:tabs>
              <w:tab w:val="right" w:leader="dot" w:pos="9016"/>
            </w:tabs>
            <w:rPr>
              <w:rFonts w:asciiTheme="minorHAnsi" w:eastAsiaTheme="minorEastAsia" w:hAnsiTheme="minorHAnsi" w:cs="Vrinda"/>
              <w:noProof/>
              <w:lang w:eastAsia="en-GB" w:bidi="bn-IN"/>
            </w:rPr>
          </w:pPr>
          <w:hyperlink w:anchor="_Toc219063798" w:history="1">
            <w:r w:rsidR="00BF541D" w:rsidRPr="0076672F">
              <w:rPr>
                <w:rStyle w:val="Hyperlink"/>
                <w:noProof/>
                <w:lang w:val="en-US"/>
              </w:rPr>
              <w:t>Other Factors to Consider before Investment Decision</w:t>
            </w:r>
            <w:r w:rsidR="00BF541D">
              <w:rPr>
                <w:noProof/>
                <w:webHidden/>
              </w:rPr>
              <w:tab/>
            </w:r>
            <w:r w:rsidR="00BF541D">
              <w:rPr>
                <w:noProof/>
                <w:webHidden/>
              </w:rPr>
              <w:fldChar w:fldCharType="begin"/>
            </w:r>
            <w:r w:rsidR="00BF541D">
              <w:rPr>
                <w:noProof/>
                <w:webHidden/>
              </w:rPr>
              <w:instrText xml:space="preserve"> PAGEREF _Toc219063798 \h </w:instrText>
            </w:r>
            <w:r w:rsidR="00BF541D">
              <w:rPr>
                <w:noProof/>
                <w:webHidden/>
              </w:rPr>
            </w:r>
            <w:r w:rsidR="00BF541D">
              <w:rPr>
                <w:noProof/>
                <w:webHidden/>
              </w:rPr>
              <w:fldChar w:fldCharType="separate"/>
            </w:r>
            <w:r w:rsidR="00BF541D">
              <w:rPr>
                <w:noProof/>
                <w:webHidden/>
              </w:rPr>
              <w:t>21</w:t>
            </w:r>
            <w:r w:rsidR="00BF541D">
              <w:rPr>
                <w:noProof/>
                <w:webHidden/>
              </w:rPr>
              <w:fldChar w:fldCharType="end"/>
            </w:r>
          </w:hyperlink>
        </w:p>
        <w:p w14:paraId="4EE7FD98" w14:textId="1DD8FED6" w:rsidR="00BF541D" w:rsidRDefault="00D03E7D">
          <w:pPr>
            <w:pStyle w:val="TOC2"/>
            <w:tabs>
              <w:tab w:val="right" w:leader="dot" w:pos="9016"/>
            </w:tabs>
            <w:rPr>
              <w:rFonts w:asciiTheme="minorHAnsi" w:eastAsiaTheme="minorEastAsia" w:hAnsiTheme="minorHAnsi" w:cs="Vrinda"/>
              <w:noProof/>
              <w:lang w:eastAsia="en-GB" w:bidi="bn-IN"/>
            </w:rPr>
          </w:pPr>
          <w:hyperlink w:anchor="_Toc219063799" w:history="1">
            <w:r w:rsidR="00BF541D" w:rsidRPr="0076672F">
              <w:rPr>
                <w:rStyle w:val="Hyperlink"/>
                <w:noProof/>
                <w:lang w:val="en-US"/>
              </w:rPr>
              <w:t>Capital Rationing and Optimal Investment Policy</w:t>
            </w:r>
            <w:r w:rsidR="00BF541D">
              <w:rPr>
                <w:noProof/>
                <w:webHidden/>
              </w:rPr>
              <w:tab/>
            </w:r>
            <w:r w:rsidR="00BF541D">
              <w:rPr>
                <w:noProof/>
                <w:webHidden/>
              </w:rPr>
              <w:fldChar w:fldCharType="begin"/>
            </w:r>
            <w:r w:rsidR="00BF541D">
              <w:rPr>
                <w:noProof/>
                <w:webHidden/>
              </w:rPr>
              <w:instrText xml:space="preserve"> PAGEREF _Toc219063799 \h </w:instrText>
            </w:r>
            <w:r w:rsidR="00BF541D">
              <w:rPr>
                <w:noProof/>
                <w:webHidden/>
              </w:rPr>
            </w:r>
            <w:r w:rsidR="00BF541D">
              <w:rPr>
                <w:noProof/>
                <w:webHidden/>
              </w:rPr>
              <w:fldChar w:fldCharType="separate"/>
            </w:r>
            <w:r w:rsidR="00BF541D">
              <w:rPr>
                <w:noProof/>
                <w:webHidden/>
              </w:rPr>
              <w:t>21</w:t>
            </w:r>
            <w:r w:rsidR="00BF541D">
              <w:rPr>
                <w:noProof/>
                <w:webHidden/>
              </w:rPr>
              <w:fldChar w:fldCharType="end"/>
            </w:r>
          </w:hyperlink>
        </w:p>
        <w:p w14:paraId="34F88FC1" w14:textId="4E4C33D1" w:rsidR="00BF541D" w:rsidRDefault="00D03E7D">
          <w:pPr>
            <w:pStyle w:val="TOC2"/>
            <w:tabs>
              <w:tab w:val="right" w:leader="dot" w:pos="9016"/>
            </w:tabs>
            <w:rPr>
              <w:rFonts w:asciiTheme="minorHAnsi" w:eastAsiaTheme="minorEastAsia" w:hAnsiTheme="minorHAnsi" w:cs="Vrinda"/>
              <w:noProof/>
              <w:lang w:eastAsia="en-GB" w:bidi="bn-IN"/>
            </w:rPr>
          </w:pPr>
          <w:hyperlink w:anchor="_Toc219063800" w:history="1">
            <w:r w:rsidR="00BF541D" w:rsidRPr="0076672F">
              <w:rPr>
                <w:rStyle w:val="Hyperlink"/>
                <w:noProof/>
                <w:lang w:val="en-US"/>
              </w:rPr>
              <w:t>Sources of Finance for Investment Program</w:t>
            </w:r>
            <w:r w:rsidR="00BF541D">
              <w:rPr>
                <w:noProof/>
                <w:webHidden/>
              </w:rPr>
              <w:tab/>
            </w:r>
            <w:r w:rsidR="00BF541D">
              <w:rPr>
                <w:noProof/>
                <w:webHidden/>
              </w:rPr>
              <w:fldChar w:fldCharType="begin"/>
            </w:r>
            <w:r w:rsidR="00BF541D">
              <w:rPr>
                <w:noProof/>
                <w:webHidden/>
              </w:rPr>
              <w:instrText xml:space="preserve"> PAGEREF _Toc219063800 \h </w:instrText>
            </w:r>
            <w:r w:rsidR="00BF541D">
              <w:rPr>
                <w:noProof/>
                <w:webHidden/>
              </w:rPr>
            </w:r>
            <w:r w:rsidR="00BF541D">
              <w:rPr>
                <w:noProof/>
                <w:webHidden/>
              </w:rPr>
              <w:fldChar w:fldCharType="separate"/>
            </w:r>
            <w:r w:rsidR="00BF541D">
              <w:rPr>
                <w:noProof/>
                <w:webHidden/>
              </w:rPr>
              <w:t>22</w:t>
            </w:r>
            <w:r w:rsidR="00BF541D">
              <w:rPr>
                <w:noProof/>
                <w:webHidden/>
              </w:rPr>
              <w:fldChar w:fldCharType="end"/>
            </w:r>
          </w:hyperlink>
        </w:p>
        <w:p w14:paraId="3EAFA94B" w14:textId="7535378E" w:rsidR="00BF541D" w:rsidRDefault="00D03E7D">
          <w:pPr>
            <w:pStyle w:val="TOC1"/>
            <w:tabs>
              <w:tab w:val="right" w:leader="dot" w:pos="9016"/>
            </w:tabs>
            <w:rPr>
              <w:rFonts w:asciiTheme="minorHAnsi" w:eastAsiaTheme="minorEastAsia" w:hAnsiTheme="minorHAnsi" w:cs="Vrinda"/>
              <w:noProof/>
              <w:lang w:eastAsia="en-GB" w:bidi="bn-IN"/>
            </w:rPr>
          </w:pPr>
          <w:hyperlink w:anchor="_Toc219063801" w:history="1">
            <w:r w:rsidR="00BF541D" w:rsidRPr="0076672F">
              <w:rPr>
                <w:rStyle w:val="Hyperlink"/>
                <w:noProof/>
                <w:lang w:val="en-US"/>
              </w:rPr>
              <w:t>Conclusion</w:t>
            </w:r>
            <w:r w:rsidR="00BF541D">
              <w:rPr>
                <w:noProof/>
                <w:webHidden/>
              </w:rPr>
              <w:tab/>
            </w:r>
            <w:r w:rsidR="00BF541D">
              <w:rPr>
                <w:noProof/>
                <w:webHidden/>
              </w:rPr>
              <w:fldChar w:fldCharType="begin"/>
            </w:r>
            <w:r w:rsidR="00BF541D">
              <w:rPr>
                <w:noProof/>
                <w:webHidden/>
              </w:rPr>
              <w:instrText xml:space="preserve"> PAGEREF _Toc219063801 \h </w:instrText>
            </w:r>
            <w:r w:rsidR="00BF541D">
              <w:rPr>
                <w:noProof/>
                <w:webHidden/>
              </w:rPr>
            </w:r>
            <w:r w:rsidR="00BF541D">
              <w:rPr>
                <w:noProof/>
                <w:webHidden/>
              </w:rPr>
              <w:fldChar w:fldCharType="separate"/>
            </w:r>
            <w:r w:rsidR="00BF541D">
              <w:rPr>
                <w:noProof/>
                <w:webHidden/>
              </w:rPr>
              <w:t>24</w:t>
            </w:r>
            <w:r w:rsidR="00BF541D">
              <w:rPr>
                <w:noProof/>
                <w:webHidden/>
              </w:rPr>
              <w:fldChar w:fldCharType="end"/>
            </w:r>
          </w:hyperlink>
        </w:p>
        <w:p w14:paraId="73FE7557" w14:textId="6FC3B046" w:rsidR="00BF541D" w:rsidRDefault="00D03E7D">
          <w:pPr>
            <w:pStyle w:val="TOC1"/>
            <w:tabs>
              <w:tab w:val="right" w:leader="dot" w:pos="9016"/>
            </w:tabs>
            <w:rPr>
              <w:rFonts w:asciiTheme="minorHAnsi" w:eastAsiaTheme="minorEastAsia" w:hAnsiTheme="minorHAnsi" w:cs="Vrinda"/>
              <w:noProof/>
              <w:lang w:eastAsia="en-GB" w:bidi="bn-IN"/>
            </w:rPr>
          </w:pPr>
          <w:hyperlink w:anchor="_Toc219063802" w:history="1">
            <w:r w:rsidR="00BF541D" w:rsidRPr="0076672F">
              <w:rPr>
                <w:rStyle w:val="Hyperlink"/>
                <w:noProof/>
                <w:lang w:val="en-US"/>
              </w:rPr>
              <w:t>References</w:t>
            </w:r>
            <w:r w:rsidR="00BF541D">
              <w:rPr>
                <w:noProof/>
                <w:webHidden/>
              </w:rPr>
              <w:tab/>
            </w:r>
            <w:r w:rsidR="00BF541D">
              <w:rPr>
                <w:noProof/>
                <w:webHidden/>
              </w:rPr>
              <w:fldChar w:fldCharType="begin"/>
            </w:r>
            <w:r w:rsidR="00BF541D">
              <w:rPr>
                <w:noProof/>
                <w:webHidden/>
              </w:rPr>
              <w:instrText xml:space="preserve"> PAGEREF _Toc219063802 \h </w:instrText>
            </w:r>
            <w:r w:rsidR="00BF541D">
              <w:rPr>
                <w:noProof/>
                <w:webHidden/>
              </w:rPr>
            </w:r>
            <w:r w:rsidR="00BF541D">
              <w:rPr>
                <w:noProof/>
                <w:webHidden/>
              </w:rPr>
              <w:fldChar w:fldCharType="separate"/>
            </w:r>
            <w:r w:rsidR="00BF541D">
              <w:rPr>
                <w:noProof/>
                <w:webHidden/>
              </w:rPr>
              <w:t>25</w:t>
            </w:r>
            <w:r w:rsidR="00BF541D">
              <w:rPr>
                <w:noProof/>
                <w:webHidden/>
              </w:rPr>
              <w:fldChar w:fldCharType="end"/>
            </w:r>
          </w:hyperlink>
        </w:p>
        <w:p w14:paraId="03E8754F" w14:textId="0B8F4296" w:rsidR="00BF541D" w:rsidRDefault="00D03E7D">
          <w:pPr>
            <w:pStyle w:val="TOC1"/>
            <w:tabs>
              <w:tab w:val="right" w:leader="dot" w:pos="9016"/>
            </w:tabs>
            <w:rPr>
              <w:rFonts w:asciiTheme="minorHAnsi" w:eastAsiaTheme="minorEastAsia" w:hAnsiTheme="minorHAnsi" w:cs="Vrinda"/>
              <w:noProof/>
              <w:lang w:eastAsia="en-GB" w:bidi="bn-IN"/>
            </w:rPr>
          </w:pPr>
          <w:hyperlink w:anchor="_Toc219063803" w:history="1">
            <w:r w:rsidR="00BF541D" w:rsidRPr="0076672F">
              <w:rPr>
                <w:rStyle w:val="Hyperlink"/>
                <w:noProof/>
                <w:lang w:val="en-US"/>
              </w:rPr>
              <w:t>Appendix</w:t>
            </w:r>
            <w:r w:rsidR="00BF541D">
              <w:rPr>
                <w:noProof/>
                <w:webHidden/>
              </w:rPr>
              <w:tab/>
            </w:r>
            <w:r w:rsidR="00BF541D">
              <w:rPr>
                <w:noProof/>
                <w:webHidden/>
              </w:rPr>
              <w:fldChar w:fldCharType="begin"/>
            </w:r>
            <w:r w:rsidR="00BF541D">
              <w:rPr>
                <w:noProof/>
                <w:webHidden/>
              </w:rPr>
              <w:instrText xml:space="preserve"> PAGEREF _Toc219063803 \h </w:instrText>
            </w:r>
            <w:r w:rsidR="00BF541D">
              <w:rPr>
                <w:noProof/>
                <w:webHidden/>
              </w:rPr>
            </w:r>
            <w:r w:rsidR="00BF541D">
              <w:rPr>
                <w:noProof/>
                <w:webHidden/>
              </w:rPr>
              <w:fldChar w:fldCharType="separate"/>
            </w:r>
            <w:r w:rsidR="00BF541D">
              <w:rPr>
                <w:noProof/>
                <w:webHidden/>
              </w:rPr>
              <w:t>30</w:t>
            </w:r>
            <w:r w:rsidR="00BF541D">
              <w:rPr>
                <w:noProof/>
                <w:webHidden/>
              </w:rPr>
              <w:fldChar w:fldCharType="end"/>
            </w:r>
          </w:hyperlink>
        </w:p>
        <w:p w14:paraId="254F5EA7" w14:textId="07E8FDFE" w:rsidR="009C643C" w:rsidRDefault="009C643C">
          <w:r>
            <w:rPr>
              <w:b/>
              <w:bCs/>
              <w:noProof/>
            </w:rPr>
            <w:fldChar w:fldCharType="end"/>
          </w:r>
        </w:p>
      </w:sdtContent>
    </w:sdt>
    <w:p w14:paraId="798542C3" w14:textId="07BD076B" w:rsidR="009C643C" w:rsidRDefault="009C643C">
      <w:pPr>
        <w:spacing w:after="160"/>
        <w:jc w:val="left"/>
        <w:rPr>
          <w:sz w:val="32"/>
          <w:szCs w:val="36"/>
          <w:lang w:val="en-US"/>
        </w:rPr>
      </w:pPr>
      <w:r>
        <w:rPr>
          <w:sz w:val="32"/>
          <w:szCs w:val="36"/>
          <w:lang w:val="en-US"/>
        </w:rPr>
        <w:br w:type="page"/>
      </w:r>
    </w:p>
    <w:p w14:paraId="79D24D7D" w14:textId="7E8D8C02" w:rsidR="009C643C" w:rsidRDefault="009C643C" w:rsidP="009C643C">
      <w:pPr>
        <w:pStyle w:val="Heading1"/>
        <w:spacing w:line="360" w:lineRule="auto"/>
        <w:rPr>
          <w:lang w:val="en-US"/>
        </w:rPr>
      </w:pPr>
      <w:bookmarkStart w:id="1" w:name="_Toc219063771"/>
      <w:r>
        <w:rPr>
          <w:lang w:val="en-US"/>
        </w:rPr>
        <w:lastRenderedPageBreak/>
        <w:t>Introduction</w:t>
      </w:r>
      <w:bookmarkEnd w:id="1"/>
    </w:p>
    <w:p w14:paraId="1C517584" w14:textId="4FE1AD3C" w:rsidR="009C643C" w:rsidRDefault="00FB07AF" w:rsidP="009C643C">
      <w:pPr>
        <w:spacing w:line="360" w:lineRule="auto"/>
        <w:rPr>
          <w:lang w:val="en-US"/>
        </w:rPr>
      </w:pPr>
      <w:r>
        <w:rPr>
          <w:lang w:val="en-US"/>
        </w:rPr>
        <w:t xml:space="preserve">In order to undertake corporate finance operations, it is </w:t>
      </w:r>
      <w:r w:rsidR="00284435">
        <w:rPr>
          <w:lang w:val="en-US"/>
        </w:rPr>
        <w:t>essential</w:t>
      </w:r>
      <w:r>
        <w:rPr>
          <w:lang w:val="en-US"/>
        </w:rPr>
        <w:t xml:space="preserve"> to understand the fundamentals of financial analysis and investment appraisal techniques. </w:t>
      </w:r>
      <w:r w:rsidR="00647949">
        <w:rPr>
          <w:lang w:val="en-US"/>
        </w:rPr>
        <w:t>This helps the stakeholders of an organisation to make sound decisions regarding resource allocation, performance evaluation</w:t>
      </w:r>
      <w:r w:rsidR="00284435">
        <w:rPr>
          <w:lang w:val="en-US"/>
        </w:rPr>
        <w:t>,</w:t>
      </w:r>
      <w:r w:rsidR="00647949">
        <w:rPr>
          <w:lang w:val="en-US"/>
        </w:rPr>
        <w:t xml:space="preserve"> as well as strategic planning. This report will be divided into two sections</w:t>
      </w:r>
      <w:r w:rsidR="00284435">
        <w:rPr>
          <w:lang w:val="en-US"/>
        </w:rPr>
        <w:t>,</w:t>
      </w:r>
      <w:r w:rsidR="00647949">
        <w:rPr>
          <w:lang w:val="en-US"/>
        </w:rPr>
        <w:t xml:space="preserve"> of which the first will be a retrospective performance analysis of Rolls-Royce Holdings PLC through ratio analysis</w:t>
      </w:r>
      <w:r w:rsidR="00284435">
        <w:rPr>
          <w:lang w:val="en-US"/>
        </w:rPr>
        <w:t>,</w:t>
      </w:r>
      <w:r w:rsidR="00647949">
        <w:rPr>
          <w:lang w:val="en-US"/>
        </w:rPr>
        <w:t xml:space="preserve"> and the other will be a prospective decision-making process by utili</w:t>
      </w:r>
      <w:r w:rsidR="00284435">
        <w:rPr>
          <w:lang w:val="en-US"/>
        </w:rPr>
        <w:t>s</w:t>
      </w:r>
      <w:r w:rsidR="00647949">
        <w:rPr>
          <w:lang w:val="en-US"/>
        </w:rPr>
        <w:t>ing various capital budgeting techniques.</w:t>
      </w:r>
      <w:r w:rsidR="00CF0E77">
        <w:rPr>
          <w:lang w:val="en-US"/>
        </w:rPr>
        <w:t xml:space="preserve"> Now, for the first part, </w:t>
      </w:r>
      <w:r w:rsidR="00337737">
        <w:rPr>
          <w:lang w:val="en-US"/>
        </w:rPr>
        <w:t>Rolls-Royce Holdings PLC has been selected which is a global leader and has already undergone a major transformation since 2023</w:t>
      </w:r>
      <w:r w:rsidR="005B1EA1">
        <w:rPr>
          <w:lang w:val="en-US"/>
        </w:rPr>
        <w:t xml:space="preserve"> after Tufan Erginbilgic</w:t>
      </w:r>
      <w:r w:rsidR="00BC663E">
        <w:rPr>
          <w:lang w:val="en-US"/>
        </w:rPr>
        <w:t xml:space="preserve"> took over as the C</w:t>
      </w:r>
      <w:r w:rsidR="00177D4F">
        <w:rPr>
          <w:lang w:val="en-US"/>
        </w:rPr>
        <w:t xml:space="preserve">EO. </w:t>
      </w:r>
      <w:r w:rsidR="002027F3">
        <w:rPr>
          <w:lang w:val="en-US"/>
        </w:rPr>
        <w:t>Due to the strategic initiatives undertaken in the previous two years, the company has seen unprecedented performance uplift with its operating profits almost quadrupling</w:t>
      </w:r>
      <w:r w:rsidR="0021720F">
        <w:rPr>
          <w:lang w:val="en-US"/>
        </w:rPr>
        <w:t xml:space="preserve"> in two years. </w:t>
      </w:r>
      <w:r w:rsidR="00CB3572">
        <w:rPr>
          <w:lang w:val="en-US"/>
        </w:rPr>
        <w:t xml:space="preserve">Now, the first part will undertake a detailed ratio analysis to comprehend how the company has managed to achieve such a feat in just two years. In the second </w:t>
      </w:r>
      <w:r w:rsidR="00EB63CF">
        <w:rPr>
          <w:lang w:val="en-US"/>
        </w:rPr>
        <w:t xml:space="preserve">part of the report, </w:t>
      </w:r>
      <w:r w:rsidR="003058DD">
        <w:rPr>
          <w:lang w:val="en-US"/>
        </w:rPr>
        <w:t>the investment decision to be undertaken by Westward PLC will be evaluated by using discounted cash flow methods</w:t>
      </w:r>
      <w:r w:rsidR="004C1043">
        <w:rPr>
          <w:lang w:val="en-US"/>
        </w:rPr>
        <w:t>,</w:t>
      </w:r>
      <w:r w:rsidR="003058DD">
        <w:rPr>
          <w:lang w:val="en-US"/>
        </w:rPr>
        <w:t xml:space="preserve"> including net present value and internal rate of return. </w:t>
      </w:r>
      <w:r w:rsidR="00DB74F3">
        <w:rPr>
          <w:lang w:val="en-US"/>
        </w:rPr>
        <w:t xml:space="preserve">By integrating both theory and practice into this report by using the necessary frameworks, </w:t>
      </w:r>
      <w:r w:rsidR="000E2DAB">
        <w:rPr>
          <w:lang w:val="en-US"/>
        </w:rPr>
        <w:t>Rolls-Royce Holdings PLC’s ratio analysis will be conducted</w:t>
      </w:r>
      <w:r w:rsidR="004C1043">
        <w:rPr>
          <w:lang w:val="en-US"/>
        </w:rPr>
        <w:t>,</w:t>
      </w:r>
      <w:r w:rsidR="000E2DAB">
        <w:rPr>
          <w:lang w:val="en-US"/>
        </w:rPr>
        <w:t xml:space="preserve"> alongside Westward PLC’s investment decision will be evaluated, as well.</w:t>
      </w:r>
      <w:r w:rsidR="00DB224C">
        <w:rPr>
          <w:lang w:val="en-US"/>
        </w:rPr>
        <w:t xml:space="preserve"> Ultimately, this report will showcase how financial analysis can help create value in dynamic and challenging environments</w:t>
      </w:r>
      <w:r w:rsidR="00E654E3">
        <w:rPr>
          <w:lang w:val="en-US"/>
        </w:rPr>
        <w:t xml:space="preserve"> effectively.</w:t>
      </w:r>
    </w:p>
    <w:p w14:paraId="18DFA46C" w14:textId="77777777" w:rsidR="009C643C" w:rsidRDefault="009C643C">
      <w:pPr>
        <w:spacing w:after="160"/>
        <w:jc w:val="left"/>
        <w:rPr>
          <w:lang w:val="en-US"/>
        </w:rPr>
      </w:pPr>
      <w:r>
        <w:rPr>
          <w:lang w:val="en-US"/>
        </w:rPr>
        <w:br w:type="page"/>
      </w:r>
    </w:p>
    <w:p w14:paraId="2336AA60" w14:textId="641A9918" w:rsidR="009C643C" w:rsidRDefault="009C643C" w:rsidP="009C643C">
      <w:pPr>
        <w:pStyle w:val="Heading1"/>
        <w:spacing w:line="360" w:lineRule="auto"/>
        <w:rPr>
          <w:lang w:val="en-US"/>
        </w:rPr>
      </w:pPr>
      <w:bookmarkStart w:id="2" w:name="_Toc219063772"/>
      <w:r>
        <w:rPr>
          <w:lang w:val="en-US"/>
        </w:rPr>
        <w:lastRenderedPageBreak/>
        <w:t>Part One: Financial Ratio Analysis of Rolls-Royce Holdings Plc</w:t>
      </w:r>
      <w:bookmarkEnd w:id="2"/>
    </w:p>
    <w:p w14:paraId="556035B3" w14:textId="4F884F9F" w:rsidR="009C643C" w:rsidRDefault="006E4C9F" w:rsidP="006E4C9F">
      <w:pPr>
        <w:pStyle w:val="Heading2"/>
        <w:spacing w:line="360" w:lineRule="auto"/>
        <w:rPr>
          <w:lang w:val="en-US"/>
        </w:rPr>
      </w:pPr>
      <w:bookmarkStart w:id="3" w:name="_Toc219063773"/>
      <w:r>
        <w:rPr>
          <w:lang w:val="en-US"/>
        </w:rPr>
        <w:t>Overview of Rolls-Royce Holdings PLC</w:t>
      </w:r>
      <w:bookmarkEnd w:id="3"/>
    </w:p>
    <w:p w14:paraId="75B7C38C" w14:textId="125FF7CB" w:rsidR="00DB3D03" w:rsidRDefault="00916560" w:rsidP="006E4C9F">
      <w:pPr>
        <w:spacing w:line="360" w:lineRule="auto"/>
        <w:rPr>
          <w:lang w:val="en-US"/>
        </w:rPr>
      </w:pPr>
      <w:r>
        <w:rPr>
          <w:lang w:val="en-US"/>
        </w:rPr>
        <w:t>Rolls-Royce Holdings PLC is one of the major engineering companies across the globe</w:t>
      </w:r>
      <w:r w:rsidR="004C1043">
        <w:rPr>
          <w:lang w:val="en-US"/>
        </w:rPr>
        <w:t>,</w:t>
      </w:r>
      <w:r>
        <w:rPr>
          <w:lang w:val="en-US"/>
        </w:rPr>
        <w:t xml:space="preserve"> which is specifically focused on making </w:t>
      </w:r>
      <w:r w:rsidR="004C1043">
        <w:rPr>
          <w:lang w:val="en-US"/>
        </w:rPr>
        <w:t xml:space="preserve">an </w:t>
      </w:r>
      <w:r>
        <w:rPr>
          <w:lang w:val="en-US"/>
        </w:rPr>
        <w:t xml:space="preserve">impact in aerospace, defense and power systems. The company has around </w:t>
      </w:r>
      <w:r w:rsidR="00244369">
        <w:rPr>
          <w:lang w:val="en-US"/>
        </w:rPr>
        <w:t>50</w:t>
      </w:r>
      <w:r>
        <w:rPr>
          <w:lang w:val="en-US"/>
        </w:rPr>
        <w:t xml:space="preserve">,000 employees </w:t>
      </w:r>
      <w:r w:rsidR="005D721A">
        <w:rPr>
          <w:lang w:val="en-US"/>
        </w:rPr>
        <w:t xml:space="preserve">in over </w:t>
      </w:r>
      <w:r>
        <w:rPr>
          <w:lang w:val="en-US"/>
        </w:rPr>
        <w:t>4</w:t>
      </w:r>
      <w:r w:rsidR="005D721A">
        <w:rPr>
          <w:lang w:val="en-US"/>
        </w:rPr>
        <w:t>0</w:t>
      </w:r>
      <w:r>
        <w:rPr>
          <w:lang w:val="en-US"/>
        </w:rPr>
        <w:t xml:space="preserve"> countries as of 2024</w:t>
      </w:r>
      <w:r w:rsidR="005D721A">
        <w:rPr>
          <w:lang w:val="en-US"/>
        </w:rPr>
        <w:t xml:space="preserve"> (Rolls-Royce, 2025)</w:t>
      </w:r>
      <w:r>
        <w:rPr>
          <w:lang w:val="en-US"/>
        </w:rPr>
        <w:t>. Currently, the company has three major divisions under its belt</w:t>
      </w:r>
      <w:r w:rsidR="004C1043">
        <w:rPr>
          <w:lang w:val="en-US"/>
        </w:rPr>
        <w:t>,</w:t>
      </w:r>
      <w:r>
        <w:rPr>
          <w:lang w:val="en-US"/>
        </w:rPr>
        <w:t xml:space="preserve"> including civil aerospace, defense and power systems. </w:t>
      </w:r>
      <w:r w:rsidR="003000F4">
        <w:rPr>
          <w:lang w:val="en-US"/>
        </w:rPr>
        <w:t xml:space="preserve">However, it is also expanding its operations towards a new market of sustainable technologies. </w:t>
      </w:r>
    </w:p>
    <w:p w14:paraId="17727B5B" w14:textId="71C4BACF" w:rsidR="00DB3D03" w:rsidRDefault="00DB3D03" w:rsidP="00DB3D03">
      <w:pPr>
        <w:spacing w:line="360" w:lineRule="auto"/>
        <w:jc w:val="center"/>
        <w:rPr>
          <w:lang w:val="en-US"/>
        </w:rPr>
      </w:pPr>
      <w:r>
        <w:rPr>
          <w:noProof/>
        </w:rPr>
        <w:drawing>
          <wp:inline distT="0" distB="0" distL="0" distR="0" wp14:anchorId="76CC23B4" wp14:editId="09992FA1">
            <wp:extent cx="5731510" cy="3402965"/>
            <wp:effectExtent l="0" t="0" r="2540" b="6985"/>
            <wp:docPr id="1845324983" name="Picture 2" descr="Rolls-Royce Holdings Plc Announces Strong Performance And Growth At AG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ls-Royce Holdings Plc Announces Strong Performance And Growth At AG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02965"/>
                    </a:xfrm>
                    <a:prstGeom prst="rect">
                      <a:avLst/>
                    </a:prstGeom>
                    <a:noFill/>
                    <a:ln>
                      <a:noFill/>
                    </a:ln>
                  </pic:spPr>
                </pic:pic>
              </a:graphicData>
            </a:graphic>
          </wp:inline>
        </w:drawing>
      </w:r>
    </w:p>
    <w:p w14:paraId="2358A6D3" w14:textId="726C4DA1" w:rsidR="00DB3D03" w:rsidRPr="00DB3D03" w:rsidRDefault="00DB3D03" w:rsidP="00DB3D03">
      <w:pPr>
        <w:spacing w:line="360" w:lineRule="auto"/>
        <w:jc w:val="center"/>
        <w:rPr>
          <w:lang w:val="en-US"/>
        </w:rPr>
      </w:pPr>
      <w:r>
        <w:rPr>
          <w:b/>
          <w:bCs/>
          <w:lang w:val="en-US"/>
        </w:rPr>
        <w:t xml:space="preserve">Figure 1: </w:t>
      </w:r>
      <w:r>
        <w:rPr>
          <w:lang w:val="en-US"/>
        </w:rPr>
        <w:t>Logo of Rolls-Royce Holdings PLC (Stone, 2024)</w:t>
      </w:r>
    </w:p>
    <w:p w14:paraId="24A94FFF" w14:textId="1527AE5F" w:rsidR="006E4C9F" w:rsidRDefault="00755BD9" w:rsidP="006E4C9F">
      <w:pPr>
        <w:spacing w:line="360" w:lineRule="auto"/>
        <w:rPr>
          <w:lang w:val="en-US"/>
        </w:rPr>
      </w:pPr>
      <w:r>
        <w:rPr>
          <w:lang w:val="en-US"/>
        </w:rPr>
        <w:t xml:space="preserve">Since COVID-19 disastrous impact on the company, Rolls-Royce Holdings PLC has undergone significant transformations in order to achieve sustainable and operational financial health. Currently, the company is on </w:t>
      </w:r>
      <w:r w:rsidR="004C1043">
        <w:rPr>
          <w:lang w:val="en-US"/>
        </w:rPr>
        <w:t xml:space="preserve">a </w:t>
      </w:r>
      <w:r>
        <w:rPr>
          <w:lang w:val="en-US"/>
        </w:rPr>
        <w:t>path towards sustainable growth after the very recent takeover by Tufan</w:t>
      </w:r>
      <w:r w:rsidR="005D721A">
        <w:rPr>
          <w:lang w:val="en-US"/>
        </w:rPr>
        <w:t xml:space="preserve"> (Rolls-Royce, 2022)</w:t>
      </w:r>
      <w:r>
        <w:rPr>
          <w:lang w:val="en-US"/>
        </w:rPr>
        <w:t xml:space="preserve">. </w:t>
      </w:r>
      <w:r w:rsidR="008E372F">
        <w:rPr>
          <w:lang w:val="en-US"/>
        </w:rPr>
        <w:t xml:space="preserve">Overall, the company has undergone </w:t>
      </w:r>
      <w:r w:rsidR="004C1043">
        <w:rPr>
          <w:lang w:val="en-US"/>
        </w:rPr>
        <w:t xml:space="preserve">a </w:t>
      </w:r>
      <w:r w:rsidR="008E372F">
        <w:rPr>
          <w:lang w:val="en-US"/>
        </w:rPr>
        <w:t>successful transformation</w:t>
      </w:r>
      <w:r w:rsidR="004C1043">
        <w:rPr>
          <w:lang w:val="en-US"/>
        </w:rPr>
        <w:t>,</w:t>
      </w:r>
      <w:r w:rsidR="008E372F">
        <w:rPr>
          <w:lang w:val="en-US"/>
        </w:rPr>
        <w:t xml:space="preserve"> and it is operational across the globe with strong financial performance and strategic positioning in the market.</w:t>
      </w:r>
    </w:p>
    <w:p w14:paraId="0228000F" w14:textId="03041BAE" w:rsidR="006E4C9F" w:rsidRDefault="006E4C9F" w:rsidP="006E4C9F">
      <w:pPr>
        <w:pStyle w:val="Heading2"/>
        <w:spacing w:line="360" w:lineRule="auto"/>
        <w:rPr>
          <w:lang w:val="en-US"/>
        </w:rPr>
      </w:pPr>
      <w:bookmarkStart w:id="4" w:name="_Toc219063774"/>
      <w:r>
        <w:rPr>
          <w:lang w:val="en-US"/>
        </w:rPr>
        <w:lastRenderedPageBreak/>
        <w:t>Calculation and Analysis of Financial Ratios</w:t>
      </w:r>
      <w:bookmarkEnd w:id="4"/>
    </w:p>
    <w:p w14:paraId="702A07DA" w14:textId="73098DFF" w:rsidR="006E4C9F" w:rsidRPr="006E4C9F" w:rsidRDefault="006E4C9F" w:rsidP="006E4C9F">
      <w:pPr>
        <w:pStyle w:val="Heading3"/>
        <w:spacing w:line="360" w:lineRule="auto"/>
        <w:rPr>
          <w:rFonts w:ascii="Times New Roman" w:hAnsi="Times New Roman" w:cs="Times New Roman"/>
          <w:b/>
          <w:bCs/>
          <w:sz w:val="24"/>
          <w:szCs w:val="32"/>
          <w:lang w:val="en-US"/>
        </w:rPr>
      </w:pPr>
      <w:bookmarkStart w:id="5" w:name="_Toc219063775"/>
      <w:r>
        <w:rPr>
          <w:rFonts w:ascii="Times New Roman" w:hAnsi="Times New Roman" w:cs="Times New Roman"/>
          <w:b/>
          <w:bCs/>
          <w:sz w:val="24"/>
          <w:szCs w:val="32"/>
          <w:lang w:val="en-US"/>
        </w:rPr>
        <w:t>Profitability Ratios</w:t>
      </w:r>
      <w:bookmarkEnd w:id="5"/>
    </w:p>
    <w:p w14:paraId="3240FC9E" w14:textId="00275807" w:rsidR="006E4C9F" w:rsidRDefault="003B2B11" w:rsidP="006E4C9F">
      <w:pPr>
        <w:spacing w:line="360" w:lineRule="auto"/>
        <w:rPr>
          <w:lang w:val="en-US"/>
        </w:rPr>
      </w:pPr>
      <w:r>
        <w:rPr>
          <w:lang w:val="en-US"/>
        </w:rPr>
        <w:t>These are the ratios which refer to the capacity of an organisation to generate earnings or profits relative to its revenues, assets, equity, debt payments</w:t>
      </w:r>
      <w:r w:rsidR="004C1043">
        <w:rPr>
          <w:lang w:val="en-US"/>
        </w:rPr>
        <w:t>,</w:t>
      </w:r>
      <w:r>
        <w:rPr>
          <w:lang w:val="en-US"/>
        </w:rPr>
        <w:t xml:space="preserve"> etc. </w:t>
      </w:r>
      <w:r w:rsidR="00C35C3B">
        <w:rPr>
          <w:lang w:val="en-US"/>
        </w:rPr>
        <w:t>(</w:t>
      </w:r>
      <w:r w:rsidR="00C35C3B" w:rsidRPr="00C35C3B">
        <w:t>Rashid</w:t>
      </w:r>
      <w:r w:rsidR="00C35C3B">
        <w:t xml:space="preserve">, 2021). </w:t>
      </w:r>
      <w:r w:rsidR="00C733F7">
        <w:rPr>
          <w:lang w:val="en-US"/>
        </w:rPr>
        <w:t xml:space="preserve">These ratios are crucial to ensure operational efficiency as well as understand </w:t>
      </w:r>
      <w:r w:rsidR="004C1043">
        <w:rPr>
          <w:lang w:val="en-US"/>
        </w:rPr>
        <w:t xml:space="preserve">the </w:t>
      </w:r>
      <w:r w:rsidR="00C733F7">
        <w:rPr>
          <w:lang w:val="en-US"/>
        </w:rPr>
        <w:t xml:space="preserve">competitive positioning of a company in competitive spaces. </w:t>
      </w:r>
      <w:r w:rsidR="00FA64C4">
        <w:rPr>
          <w:lang w:val="en-US"/>
        </w:rPr>
        <w:t>Now, the major profitability ratios of Rolls-Royce Holdings PLC are calculated and interpreted below.</w:t>
      </w:r>
    </w:p>
    <w:p w14:paraId="6F4AB50F" w14:textId="1B1AF4A0" w:rsidR="00FA64C4" w:rsidRDefault="00FA64C4" w:rsidP="006E4C9F">
      <w:pPr>
        <w:spacing w:line="360" w:lineRule="auto"/>
        <w:rPr>
          <w:b/>
          <w:bCs/>
          <w:lang w:val="en-US"/>
        </w:rPr>
      </w:pPr>
      <w:r>
        <w:rPr>
          <w:b/>
          <w:bCs/>
          <w:lang w:val="en-US"/>
        </w:rPr>
        <w:t>Gross Profit Margin</w:t>
      </w:r>
    </w:p>
    <w:p w14:paraId="2685EF2F" w14:textId="55A5572D" w:rsidR="00FA64C4" w:rsidRDefault="00FA64C4" w:rsidP="006E4C9F">
      <w:pPr>
        <w:spacing w:line="360" w:lineRule="auto"/>
        <w:rPr>
          <w:lang w:val="en-US"/>
        </w:rPr>
      </w:pPr>
      <w:r>
        <w:rPr>
          <w:lang w:val="en-US"/>
        </w:rPr>
        <w:t>The formula to calculate gross profit margin is = (Gross Profit / Revenue) * 100</w:t>
      </w:r>
    </w:p>
    <w:p w14:paraId="123ED094" w14:textId="140C4D63" w:rsidR="00FA64C4" w:rsidRDefault="00FA64C4" w:rsidP="006E4C9F">
      <w:pPr>
        <w:spacing w:line="360" w:lineRule="auto"/>
        <w:rPr>
          <w:lang w:val="en-US"/>
        </w:rPr>
      </w:pPr>
      <w:r>
        <w:rPr>
          <w:lang w:val="en-US"/>
        </w:rPr>
        <w:t>In 2023, GPM is = (3,</w:t>
      </w:r>
      <w:r w:rsidR="00AE6EE5">
        <w:rPr>
          <w:lang w:val="en-US"/>
        </w:rPr>
        <w:t>620</w:t>
      </w:r>
      <w:r>
        <w:rPr>
          <w:lang w:val="en-US"/>
        </w:rPr>
        <w:t xml:space="preserve"> / 16,486) * 100 = 21.96%</w:t>
      </w:r>
    </w:p>
    <w:p w14:paraId="3DB1FA48" w14:textId="56F7FE35" w:rsidR="00FA64C4" w:rsidRDefault="00FA64C4" w:rsidP="006E4C9F">
      <w:pPr>
        <w:spacing w:line="360" w:lineRule="auto"/>
        <w:rPr>
          <w:lang w:val="en-US"/>
        </w:rPr>
      </w:pPr>
      <w:r>
        <w:rPr>
          <w:lang w:val="en-US"/>
        </w:rPr>
        <w:t>In 2024, GPM is = (4,221 / 18,909) * 100 = 22.32%</w:t>
      </w:r>
    </w:p>
    <w:p w14:paraId="6BCB370F" w14:textId="2230BB0E" w:rsidR="00FA64C4" w:rsidRDefault="00987131" w:rsidP="006E4C9F">
      <w:pPr>
        <w:spacing w:line="360" w:lineRule="auto"/>
        <w:rPr>
          <w:lang w:val="en-US"/>
        </w:rPr>
      </w:pPr>
      <w:r>
        <w:rPr>
          <w:lang w:val="en-US"/>
        </w:rPr>
        <w:t>The GPM only improved by 0.36%</w:t>
      </w:r>
      <w:r w:rsidR="004C1043">
        <w:rPr>
          <w:lang w:val="en-US"/>
        </w:rPr>
        <w:t>;</w:t>
      </w:r>
      <w:r>
        <w:rPr>
          <w:lang w:val="en-US"/>
        </w:rPr>
        <w:t xml:space="preserve"> however, it is </w:t>
      </w:r>
      <w:r w:rsidR="004C1043">
        <w:rPr>
          <w:lang w:val="en-US"/>
        </w:rPr>
        <w:t xml:space="preserve">still </w:t>
      </w:r>
      <w:r>
        <w:rPr>
          <w:lang w:val="en-US"/>
        </w:rPr>
        <w:t>a strong performance indicator of the company</w:t>
      </w:r>
      <w:r w:rsidR="005D721A">
        <w:rPr>
          <w:lang w:val="en-US"/>
        </w:rPr>
        <w:t xml:space="preserve"> (Rolls-Royce, 2024)</w:t>
      </w:r>
      <w:r>
        <w:rPr>
          <w:lang w:val="en-US"/>
        </w:rPr>
        <w:t xml:space="preserve">. Moreover, the slight enhancement reflects the ongoing transformation of the company. </w:t>
      </w:r>
    </w:p>
    <w:p w14:paraId="71F41B6D" w14:textId="6C659371" w:rsidR="00FA64C4" w:rsidRDefault="00FA64C4" w:rsidP="00FA64C4">
      <w:pPr>
        <w:spacing w:line="360" w:lineRule="auto"/>
        <w:rPr>
          <w:b/>
          <w:bCs/>
          <w:lang w:val="en-US"/>
        </w:rPr>
      </w:pPr>
      <w:r>
        <w:rPr>
          <w:b/>
          <w:bCs/>
          <w:lang w:val="en-US"/>
        </w:rPr>
        <w:t>Operating Profit Margin</w:t>
      </w:r>
    </w:p>
    <w:p w14:paraId="3CCD216E" w14:textId="0C0C6A98" w:rsidR="00FA64C4" w:rsidRDefault="00FA64C4" w:rsidP="00FA64C4">
      <w:pPr>
        <w:spacing w:line="360" w:lineRule="auto"/>
        <w:rPr>
          <w:lang w:val="en-US"/>
        </w:rPr>
      </w:pPr>
      <w:r>
        <w:rPr>
          <w:lang w:val="en-US"/>
        </w:rPr>
        <w:t xml:space="preserve">The formula to calculate </w:t>
      </w:r>
      <w:r w:rsidR="00DE6879">
        <w:rPr>
          <w:lang w:val="en-US"/>
        </w:rPr>
        <w:t>operating</w:t>
      </w:r>
      <w:r>
        <w:rPr>
          <w:lang w:val="en-US"/>
        </w:rPr>
        <w:t xml:space="preserve"> profit margin is = (</w:t>
      </w:r>
      <w:r w:rsidR="00DE6879">
        <w:rPr>
          <w:lang w:val="en-US"/>
        </w:rPr>
        <w:t>Operating</w:t>
      </w:r>
      <w:r>
        <w:rPr>
          <w:lang w:val="en-US"/>
        </w:rPr>
        <w:t xml:space="preserve"> Profit / Revenue) * 100</w:t>
      </w:r>
    </w:p>
    <w:p w14:paraId="2488441E" w14:textId="276A2183" w:rsidR="00FA64C4" w:rsidRDefault="00FA64C4" w:rsidP="00FA64C4">
      <w:pPr>
        <w:spacing w:line="360" w:lineRule="auto"/>
        <w:rPr>
          <w:lang w:val="en-US"/>
        </w:rPr>
      </w:pPr>
      <w:r>
        <w:rPr>
          <w:lang w:val="en-US"/>
        </w:rPr>
        <w:t xml:space="preserve">In 2023, </w:t>
      </w:r>
      <w:r w:rsidR="00DE6879">
        <w:rPr>
          <w:lang w:val="en-US"/>
        </w:rPr>
        <w:t>OPM</w:t>
      </w:r>
      <w:r>
        <w:rPr>
          <w:lang w:val="en-US"/>
        </w:rPr>
        <w:t xml:space="preserve"> is = (</w:t>
      </w:r>
      <w:r w:rsidR="00DE6879">
        <w:rPr>
          <w:lang w:val="en-US"/>
        </w:rPr>
        <w:t>1,944</w:t>
      </w:r>
      <w:r>
        <w:rPr>
          <w:lang w:val="en-US"/>
        </w:rPr>
        <w:t xml:space="preserve"> / </w:t>
      </w:r>
      <w:r w:rsidR="00DE6879">
        <w:rPr>
          <w:lang w:val="en-US"/>
        </w:rPr>
        <w:t>16,486</w:t>
      </w:r>
      <w:r>
        <w:rPr>
          <w:lang w:val="en-US"/>
        </w:rPr>
        <w:t xml:space="preserve">) * 100 = </w:t>
      </w:r>
      <w:r w:rsidR="00DE6879">
        <w:rPr>
          <w:lang w:val="en-US"/>
        </w:rPr>
        <w:t>11.79</w:t>
      </w:r>
      <w:r>
        <w:rPr>
          <w:lang w:val="en-US"/>
        </w:rPr>
        <w:t>%</w:t>
      </w:r>
    </w:p>
    <w:p w14:paraId="1AA9ED7F" w14:textId="60D514E3" w:rsidR="00FA64C4" w:rsidRDefault="00FA64C4" w:rsidP="00FA64C4">
      <w:pPr>
        <w:spacing w:line="360" w:lineRule="auto"/>
        <w:rPr>
          <w:lang w:val="en-US"/>
        </w:rPr>
      </w:pPr>
      <w:r>
        <w:rPr>
          <w:lang w:val="en-US"/>
        </w:rPr>
        <w:t xml:space="preserve">In 2024, </w:t>
      </w:r>
      <w:r w:rsidR="00DE6879">
        <w:rPr>
          <w:lang w:val="en-US"/>
        </w:rPr>
        <w:t>O</w:t>
      </w:r>
      <w:r>
        <w:rPr>
          <w:lang w:val="en-US"/>
        </w:rPr>
        <w:t>PM is = (</w:t>
      </w:r>
      <w:r w:rsidR="00DE6879">
        <w:rPr>
          <w:lang w:val="en-US"/>
        </w:rPr>
        <w:t>2,906</w:t>
      </w:r>
      <w:r>
        <w:rPr>
          <w:lang w:val="en-US"/>
        </w:rPr>
        <w:t xml:space="preserve"> / 18,909) * 100 = </w:t>
      </w:r>
      <w:r w:rsidR="00DE6879">
        <w:rPr>
          <w:lang w:val="en-US"/>
        </w:rPr>
        <w:t>15.37</w:t>
      </w:r>
      <w:r>
        <w:rPr>
          <w:lang w:val="en-US"/>
        </w:rPr>
        <w:t>%</w:t>
      </w:r>
    </w:p>
    <w:p w14:paraId="6136BAC3" w14:textId="194BEA2F" w:rsidR="00FA64C4" w:rsidRDefault="00987131" w:rsidP="006E4C9F">
      <w:pPr>
        <w:spacing w:line="360" w:lineRule="auto"/>
        <w:rPr>
          <w:lang w:val="en-US"/>
        </w:rPr>
      </w:pPr>
      <w:r>
        <w:rPr>
          <w:lang w:val="en-US"/>
        </w:rPr>
        <w:t>The OPM has increased by 3.58% on a year-on-year basis</w:t>
      </w:r>
      <w:r w:rsidR="004C1043">
        <w:rPr>
          <w:lang w:val="en-US"/>
        </w:rPr>
        <w:t>,</w:t>
      </w:r>
      <w:r>
        <w:rPr>
          <w:lang w:val="en-US"/>
        </w:rPr>
        <w:t xml:space="preserve"> which has exceeded the strategic positioning </w:t>
      </w:r>
      <w:r w:rsidR="008E5C3E">
        <w:rPr>
          <w:lang w:val="en-US"/>
        </w:rPr>
        <w:t>of the company already established in 2023 of a range of 13-15%</w:t>
      </w:r>
      <w:r w:rsidR="005D721A">
        <w:rPr>
          <w:lang w:val="en-US"/>
        </w:rPr>
        <w:t xml:space="preserve"> (Rolls-Royce, 2024)</w:t>
      </w:r>
      <w:r w:rsidR="008E5C3E">
        <w:rPr>
          <w:lang w:val="en-US"/>
        </w:rPr>
        <w:t xml:space="preserve">. </w:t>
      </w:r>
      <w:r w:rsidR="00005E85">
        <w:rPr>
          <w:lang w:val="en-US"/>
        </w:rPr>
        <w:t xml:space="preserve">Now, the key drivers of the margin include commercial </w:t>
      </w:r>
      <w:r w:rsidR="004C1043">
        <w:rPr>
          <w:lang w:val="en-US"/>
        </w:rPr>
        <w:t>optimisation</w:t>
      </w:r>
      <w:r w:rsidR="00005E85">
        <w:rPr>
          <w:lang w:val="en-US"/>
        </w:rPr>
        <w:t xml:space="preserve"> through contract renegotiations, cost efficiency programs and strategic initiatives</w:t>
      </w:r>
      <w:r w:rsidR="001D74CB">
        <w:rPr>
          <w:lang w:val="en-US"/>
        </w:rPr>
        <w:t>.</w:t>
      </w:r>
    </w:p>
    <w:p w14:paraId="62C8DEF9" w14:textId="1B1234FC" w:rsidR="00FA64C4" w:rsidRDefault="00FA64C4" w:rsidP="00FA64C4">
      <w:pPr>
        <w:spacing w:line="360" w:lineRule="auto"/>
        <w:rPr>
          <w:b/>
          <w:bCs/>
          <w:lang w:val="en-US"/>
        </w:rPr>
      </w:pPr>
      <w:r>
        <w:rPr>
          <w:b/>
          <w:bCs/>
          <w:lang w:val="en-US"/>
        </w:rPr>
        <w:t>Net Profit Margin</w:t>
      </w:r>
    </w:p>
    <w:p w14:paraId="4F1EED98" w14:textId="39F41BCF" w:rsidR="00FA64C4" w:rsidRDefault="00FA64C4" w:rsidP="00FA64C4">
      <w:pPr>
        <w:spacing w:line="360" w:lineRule="auto"/>
        <w:rPr>
          <w:lang w:val="en-US"/>
        </w:rPr>
      </w:pPr>
      <w:r>
        <w:rPr>
          <w:lang w:val="en-US"/>
        </w:rPr>
        <w:t xml:space="preserve">The formula to calculate </w:t>
      </w:r>
      <w:r w:rsidR="00DE6879">
        <w:rPr>
          <w:lang w:val="en-US"/>
        </w:rPr>
        <w:t>net</w:t>
      </w:r>
      <w:r>
        <w:rPr>
          <w:lang w:val="en-US"/>
        </w:rPr>
        <w:t xml:space="preserve"> profit margin is = (</w:t>
      </w:r>
      <w:r w:rsidR="00DE6879">
        <w:rPr>
          <w:lang w:val="en-US"/>
        </w:rPr>
        <w:t>Net</w:t>
      </w:r>
      <w:r>
        <w:rPr>
          <w:lang w:val="en-US"/>
        </w:rPr>
        <w:t xml:space="preserve"> Profit / Revenue) * 100</w:t>
      </w:r>
    </w:p>
    <w:p w14:paraId="708DB2B6" w14:textId="60E32033" w:rsidR="00FA64C4" w:rsidRDefault="00FA64C4" w:rsidP="00FA64C4">
      <w:pPr>
        <w:spacing w:line="360" w:lineRule="auto"/>
        <w:rPr>
          <w:lang w:val="en-US"/>
        </w:rPr>
      </w:pPr>
      <w:r>
        <w:rPr>
          <w:lang w:val="en-US"/>
        </w:rPr>
        <w:t xml:space="preserve">In 2023, </w:t>
      </w:r>
      <w:r w:rsidR="00DE6879">
        <w:rPr>
          <w:lang w:val="en-US"/>
        </w:rPr>
        <w:t>N</w:t>
      </w:r>
      <w:r>
        <w:rPr>
          <w:lang w:val="en-US"/>
        </w:rPr>
        <w:t>PM is = (</w:t>
      </w:r>
      <w:r w:rsidR="00AE6EE5">
        <w:rPr>
          <w:lang w:val="en-US"/>
        </w:rPr>
        <w:t>2,404</w:t>
      </w:r>
      <w:r>
        <w:rPr>
          <w:lang w:val="en-US"/>
        </w:rPr>
        <w:t xml:space="preserve"> / 16,486) * 100 = </w:t>
      </w:r>
      <w:r w:rsidR="00AE6EE5">
        <w:rPr>
          <w:lang w:val="en-US"/>
        </w:rPr>
        <w:t>14.58</w:t>
      </w:r>
      <w:r>
        <w:rPr>
          <w:lang w:val="en-US"/>
        </w:rPr>
        <w:t>%</w:t>
      </w:r>
    </w:p>
    <w:p w14:paraId="2E2BD64C" w14:textId="11F7938D" w:rsidR="00FA64C4" w:rsidRDefault="00FA64C4" w:rsidP="006E4C9F">
      <w:pPr>
        <w:spacing w:line="360" w:lineRule="auto"/>
        <w:rPr>
          <w:lang w:val="en-US"/>
        </w:rPr>
      </w:pPr>
      <w:r>
        <w:rPr>
          <w:lang w:val="en-US"/>
        </w:rPr>
        <w:t xml:space="preserve">In 2024, </w:t>
      </w:r>
      <w:r w:rsidR="00DE6879">
        <w:rPr>
          <w:lang w:val="en-US"/>
        </w:rPr>
        <w:t>N</w:t>
      </w:r>
      <w:r>
        <w:rPr>
          <w:lang w:val="en-US"/>
        </w:rPr>
        <w:t>PM is = (</w:t>
      </w:r>
      <w:r w:rsidR="00AE6EE5">
        <w:rPr>
          <w:lang w:val="en-US"/>
        </w:rPr>
        <w:t>2,484</w:t>
      </w:r>
      <w:r>
        <w:rPr>
          <w:lang w:val="en-US"/>
        </w:rPr>
        <w:t xml:space="preserve"> / 18,909) * 100 = </w:t>
      </w:r>
      <w:r w:rsidR="00AE6EE5">
        <w:rPr>
          <w:lang w:val="en-US"/>
        </w:rPr>
        <w:t>13.14</w:t>
      </w:r>
      <w:r>
        <w:rPr>
          <w:lang w:val="en-US"/>
        </w:rPr>
        <w:t>%</w:t>
      </w:r>
    </w:p>
    <w:p w14:paraId="78D077AB" w14:textId="13F9A456" w:rsidR="00FA64C4" w:rsidRDefault="00DA1D90" w:rsidP="006E4C9F">
      <w:pPr>
        <w:spacing w:line="360" w:lineRule="auto"/>
        <w:rPr>
          <w:lang w:val="en-US"/>
        </w:rPr>
      </w:pPr>
      <w:r>
        <w:rPr>
          <w:lang w:val="en-US"/>
        </w:rPr>
        <w:t>The NPM, on the other hand, declined by 1.44%</w:t>
      </w:r>
      <w:r w:rsidR="004C1043">
        <w:rPr>
          <w:lang w:val="en-US"/>
        </w:rPr>
        <w:t>,</w:t>
      </w:r>
      <w:r>
        <w:rPr>
          <w:lang w:val="en-US"/>
        </w:rPr>
        <w:t xml:space="preserve"> which showcases </w:t>
      </w:r>
      <w:r w:rsidR="004C1043">
        <w:rPr>
          <w:lang w:val="en-US"/>
        </w:rPr>
        <w:t xml:space="preserve">a </w:t>
      </w:r>
      <w:r>
        <w:rPr>
          <w:lang w:val="en-US"/>
        </w:rPr>
        <w:t>contradicting scenario despite the improved operating performance of the company</w:t>
      </w:r>
      <w:r w:rsidR="00FE71AE">
        <w:rPr>
          <w:lang w:val="en-US"/>
        </w:rPr>
        <w:t>. The reasoning behind the decline is the company’s increased net financing costs in 2024 compared to the net financing income generated by the company in 2023</w:t>
      </w:r>
      <w:r w:rsidR="005D721A">
        <w:rPr>
          <w:lang w:val="en-US"/>
        </w:rPr>
        <w:t xml:space="preserve"> (Rolls-Royce, 2024)</w:t>
      </w:r>
      <w:r w:rsidR="00FE71AE">
        <w:rPr>
          <w:lang w:val="en-US"/>
        </w:rPr>
        <w:t xml:space="preserve">. </w:t>
      </w:r>
    </w:p>
    <w:p w14:paraId="54E9E720" w14:textId="45000257" w:rsidR="00B80166" w:rsidRDefault="00B80166" w:rsidP="00B80166">
      <w:pPr>
        <w:spacing w:line="360" w:lineRule="auto"/>
        <w:jc w:val="center"/>
      </w:pPr>
      <w:r>
        <w:rPr>
          <w:noProof/>
        </w:rPr>
        <w:lastRenderedPageBreak/>
        <w:drawing>
          <wp:inline distT="0" distB="0" distL="0" distR="0" wp14:anchorId="2C6699ED" wp14:editId="276204E0">
            <wp:extent cx="5486400" cy="3200400"/>
            <wp:effectExtent l="0" t="0" r="0" b="0"/>
            <wp:docPr id="93939533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0F71299" w14:textId="30FEE18F" w:rsidR="00B80166" w:rsidRPr="00B80166" w:rsidRDefault="00B80166" w:rsidP="00B80166">
      <w:pPr>
        <w:spacing w:line="360" w:lineRule="auto"/>
        <w:jc w:val="center"/>
      </w:pPr>
      <w:r>
        <w:rPr>
          <w:b/>
          <w:bCs/>
        </w:rPr>
        <w:t>Figure</w:t>
      </w:r>
      <w:r w:rsidR="007F39CA">
        <w:rPr>
          <w:b/>
          <w:bCs/>
        </w:rPr>
        <w:t xml:space="preserve"> 2</w:t>
      </w:r>
      <w:r>
        <w:rPr>
          <w:b/>
          <w:bCs/>
        </w:rPr>
        <w:t xml:space="preserve">: </w:t>
      </w:r>
      <w:r>
        <w:t>Profitability Ratios (Source: Own)</w:t>
      </w:r>
    </w:p>
    <w:p w14:paraId="2238901A" w14:textId="0FB9DD59" w:rsidR="006E4C9F" w:rsidRPr="006E4C9F" w:rsidRDefault="00EB0658" w:rsidP="006E4C9F">
      <w:pPr>
        <w:pStyle w:val="Heading3"/>
        <w:spacing w:line="360" w:lineRule="auto"/>
        <w:rPr>
          <w:rFonts w:ascii="Times New Roman" w:hAnsi="Times New Roman" w:cs="Times New Roman"/>
          <w:b/>
          <w:bCs/>
          <w:sz w:val="24"/>
          <w:szCs w:val="32"/>
          <w:lang w:val="en-US"/>
        </w:rPr>
      </w:pPr>
      <w:bookmarkStart w:id="6" w:name="_Toc219063776"/>
      <w:r>
        <w:rPr>
          <w:rFonts w:ascii="Times New Roman" w:hAnsi="Times New Roman" w:cs="Times New Roman"/>
          <w:b/>
          <w:bCs/>
          <w:sz w:val="24"/>
          <w:szCs w:val="32"/>
          <w:lang w:val="en-US"/>
        </w:rPr>
        <w:t>Liquidity</w:t>
      </w:r>
      <w:r w:rsidR="006E4C9F">
        <w:rPr>
          <w:rFonts w:ascii="Times New Roman" w:hAnsi="Times New Roman" w:cs="Times New Roman"/>
          <w:b/>
          <w:bCs/>
          <w:sz w:val="24"/>
          <w:szCs w:val="32"/>
          <w:lang w:val="en-US"/>
        </w:rPr>
        <w:t xml:space="preserve"> Ratios</w:t>
      </w:r>
      <w:bookmarkEnd w:id="6"/>
    </w:p>
    <w:p w14:paraId="6EFCFBF3" w14:textId="4BE9A95C" w:rsidR="006E4C9F" w:rsidRDefault="00AE6EE5" w:rsidP="006E4C9F">
      <w:pPr>
        <w:spacing w:line="360" w:lineRule="auto"/>
        <w:rPr>
          <w:lang w:val="en-US"/>
        </w:rPr>
      </w:pPr>
      <w:r>
        <w:rPr>
          <w:lang w:val="en-US"/>
        </w:rPr>
        <w:t>These are the ratios which refer to the ability of a company to meet its short-term debt obligations using its relatively short-term assets</w:t>
      </w:r>
      <w:r w:rsidR="004C1043">
        <w:rPr>
          <w:lang w:val="en-US"/>
        </w:rPr>
        <w:t>,</w:t>
      </w:r>
      <w:r>
        <w:rPr>
          <w:lang w:val="en-US"/>
        </w:rPr>
        <w:t xml:space="preserve"> such as cash, accounts </w:t>
      </w:r>
      <w:r w:rsidR="004C1043">
        <w:rPr>
          <w:lang w:val="en-US"/>
        </w:rPr>
        <w:t>receivable</w:t>
      </w:r>
      <w:r>
        <w:rPr>
          <w:lang w:val="en-US"/>
        </w:rPr>
        <w:t>, inventory</w:t>
      </w:r>
      <w:r w:rsidR="004C1043">
        <w:rPr>
          <w:lang w:val="en-US"/>
        </w:rPr>
        <w:t>,</w:t>
      </w:r>
      <w:r>
        <w:rPr>
          <w:lang w:val="en-US"/>
        </w:rPr>
        <w:t xml:space="preserve"> etc.</w:t>
      </w:r>
      <w:r w:rsidR="009671D0">
        <w:rPr>
          <w:lang w:val="en-US"/>
        </w:rPr>
        <w:t xml:space="preserve"> </w:t>
      </w:r>
      <w:r w:rsidR="00C35C3B">
        <w:rPr>
          <w:lang w:val="en-US"/>
        </w:rPr>
        <w:t>(</w:t>
      </w:r>
      <w:r w:rsidR="00C35C3B" w:rsidRPr="00C35C3B">
        <w:t>Rashid</w:t>
      </w:r>
      <w:r w:rsidR="00C35C3B">
        <w:t xml:space="preserve">, 2018). </w:t>
      </w:r>
      <w:r w:rsidR="009671D0">
        <w:rPr>
          <w:lang w:val="en-US"/>
        </w:rPr>
        <w:t xml:space="preserve">Liquidity ratios are important to check the financial condition of companies to pay </w:t>
      </w:r>
      <w:r w:rsidR="004C1043">
        <w:rPr>
          <w:lang w:val="en-US"/>
        </w:rPr>
        <w:t>their</w:t>
      </w:r>
      <w:r w:rsidR="009671D0">
        <w:rPr>
          <w:lang w:val="en-US"/>
        </w:rPr>
        <w:t xml:space="preserve"> debts. </w:t>
      </w:r>
      <w:r w:rsidR="00362837">
        <w:rPr>
          <w:lang w:val="en-US"/>
        </w:rPr>
        <w:t>The necessary liquidity ratios for Rolls-Royce Holdings PLC are calculated below.</w:t>
      </w:r>
    </w:p>
    <w:p w14:paraId="53B8D248" w14:textId="27F38A05" w:rsidR="00EA6BEF" w:rsidRDefault="00EA6BEF" w:rsidP="006E4C9F">
      <w:pPr>
        <w:spacing w:line="360" w:lineRule="auto"/>
        <w:rPr>
          <w:b/>
          <w:bCs/>
          <w:lang w:val="en-US"/>
        </w:rPr>
      </w:pPr>
      <w:r>
        <w:rPr>
          <w:b/>
          <w:bCs/>
          <w:lang w:val="en-US"/>
        </w:rPr>
        <w:t>Current Ratio</w:t>
      </w:r>
    </w:p>
    <w:p w14:paraId="1DA1D61E" w14:textId="527DDBCF" w:rsidR="00EA6BEF" w:rsidRDefault="00EA6BEF" w:rsidP="00EA6BEF">
      <w:pPr>
        <w:spacing w:line="360" w:lineRule="auto"/>
        <w:rPr>
          <w:lang w:val="en-US"/>
        </w:rPr>
      </w:pPr>
      <w:r>
        <w:rPr>
          <w:lang w:val="en-US"/>
        </w:rPr>
        <w:t xml:space="preserve">The formula to calculate </w:t>
      </w:r>
      <w:r w:rsidR="004C1043">
        <w:rPr>
          <w:lang w:val="en-US"/>
        </w:rPr>
        <w:t xml:space="preserve">the </w:t>
      </w:r>
      <w:r>
        <w:rPr>
          <w:lang w:val="en-US"/>
        </w:rPr>
        <w:t>current ratio is = (Current Assets/ Current Debts)</w:t>
      </w:r>
    </w:p>
    <w:p w14:paraId="64A001AE" w14:textId="108A5F6B" w:rsidR="00EA6BEF" w:rsidRDefault="00EA6BEF" w:rsidP="00EA6BEF">
      <w:pPr>
        <w:spacing w:line="360" w:lineRule="auto"/>
        <w:rPr>
          <w:lang w:val="en-US"/>
        </w:rPr>
      </w:pPr>
      <w:r>
        <w:rPr>
          <w:lang w:val="en-US"/>
        </w:rPr>
        <w:t>In 2023, CR is = (18,111 / 14,926) = 1.21:1</w:t>
      </w:r>
    </w:p>
    <w:p w14:paraId="129E67F6" w14:textId="416A555E" w:rsidR="00EA6BEF" w:rsidRDefault="00EA6BEF" w:rsidP="00EA6BEF">
      <w:pPr>
        <w:spacing w:line="360" w:lineRule="auto"/>
        <w:rPr>
          <w:lang w:val="en-US"/>
        </w:rPr>
      </w:pPr>
      <w:r>
        <w:rPr>
          <w:lang w:val="en-US"/>
        </w:rPr>
        <w:t>In 2024, CR is = (21,473 / 16,763) = 1.28:1</w:t>
      </w:r>
    </w:p>
    <w:p w14:paraId="41618E85" w14:textId="32A07794" w:rsidR="00EA6BEF" w:rsidRPr="00A1147F" w:rsidRDefault="00A1147F" w:rsidP="00EA6BEF">
      <w:pPr>
        <w:spacing w:line="360" w:lineRule="auto"/>
        <w:rPr>
          <w:lang w:val="en-US"/>
        </w:rPr>
      </w:pPr>
      <w:r>
        <w:rPr>
          <w:lang w:val="en-US"/>
        </w:rPr>
        <w:t xml:space="preserve">The CR improved from 1.21:1 in 2023 to 1.28:1 in 2024, showcasing </w:t>
      </w:r>
      <w:r w:rsidR="004C1043">
        <w:rPr>
          <w:lang w:val="en-US"/>
        </w:rPr>
        <w:t xml:space="preserve">the </w:t>
      </w:r>
      <w:r>
        <w:rPr>
          <w:lang w:val="en-US"/>
        </w:rPr>
        <w:t>strengthening liquidity positioning of the company</w:t>
      </w:r>
      <w:r w:rsidR="005D721A">
        <w:rPr>
          <w:lang w:val="en-US"/>
        </w:rPr>
        <w:t xml:space="preserve"> (Rolls-Royce, 2024)</w:t>
      </w:r>
      <w:r>
        <w:rPr>
          <w:lang w:val="en-US"/>
        </w:rPr>
        <w:t xml:space="preserve">. </w:t>
      </w:r>
      <w:r w:rsidR="002209B1">
        <w:rPr>
          <w:lang w:val="en-US"/>
        </w:rPr>
        <w:t xml:space="preserve">Although the general guideline is to maintain a CR of 2:1, as the company is still </w:t>
      </w:r>
      <w:r w:rsidR="004C1043">
        <w:rPr>
          <w:lang w:val="en-US"/>
        </w:rPr>
        <w:t>transforming</w:t>
      </w:r>
      <w:r w:rsidR="002209B1">
        <w:rPr>
          <w:lang w:val="en-US"/>
        </w:rPr>
        <w:t xml:space="preserve">, </w:t>
      </w:r>
      <w:r w:rsidR="001E48F3">
        <w:rPr>
          <w:lang w:val="en-US"/>
        </w:rPr>
        <w:t xml:space="preserve">the </w:t>
      </w:r>
      <w:r w:rsidR="004C1043">
        <w:rPr>
          <w:lang w:val="en-US"/>
        </w:rPr>
        <w:t>improved</w:t>
      </w:r>
      <w:r w:rsidR="001E48F3">
        <w:rPr>
          <w:lang w:val="en-US"/>
        </w:rPr>
        <w:t xml:space="preserve"> scenario showcases </w:t>
      </w:r>
      <w:r w:rsidR="004C1043">
        <w:rPr>
          <w:lang w:val="en-US"/>
        </w:rPr>
        <w:t xml:space="preserve">the </w:t>
      </w:r>
      <w:r w:rsidR="001E48F3">
        <w:rPr>
          <w:lang w:val="en-US"/>
        </w:rPr>
        <w:t>effectiveness</w:t>
      </w:r>
      <w:r w:rsidR="00386999">
        <w:rPr>
          <w:lang w:val="en-US"/>
        </w:rPr>
        <w:t xml:space="preserve"> of the company’s strategic decisions.</w:t>
      </w:r>
    </w:p>
    <w:p w14:paraId="34ACE6B7" w14:textId="5BF47ACB" w:rsidR="0080129C" w:rsidRDefault="0080129C" w:rsidP="00EA6BEF">
      <w:pPr>
        <w:spacing w:line="360" w:lineRule="auto"/>
        <w:rPr>
          <w:b/>
          <w:bCs/>
          <w:lang w:val="en-US"/>
        </w:rPr>
      </w:pPr>
      <w:r>
        <w:rPr>
          <w:b/>
          <w:bCs/>
          <w:lang w:val="en-US"/>
        </w:rPr>
        <w:t>Quick Ratio</w:t>
      </w:r>
    </w:p>
    <w:p w14:paraId="3C01DD00" w14:textId="51183AE3" w:rsidR="00EA6BEF" w:rsidRDefault="00EA6BEF" w:rsidP="00EA6BEF">
      <w:pPr>
        <w:spacing w:line="360" w:lineRule="auto"/>
        <w:rPr>
          <w:lang w:val="en-US"/>
        </w:rPr>
      </w:pPr>
      <w:r>
        <w:rPr>
          <w:lang w:val="en-US"/>
        </w:rPr>
        <w:t xml:space="preserve">The formula to calculate </w:t>
      </w:r>
      <w:r w:rsidR="004C1043">
        <w:rPr>
          <w:lang w:val="en-US"/>
        </w:rPr>
        <w:t xml:space="preserve">the </w:t>
      </w:r>
      <w:r>
        <w:rPr>
          <w:lang w:val="en-US"/>
        </w:rPr>
        <w:t>quick ratio is = (Quick Assets/ Current Debts)</w:t>
      </w:r>
    </w:p>
    <w:p w14:paraId="2E8827EF" w14:textId="36FC6CB4" w:rsidR="00EA6BEF" w:rsidRDefault="00EA6BEF" w:rsidP="00EA6BEF">
      <w:pPr>
        <w:spacing w:line="360" w:lineRule="auto"/>
        <w:rPr>
          <w:lang w:val="en-US"/>
        </w:rPr>
      </w:pPr>
      <w:r>
        <w:rPr>
          <w:lang w:val="en-US"/>
        </w:rPr>
        <w:t xml:space="preserve">In 2023, QR is = </w:t>
      </w:r>
      <w:r w:rsidR="00E31C89">
        <w:rPr>
          <w:lang w:val="en-US"/>
        </w:rPr>
        <w:t>[</w:t>
      </w:r>
      <w:r>
        <w:rPr>
          <w:lang w:val="en-US"/>
        </w:rPr>
        <w:t>(</w:t>
      </w:r>
      <w:r w:rsidR="00E31C89">
        <w:rPr>
          <w:lang w:val="en-US"/>
        </w:rPr>
        <w:t>18,111 – 4,848)</w:t>
      </w:r>
      <w:r>
        <w:rPr>
          <w:lang w:val="en-US"/>
        </w:rPr>
        <w:t xml:space="preserve"> / 16,486</w:t>
      </w:r>
      <w:r w:rsidR="00E31C89">
        <w:rPr>
          <w:lang w:val="en-US"/>
        </w:rPr>
        <w:t>]</w:t>
      </w:r>
      <w:r>
        <w:rPr>
          <w:lang w:val="en-US"/>
        </w:rPr>
        <w:t xml:space="preserve"> = </w:t>
      </w:r>
      <w:r w:rsidR="00190F09">
        <w:rPr>
          <w:lang w:val="en-US"/>
        </w:rPr>
        <w:t>0.89:1</w:t>
      </w:r>
    </w:p>
    <w:p w14:paraId="3870DAFC" w14:textId="5F3EBE89" w:rsidR="00EA6BEF" w:rsidRDefault="00EA6BEF" w:rsidP="00EA6BEF">
      <w:pPr>
        <w:spacing w:line="360" w:lineRule="auto"/>
        <w:rPr>
          <w:lang w:val="en-US"/>
        </w:rPr>
      </w:pPr>
      <w:r>
        <w:rPr>
          <w:lang w:val="en-US"/>
        </w:rPr>
        <w:t xml:space="preserve">In 2024, QR is = </w:t>
      </w:r>
      <w:r w:rsidR="00190F09">
        <w:rPr>
          <w:lang w:val="en-US"/>
        </w:rPr>
        <w:t>[</w:t>
      </w:r>
      <w:r>
        <w:rPr>
          <w:lang w:val="en-US"/>
        </w:rPr>
        <w:t>(</w:t>
      </w:r>
      <w:r w:rsidR="00190F09">
        <w:rPr>
          <w:lang w:val="en-US"/>
        </w:rPr>
        <w:t>21,473 – 5,092)</w:t>
      </w:r>
      <w:r>
        <w:rPr>
          <w:lang w:val="en-US"/>
        </w:rPr>
        <w:t xml:space="preserve"> / 18,909</w:t>
      </w:r>
      <w:r w:rsidR="00190F09">
        <w:rPr>
          <w:lang w:val="en-US"/>
        </w:rPr>
        <w:t xml:space="preserve">] </w:t>
      </w:r>
      <w:r>
        <w:rPr>
          <w:lang w:val="en-US"/>
        </w:rPr>
        <w:t xml:space="preserve">= </w:t>
      </w:r>
      <w:r w:rsidR="00190F09">
        <w:rPr>
          <w:lang w:val="en-US"/>
        </w:rPr>
        <w:t>0.98:1</w:t>
      </w:r>
    </w:p>
    <w:p w14:paraId="20E5BFA4" w14:textId="40F08723" w:rsidR="00EA6BEF" w:rsidRDefault="00B41F2F" w:rsidP="00EA6BEF">
      <w:pPr>
        <w:spacing w:line="360" w:lineRule="auto"/>
        <w:rPr>
          <w:lang w:val="en-US"/>
        </w:rPr>
      </w:pPr>
      <w:r>
        <w:rPr>
          <w:lang w:val="en-US"/>
        </w:rPr>
        <w:lastRenderedPageBreak/>
        <w:t>The QR has dramatically increased from 0.89:1 in 2023 to 0.98:1 in 2024, indicating more than 10% improvement</w:t>
      </w:r>
      <w:r w:rsidR="005D721A">
        <w:rPr>
          <w:lang w:val="en-US"/>
        </w:rPr>
        <w:t xml:space="preserve"> (Rolls-Royce, 2024)</w:t>
      </w:r>
      <w:r>
        <w:rPr>
          <w:lang w:val="en-US"/>
        </w:rPr>
        <w:t xml:space="preserve">. </w:t>
      </w:r>
      <w:r w:rsidR="003C7FFC">
        <w:rPr>
          <w:lang w:val="en-US"/>
        </w:rPr>
        <w:t xml:space="preserve">Although the general guideline is to maintain a 1:1 QR, </w:t>
      </w:r>
      <w:r w:rsidR="00342878">
        <w:rPr>
          <w:lang w:val="en-US"/>
        </w:rPr>
        <w:t xml:space="preserve">the company’s business model </w:t>
      </w:r>
      <w:r w:rsidR="004C1043">
        <w:rPr>
          <w:lang w:val="en-US"/>
        </w:rPr>
        <w:t>restrains</w:t>
      </w:r>
      <w:r w:rsidR="00342878">
        <w:rPr>
          <w:lang w:val="en-US"/>
        </w:rPr>
        <w:t xml:space="preserve"> the company </w:t>
      </w:r>
      <w:r w:rsidR="004C1043">
        <w:rPr>
          <w:lang w:val="en-US"/>
        </w:rPr>
        <w:t>from maintaining</w:t>
      </w:r>
      <w:r w:rsidR="00342878">
        <w:rPr>
          <w:lang w:val="en-US"/>
        </w:rPr>
        <w:t xml:space="preserve"> a QR over 1. </w:t>
      </w:r>
      <w:r w:rsidR="00800363">
        <w:rPr>
          <w:lang w:val="en-US"/>
        </w:rPr>
        <w:t>As a result, it is not a concer</w:t>
      </w:r>
      <w:r w:rsidR="0001739D">
        <w:rPr>
          <w:lang w:val="en-US"/>
        </w:rPr>
        <w:t>n.</w:t>
      </w:r>
    </w:p>
    <w:p w14:paraId="383A1927" w14:textId="648DB4FB" w:rsidR="00DB3D03" w:rsidRDefault="00DB3D03" w:rsidP="00DB3D03">
      <w:pPr>
        <w:spacing w:line="360" w:lineRule="auto"/>
        <w:jc w:val="center"/>
        <w:rPr>
          <w:lang w:val="en-US"/>
        </w:rPr>
      </w:pPr>
      <w:r>
        <w:rPr>
          <w:noProof/>
          <w:lang w:val="en-US"/>
        </w:rPr>
        <w:drawing>
          <wp:inline distT="0" distB="0" distL="0" distR="0" wp14:anchorId="2B64E24B" wp14:editId="05AA3336">
            <wp:extent cx="5486400" cy="3200400"/>
            <wp:effectExtent l="0" t="0" r="0" b="0"/>
            <wp:docPr id="143113920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FFCD22E" w14:textId="6A5DD4F4" w:rsidR="00DB3D03" w:rsidRPr="00DB3D03" w:rsidRDefault="00DB3D03" w:rsidP="00DB3D03">
      <w:pPr>
        <w:spacing w:line="360" w:lineRule="auto"/>
        <w:jc w:val="center"/>
        <w:rPr>
          <w:lang w:val="en-US"/>
        </w:rPr>
      </w:pPr>
      <w:r>
        <w:rPr>
          <w:b/>
          <w:bCs/>
          <w:lang w:val="en-US"/>
        </w:rPr>
        <w:t xml:space="preserve">Figure 3: </w:t>
      </w:r>
      <w:r>
        <w:rPr>
          <w:lang w:val="en-US"/>
        </w:rPr>
        <w:t>Liquidity Ratios (Source: Own)</w:t>
      </w:r>
    </w:p>
    <w:p w14:paraId="7D525263" w14:textId="29D1EC30" w:rsidR="006E4C9F" w:rsidRPr="006E4C9F" w:rsidRDefault="00EB0658" w:rsidP="006E4C9F">
      <w:pPr>
        <w:pStyle w:val="Heading3"/>
        <w:spacing w:line="360" w:lineRule="auto"/>
        <w:rPr>
          <w:rFonts w:ascii="Times New Roman" w:hAnsi="Times New Roman" w:cs="Times New Roman"/>
          <w:b/>
          <w:bCs/>
          <w:sz w:val="24"/>
          <w:szCs w:val="32"/>
          <w:lang w:val="en-US"/>
        </w:rPr>
      </w:pPr>
      <w:bookmarkStart w:id="7" w:name="_Toc219063777"/>
      <w:r>
        <w:rPr>
          <w:rFonts w:ascii="Times New Roman" w:hAnsi="Times New Roman" w:cs="Times New Roman"/>
          <w:b/>
          <w:bCs/>
          <w:sz w:val="24"/>
          <w:szCs w:val="32"/>
          <w:lang w:val="en-US"/>
        </w:rPr>
        <w:t>Gearing</w:t>
      </w:r>
      <w:r w:rsidR="006E4C9F">
        <w:rPr>
          <w:rFonts w:ascii="Times New Roman" w:hAnsi="Times New Roman" w:cs="Times New Roman"/>
          <w:b/>
          <w:bCs/>
          <w:sz w:val="24"/>
          <w:szCs w:val="32"/>
          <w:lang w:val="en-US"/>
        </w:rPr>
        <w:t xml:space="preserve"> Ratios</w:t>
      </w:r>
      <w:bookmarkEnd w:id="7"/>
    </w:p>
    <w:p w14:paraId="5A2F8CFC" w14:textId="5AE38B6B" w:rsidR="006E4C9F" w:rsidRDefault="00190F09" w:rsidP="006E4C9F">
      <w:pPr>
        <w:spacing w:line="360" w:lineRule="auto"/>
        <w:rPr>
          <w:lang w:val="en-US"/>
        </w:rPr>
      </w:pPr>
      <w:r>
        <w:rPr>
          <w:lang w:val="en-US"/>
        </w:rPr>
        <w:t xml:space="preserve">These are the ratios </w:t>
      </w:r>
      <w:r w:rsidR="004C1043">
        <w:rPr>
          <w:lang w:val="en-US"/>
        </w:rPr>
        <w:t xml:space="preserve">that </w:t>
      </w:r>
      <w:r>
        <w:rPr>
          <w:lang w:val="en-US"/>
        </w:rPr>
        <w:t>help to better understand the capital structure of a company</w:t>
      </w:r>
      <w:r w:rsidR="004C1043">
        <w:rPr>
          <w:lang w:val="en-US"/>
        </w:rPr>
        <w:t>,</w:t>
      </w:r>
      <w:r>
        <w:rPr>
          <w:lang w:val="en-US"/>
        </w:rPr>
        <w:t xml:space="preserve"> including how much debt a company uses versus equity</w:t>
      </w:r>
      <w:r w:rsidR="004C1043">
        <w:rPr>
          <w:lang w:val="en-US"/>
        </w:rPr>
        <w:t>,</w:t>
      </w:r>
      <w:r>
        <w:rPr>
          <w:lang w:val="en-US"/>
        </w:rPr>
        <w:t xml:space="preserve"> to properly </w:t>
      </w:r>
      <w:r w:rsidR="004C1043">
        <w:rPr>
          <w:lang w:val="en-US"/>
        </w:rPr>
        <w:t>assess</w:t>
      </w:r>
      <w:r>
        <w:rPr>
          <w:lang w:val="en-US"/>
        </w:rPr>
        <w:t xml:space="preserve"> the risk assumed and the efficiency of the capital structure maintained</w:t>
      </w:r>
      <w:r w:rsidR="00C35C3B">
        <w:rPr>
          <w:lang w:val="en-US"/>
        </w:rPr>
        <w:t xml:space="preserve"> (</w:t>
      </w:r>
      <w:r w:rsidR="00C35C3B" w:rsidRPr="00C35C3B">
        <w:t>Harrison</w:t>
      </w:r>
      <w:r w:rsidR="00C35C3B">
        <w:t xml:space="preserve"> and Morton, 2007)</w:t>
      </w:r>
      <w:r>
        <w:rPr>
          <w:lang w:val="en-US"/>
        </w:rPr>
        <w:t>. The major gearing ratios are elaborated below.</w:t>
      </w:r>
    </w:p>
    <w:p w14:paraId="1818DC5B" w14:textId="2CA27179" w:rsidR="00585D29" w:rsidRDefault="00585D29" w:rsidP="00585D29">
      <w:pPr>
        <w:spacing w:line="360" w:lineRule="auto"/>
        <w:rPr>
          <w:b/>
          <w:bCs/>
          <w:lang w:val="en-US"/>
        </w:rPr>
      </w:pPr>
      <w:r>
        <w:rPr>
          <w:b/>
          <w:bCs/>
          <w:lang w:val="en-US"/>
        </w:rPr>
        <w:t>Debt-to-Equity Ratio</w:t>
      </w:r>
    </w:p>
    <w:p w14:paraId="0CCA4FCD" w14:textId="4B38ACE4" w:rsidR="00585D29" w:rsidRDefault="00585D29" w:rsidP="00585D29">
      <w:pPr>
        <w:spacing w:line="360" w:lineRule="auto"/>
        <w:rPr>
          <w:lang w:val="en-US"/>
        </w:rPr>
      </w:pPr>
      <w:r>
        <w:rPr>
          <w:lang w:val="en-US"/>
        </w:rPr>
        <w:t xml:space="preserve">The formula to calculate </w:t>
      </w:r>
      <w:r w:rsidR="008F45EF">
        <w:rPr>
          <w:lang w:val="en-US"/>
        </w:rPr>
        <w:t>debt-to-equity ratio</w:t>
      </w:r>
      <w:r>
        <w:rPr>
          <w:lang w:val="en-US"/>
        </w:rPr>
        <w:t xml:space="preserve"> is = (</w:t>
      </w:r>
      <w:r w:rsidR="00DC373A">
        <w:rPr>
          <w:lang w:val="en-US"/>
        </w:rPr>
        <w:t xml:space="preserve">Total Debt </w:t>
      </w:r>
      <w:r>
        <w:rPr>
          <w:lang w:val="en-US"/>
        </w:rPr>
        <w:t xml:space="preserve">/ </w:t>
      </w:r>
      <w:r w:rsidR="00DC373A">
        <w:rPr>
          <w:lang w:val="en-US"/>
        </w:rPr>
        <w:t>Total Equity</w:t>
      </w:r>
      <w:r>
        <w:rPr>
          <w:lang w:val="en-US"/>
        </w:rPr>
        <w:t>)</w:t>
      </w:r>
    </w:p>
    <w:p w14:paraId="4864280D" w14:textId="1ADE3CBF" w:rsidR="00585D29" w:rsidRDefault="00585D29" w:rsidP="00585D29">
      <w:pPr>
        <w:spacing w:line="360" w:lineRule="auto"/>
        <w:rPr>
          <w:lang w:val="en-US"/>
        </w:rPr>
      </w:pPr>
      <w:r>
        <w:rPr>
          <w:lang w:val="en-US"/>
        </w:rPr>
        <w:t xml:space="preserve">In 2023, </w:t>
      </w:r>
      <w:r w:rsidR="003B3EA4">
        <w:rPr>
          <w:lang w:val="en-US"/>
        </w:rPr>
        <w:t>Debt-to-Equity Ratio</w:t>
      </w:r>
      <w:r>
        <w:rPr>
          <w:lang w:val="en-US"/>
        </w:rPr>
        <w:t xml:space="preserve"> is = </w:t>
      </w:r>
      <w:r w:rsidR="009C16E0">
        <w:rPr>
          <w:lang w:val="en-US"/>
        </w:rPr>
        <w:t>(5,759</w:t>
      </w:r>
      <w:r>
        <w:rPr>
          <w:lang w:val="en-US"/>
        </w:rPr>
        <w:t xml:space="preserve"> / </w:t>
      </w:r>
      <w:r w:rsidR="009C16E0">
        <w:rPr>
          <w:lang w:val="en-US"/>
        </w:rPr>
        <w:t xml:space="preserve">-3,629) </w:t>
      </w:r>
      <w:r>
        <w:rPr>
          <w:lang w:val="en-US"/>
        </w:rPr>
        <w:t xml:space="preserve">= </w:t>
      </w:r>
      <w:r w:rsidR="009C16E0">
        <w:rPr>
          <w:lang w:val="en-US"/>
        </w:rPr>
        <w:t>-1.59</w:t>
      </w:r>
    </w:p>
    <w:p w14:paraId="4094A7ED" w14:textId="3C9083CD" w:rsidR="0080129C" w:rsidRDefault="00585D29" w:rsidP="00585D29">
      <w:pPr>
        <w:spacing w:line="360" w:lineRule="auto"/>
        <w:rPr>
          <w:lang w:val="en-US"/>
        </w:rPr>
      </w:pPr>
      <w:r>
        <w:rPr>
          <w:lang w:val="en-US"/>
        </w:rPr>
        <w:t xml:space="preserve">In 2024, </w:t>
      </w:r>
      <w:r w:rsidR="003B3EA4">
        <w:rPr>
          <w:lang w:val="en-US"/>
        </w:rPr>
        <w:t xml:space="preserve">Debt-to-Equity Ratio </w:t>
      </w:r>
      <w:r>
        <w:rPr>
          <w:lang w:val="en-US"/>
        </w:rPr>
        <w:t>is = (</w:t>
      </w:r>
      <w:r w:rsidR="009C16E0">
        <w:rPr>
          <w:lang w:val="en-US"/>
        </w:rPr>
        <w:t xml:space="preserve">5,132 </w:t>
      </w:r>
      <w:r>
        <w:rPr>
          <w:lang w:val="en-US"/>
        </w:rPr>
        <w:t xml:space="preserve">/ </w:t>
      </w:r>
      <w:r w:rsidR="009C16E0">
        <w:rPr>
          <w:lang w:val="en-US"/>
        </w:rPr>
        <w:t>-881)</w:t>
      </w:r>
      <w:r>
        <w:rPr>
          <w:lang w:val="en-US"/>
        </w:rPr>
        <w:t xml:space="preserve"> = </w:t>
      </w:r>
      <w:r w:rsidR="009C16E0">
        <w:rPr>
          <w:lang w:val="en-US"/>
        </w:rPr>
        <w:t>-5.82</w:t>
      </w:r>
    </w:p>
    <w:p w14:paraId="4FF1250B" w14:textId="25E3A4E3" w:rsidR="00585D29" w:rsidRDefault="00491639" w:rsidP="00585D29">
      <w:pPr>
        <w:spacing w:line="360" w:lineRule="auto"/>
        <w:rPr>
          <w:lang w:val="en-US"/>
        </w:rPr>
      </w:pPr>
      <w:r>
        <w:rPr>
          <w:lang w:val="en-US"/>
        </w:rPr>
        <w:t>A negative debt-to-equity ratio makes it challenging to interpret the results</w:t>
      </w:r>
      <w:r w:rsidR="004C1043">
        <w:rPr>
          <w:lang w:val="en-US"/>
        </w:rPr>
        <w:t>;</w:t>
      </w:r>
      <w:r>
        <w:rPr>
          <w:lang w:val="en-US"/>
        </w:rPr>
        <w:t xml:space="preserve"> however, the </w:t>
      </w:r>
      <w:r w:rsidR="004C1043">
        <w:rPr>
          <w:lang w:val="en-US"/>
        </w:rPr>
        <w:t>improvements</w:t>
      </w:r>
      <w:r>
        <w:rPr>
          <w:lang w:val="en-US"/>
        </w:rPr>
        <w:t xml:space="preserve"> reflected in the increasing equity and declining debt showcases strategic positioning of the company</w:t>
      </w:r>
      <w:r w:rsidR="005D721A">
        <w:rPr>
          <w:lang w:val="en-US"/>
        </w:rPr>
        <w:t xml:space="preserve"> (Rolls-Royce, 2024)</w:t>
      </w:r>
      <w:r>
        <w:rPr>
          <w:lang w:val="en-US"/>
        </w:rPr>
        <w:t>.</w:t>
      </w:r>
    </w:p>
    <w:p w14:paraId="3B0CF0ED" w14:textId="6624C2BC" w:rsidR="00585D29" w:rsidRDefault="00585D29" w:rsidP="00585D29">
      <w:pPr>
        <w:spacing w:line="360" w:lineRule="auto"/>
        <w:rPr>
          <w:b/>
          <w:bCs/>
          <w:lang w:val="en-US"/>
        </w:rPr>
      </w:pPr>
      <w:r>
        <w:rPr>
          <w:b/>
          <w:bCs/>
          <w:lang w:val="en-US"/>
        </w:rPr>
        <w:t>Debt-to-Asset Ratio</w:t>
      </w:r>
    </w:p>
    <w:p w14:paraId="7A839739" w14:textId="5EA9D307" w:rsidR="00585D29" w:rsidRDefault="00585D29" w:rsidP="00585D29">
      <w:pPr>
        <w:spacing w:line="360" w:lineRule="auto"/>
        <w:rPr>
          <w:lang w:val="en-US"/>
        </w:rPr>
      </w:pPr>
      <w:r>
        <w:rPr>
          <w:lang w:val="en-US"/>
        </w:rPr>
        <w:t xml:space="preserve">The formula to calculate </w:t>
      </w:r>
      <w:r w:rsidR="008F45EF">
        <w:rPr>
          <w:lang w:val="en-US"/>
        </w:rPr>
        <w:t>debt-to-asset ratio</w:t>
      </w:r>
      <w:r>
        <w:rPr>
          <w:lang w:val="en-US"/>
        </w:rPr>
        <w:t xml:space="preserve"> is = (</w:t>
      </w:r>
      <w:r w:rsidR="00924EAB">
        <w:rPr>
          <w:lang w:val="en-US"/>
        </w:rPr>
        <w:t xml:space="preserve">Total Debt </w:t>
      </w:r>
      <w:r>
        <w:rPr>
          <w:lang w:val="en-US"/>
        </w:rPr>
        <w:t xml:space="preserve">/ </w:t>
      </w:r>
      <w:r w:rsidR="00924EAB">
        <w:rPr>
          <w:lang w:val="en-US"/>
        </w:rPr>
        <w:t>Total Assets</w:t>
      </w:r>
      <w:r>
        <w:rPr>
          <w:lang w:val="en-US"/>
        </w:rPr>
        <w:t>)</w:t>
      </w:r>
    </w:p>
    <w:p w14:paraId="7FCF863A" w14:textId="0B964FB3" w:rsidR="009C16E0" w:rsidRDefault="00585D29" w:rsidP="009C16E0">
      <w:pPr>
        <w:spacing w:line="360" w:lineRule="auto"/>
        <w:rPr>
          <w:lang w:val="en-US"/>
        </w:rPr>
      </w:pPr>
      <w:r>
        <w:rPr>
          <w:lang w:val="en-US"/>
        </w:rPr>
        <w:lastRenderedPageBreak/>
        <w:t xml:space="preserve">In 2023, </w:t>
      </w:r>
      <w:r w:rsidR="003B3EA4">
        <w:rPr>
          <w:lang w:val="en-US"/>
        </w:rPr>
        <w:t>Debt-to-Asset Ratio</w:t>
      </w:r>
      <w:r>
        <w:rPr>
          <w:lang w:val="en-US"/>
        </w:rPr>
        <w:t xml:space="preserve"> is = </w:t>
      </w:r>
      <w:r w:rsidR="009C16E0">
        <w:rPr>
          <w:lang w:val="en-US"/>
        </w:rPr>
        <w:t>(5,759 / 31,512) * 100 = 18.28%</w:t>
      </w:r>
    </w:p>
    <w:p w14:paraId="575D4F3D" w14:textId="05CA9E1B" w:rsidR="009C16E0" w:rsidRDefault="009C16E0" w:rsidP="009C16E0">
      <w:pPr>
        <w:spacing w:line="360" w:lineRule="auto"/>
        <w:rPr>
          <w:lang w:val="en-US"/>
        </w:rPr>
      </w:pPr>
      <w:r>
        <w:rPr>
          <w:lang w:val="en-US"/>
        </w:rPr>
        <w:t>In 2024, Debt-to-Asset Ratio is = (5,132 / 35,686) * 100 = 14.38%</w:t>
      </w:r>
    </w:p>
    <w:p w14:paraId="2622579A" w14:textId="4A07A8F8" w:rsidR="00585D29" w:rsidRDefault="00F7165F" w:rsidP="009C16E0">
      <w:pPr>
        <w:spacing w:line="360" w:lineRule="auto"/>
        <w:rPr>
          <w:lang w:val="en-US"/>
        </w:rPr>
      </w:pPr>
      <w:r>
        <w:rPr>
          <w:lang w:val="en-US"/>
        </w:rPr>
        <w:t>This ratio has declined by 3.90% from 2023 to 2024</w:t>
      </w:r>
      <w:r w:rsidR="00ED0611">
        <w:rPr>
          <w:lang w:val="en-US"/>
        </w:rPr>
        <w:t>, showcasing enhancing asset base and declining debt, further improving the financial risks assumed by the company</w:t>
      </w:r>
      <w:r w:rsidR="005D721A">
        <w:rPr>
          <w:lang w:val="en-US"/>
        </w:rPr>
        <w:t xml:space="preserve"> (Rolls-Royce, 2024)</w:t>
      </w:r>
      <w:r w:rsidR="00ED0611">
        <w:rPr>
          <w:lang w:val="en-US"/>
        </w:rPr>
        <w:t xml:space="preserve">. </w:t>
      </w:r>
      <w:r w:rsidR="006F0F64">
        <w:rPr>
          <w:lang w:val="en-US"/>
        </w:rPr>
        <w:t xml:space="preserve">Because the aerospace manufacturing industry is very capital-intensive, the company’s increasing </w:t>
      </w:r>
      <w:r w:rsidR="00537B32">
        <w:rPr>
          <w:lang w:val="en-US"/>
        </w:rPr>
        <w:t xml:space="preserve">asset base compared to declining debt showcases </w:t>
      </w:r>
      <w:r w:rsidR="004C1043">
        <w:rPr>
          <w:lang w:val="en-US"/>
        </w:rPr>
        <w:t xml:space="preserve">the </w:t>
      </w:r>
      <w:r w:rsidR="00537B32">
        <w:rPr>
          <w:lang w:val="en-US"/>
        </w:rPr>
        <w:t>resilience of the company</w:t>
      </w:r>
      <w:r w:rsidR="003E621C">
        <w:rPr>
          <w:lang w:val="en-US"/>
        </w:rPr>
        <w:t>.</w:t>
      </w:r>
    </w:p>
    <w:p w14:paraId="2FB5ACA2" w14:textId="364DA31B" w:rsidR="00DB3D03" w:rsidRDefault="00DB3D03" w:rsidP="00DB3D03">
      <w:pPr>
        <w:spacing w:line="360" w:lineRule="auto"/>
        <w:jc w:val="center"/>
        <w:rPr>
          <w:lang w:val="en-US"/>
        </w:rPr>
      </w:pPr>
      <w:r>
        <w:rPr>
          <w:noProof/>
          <w:lang w:val="en-US"/>
        </w:rPr>
        <w:drawing>
          <wp:inline distT="0" distB="0" distL="0" distR="0" wp14:anchorId="5B7701E6" wp14:editId="12F137B6">
            <wp:extent cx="5486400" cy="3200400"/>
            <wp:effectExtent l="0" t="0" r="0" b="0"/>
            <wp:docPr id="2054878309"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2DF37A2" w14:textId="42AB4F17" w:rsidR="00DB3D03" w:rsidRPr="00DB3D03" w:rsidRDefault="00DB3D03" w:rsidP="00DB3D03">
      <w:pPr>
        <w:spacing w:line="360" w:lineRule="auto"/>
        <w:jc w:val="center"/>
        <w:rPr>
          <w:lang w:val="en-US"/>
        </w:rPr>
      </w:pPr>
      <w:r>
        <w:rPr>
          <w:b/>
          <w:bCs/>
          <w:lang w:val="en-US"/>
        </w:rPr>
        <w:t xml:space="preserve">Figure 4: </w:t>
      </w:r>
      <w:r>
        <w:rPr>
          <w:lang w:val="en-US"/>
        </w:rPr>
        <w:t>Gearing Ratios (Source: Own</w:t>
      </w:r>
      <w:r w:rsidR="001A1794">
        <w:rPr>
          <w:lang w:val="en-US"/>
        </w:rPr>
        <w:t>)</w:t>
      </w:r>
    </w:p>
    <w:p w14:paraId="3FFECC2A" w14:textId="3446B793" w:rsidR="006E4C9F" w:rsidRPr="006E4C9F" w:rsidRDefault="00EB0658" w:rsidP="006E4C9F">
      <w:pPr>
        <w:pStyle w:val="Heading3"/>
        <w:spacing w:line="360" w:lineRule="auto"/>
        <w:rPr>
          <w:rFonts w:ascii="Times New Roman" w:hAnsi="Times New Roman" w:cs="Times New Roman"/>
          <w:b/>
          <w:bCs/>
          <w:sz w:val="24"/>
          <w:szCs w:val="32"/>
          <w:lang w:val="en-US"/>
        </w:rPr>
      </w:pPr>
      <w:bookmarkStart w:id="8" w:name="_Toc219063778"/>
      <w:r>
        <w:rPr>
          <w:rFonts w:ascii="Times New Roman" w:hAnsi="Times New Roman" w:cs="Times New Roman"/>
          <w:b/>
          <w:bCs/>
          <w:sz w:val="24"/>
          <w:szCs w:val="32"/>
          <w:lang w:val="en-US"/>
        </w:rPr>
        <w:t>Efficiency</w:t>
      </w:r>
      <w:r w:rsidR="006E4C9F">
        <w:rPr>
          <w:rFonts w:ascii="Times New Roman" w:hAnsi="Times New Roman" w:cs="Times New Roman"/>
          <w:b/>
          <w:bCs/>
          <w:sz w:val="24"/>
          <w:szCs w:val="32"/>
          <w:lang w:val="en-US"/>
        </w:rPr>
        <w:t xml:space="preserve"> Ratios</w:t>
      </w:r>
      <w:bookmarkEnd w:id="8"/>
    </w:p>
    <w:p w14:paraId="2CEB3842" w14:textId="1180E2A0" w:rsidR="006E4C9F" w:rsidRDefault="00F150B7" w:rsidP="006E4C9F">
      <w:pPr>
        <w:spacing w:line="360" w:lineRule="auto"/>
        <w:rPr>
          <w:lang w:val="en-US"/>
        </w:rPr>
      </w:pPr>
      <w:r>
        <w:rPr>
          <w:lang w:val="en-US"/>
        </w:rPr>
        <w:t xml:space="preserve">These are the ratios which help to measure how effective a company is in </w:t>
      </w:r>
      <w:r w:rsidR="004C1043">
        <w:rPr>
          <w:lang w:val="en-US"/>
        </w:rPr>
        <w:t>utilising</w:t>
      </w:r>
      <w:r>
        <w:rPr>
          <w:lang w:val="en-US"/>
        </w:rPr>
        <w:t xml:space="preserve"> its assets to generate revenues. This also facilitates the process to determine </w:t>
      </w:r>
      <w:r w:rsidR="004C1043">
        <w:rPr>
          <w:lang w:val="en-US"/>
        </w:rPr>
        <w:t xml:space="preserve">the </w:t>
      </w:r>
      <w:r>
        <w:rPr>
          <w:lang w:val="en-US"/>
        </w:rPr>
        <w:t>operational competence of an organisation</w:t>
      </w:r>
      <w:r w:rsidR="00C35C3B">
        <w:rPr>
          <w:lang w:val="en-US"/>
        </w:rPr>
        <w:t xml:space="preserve"> (</w:t>
      </w:r>
      <w:r w:rsidR="00C35C3B" w:rsidRPr="00C35C3B">
        <w:t>Santosuosso</w:t>
      </w:r>
      <w:r w:rsidR="00C35C3B">
        <w:t>, 2014)</w:t>
      </w:r>
      <w:r>
        <w:rPr>
          <w:lang w:val="en-US"/>
        </w:rPr>
        <w:t>. The most important efficiency ratios are calculated below for Rolls-Royce Holdings PLC.</w:t>
      </w:r>
    </w:p>
    <w:p w14:paraId="73224BBE" w14:textId="16315D9F" w:rsidR="00F150B7" w:rsidRDefault="00F150B7" w:rsidP="00F150B7">
      <w:pPr>
        <w:spacing w:line="360" w:lineRule="auto"/>
        <w:rPr>
          <w:b/>
          <w:bCs/>
          <w:lang w:val="en-US"/>
        </w:rPr>
      </w:pPr>
      <w:r>
        <w:rPr>
          <w:b/>
          <w:bCs/>
          <w:lang w:val="en-US"/>
        </w:rPr>
        <w:t>Asset Turnover Ratio</w:t>
      </w:r>
    </w:p>
    <w:p w14:paraId="05C0A8B8" w14:textId="1882D4DE" w:rsidR="00F150B7" w:rsidRDefault="00F150B7" w:rsidP="00F150B7">
      <w:pPr>
        <w:spacing w:line="360" w:lineRule="auto"/>
        <w:rPr>
          <w:lang w:val="en-US"/>
        </w:rPr>
      </w:pPr>
      <w:r>
        <w:rPr>
          <w:lang w:val="en-US"/>
        </w:rPr>
        <w:t xml:space="preserve">The formula to calculate </w:t>
      </w:r>
      <w:r w:rsidR="004C1043">
        <w:rPr>
          <w:lang w:val="en-US"/>
        </w:rPr>
        <w:t xml:space="preserve">the </w:t>
      </w:r>
      <w:r w:rsidR="00881EAB">
        <w:rPr>
          <w:lang w:val="en-US"/>
        </w:rPr>
        <w:t>asset turnover</w:t>
      </w:r>
      <w:r>
        <w:rPr>
          <w:lang w:val="en-US"/>
        </w:rPr>
        <w:t xml:space="preserve"> ratio is = (</w:t>
      </w:r>
      <w:r w:rsidR="00C237C6">
        <w:rPr>
          <w:lang w:val="en-US"/>
        </w:rPr>
        <w:t>Revenue / Total Assets</w:t>
      </w:r>
      <w:r>
        <w:rPr>
          <w:lang w:val="en-US"/>
        </w:rPr>
        <w:t>)</w:t>
      </w:r>
    </w:p>
    <w:p w14:paraId="4B155583" w14:textId="6D121D86" w:rsidR="00F150B7" w:rsidRDefault="00F150B7" w:rsidP="00F150B7">
      <w:pPr>
        <w:spacing w:line="360" w:lineRule="auto"/>
        <w:rPr>
          <w:lang w:val="en-US"/>
        </w:rPr>
      </w:pPr>
      <w:r>
        <w:rPr>
          <w:lang w:val="en-US"/>
        </w:rPr>
        <w:t xml:space="preserve">In 2023, </w:t>
      </w:r>
      <w:r w:rsidR="00621136">
        <w:rPr>
          <w:lang w:val="en-US"/>
        </w:rPr>
        <w:t>AT</w:t>
      </w:r>
      <w:r>
        <w:rPr>
          <w:lang w:val="en-US"/>
        </w:rPr>
        <w:t xml:space="preserve"> Ratio is = (</w:t>
      </w:r>
      <w:r w:rsidR="00BE49EA">
        <w:rPr>
          <w:lang w:val="en-US"/>
        </w:rPr>
        <w:t xml:space="preserve">16,484 </w:t>
      </w:r>
      <w:r>
        <w:rPr>
          <w:lang w:val="en-US"/>
        </w:rPr>
        <w:t xml:space="preserve">/ 31,512) = </w:t>
      </w:r>
      <w:r w:rsidR="00BE49EA">
        <w:rPr>
          <w:lang w:val="en-US"/>
        </w:rPr>
        <w:t>0.52 Times</w:t>
      </w:r>
    </w:p>
    <w:p w14:paraId="0C7E650D" w14:textId="3622955D" w:rsidR="00F150B7" w:rsidRDefault="00F150B7" w:rsidP="00F150B7">
      <w:pPr>
        <w:spacing w:line="360" w:lineRule="auto"/>
        <w:rPr>
          <w:lang w:val="en-US"/>
        </w:rPr>
      </w:pPr>
      <w:r>
        <w:rPr>
          <w:lang w:val="en-US"/>
        </w:rPr>
        <w:t xml:space="preserve">In 2024, </w:t>
      </w:r>
      <w:r w:rsidR="00621136">
        <w:rPr>
          <w:lang w:val="en-US"/>
        </w:rPr>
        <w:t xml:space="preserve">AT </w:t>
      </w:r>
      <w:r>
        <w:rPr>
          <w:lang w:val="en-US"/>
        </w:rPr>
        <w:t>Ratio is = (</w:t>
      </w:r>
      <w:r w:rsidR="00BE49EA">
        <w:rPr>
          <w:lang w:val="en-US"/>
        </w:rPr>
        <w:t xml:space="preserve">18,909 </w:t>
      </w:r>
      <w:r>
        <w:rPr>
          <w:lang w:val="en-US"/>
        </w:rPr>
        <w:t xml:space="preserve">/ 35,686) = </w:t>
      </w:r>
      <w:r w:rsidR="00BE49EA">
        <w:rPr>
          <w:lang w:val="en-US"/>
        </w:rPr>
        <w:t>0.53 Times</w:t>
      </w:r>
    </w:p>
    <w:p w14:paraId="67F74AC2" w14:textId="64000831" w:rsidR="00F150B7" w:rsidRDefault="0091106F" w:rsidP="00F150B7">
      <w:pPr>
        <w:spacing w:line="360" w:lineRule="auto"/>
        <w:rPr>
          <w:lang w:val="en-US"/>
        </w:rPr>
      </w:pPr>
      <w:r>
        <w:rPr>
          <w:lang w:val="en-US"/>
        </w:rPr>
        <w:t>This ratio has remained relatively stable over the two years period</w:t>
      </w:r>
      <w:r w:rsidR="005D721A">
        <w:rPr>
          <w:lang w:val="en-US"/>
        </w:rPr>
        <w:t xml:space="preserve"> (Rolls-Royce, 2024)</w:t>
      </w:r>
      <w:r>
        <w:rPr>
          <w:lang w:val="en-US"/>
        </w:rPr>
        <w:t>. This means that the company has not been able to enhance its utilization of assets to generate more revenues, but the company’s asset turnover ratio directly complies with the industry norms.</w:t>
      </w:r>
    </w:p>
    <w:p w14:paraId="06BBC0C1" w14:textId="1172C599" w:rsidR="00F150B7" w:rsidRDefault="00F150B7" w:rsidP="00F150B7">
      <w:pPr>
        <w:spacing w:line="360" w:lineRule="auto"/>
        <w:rPr>
          <w:b/>
          <w:bCs/>
          <w:lang w:val="en-US"/>
        </w:rPr>
      </w:pPr>
      <w:r>
        <w:rPr>
          <w:b/>
          <w:bCs/>
          <w:lang w:val="en-US"/>
        </w:rPr>
        <w:lastRenderedPageBreak/>
        <w:t>Inventory Turnover Ratio</w:t>
      </w:r>
    </w:p>
    <w:p w14:paraId="6BDE6296" w14:textId="076A683C" w:rsidR="00F150B7" w:rsidRDefault="00F150B7" w:rsidP="00F150B7">
      <w:pPr>
        <w:spacing w:line="360" w:lineRule="auto"/>
        <w:rPr>
          <w:lang w:val="en-US"/>
        </w:rPr>
      </w:pPr>
      <w:r>
        <w:rPr>
          <w:lang w:val="en-US"/>
        </w:rPr>
        <w:t xml:space="preserve">The formula to </w:t>
      </w:r>
      <w:r w:rsidR="00881EAB">
        <w:rPr>
          <w:lang w:val="en-US"/>
        </w:rPr>
        <w:t xml:space="preserve">inventory turnover </w:t>
      </w:r>
      <w:r>
        <w:rPr>
          <w:lang w:val="en-US"/>
        </w:rPr>
        <w:t>ratio is = (</w:t>
      </w:r>
      <w:r w:rsidR="00C237C6">
        <w:rPr>
          <w:lang w:val="en-US"/>
        </w:rPr>
        <w:t>Cost of Sales</w:t>
      </w:r>
      <w:r>
        <w:rPr>
          <w:lang w:val="en-US"/>
        </w:rPr>
        <w:t xml:space="preserve"> / </w:t>
      </w:r>
      <w:r w:rsidR="00C237C6">
        <w:rPr>
          <w:lang w:val="en-US"/>
        </w:rPr>
        <w:t>Average Inventory</w:t>
      </w:r>
      <w:r>
        <w:rPr>
          <w:lang w:val="en-US"/>
        </w:rPr>
        <w:t>)</w:t>
      </w:r>
    </w:p>
    <w:p w14:paraId="4D78FBDB" w14:textId="4E0AAAB4" w:rsidR="00F150B7" w:rsidRDefault="00F150B7" w:rsidP="00F150B7">
      <w:pPr>
        <w:spacing w:line="360" w:lineRule="auto"/>
        <w:rPr>
          <w:lang w:val="en-US"/>
        </w:rPr>
      </w:pPr>
      <w:r>
        <w:rPr>
          <w:lang w:val="en-US"/>
        </w:rPr>
        <w:t xml:space="preserve">In 2023, </w:t>
      </w:r>
      <w:r w:rsidR="00621136">
        <w:rPr>
          <w:lang w:val="en-US"/>
        </w:rPr>
        <w:t xml:space="preserve">IT </w:t>
      </w:r>
      <w:r>
        <w:rPr>
          <w:lang w:val="en-US"/>
        </w:rPr>
        <w:t xml:space="preserve">Ratio is = </w:t>
      </w:r>
      <w:r w:rsidR="00DA5DE7">
        <w:rPr>
          <w:lang w:val="en-US"/>
        </w:rPr>
        <w:t>[12,866</w:t>
      </w:r>
      <w:r>
        <w:rPr>
          <w:lang w:val="en-US"/>
        </w:rPr>
        <w:t xml:space="preserve"> / </w:t>
      </w:r>
      <w:r w:rsidR="00DA5DE7">
        <w:rPr>
          <w:lang w:val="en-US"/>
        </w:rPr>
        <w:t xml:space="preserve">{(4,708 + 4,848) / 2}] </w:t>
      </w:r>
      <w:r>
        <w:rPr>
          <w:lang w:val="en-US"/>
        </w:rPr>
        <w:t xml:space="preserve">= </w:t>
      </w:r>
      <w:r w:rsidR="00DA5DE7">
        <w:rPr>
          <w:lang w:val="en-US"/>
        </w:rPr>
        <w:t>2.68 Times</w:t>
      </w:r>
    </w:p>
    <w:p w14:paraId="3562DD3F" w14:textId="023F32F8" w:rsidR="00F150B7" w:rsidRDefault="00F150B7" w:rsidP="00F150B7">
      <w:pPr>
        <w:spacing w:line="360" w:lineRule="auto"/>
        <w:rPr>
          <w:lang w:val="en-US"/>
        </w:rPr>
      </w:pPr>
      <w:r>
        <w:rPr>
          <w:lang w:val="en-US"/>
        </w:rPr>
        <w:t xml:space="preserve">In 2024, </w:t>
      </w:r>
      <w:r w:rsidR="00621136">
        <w:rPr>
          <w:lang w:val="en-US"/>
        </w:rPr>
        <w:t xml:space="preserve">IT </w:t>
      </w:r>
      <w:r>
        <w:rPr>
          <w:lang w:val="en-US"/>
        </w:rPr>
        <w:t>Ratio is =</w:t>
      </w:r>
      <w:r w:rsidR="00DA5DE7">
        <w:rPr>
          <w:lang w:val="en-US"/>
        </w:rPr>
        <w:t xml:space="preserve"> [14,688 / {(4,848 + 5,092) / 2}] = 2.96 Times</w:t>
      </w:r>
    </w:p>
    <w:p w14:paraId="0F090FE5" w14:textId="7B6374D8" w:rsidR="00F150B7" w:rsidRDefault="00C34D0D" w:rsidP="006E4C9F">
      <w:pPr>
        <w:spacing w:line="360" w:lineRule="auto"/>
        <w:rPr>
          <w:lang w:val="en-US"/>
        </w:rPr>
      </w:pPr>
      <w:r>
        <w:rPr>
          <w:lang w:val="en-US"/>
        </w:rPr>
        <w:t>The ratio improving from 2.68 times to 2.96 times showcases that the company is now utilizing its inventories more often and when converted into days, the ratio results in 123 days in 2024 compared to 136 days in 2023</w:t>
      </w:r>
      <w:r w:rsidR="005D721A">
        <w:rPr>
          <w:lang w:val="en-US"/>
        </w:rPr>
        <w:t xml:space="preserve"> (Rolls-Royce, 2024)</w:t>
      </w:r>
      <w:r>
        <w:rPr>
          <w:lang w:val="en-US"/>
        </w:rPr>
        <w:t>. Although the inventory holding period is quite high, but considering the nature of the company’s industry and the declining ratio, the company is on-track.</w:t>
      </w:r>
    </w:p>
    <w:p w14:paraId="14787A8A" w14:textId="6D01AED0" w:rsidR="00ED773C" w:rsidRDefault="00ED773C" w:rsidP="00ED773C">
      <w:pPr>
        <w:spacing w:line="360" w:lineRule="auto"/>
        <w:jc w:val="center"/>
        <w:rPr>
          <w:lang w:val="en-US"/>
        </w:rPr>
      </w:pPr>
      <w:r>
        <w:rPr>
          <w:noProof/>
          <w:lang w:val="en-US"/>
        </w:rPr>
        <w:drawing>
          <wp:inline distT="0" distB="0" distL="0" distR="0" wp14:anchorId="3B252E0F" wp14:editId="682069E8">
            <wp:extent cx="5486400" cy="3200400"/>
            <wp:effectExtent l="0" t="0" r="0" b="0"/>
            <wp:docPr id="1924148887"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98E4582" w14:textId="29C153CA" w:rsidR="00ED773C" w:rsidRPr="00ED773C" w:rsidRDefault="00ED773C" w:rsidP="00ED773C">
      <w:pPr>
        <w:spacing w:line="360" w:lineRule="auto"/>
        <w:jc w:val="center"/>
        <w:rPr>
          <w:lang w:val="en-US"/>
        </w:rPr>
      </w:pPr>
      <w:r>
        <w:rPr>
          <w:b/>
          <w:bCs/>
          <w:lang w:val="en-US"/>
        </w:rPr>
        <w:t xml:space="preserve">Figure 5: </w:t>
      </w:r>
      <w:r>
        <w:rPr>
          <w:lang w:val="en-US"/>
        </w:rPr>
        <w:t>Efficiency Ratios (Source: Own)</w:t>
      </w:r>
    </w:p>
    <w:p w14:paraId="1699869C" w14:textId="7A63020E" w:rsidR="006E4C9F" w:rsidRPr="006E4C9F" w:rsidRDefault="00EB0658" w:rsidP="006E4C9F">
      <w:pPr>
        <w:pStyle w:val="Heading3"/>
        <w:spacing w:line="360" w:lineRule="auto"/>
        <w:rPr>
          <w:rFonts w:ascii="Times New Roman" w:hAnsi="Times New Roman" w:cs="Times New Roman"/>
          <w:b/>
          <w:bCs/>
          <w:sz w:val="24"/>
          <w:szCs w:val="32"/>
          <w:lang w:val="en-US"/>
        </w:rPr>
      </w:pPr>
      <w:bookmarkStart w:id="9" w:name="_Toc219063779"/>
      <w:r>
        <w:rPr>
          <w:rFonts w:ascii="Times New Roman" w:hAnsi="Times New Roman" w:cs="Times New Roman"/>
          <w:b/>
          <w:bCs/>
          <w:sz w:val="24"/>
          <w:szCs w:val="32"/>
          <w:lang w:val="en-US"/>
        </w:rPr>
        <w:t>Investor</w:t>
      </w:r>
      <w:r w:rsidR="006E4C9F">
        <w:rPr>
          <w:rFonts w:ascii="Times New Roman" w:hAnsi="Times New Roman" w:cs="Times New Roman"/>
          <w:b/>
          <w:bCs/>
          <w:sz w:val="24"/>
          <w:szCs w:val="32"/>
          <w:lang w:val="en-US"/>
        </w:rPr>
        <w:t xml:space="preserve"> Ratios</w:t>
      </w:r>
      <w:bookmarkEnd w:id="9"/>
    </w:p>
    <w:p w14:paraId="7F65BEB6" w14:textId="419D1AE0" w:rsidR="006E4C9F" w:rsidRDefault="00940421" w:rsidP="006E4C9F">
      <w:pPr>
        <w:spacing w:line="360" w:lineRule="auto"/>
        <w:rPr>
          <w:lang w:val="en-US"/>
        </w:rPr>
      </w:pPr>
      <w:r>
        <w:rPr>
          <w:lang w:val="en-US"/>
        </w:rPr>
        <w:t xml:space="preserve">These ratios directly enable investors to assess the feasibility of either investing in a company or </w:t>
      </w:r>
      <w:r w:rsidR="00C35C3B">
        <w:rPr>
          <w:lang w:val="en-US"/>
        </w:rPr>
        <w:t>reevaluate</w:t>
      </w:r>
      <w:r>
        <w:rPr>
          <w:lang w:val="en-US"/>
        </w:rPr>
        <w:t xml:space="preserve"> the existing investments effectively</w:t>
      </w:r>
      <w:r w:rsidR="0018297D">
        <w:rPr>
          <w:lang w:val="en-US"/>
        </w:rPr>
        <w:t xml:space="preserve"> to guide sound investment decisions</w:t>
      </w:r>
      <w:r w:rsidR="00C35C3B">
        <w:rPr>
          <w:lang w:val="en-US"/>
        </w:rPr>
        <w:t xml:space="preserve"> (</w:t>
      </w:r>
      <w:r w:rsidR="00C35C3B" w:rsidRPr="00C35C3B">
        <w:t>Asiri</w:t>
      </w:r>
      <w:r w:rsidR="00C35C3B">
        <w:t>, 2015)</w:t>
      </w:r>
      <w:r w:rsidR="0018297D">
        <w:rPr>
          <w:lang w:val="en-US"/>
        </w:rPr>
        <w:t xml:space="preserve">. The major investor ratio of Rolls-Royce Holdings LTD </w:t>
      </w:r>
      <w:r w:rsidR="006E658F">
        <w:rPr>
          <w:lang w:val="en-US"/>
        </w:rPr>
        <w:t>is</w:t>
      </w:r>
      <w:r w:rsidR="0018297D">
        <w:rPr>
          <w:lang w:val="en-US"/>
        </w:rPr>
        <w:t xml:space="preserve"> calculated below.</w:t>
      </w:r>
    </w:p>
    <w:p w14:paraId="46C94B61" w14:textId="6D638752" w:rsidR="00CE4BE5" w:rsidRDefault="00DA21B0" w:rsidP="00CE4BE5">
      <w:pPr>
        <w:spacing w:line="360" w:lineRule="auto"/>
        <w:rPr>
          <w:b/>
          <w:bCs/>
          <w:lang w:val="en-US"/>
        </w:rPr>
      </w:pPr>
      <w:r>
        <w:rPr>
          <w:b/>
          <w:bCs/>
          <w:lang w:val="en-US"/>
        </w:rPr>
        <w:t>Earnings per Share</w:t>
      </w:r>
    </w:p>
    <w:p w14:paraId="335D9CE9" w14:textId="6258DCA7" w:rsidR="00CE4BE5" w:rsidRDefault="00CE4BE5" w:rsidP="00CE4BE5">
      <w:pPr>
        <w:spacing w:line="360" w:lineRule="auto"/>
        <w:rPr>
          <w:lang w:val="en-US"/>
        </w:rPr>
      </w:pPr>
      <w:r>
        <w:rPr>
          <w:lang w:val="en-US"/>
        </w:rPr>
        <w:t xml:space="preserve">The formula to calculate </w:t>
      </w:r>
      <w:r w:rsidR="003554CE">
        <w:rPr>
          <w:lang w:val="en-US"/>
        </w:rPr>
        <w:t>earnings per share</w:t>
      </w:r>
      <w:r>
        <w:rPr>
          <w:lang w:val="en-US"/>
        </w:rPr>
        <w:t xml:space="preserve"> is = (</w:t>
      </w:r>
      <w:r w:rsidR="003554CE">
        <w:rPr>
          <w:lang w:val="en-US"/>
        </w:rPr>
        <w:t>Profit Attributable to Ordinary Shareholders / Number of Shares Outstanding</w:t>
      </w:r>
      <w:r>
        <w:rPr>
          <w:lang w:val="en-US"/>
        </w:rPr>
        <w:t>)</w:t>
      </w:r>
    </w:p>
    <w:p w14:paraId="295953DD" w14:textId="2B737EF8" w:rsidR="00CE4BE5" w:rsidRPr="00B44FE5" w:rsidRDefault="00CE4BE5" w:rsidP="00CE4BE5">
      <w:pPr>
        <w:spacing w:line="360" w:lineRule="auto"/>
        <w:rPr>
          <w:b/>
          <w:bCs/>
          <w:lang w:val="en-US"/>
        </w:rPr>
      </w:pPr>
      <w:r>
        <w:rPr>
          <w:lang w:val="en-US"/>
        </w:rPr>
        <w:t>In 2023</w:t>
      </w:r>
      <w:r w:rsidRPr="00B44FE5">
        <w:rPr>
          <w:lang w:val="en-US"/>
        </w:rPr>
        <w:t xml:space="preserve">, </w:t>
      </w:r>
      <w:r w:rsidR="00B44FE5" w:rsidRPr="00B44FE5">
        <w:rPr>
          <w:lang w:val="en-US"/>
        </w:rPr>
        <w:t>Earnings per Share</w:t>
      </w:r>
      <w:r w:rsidR="00B44FE5">
        <w:rPr>
          <w:b/>
          <w:bCs/>
          <w:lang w:val="en-US"/>
        </w:rPr>
        <w:t xml:space="preserve"> </w:t>
      </w:r>
      <w:r>
        <w:rPr>
          <w:lang w:val="en-US"/>
        </w:rPr>
        <w:t xml:space="preserve">is = </w:t>
      </w:r>
      <w:r w:rsidR="00D65ABC">
        <w:rPr>
          <w:lang w:val="en-US"/>
        </w:rPr>
        <w:t>(2,412</w:t>
      </w:r>
      <w:r w:rsidR="00E42F09">
        <w:rPr>
          <w:lang w:val="en-US"/>
        </w:rPr>
        <w:t>m</w:t>
      </w:r>
      <w:r w:rsidR="00D65ABC">
        <w:rPr>
          <w:lang w:val="en-US"/>
        </w:rPr>
        <w:t xml:space="preserve"> / 8,366</w:t>
      </w:r>
      <w:r w:rsidR="00E42F09">
        <w:rPr>
          <w:lang w:val="en-US"/>
        </w:rPr>
        <w:t>m</w:t>
      </w:r>
      <w:r>
        <w:rPr>
          <w:lang w:val="en-US"/>
        </w:rPr>
        <w:t xml:space="preserve">) = </w:t>
      </w:r>
      <w:r w:rsidR="00D65ABC">
        <w:rPr>
          <w:lang w:val="en-US"/>
        </w:rPr>
        <w:t>28.85p per Share</w:t>
      </w:r>
    </w:p>
    <w:p w14:paraId="573C31CE" w14:textId="550E94E9" w:rsidR="00CE4BE5" w:rsidRPr="00B44FE5" w:rsidRDefault="00CE4BE5" w:rsidP="00CE4BE5">
      <w:pPr>
        <w:spacing w:line="360" w:lineRule="auto"/>
        <w:rPr>
          <w:b/>
          <w:bCs/>
          <w:lang w:val="en-US"/>
        </w:rPr>
      </w:pPr>
      <w:r>
        <w:rPr>
          <w:lang w:val="en-US"/>
        </w:rPr>
        <w:t xml:space="preserve">In 2024, </w:t>
      </w:r>
      <w:r w:rsidR="00B44FE5" w:rsidRPr="00B44FE5">
        <w:rPr>
          <w:lang w:val="en-US"/>
        </w:rPr>
        <w:t>Earnings per Share</w:t>
      </w:r>
      <w:r w:rsidR="00B44FE5">
        <w:rPr>
          <w:lang w:val="en-US"/>
        </w:rPr>
        <w:t xml:space="preserve"> </w:t>
      </w:r>
      <w:r>
        <w:rPr>
          <w:lang w:val="en-US"/>
        </w:rPr>
        <w:t>is = (</w:t>
      </w:r>
      <w:r w:rsidR="00D65ABC">
        <w:rPr>
          <w:lang w:val="en-US"/>
        </w:rPr>
        <w:t>2,521</w:t>
      </w:r>
      <w:r w:rsidR="00E42F09">
        <w:rPr>
          <w:lang w:val="en-US"/>
        </w:rPr>
        <w:t>m</w:t>
      </w:r>
      <w:r w:rsidR="00D65ABC">
        <w:rPr>
          <w:lang w:val="en-US"/>
        </w:rPr>
        <w:t xml:space="preserve"> / 8,390</w:t>
      </w:r>
      <w:r w:rsidR="00E42F09">
        <w:rPr>
          <w:lang w:val="en-US"/>
        </w:rPr>
        <w:t>m</w:t>
      </w:r>
      <w:r>
        <w:rPr>
          <w:lang w:val="en-US"/>
        </w:rPr>
        <w:t xml:space="preserve">) = </w:t>
      </w:r>
      <w:r w:rsidR="00D65ABC">
        <w:rPr>
          <w:lang w:val="en-US"/>
        </w:rPr>
        <w:t>30.05p per Share</w:t>
      </w:r>
    </w:p>
    <w:p w14:paraId="6E188A33" w14:textId="6F8F9B84" w:rsidR="00CE4BE5" w:rsidRDefault="0047390E" w:rsidP="00CE4BE5">
      <w:pPr>
        <w:spacing w:line="360" w:lineRule="auto"/>
        <w:rPr>
          <w:lang w:val="en-US"/>
        </w:rPr>
      </w:pPr>
      <w:r>
        <w:rPr>
          <w:lang w:val="en-US"/>
        </w:rPr>
        <w:lastRenderedPageBreak/>
        <w:t>EPS has increased by 4.2% from 2023 to 2024</w:t>
      </w:r>
      <w:r w:rsidR="004C1043">
        <w:rPr>
          <w:lang w:val="en-US"/>
        </w:rPr>
        <w:t>,</w:t>
      </w:r>
      <w:r w:rsidR="006E658F">
        <w:rPr>
          <w:lang w:val="en-US"/>
        </w:rPr>
        <w:t xml:space="preserve"> which showcases a clear growth in </w:t>
      </w:r>
      <w:r w:rsidR="007443BC">
        <w:rPr>
          <w:lang w:val="en-US"/>
        </w:rPr>
        <w:t>profits</w:t>
      </w:r>
      <w:r w:rsidR="00B660FB">
        <w:rPr>
          <w:lang w:val="en-US"/>
        </w:rPr>
        <w:t xml:space="preserve"> of the company. </w:t>
      </w:r>
      <w:r w:rsidR="004A4025">
        <w:rPr>
          <w:lang w:val="en-US"/>
        </w:rPr>
        <w:t>The underlying EPS</w:t>
      </w:r>
      <w:r w:rsidR="004C1043">
        <w:rPr>
          <w:lang w:val="en-US"/>
        </w:rPr>
        <w:t>,</w:t>
      </w:r>
      <w:r w:rsidR="004A4025">
        <w:rPr>
          <w:lang w:val="en-US"/>
        </w:rPr>
        <w:t xml:space="preserve"> when adjusted for the exceptional items</w:t>
      </w:r>
      <w:r w:rsidR="004C1043">
        <w:rPr>
          <w:lang w:val="en-US"/>
        </w:rPr>
        <w:t>,</w:t>
      </w:r>
      <w:r w:rsidR="00D52CC7">
        <w:rPr>
          <w:lang w:val="en-US"/>
        </w:rPr>
        <w:t xml:space="preserve"> has increased by almost 50% in the same period (from 13.75p to 20.29p), indicating massive improvements</w:t>
      </w:r>
      <w:r w:rsidR="005D721A">
        <w:rPr>
          <w:lang w:val="en-US"/>
        </w:rPr>
        <w:t xml:space="preserve"> (Rolls-Royce, 2024)</w:t>
      </w:r>
      <w:r w:rsidR="00D52CC7">
        <w:rPr>
          <w:lang w:val="en-US"/>
        </w:rPr>
        <w:t>.</w:t>
      </w:r>
    </w:p>
    <w:p w14:paraId="20989792" w14:textId="019E64DF" w:rsidR="00C73919" w:rsidRDefault="00C73919" w:rsidP="00C73919">
      <w:pPr>
        <w:spacing w:line="360" w:lineRule="auto"/>
        <w:jc w:val="center"/>
        <w:rPr>
          <w:lang w:val="en-US"/>
        </w:rPr>
      </w:pPr>
      <w:r>
        <w:rPr>
          <w:noProof/>
          <w:lang w:val="en-US"/>
        </w:rPr>
        <w:drawing>
          <wp:inline distT="0" distB="0" distL="0" distR="0" wp14:anchorId="349060F5" wp14:editId="74F9A394">
            <wp:extent cx="5486400" cy="3200400"/>
            <wp:effectExtent l="0" t="0" r="0" b="0"/>
            <wp:docPr id="1052130341"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3570E72" w14:textId="62D564A3" w:rsidR="00C73919" w:rsidRPr="00C73919" w:rsidRDefault="00C73919" w:rsidP="00C73919">
      <w:pPr>
        <w:spacing w:line="360" w:lineRule="auto"/>
        <w:jc w:val="center"/>
        <w:rPr>
          <w:lang w:val="en-US"/>
        </w:rPr>
      </w:pPr>
      <w:r>
        <w:rPr>
          <w:b/>
          <w:bCs/>
          <w:lang w:val="en-US"/>
        </w:rPr>
        <w:t xml:space="preserve">Figure 6: </w:t>
      </w:r>
      <w:r>
        <w:rPr>
          <w:lang w:val="en-US"/>
        </w:rPr>
        <w:t>Earnings per Share (Source: Own)</w:t>
      </w:r>
    </w:p>
    <w:p w14:paraId="45C9544A" w14:textId="2552ACD0" w:rsidR="006E4C9F" w:rsidRDefault="006E4C9F" w:rsidP="006E4C9F">
      <w:pPr>
        <w:pStyle w:val="Heading2"/>
        <w:spacing w:line="360" w:lineRule="auto"/>
        <w:rPr>
          <w:lang w:val="en-US"/>
        </w:rPr>
      </w:pPr>
      <w:bookmarkStart w:id="10" w:name="_Toc219063780"/>
      <w:r>
        <w:rPr>
          <w:lang w:val="en-US"/>
        </w:rPr>
        <w:t>Critical Evaluation of Financial Ratios and Analysis</w:t>
      </w:r>
      <w:bookmarkEnd w:id="10"/>
    </w:p>
    <w:p w14:paraId="749D93AE" w14:textId="3297563D" w:rsidR="00E107EE" w:rsidRPr="00E107EE" w:rsidRDefault="00E107EE" w:rsidP="00E107EE">
      <w:pPr>
        <w:pStyle w:val="Heading3"/>
        <w:spacing w:line="360" w:lineRule="auto"/>
        <w:rPr>
          <w:rFonts w:ascii="Times New Roman" w:hAnsi="Times New Roman" w:cs="Times New Roman"/>
          <w:b/>
          <w:bCs/>
          <w:sz w:val="24"/>
          <w:szCs w:val="32"/>
          <w:lang w:val="en-US"/>
        </w:rPr>
      </w:pPr>
      <w:bookmarkStart w:id="11" w:name="_Toc219063781"/>
      <w:r>
        <w:rPr>
          <w:rFonts w:ascii="Times New Roman" w:hAnsi="Times New Roman" w:cs="Times New Roman"/>
          <w:b/>
          <w:bCs/>
          <w:sz w:val="24"/>
          <w:szCs w:val="32"/>
          <w:lang w:val="en-US"/>
        </w:rPr>
        <w:t>Trends and Changes over the Period</w:t>
      </w:r>
      <w:bookmarkEnd w:id="11"/>
    </w:p>
    <w:p w14:paraId="20018023" w14:textId="3B21CFCB" w:rsidR="00E107EE" w:rsidRDefault="00956942" w:rsidP="00E107EE">
      <w:pPr>
        <w:spacing w:line="360" w:lineRule="auto"/>
        <w:rPr>
          <w:lang w:val="en-US"/>
        </w:rPr>
      </w:pPr>
      <w:r>
        <w:rPr>
          <w:lang w:val="en-US"/>
        </w:rPr>
        <w:t>All of the financial ratios showcase an effective turnaround of the company</w:t>
      </w:r>
      <w:r w:rsidR="004C1043">
        <w:rPr>
          <w:lang w:val="en-US"/>
        </w:rPr>
        <w:t>,</w:t>
      </w:r>
      <w:r>
        <w:rPr>
          <w:lang w:val="en-US"/>
        </w:rPr>
        <w:t xml:space="preserve"> even if some of the ratios did not see much </w:t>
      </w:r>
      <w:r w:rsidR="004C1043">
        <w:rPr>
          <w:lang w:val="en-US"/>
        </w:rPr>
        <w:t>change;</w:t>
      </w:r>
      <w:r>
        <w:rPr>
          <w:lang w:val="en-US"/>
        </w:rPr>
        <w:t xml:space="preserve"> however, underlying the ratios hid necessary information. </w:t>
      </w:r>
      <w:r w:rsidR="000C1F31">
        <w:rPr>
          <w:lang w:val="en-US"/>
        </w:rPr>
        <w:t xml:space="preserve">For instance, </w:t>
      </w:r>
      <w:r w:rsidR="00EE77E4">
        <w:rPr>
          <w:lang w:val="en-US"/>
        </w:rPr>
        <w:t>the debt-to-equity ratio resulted in negative results for both 2023 and 2024</w:t>
      </w:r>
      <w:r w:rsidR="004C1043">
        <w:rPr>
          <w:lang w:val="en-US"/>
        </w:rPr>
        <w:t>;</w:t>
      </w:r>
      <w:r w:rsidR="00EE77E4">
        <w:rPr>
          <w:lang w:val="en-US"/>
        </w:rPr>
        <w:t xml:space="preserve"> however,</w:t>
      </w:r>
      <w:r w:rsidR="00A6013D">
        <w:rPr>
          <w:lang w:val="en-US"/>
        </w:rPr>
        <w:t xml:space="preserve"> the debts have decreased</w:t>
      </w:r>
      <w:r w:rsidR="004C1043">
        <w:rPr>
          <w:lang w:val="en-US"/>
        </w:rPr>
        <w:t>,</w:t>
      </w:r>
      <w:r w:rsidR="00A6013D">
        <w:rPr>
          <w:lang w:val="en-US"/>
        </w:rPr>
        <w:t xml:space="preserve"> and equity </w:t>
      </w:r>
      <w:r w:rsidR="004C1043">
        <w:rPr>
          <w:lang w:val="en-US"/>
        </w:rPr>
        <w:t>has</w:t>
      </w:r>
      <w:r w:rsidR="00A6013D">
        <w:rPr>
          <w:lang w:val="en-US"/>
        </w:rPr>
        <w:t xml:space="preserve"> significantly increased, showcasing </w:t>
      </w:r>
      <w:r w:rsidR="004C1043">
        <w:rPr>
          <w:lang w:val="en-US"/>
        </w:rPr>
        <w:t xml:space="preserve">a </w:t>
      </w:r>
      <w:r w:rsidR="00A6013D">
        <w:rPr>
          <w:lang w:val="en-US"/>
        </w:rPr>
        <w:t xml:space="preserve">necessary </w:t>
      </w:r>
      <w:r w:rsidR="00D55855">
        <w:rPr>
          <w:lang w:val="en-US"/>
        </w:rPr>
        <w:t xml:space="preserve">turnaround. </w:t>
      </w:r>
    </w:p>
    <w:p w14:paraId="4B2975FE" w14:textId="3B2D88A3" w:rsidR="00573C3F" w:rsidRDefault="00573C3F" w:rsidP="00E107EE">
      <w:pPr>
        <w:spacing w:line="360" w:lineRule="auto"/>
        <w:rPr>
          <w:lang w:val="en-US"/>
        </w:rPr>
      </w:pPr>
      <w:r>
        <w:rPr>
          <w:lang w:val="en-US"/>
        </w:rPr>
        <w:t>Profits have enhanced all around</w:t>
      </w:r>
      <w:r w:rsidR="004C1043">
        <w:rPr>
          <w:lang w:val="en-US"/>
        </w:rPr>
        <w:t>,</w:t>
      </w:r>
      <w:r>
        <w:rPr>
          <w:lang w:val="en-US"/>
        </w:rPr>
        <w:t xml:space="preserve"> alongside </w:t>
      </w:r>
      <w:r w:rsidR="0071039F">
        <w:rPr>
          <w:lang w:val="en-US"/>
        </w:rPr>
        <w:t xml:space="preserve">the liquidity strengthening, as well. </w:t>
      </w:r>
      <w:r w:rsidR="0080534E">
        <w:rPr>
          <w:lang w:val="en-US"/>
        </w:rPr>
        <w:t xml:space="preserve">Moreover, the cash positions have improved, too. </w:t>
      </w:r>
      <w:r w:rsidR="007F442A">
        <w:rPr>
          <w:lang w:val="en-US"/>
        </w:rPr>
        <w:t>More importantly, the transformation has remained largely successful for Rolls-Royce Holdings PLC</w:t>
      </w:r>
      <w:r w:rsidR="004C1043">
        <w:rPr>
          <w:lang w:val="en-US"/>
        </w:rPr>
        <w:t>,</w:t>
      </w:r>
      <w:r w:rsidR="007F442A">
        <w:rPr>
          <w:lang w:val="en-US"/>
        </w:rPr>
        <w:t xml:space="preserve"> as the 2024 performance, when compared with that of 2022</w:t>
      </w:r>
      <w:r w:rsidR="00815B0D">
        <w:rPr>
          <w:lang w:val="en-US"/>
        </w:rPr>
        <w:t xml:space="preserve"> as the baseline, has significantly improved with near-quadrupling operating profits</w:t>
      </w:r>
      <w:r w:rsidR="00234D5E">
        <w:rPr>
          <w:lang w:val="en-US"/>
        </w:rPr>
        <w:t xml:space="preserve">. </w:t>
      </w:r>
    </w:p>
    <w:p w14:paraId="290B5292" w14:textId="5CF8D568" w:rsidR="0080491B" w:rsidRDefault="0080491B" w:rsidP="0080491B">
      <w:pPr>
        <w:spacing w:line="360" w:lineRule="auto"/>
        <w:jc w:val="center"/>
        <w:rPr>
          <w:lang w:val="en-US"/>
        </w:rPr>
      </w:pPr>
      <w:r>
        <w:rPr>
          <w:noProof/>
          <w:lang w:val="en-US"/>
        </w:rPr>
        <w:lastRenderedPageBreak/>
        <w:drawing>
          <wp:inline distT="0" distB="0" distL="0" distR="0" wp14:anchorId="511FE3E0" wp14:editId="3F03CA57">
            <wp:extent cx="5486400" cy="3200400"/>
            <wp:effectExtent l="0" t="0" r="0" b="0"/>
            <wp:docPr id="1947924512"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4AF1D02" w14:textId="4282B606" w:rsidR="0080491B" w:rsidRPr="0080491B" w:rsidRDefault="0080491B" w:rsidP="0080491B">
      <w:pPr>
        <w:spacing w:line="360" w:lineRule="auto"/>
        <w:jc w:val="center"/>
        <w:rPr>
          <w:lang w:val="en-US"/>
        </w:rPr>
      </w:pPr>
      <w:r>
        <w:rPr>
          <w:b/>
          <w:bCs/>
          <w:lang w:val="en-US"/>
        </w:rPr>
        <w:t xml:space="preserve">Figure 7: </w:t>
      </w:r>
      <w:r>
        <w:rPr>
          <w:lang w:val="en-US"/>
        </w:rPr>
        <w:t>Trend Line (Source: Own)</w:t>
      </w:r>
    </w:p>
    <w:p w14:paraId="0CD69DFE" w14:textId="188C1359" w:rsidR="00E107EE" w:rsidRPr="00E107EE" w:rsidRDefault="00E107EE" w:rsidP="00E107EE">
      <w:pPr>
        <w:pStyle w:val="Heading3"/>
        <w:spacing w:line="360" w:lineRule="auto"/>
        <w:rPr>
          <w:rFonts w:ascii="Times New Roman" w:hAnsi="Times New Roman" w:cs="Times New Roman"/>
          <w:b/>
          <w:bCs/>
          <w:sz w:val="24"/>
          <w:szCs w:val="32"/>
          <w:lang w:val="en-US"/>
        </w:rPr>
      </w:pPr>
      <w:bookmarkStart w:id="12" w:name="_Toc219063782"/>
      <w:r>
        <w:rPr>
          <w:rFonts w:ascii="Times New Roman" w:hAnsi="Times New Roman" w:cs="Times New Roman"/>
          <w:b/>
          <w:bCs/>
          <w:sz w:val="24"/>
          <w:szCs w:val="32"/>
          <w:lang w:val="en-US"/>
        </w:rPr>
        <w:t>Reasons for Changes in Ratios</w:t>
      </w:r>
      <w:bookmarkEnd w:id="12"/>
    </w:p>
    <w:p w14:paraId="219C863D" w14:textId="0B9665E9" w:rsidR="00E107EE" w:rsidRDefault="00C82D31" w:rsidP="00E107EE">
      <w:pPr>
        <w:spacing w:line="360" w:lineRule="auto"/>
        <w:rPr>
          <w:lang w:val="en-US"/>
        </w:rPr>
      </w:pPr>
      <w:r>
        <w:rPr>
          <w:lang w:val="en-US"/>
        </w:rPr>
        <w:t>The improvement of ratios ha</w:t>
      </w:r>
      <w:r w:rsidR="00605C08">
        <w:rPr>
          <w:lang w:val="en-US"/>
        </w:rPr>
        <w:t>s</w:t>
      </w:r>
      <w:r>
        <w:rPr>
          <w:lang w:val="en-US"/>
        </w:rPr>
        <w:t xml:space="preserve"> </w:t>
      </w:r>
      <w:r w:rsidR="004C1043">
        <w:rPr>
          <w:lang w:val="en-US"/>
        </w:rPr>
        <w:t>materialised</w:t>
      </w:r>
      <w:r>
        <w:rPr>
          <w:lang w:val="en-US"/>
        </w:rPr>
        <w:t xml:space="preserve"> due to various reasons. These reasons are elaborated below.</w:t>
      </w:r>
    </w:p>
    <w:p w14:paraId="1D8E2A0A" w14:textId="1B2D7644" w:rsidR="00225FFE" w:rsidRDefault="002C6104" w:rsidP="00E107EE">
      <w:pPr>
        <w:spacing w:line="360" w:lineRule="auto"/>
        <w:rPr>
          <w:lang w:val="en-US"/>
        </w:rPr>
      </w:pPr>
      <w:r>
        <w:rPr>
          <w:b/>
          <w:bCs/>
          <w:lang w:val="en-US"/>
        </w:rPr>
        <w:t xml:space="preserve">Strategic Transformation Program: </w:t>
      </w:r>
      <w:r>
        <w:rPr>
          <w:lang w:val="en-US"/>
        </w:rPr>
        <w:t xml:space="preserve">After Tufan’s takeover and implementation of all the systematic transformation programs, </w:t>
      </w:r>
      <w:r w:rsidR="00BF2BBC">
        <w:rPr>
          <w:lang w:val="en-US"/>
        </w:rPr>
        <w:t xml:space="preserve">the company has </w:t>
      </w:r>
      <w:r w:rsidR="004C1043">
        <w:rPr>
          <w:lang w:val="en-US"/>
        </w:rPr>
        <w:t>materialised</w:t>
      </w:r>
      <w:r w:rsidR="00BF2BBC">
        <w:rPr>
          <w:lang w:val="en-US"/>
        </w:rPr>
        <w:t xml:space="preserve"> </w:t>
      </w:r>
      <w:r w:rsidR="00CA4C27">
        <w:rPr>
          <w:lang w:val="en-US"/>
        </w:rPr>
        <w:t xml:space="preserve">major improvements across financial performance, commercial operations and cost efficiency. </w:t>
      </w:r>
      <w:r w:rsidR="00464CB2">
        <w:rPr>
          <w:lang w:val="en-US"/>
        </w:rPr>
        <w:t xml:space="preserve">In the last two years, the transformation program has already resulted in cost savings </w:t>
      </w:r>
      <w:r w:rsidR="004C1043">
        <w:rPr>
          <w:lang w:val="en-US"/>
        </w:rPr>
        <w:t xml:space="preserve">of </w:t>
      </w:r>
      <w:r w:rsidR="00464CB2">
        <w:rPr>
          <w:lang w:val="en-US"/>
        </w:rPr>
        <w:t>over 250 million Pounds in 2024</w:t>
      </w:r>
      <w:r w:rsidR="004C1043">
        <w:rPr>
          <w:lang w:val="en-US"/>
        </w:rPr>
        <w:t>,</w:t>
      </w:r>
      <w:r w:rsidR="00024D50">
        <w:rPr>
          <w:lang w:val="en-US"/>
        </w:rPr>
        <w:t xml:space="preserve"> with a target </w:t>
      </w:r>
      <w:r w:rsidR="004C1043">
        <w:rPr>
          <w:lang w:val="en-US"/>
        </w:rPr>
        <w:t xml:space="preserve">of </w:t>
      </w:r>
      <w:r w:rsidR="00024D50">
        <w:rPr>
          <w:lang w:val="en-US"/>
        </w:rPr>
        <w:t>over 400-500 million Pounds in savings</w:t>
      </w:r>
      <w:r w:rsidR="0063098D">
        <w:rPr>
          <w:lang w:val="en-US"/>
        </w:rPr>
        <w:t xml:space="preserve"> in the mid-term</w:t>
      </w:r>
      <w:r w:rsidR="005D721A">
        <w:rPr>
          <w:lang w:val="en-US"/>
        </w:rPr>
        <w:t xml:space="preserve"> (Rolls-Royce, 2024)</w:t>
      </w:r>
      <w:r w:rsidR="0063098D">
        <w:rPr>
          <w:lang w:val="en-US"/>
        </w:rPr>
        <w:t>.</w:t>
      </w:r>
    </w:p>
    <w:p w14:paraId="7BD60A89" w14:textId="22FE1B3A" w:rsidR="002C6104" w:rsidRDefault="002C6104" w:rsidP="00E107EE">
      <w:pPr>
        <w:spacing w:line="360" w:lineRule="auto"/>
        <w:rPr>
          <w:lang w:val="en-US"/>
        </w:rPr>
      </w:pPr>
      <w:r>
        <w:rPr>
          <w:b/>
          <w:bCs/>
          <w:lang w:val="en-US"/>
        </w:rPr>
        <w:t xml:space="preserve">Aviation Recovery: </w:t>
      </w:r>
      <w:r w:rsidR="00417A02">
        <w:rPr>
          <w:lang w:val="en-US"/>
        </w:rPr>
        <w:t xml:space="preserve">As LTSA is directly linked to flying hours, the company has seen boosted high-margin aftermarket income since global air travel has significantly improved after COVID-19 has come to </w:t>
      </w:r>
      <w:r w:rsidR="00233A20">
        <w:rPr>
          <w:lang w:val="en-US"/>
        </w:rPr>
        <w:t xml:space="preserve">normal </w:t>
      </w:r>
      <w:r w:rsidR="00417A02">
        <w:rPr>
          <w:lang w:val="en-US"/>
        </w:rPr>
        <w:t>levels.</w:t>
      </w:r>
    </w:p>
    <w:p w14:paraId="179F8B78" w14:textId="3A1EC82C" w:rsidR="002C6104" w:rsidRPr="002C6104" w:rsidRDefault="002C6104" w:rsidP="00E107EE">
      <w:pPr>
        <w:spacing w:line="360" w:lineRule="auto"/>
        <w:rPr>
          <w:lang w:val="en-US"/>
        </w:rPr>
      </w:pPr>
      <w:r>
        <w:rPr>
          <w:b/>
          <w:bCs/>
          <w:lang w:val="en-US"/>
        </w:rPr>
        <w:t xml:space="preserve">Working Capital Management: </w:t>
      </w:r>
      <w:r w:rsidR="005F5993">
        <w:rPr>
          <w:lang w:val="en-US"/>
        </w:rPr>
        <w:t>By reducing inventory levels</w:t>
      </w:r>
      <w:r w:rsidR="004C1043">
        <w:rPr>
          <w:lang w:val="en-US"/>
        </w:rPr>
        <w:t>,</w:t>
      </w:r>
      <w:r w:rsidR="005F5993">
        <w:rPr>
          <w:lang w:val="en-US"/>
        </w:rPr>
        <w:t xml:space="preserve"> as seen with the increased current ratio and quick ratio</w:t>
      </w:r>
      <w:r w:rsidR="00EC057B">
        <w:rPr>
          <w:lang w:val="en-US"/>
        </w:rPr>
        <w:t xml:space="preserve">, the company has improved its working capital management significantly. Moreover, with accelerated cash collection and enhanced payment terms with the suppliers, </w:t>
      </w:r>
      <w:r w:rsidR="001A2FAB">
        <w:rPr>
          <w:lang w:val="en-US"/>
        </w:rPr>
        <w:t>the company has managed to ensure funding growth without resorting to external financing</w:t>
      </w:r>
      <w:r w:rsidR="003D586D">
        <w:rPr>
          <w:lang w:val="en-US"/>
        </w:rPr>
        <w:t xml:space="preserve"> (</w:t>
      </w:r>
      <w:r w:rsidR="003D586D" w:rsidRPr="003D586D">
        <w:t>Kumar Saxena</w:t>
      </w:r>
      <w:r w:rsidR="003D586D">
        <w:t>, 2024)</w:t>
      </w:r>
      <w:r w:rsidR="001A2FAB">
        <w:rPr>
          <w:lang w:val="en-US"/>
        </w:rPr>
        <w:t xml:space="preserve">. </w:t>
      </w:r>
    </w:p>
    <w:p w14:paraId="60669AC1" w14:textId="124E2B0A" w:rsidR="004C1043" w:rsidRDefault="00E107EE" w:rsidP="004C1043">
      <w:pPr>
        <w:pStyle w:val="Heading3"/>
        <w:spacing w:line="360" w:lineRule="auto"/>
        <w:rPr>
          <w:lang w:val="en-US"/>
        </w:rPr>
      </w:pPr>
      <w:bookmarkStart w:id="13" w:name="_Toc219063783"/>
      <w:r>
        <w:rPr>
          <w:rFonts w:ascii="Times New Roman" w:hAnsi="Times New Roman" w:cs="Times New Roman"/>
          <w:b/>
          <w:bCs/>
          <w:sz w:val="24"/>
          <w:szCs w:val="32"/>
          <w:lang w:val="en-US"/>
        </w:rPr>
        <w:lastRenderedPageBreak/>
        <w:t>Comparisons with Industry Benchmark</w:t>
      </w:r>
      <w:bookmarkEnd w:id="13"/>
    </w:p>
    <w:p w14:paraId="1CE03539" w14:textId="1DC89D8B" w:rsidR="00E107EE" w:rsidRDefault="004C1043" w:rsidP="00E107EE">
      <w:pPr>
        <w:spacing w:line="360" w:lineRule="auto"/>
        <w:rPr>
          <w:lang w:val="en-US"/>
        </w:rPr>
      </w:pPr>
      <w:r>
        <w:rPr>
          <w:lang w:val="en-US"/>
        </w:rPr>
        <w:t>Based</w:t>
      </w:r>
      <w:r w:rsidR="00CB5836">
        <w:rPr>
          <w:lang w:val="en-US"/>
        </w:rPr>
        <w:t xml:space="preserve"> on the available </w:t>
      </w:r>
      <w:r>
        <w:rPr>
          <w:lang w:val="en-US"/>
        </w:rPr>
        <w:t>evidence</w:t>
      </w:r>
      <w:r w:rsidR="00CB5836">
        <w:rPr>
          <w:lang w:val="en-US"/>
        </w:rPr>
        <w:t xml:space="preserve">, Rolls-Royce Holdings PLC </w:t>
      </w:r>
      <w:r w:rsidR="0094588A">
        <w:rPr>
          <w:lang w:val="en-US"/>
        </w:rPr>
        <w:t>is now operating at or above the industry standards</w:t>
      </w:r>
      <w:r w:rsidR="00983123">
        <w:rPr>
          <w:lang w:val="en-US"/>
        </w:rPr>
        <w:t xml:space="preserve"> in most areas. The available data is compared to the company’s performance levels below.</w:t>
      </w:r>
    </w:p>
    <w:p w14:paraId="5EA962A4" w14:textId="331833BB" w:rsidR="00983123" w:rsidRDefault="00983123" w:rsidP="00E107EE">
      <w:pPr>
        <w:spacing w:line="360" w:lineRule="auto"/>
        <w:rPr>
          <w:lang w:val="en-US"/>
        </w:rPr>
      </w:pPr>
      <w:r>
        <w:rPr>
          <w:b/>
          <w:bCs/>
          <w:lang w:val="en-US"/>
        </w:rPr>
        <w:t xml:space="preserve">Operating Margin: </w:t>
      </w:r>
      <w:r w:rsidR="00357F3F">
        <w:rPr>
          <w:lang w:val="en-US"/>
        </w:rPr>
        <w:t xml:space="preserve">The operating margin </w:t>
      </w:r>
      <w:r w:rsidR="004C1043">
        <w:rPr>
          <w:lang w:val="en-US"/>
        </w:rPr>
        <w:t xml:space="preserve">of </w:t>
      </w:r>
      <w:r w:rsidR="00357F3F">
        <w:rPr>
          <w:lang w:val="en-US"/>
        </w:rPr>
        <w:t>over 15% of Rolls-Royce Holdings PLC remains to be one of the highest in the industry</w:t>
      </w:r>
      <w:r w:rsidR="004C1043">
        <w:rPr>
          <w:lang w:val="en-US"/>
        </w:rPr>
        <w:t>,</w:t>
      </w:r>
      <w:r w:rsidR="00357F3F">
        <w:rPr>
          <w:lang w:val="en-US"/>
        </w:rPr>
        <w:t xml:space="preserve"> </w:t>
      </w:r>
      <w:r w:rsidR="00545312">
        <w:rPr>
          <w:lang w:val="en-US"/>
        </w:rPr>
        <w:t>as GE Aerospace has reported margins around 14-16% while Pratt and Whitney has only managed to achieve 12-14%</w:t>
      </w:r>
      <w:r w:rsidR="005D721A">
        <w:rPr>
          <w:lang w:val="en-US"/>
        </w:rPr>
        <w:t xml:space="preserve"> (Rolls-Royce, 2024)</w:t>
      </w:r>
      <w:r w:rsidR="00545312">
        <w:rPr>
          <w:lang w:val="en-US"/>
        </w:rPr>
        <w:t xml:space="preserve">. </w:t>
      </w:r>
      <w:r w:rsidR="00BF24D1">
        <w:rPr>
          <w:lang w:val="en-US"/>
        </w:rPr>
        <w:t>As a result, Rolls-Royce Holdings PLC remains one of the most dominant companies when it comes to operating profitability in the industry.</w:t>
      </w:r>
    </w:p>
    <w:p w14:paraId="2C187206" w14:textId="6D4B8DF4" w:rsidR="00983123" w:rsidRPr="007F35AB" w:rsidRDefault="00983123" w:rsidP="00E107EE">
      <w:pPr>
        <w:spacing w:line="360" w:lineRule="auto"/>
      </w:pPr>
      <w:r>
        <w:rPr>
          <w:b/>
          <w:bCs/>
          <w:lang w:val="en-US"/>
        </w:rPr>
        <w:t xml:space="preserve">Liquidity: </w:t>
      </w:r>
      <w:r w:rsidR="00357960">
        <w:rPr>
          <w:lang w:val="en-US"/>
        </w:rPr>
        <w:t>With the current ratio of 1.28:1 of Rolls-Ro</w:t>
      </w:r>
      <w:r w:rsidR="00991A8E">
        <w:rPr>
          <w:lang w:val="en-US"/>
        </w:rPr>
        <w:t xml:space="preserve">yce Holdings PLC, </w:t>
      </w:r>
      <w:r w:rsidR="00AD47DD">
        <w:rPr>
          <w:lang w:val="en-US"/>
        </w:rPr>
        <w:t xml:space="preserve">the company remains </w:t>
      </w:r>
      <w:r w:rsidR="004C1043">
        <w:rPr>
          <w:lang w:val="en-US"/>
        </w:rPr>
        <w:t>within</w:t>
      </w:r>
      <w:r w:rsidR="00AD47DD">
        <w:rPr>
          <w:lang w:val="en-US"/>
        </w:rPr>
        <w:t xml:space="preserve"> the industry standard of 1.2-1.6:1 ratio. </w:t>
      </w:r>
      <w:r w:rsidR="00FE1E66">
        <w:rPr>
          <w:lang w:val="en-US"/>
        </w:rPr>
        <w:t>The current conservative approach followed by the company is more in contradiction of what the peers are doing in the same industry</w:t>
      </w:r>
      <w:r w:rsidR="004C1043">
        <w:rPr>
          <w:lang w:val="en-US"/>
        </w:rPr>
        <w:t>;</w:t>
      </w:r>
      <w:r w:rsidR="00FE1E66">
        <w:rPr>
          <w:lang w:val="en-US"/>
        </w:rPr>
        <w:t xml:space="preserve"> however, the company is currently managing its debts better than before, as well.</w:t>
      </w:r>
      <w:r>
        <w:rPr>
          <w:lang w:val="en-US"/>
        </w:rPr>
        <w:br/>
        <w:t xml:space="preserve">The current market price of Rolls-Royce Holdings PLC’s shares not only </w:t>
      </w:r>
      <w:r w:rsidR="004C1043">
        <w:rPr>
          <w:lang w:val="en-US"/>
        </w:rPr>
        <w:t>justifies</w:t>
      </w:r>
      <w:r>
        <w:rPr>
          <w:lang w:val="en-US"/>
        </w:rPr>
        <w:t xml:space="preserve"> its market validation but also the company’s increasing dominance in the global aerospace and </w:t>
      </w:r>
      <w:r w:rsidR="004C1043">
        <w:rPr>
          <w:lang w:val="en-US"/>
        </w:rPr>
        <w:t>defence</w:t>
      </w:r>
      <w:r>
        <w:rPr>
          <w:lang w:val="en-US"/>
        </w:rPr>
        <w:t xml:space="preserve"> market, as well</w:t>
      </w:r>
      <w:r w:rsidR="005D721A">
        <w:rPr>
          <w:lang w:val="en-US"/>
        </w:rPr>
        <w:t xml:space="preserve"> (Rolls-Royce, 2024)</w:t>
      </w:r>
      <w:r>
        <w:rPr>
          <w:lang w:val="en-US"/>
        </w:rPr>
        <w:t xml:space="preserve">. </w:t>
      </w:r>
      <w:r w:rsidR="001A6B72">
        <w:rPr>
          <w:lang w:val="en-US"/>
        </w:rPr>
        <w:t xml:space="preserve">As a result, the competitive positioning of the company </w:t>
      </w:r>
      <w:r w:rsidR="004C1043">
        <w:rPr>
          <w:lang w:val="en-US"/>
        </w:rPr>
        <w:t>has</w:t>
      </w:r>
      <w:r w:rsidR="001A6B72">
        <w:rPr>
          <w:lang w:val="en-US"/>
        </w:rPr>
        <w:t xml:space="preserve"> only </w:t>
      </w:r>
      <w:r w:rsidR="004C1043">
        <w:rPr>
          <w:lang w:val="en-US"/>
        </w:rPr>
        <w:t>improved</w:t>
      </w:r>
      <w:r w:rsidR="007F35AB">
        <w:rPr>
          <w:lang w:val="en-US"/>
        </w:rPr>
        <w:t xml:space="preserve"> since the major transformation the company has undergone under Tufan’s leadershi</w:t>
      </w:r>
      <w:r w:rsidR="00B633C1">
        <w:rPr>
          <w:lang w:val="en-US"/>
        </w:rPr>
        <w:t xml:space="preserve">p. </w:t>
      </w:r>
    </w:p>
    <w:p w14:paraId="6A0A7317" w14:textId="0AE20D4B" w:rsidR="00E107EE" w:rsidRPr="00E107EE" w:rsidRDefault="00E107EE" w:rsidP="005F766F">
      <w:pPr>
        <w:pStyle w:val="Heading3"/>
        <w:spacing w:line="360" w:lineRule="auto"/>
        <w:rPr>
          <w:rFonts w:ascii="Times New Roman" w:hAnsi="Times New Roman" w:cs="Times New Roman"/>
          <w:b/>
          <w:bCs/>
          <w:sz w:val="24"/>
          <w:szCs w:val="32"/>
          <w:lang w:val="en-US"/>
        </w:rPr>
      </w:pPr>
      <w:bookmarkStart w:id="14" w:name="_Toc219063784"/>
      <w:r>
        <w:rPr>
          <w:rFonts w:ascii="Times New Roman" w:hAnsi="Times New Roman" w:cs="Times New Roman"/>
          <w:b/>
          <w:bCs/>
          <w:sz w:val="24"/>
          <w:szCs w:val="32"/>
          <w:lang w:val="en-US"/>
        </w:rPr>
        <w:t>Limitations of Ratio Analysis</w:t>
      </w:r>
      <w:bookmarkEnd w:id="14"/>
    </w:p>
    <w:p w14:paraId="780EC78D" w14:textId="7AD59477" w:rsidR="00E107EE" w:rsidRDefault="005F766F" w:rsidP="005F766F">
      <w:pPr>
        <w:spacing w:line="360" w:lineRule="auto"/>
        <w:rPr>
          <w:lang w:val="en-US"/>
        </w:rPr>
      </w:pPr>
      <w:r>
        <w:rPr>
          <w:lang w:val="en-US"/>
        </w:rPr>
        <w:t xml:space="preserve">Now, ratio analysis provides a lot of beneficial insights to make reasonable </w:t>
      </w:r>
      <w:r w:rsidR="004C1043">
        <w:rPr>
          <w:lang w:val="en-US"/>
        </w:rPr>
        <w:t>judgments</w:t>
      </w:r>
      <w:r>
        <w:rPr>
          <w:lang w:val="en-US"/>
        </w:rPr>
        <w:t xml:space="preserve"> about a company</w:t>
      </w:r>
      <w:r w:rsidR="004C1043">
        <w:rPr>
          <w:lang w:val="en-US"/>
        </w:rPr>
        <w:t>;</w:t>
      </w:r>
      <w:r>
        <w:rPr>
          <w:lang w:val="en-US"/>
        </w:rPr>
        <w:t xml:space="preserve"> however, it also has its limitations. These limitations are as follows.</w:t>
      </w:r>
    </w:p>
    <w:p w14:paraId="79760147" w14:textId="78B6F0E9" w:rsidR="005F766F" w:rsidRDefault="005F766F" w:rsidP="005F766F">
      <w:pPr>
        <w:pStyle w:val="ListParagraph"/>
        <w:numPr>
          <w:ilvl w:val="0"/>
          <w:numId w:val="1"/>
        </w:numPr>
        <w:spacing w:line="360" w:lineRule="auto"/>
        <w:rPr>
          <w:lang w:val="en-US"/>
        </w:rPr>
      </w:pPr>
      <w:r>
        <w:rPr>
          <w:b/>
          <w:bCs/>
          <w:lang w:val="en-US"/>
        </w:rPr>
        <w:t xml:space="preserve">Historical Nature: </w:t>
      </w:r>
      <w:r>
        <w:rPr>
          <w:lang w:val="en-US"/>
        </w:rPr>
        <w:t>Ratios are always derived from historical financial statements</w:t>
      </w:r>
      <w:r w:rsidR="004C1043">
        <w:rPr>
          <w:lang w:val="en-US"/>
        </w:rPr>
        <w:t>,</w:t>
      </w:r>
      <w:r>
        <w:rPr>
          <w:lang w:val="en-US"/>
        </w:rPr>
        <w:t xml:space="preserve"> and there can never be any guarantee of whether a company can repeat its past performance in the future</w:t>
      </w:r>
      <w:r w:rsidR="00B8634C">
        <w:rPr>
          <w:lang w:val="en-US"/>
        </w:rPr>
        <w:t xml:space="preserve"> (</w:t>
      </w:r>
      <w:r w:rsidR="00B8634C" w:rsidRPr="00B8634C">
        <w:t>Faello</w:t>
      </w:r>
      <w:r w:rsidR="00B8634C">
        <w:t>, 2015)</w:t>
      </w:r>
      <w:r>
        <w:rPr>
          <w:lang w:val="en-US"/>
        </w:rPr>
        <w:t xml:space="preserve">. </w:t>
      </w:r>
      <w:r w:rsidR="008015B6">
        <w:rPr>
          <w:lang w:val="en-US"/>
        </w:rPr>
        <w:t>As a result, even if Rolls-Royce Holdings PLC has posted a turnaround, there is no guarantee that the company will continue to do so.</w:t>
      </w:r>
    </w:p>
    <w:p w14:paraId="55C81B2F" w14:textId="4B81C9EF" w:rsidR="005F766F" w:rsidRDefault="005F766F" w:rsidP="005F766F">
      <w:pPr>
        <w:pStyle w:val="ListParagraph"/>
        <w:numPr>
          <w:ilvl w:val="0"/>
          <w:numId w:val="1"/>
        </w:numPr>
        <w:spacing w:line="360" w:lineRule="auto"/>
        <w:rPr>
          <w:lang w:val="en-US"/>
        </w:rPr>
      </w:pPr>
      <w:r>
        <w:rPr>
          <w:b/>
          <w:bCs/>
          <w:lang w:val="en-US"/>
        </w:rPr>
        <w:t xml:space="preserve">Accounting Policy Impacts: </w:t>
      </w:r>
      <w:r w:rsidR="0003791F">
        <w:rPr>
          <w:lang w:val="en-US"/>
        </w:rPr>
        <w:t xml:space="preserve">When different choices are made to use various accounting policies, </w:t>
      </w:r>
      <w:r w:rsidR="00F550AA">
        <w:rPr>
          <w:lang w:val="en-US"/>
        </w:rPr>
        <w:t>the results can differ significantly</w:t>
      </w:r>
      <w:r w:rsidR="00B8634C">
        <w:rPr>
          <w:lang w:val="en-US"/>
        </w:rPr>
        <w:t xml:space="preserve"> (</w:t>
      </w:r>
      <w:r w:rsidR="00B8634C" w:rsidRPr="00B8634C">
        <w:t>Bojarenko</w:t>
      </w:r>
      <w:r w:rsidR="00B8634C">
        <w:t>, 2017)</w:t>
      </w:r>
      <w:r w:rsidR="00F550AA">
        <w:rPr>
          <w:lang w:val="en-US"/>
        </w:rPr>
        <w:t>.</w:t>
      </w:r>
      <w:r w:rsidR="00E666F8">
        <w:rPr>
          <w:lang w:val="en-US"/>
        </w:rPr>
        <w:t xml:space="preserve"> This tends to obfuscate the interpretation of a company’s balance sheet.</w:t>
      </w:r>
    </w:p>
    <w:p w14:paraId="3FEDDD8A" w14:textId="5668036A" w:rsidR="005F766F" w:rsidRPr="005F766F" w:rsidRDefault="005F766F" w:rsidP="005F766F">
      <w:pPr>
        <w:pStyle w:val="ListParagraph"/>
        <w:numPr>
          <w:ilvl w:val="0"/>
          <w:numId w:val="1"/>
        </w:numPr>
        <w:spacing w:line="360" w:lineRule="auto"/>
        <w:rPr>
          <w:lang w:val="en-US"/>
        </w:rPr>
      </w:pPr>
      <w:r>
        <w:rPr>
          <w:b/>
          <w:bCs/>
          <w:lang w:val="en-US"/>
        </w:rPr>
        <w:t>Industry Specificity:</w:t>
      </w:r>
      <w:r>
        <w:rPr>
          <w:lang w:val="en-US"/>
        </w:rPr>
        <w:t xml:space="preserve"> </w:t>
      </w:r>
      <w:r w:rsidR="002A2F49">
        <w:rPr>
          <w:lang w:val="en-US"/>
        </w:rPr>
        <w:t xml:space="preserve">Not all ratios can be used for companies across various industries. </w:t>
      </w:r>
      <w:r w:rsidR="007D2D73">
        <w:rPr>
          <w:lang w:val="en-US"/>
        </w:rPr>
        <w:t>In the aerospace industry, the focus on long-development cycles, deferred revenues for extended periods of time, LTSA structures</w:t>
      </w:r>
      <w:r w:rsidR="004C1043">
        <w:rPr>
          <w:lang w:val="en-US"/>
        </w:rPr>
        <w:t>,</w:t>
      </w:r>
      <w:r w:rsidR="007D2D73">
        <w:rPr>
          <w:lang w:val="en-US"/>
        </w:rPr>
        <w:t xml:space="preserve"> etc.</w:t>
      </w:r>
      <w:r w:rsidR="004C1043">
        <w:rPr>
          <w:lang w:val="en-US"/>
        </w:rPr>
        <w:t>,</w:t>
      </w:r>
      <w:r w:rsidR="007D2D73">
        <w:rPr>
          <w:lang w:val="en-US"/>
        </w:rPr>
        <w:t xml:space="preserve"> makes it very difficult to apply the standard benchmarks directly. </w:t>
      </w:r>
    </w:p>
    <w:p w14:paraId="458F796B" w14:textId="409DCFA6" w:rsidR="005F766F" w:rsidRDefault="005F766F" w:rsidP="005F766F">
      <w:pPr>
        <w:pStyle w:val="ListParagraph"/>
        <w:numPr>
          <w:ilvl w:val="0"/>
          <w:numId w:val="1"/>
        </w:numPr>
        <w:spacing w:line="360" w:lineRule="auto"/>
        <w:rPr>
          <w:lang w:val="en-US"/>
        </w:rPr>
      </w:pPr>
      <w:r>
        <w:rPr>
          <w:b/>
          <w:bCs/>
          <w:lang w:val="en-US"/>
        </w:rPr>
        <w:lastRenderedPageBreak/>
        <w:t xml:space="preserve">Inability to Capture Intangibles: </w:t>
      </w:r>
      <w:r w:rsidR="00E46141">
        <w:rPr>
          <w:lang w:val="en-US"/>
        </w:rPr>
        <w:t xml:space="preserve">Ratios cannot showcase qualitative aspects such as brand image, </w:t>
      </w:r>
      <w:r w:rsidR="00DB5CA1">
        <w:rPr>
          <w:lang w:val="en-US"/>
        </w:rPr>
        <w:t>customer relationships, technological capabilities</w:t>
      </w:r>
      <w:r w:rsidR="004C1043">
        <w:rPr>
          <w:lang w:val="en-US"/>
        </w:rPr>
        <w:t>,</w:t>
      </w:r>
      <w:r w:rsidR="00DB5CA1">
        <w:rPr>
          <w:lang w:val="en-US"/>
        </w:rPr>
        <w:t xml:space="preserve"> etc. Rather, </w:t>
      </w:r>
      <w:r w:rsidR="004C1043">
        <w:rPr>
          <w:lang w:val="en-US"/>
        </w:rPr>
        <w:t>they</w:t>
      </w:r>
      <w:r w:rsidR="00DB5CA1">
        <w:rPr>
          <w:lang w:val="en-US"/>
        </w:rPr>
        <w:t xml:space="preserve"> can only show the quantitative sides of </w:t>
      </w:r>
      <w:r w:rsidR="004C1043">
        <w:rPr>
          <w:lang w:val="en-US"/>
        </w:rPr>
        <w:t>things</w:t>
      </w:r>
      <w:r w:rsidR="00DB5CA1">
        <w:rPr>
          <w:lang w:val="en-US"/>
        </w:rPr>
        <w:t xml:space="preserve">, further limiting </w:t>
      </w:r>
      <w:r w:rsidR="004C1043">
        <w:rPr>
          <w:lang w:val="en-US"/>
        </w:rPr>
        <w:t>their</w:t>
      </w:r>
      <w:r w:rsidR="00DB5CA1">
        <w:rPr>
          <w:lang w:val="en-US"/>
        </w:rPr>
        <w:t xml:space="preserve"> use cases.</w:t>
      </w:r>
    </w:p>
    <w:p w14:paraId="51BD2C25" w14:textId="43DAF28A" w:rsidR="005F766F" w:rsidRPr="005F766F" w:rsidRDefault="005F766F" w:rsidP="005F766F">
      <w:pPr>
        <w:pStyle w:val="ListParagraph"/>
        <w:numPr>
          <w:ilvl w:val="0"/>
          <w:numId w:val="1"/>
        </w:numPr>
        <w:spacing w:line="360" w:lineRule="auto"/>
        <w:rPr>
          <w:lang w:val="en-US"/>
        </w:rPr>
      </w:pPr>
      <w:r>
        <w:rPr>
          <w:b/>
          <w:bCs/>
          <w:lang w:val="en-US"/>
        </w:rPr>
        <w:t>Potentiality for Manipulation:</w:t>
      </w:r>
      <w:r>
        <w:rPr>
          <w:lang w:val="en-US"/>
        </w:rPr>
        <w:t xml:space="preserve"> </w:t>
      </w:r>
      <w:r w:rsidR="00637A0D">
        <w:rPr>
          <w:lang w:val="en-US"/>
        </w:rPr>
        <w:t>The use of window dressing to improve ratios is one of the tactics companies use to improve various ratios by delaying purchases to improve cash balances</w:t>
      </w:r>
      <w:r w:rsidR="004C1043">
        <w:rPr>
          <w:lang w:val="en-US"/>
        </w:rPr>
        <w:t>,</w:t>
      </w:r>
      <w:r w:rsidR="00637A0D">
        <w:rPr>
          <w:lang w:val="en-US"/>
        </w:rPr>
        <w:t xml:space="preserve"> and as such</w:t>
      </w:r>
      <w:r w:rsidR="00B8634C">
        <w:rPr>
          <w:lang w:val="en-US"/>
        </w:rPr>
        <w:t xml:space="preserve"> (</w:t>
      </w:r>
      <w:r w:rsidR="00B8634C" w:rsidRPr="00B8634C">
        <w:t>Gabric</w:t>
      </w:r>
      <w:r w:rsidR="00B8634C">
        <w:t>, 2018)</w:t>
      </w:r>
      <w:r w:rsidR="00637A0D">
        <w:rPr>
          <w:lang w:val="en-US"/>
        </w:rPr>
        <w:t>. As a result, there always remains the potential for possible manipulation</w:t>
      </w:r>
      <w:r w:rsidR="004C1043">
        <w:rPr>
          <w:lang w:val="en-US"/>
        </w:rPr>
        <w:t>,</w:t>
      </w:r>
      <w:r w:rsidR="00637A0D">
        <w:rPr>
          <w:lang w:val="en-US"/>
        </w:rPr>
        <w:t xml:space="preserve"> although there has been no evidence against Rolls-Royce Holdings PLC. </w:t>
      </w:r>
    </w:p>
    <w:p w14:paraId="26FEB3C0" w14:textId="36C52CE3" w:rsidR="006E4C9F" w:rsidRPr="006E4C9F" w:rsidRDefault="006E4C9F" w:rsidP="00FB3F84">
      <w:pPr>
        <w:pStyle w:val="Heading2"/>
        <w:spacing w:line="360" w:lineRule="auto"/>
        <w:rPr>
          <w:lang w:val="en-US"/>
        </w:rPr>
      </w:pPr>
      <w:bookmarkStart w:id="15" w:name="_Toc219063785"/>
      <w:r>
        <w:rPr>
          <w:lang w:val="en-US"/>
        </w:rPr>
        <w:t>Recommendations for Improving Financial Management</w:t>
      </w:r>
      <w:bookmarkEnd w:id="15"/>
    </w:p>
    <w:p w14:paraId="325D7E7B" w14:textId="5E608C8D" w:rsidR="00FB3F84" w:rsidRDefault="00436659" w:rsidP="00FB3F84">
      <w:pPr>
        <w:spacing w:after="160" w:line="360" w:lineRule="auto"/>
        <w:rPr>
          <w:lang w:val="en-US"/>
        </w:rPr>
      </w:pPr>
      <w:r>
        <w:rPr>
          <w:lang w:val="en-US"/>
        </w:rPr>
        <w:t xml:space="preserve">Based on all the analyses </w:t>
      </w:r>
      <w:r w:rsidR="004C1043">
        <w:rPr>
          <w:lang w:val="en-US"/>
        </w:rPr>
        <w:t>presented</w:t>
      </w:r>
      <w:r>
        <w:rPr>
          <w:lang w:val="en-US"/>
        </w:rPr>
        <w:t xml:space="preserve"> above, the following recommendations can enable Rolls-Royce Holdings PLC to improve its financial management capacities.</w:t>
      </w:r>
    </w:p>
    <w:p w14:paraId="32A9B32E" w14:textId="216E287B" w:rsidR="00FB3F84" w:rsidRDefault="00FB3F84" w:rsidP="00FB3F84">
      <w:pPr>
        <w:pStyle w:val="ListParagraph"/>
        <w:numPr>
          <w:ilvl w:val="0"/>
          <w:numId w:val="2"/>
        </w:numPr>
        <w:spacing w:after="160" w:line="360" w:lineRule="auto"/>
        <w:rPr>
          <w:lang w:val="en-US"/>
        </w:rPr>
      </w:pPr>
      <w:r>
        <w:rPr>
          <w:b/>
          <w:bCs/>
          <w:lang w:val="en-US"/>
        </w:rPr>
        <w:t xml:space="preserve">Continuance of Balance Sheet Strengthening: </w:t>
      </w:r>
      <w:r w:rsidR="00830FF6">
        <w:rPr>
          <w:lang w:val="en-US"/>
        </w:rPr>
        <w:t>Rolls-Royce Holdings PLC has achieved a major milestone in achieving net positive cash flow</w:t>
      </w:r>
      <w:r w:rsidR="004C1043">
        <w:rPr>
          <w:lang w:val="en-US"/>
        </w:rPr>
        <w:t>;</w:t>
      </w:r>
      <w:r w:rsidR="00830FF6">
        <w:rPr>
          <w:lang w:val="en-US"/>
        </w:rPr>
        <w:t xml:space="preserve"> however, </w:t>
      </w:r>
      <w:r w:rsidR="004C1043">
        <w:rPr>
          <w:lang w:val="en-US"/>
        </w:rPr>
        <w:t>the company needs to continue</w:t>
      </w:r>
      <w:r w:rsidR="00830FF6">
        <w:rPr>
          <w:lang w:val="en-US"/>
        </w:rPr>
        <w:t xml:space="preserve"> to strengthen its balance sheet. </w:t>
      </w:r>
      <w:r w:rsidR="00FD2F5F">
        <w:rPr>
          <w:lang w:val="en-US"/>
        </w:rPr>
        <w:t>In this regard, the company’s announcement of 1 billion Pounds of share buyback in 2025 can significantly enhance the capital returns due to the financial capacity it has already developed.</w:t>
      </w:r>
      <w:r w:rsidR="001213E5">
        <w:rPr>
          <w:lang w:val="en-US"/>
        </w:rPr>
        <w:t xml:space="preserve"> Now, the company must aim at achieving positive equity in the next 2-3 years to eliminate any negative book value.</w:t>
      </w:r>
    </w:p>
    <w:p w14:paraId="739083CC" w14:textId="3D21C440" w:rsidR="00FB3F84" w:rsidRDefault="004C1043" w:rsidP="00FB3F84">
      <w:pPr>
        <w:pStyle w:val="ListParagraph"/>
        <w:numPr>
          <w:ilvl w:val="0"/>
          <w:numId w:val="2"/>
        </w:numPr>
        <w:spacing w:after="160" w:line="360" w:lineRule="auto"/>
        <w:rPr>
          <w:lang w:val="en-US"/>
        </w:rPr>
      </w:pPr>
      <w:r>
        <w:rPr>
          <w:b/>
          <w:bCs/>
          <w:lang w:val="en-US"/>
        </w:rPr>
        <w:t>Optimisation</w:t>
      </w:r>
      <w:r w:rsidR="00FB3F84">
        <w:rPr>
          <w:b/>
          <w:bCs/>
          <w:lang w:val="en-US"/>
        </w:rPr>
        <w:t xml:space="preserve"> of Capital Allocation: </w:t>
      </w:r>
      <w:r w:rsidR="00EA2792">
        <w:rPr>
          <w:lang w:val="en-US"/>
        </w:rPr>
        <w:t xml:space="preserve">Because the company has already restored its financial health in the past two years, it should </w:t>
      </w:r>
      <w:r>
        <w:rPr>
          <w:lang w:val="en-US"/>
        </w:rPr>
        <w:t xml:space="preserve">now </w:t>
      </w:r>
      <w:r w:rsidR="00EA2792">
        <w:rPr>
          <w:lang w:val="en-US"/>
        </w:rPr>
        <w:t xml:space="preserve">shift its focus </w:t>
      </w:r>
      <w:r>
        <w:rPr>
          <w:lang w:val="en-US"/>
        </w:rPr>
        <w:t>to maximising</w:t>
      </w:r>
      <w:r w:rsidR="00EA2792">
        <w:rPr>
          <w:lang w:val="en-US"/>
        </w:rPr>
        <w:t xml:space="preserve"> returns on its capital deployed. </w:t>
      </w:r>
      <w:r w:rsidR="006F5BA8">
        <w:rPr>
          <w:lang w:val="en-US"/>
        </w:rPr>
        <w:t xml:space="preserve">By expanding its investments in high-return initiatives, </w:t>
      </w:r>
      <w:r w:rsidR="000E3A10">
        <w:rPr>
          <w:lang w:val="en-US"/>
        </w:rPr>
        <w:t xml:space="preserve">the company can further narrow the scope of </w:t>
      </w:r>
      <w:r>
        <w:rPr>
          <w:lang w:val="en-US"/>
        </w:rPr>
        <w:t>utilising</w:t>
      </w:r>
      <w:r w:rsidR="000E3A10">
        <w:rPr>
          <w:lang w:val="en-US"/>
        </w:rPr>
        <w:t xml:space="preserve"> its capital and enhance </w:t>
      </w:r>
      <w:r>
        <w:rPr>
          <w:lang w:val="en-US"/>
        </w:rPr>
        <w:t>its</w:t>
      </w:r>
      <w:r w:rsidR="000E3A10">
        <w:rPr>
          <w:lang w:val="en-US"/>
        </w:rPr>
        <w:t xml:space="preserve"> </w:t>
      </w:r>
      <w:r w:rsidR="005529BE">
        <w:rPr>
          <w:lang w:val="en-US"/>
        </w:rPr>
        <w:t>returns</w:t>
      </w:r>
      <w:r w:rsidR="006A3BED">
        <w:rPr>
          <w:lang w:val="en-US"/>
        </w:rPr>
        <w:t>.</w:t>
      </w:r>
    </w:p>
    <w:p w14:paraId="33BFFE6E" w14:textId="5E58A6AB" w:rsidR="009C643C" w:rsidRPr="00FB3F84" w:rsidRDefault="00FB3F84" w:rsidP="00FB3F84">
      <w:pPr>
        <w:pStyle w:val="ListParagraph"/>
        <w:numPr>
          <w:ilvl w:val="0"/>
          <w:numId w:val="2"/>
        </w:numPr>
        <w:spacing w:after="160" w:line="360" w:lineRule="auto"/>
        <w:rPr>
          <w:lang w:val="en-US"/>
        </w:rPr>
      </w:pPr>
      <w:r>
        <w:rPr>
          <w:b/>
          <w:bCs/>
          <w:lang w:val="en-US"/>
        </w:rPr>
        <w:t xml:space="preserve">Refinement of Contract Profitability Management: </w:t>
      </w:r>
      <w:r w:rsidR="006A3BED">
        <w:rPr>
          <w:lang w:val="en-US"/>
        </w:rPr>
        <w:t xml:space="preserve">The company must try </w:t>
      </w:r>
      <w:r w:rsidR="004C1043">
        <w:rPr>
          <w:lang w:val="en-US"/>
        </w:rPr>
        <w:t>to</w:t>
      </w:r>
      <w:r w:rsidR="006A3BED">
        <w:rPr>
          <w:lang w:val="en-US"/>
        </w:rPr>
        <w:t xml:space="preserve"> renegotiate to implement real-time contract profitability tracking for its LTSA agreements so that necessary operational adjustments can be implemented before any losses </w:t>
      </w:r>
      <w:r w:rsidR="004C1043">
        <w:rPr>
          <w:lang w:val="en-US"/>
        </w:rPr>
        <w:t>are</w:t>
      </w:r>
      <w:r w:rsidR="00BF08AE">
        <w:rPr>
          <w:lang w:val="en-US"/>
        </w:rPr>
        <w:t xml:space="preserve"> accumulated</w:t>
      </w:r>
      <w:r w:rsidR="008C25D5">
        <w:rPr>
          <w:lang w:val="en-US"/>
        </w:rPr>
        <w:t xml:space="preserve"> (</w:t>
      </w:r>
      <w:r w:rsidR="008C25D5" w:rsidRPr="008C25D5">
        <w:t>Moghadasnian</w:t>
      </w:r>
      <w:r w:rsidR="008C25D5">
        <w:t xml:space="preserve"> and Ketabchi, 2024</w:t>
      </w:r>
      <w:r w:rsidR="003E08B4">
        <w:t>)</w:t>
      </w:r>
      <w:r w:rsidR="00BF08AE">
        <w:rPr>
          <w:lang w:val="en-US"/>
        </w:rPr>
        <w:t>.</w:t>
      </w:r>
      <w:r w:rsidR="009C643C" w:rsidRPr="00FB3F84">
        <w:rPr>
          <w:lang w:val="en-US"/>
        </w:rPr>
        <w:br w:type="page"/>
      </w:r>
    </w:p>
    <w:p w14:paraId="67907E0D" w14:textId="34509CBD" w:rsidR="009C643C" w:rsidRDefault="009C643C" w:rsidP="009C643C">
      <w:pPr>
        <w:pStyle w:val="Heading1"/>
        <w:spacing w:line="360" w:lineRule="auto"/>
        <w:rPr>
          <w:lang w:val="en-US"/>
        </w:rPr>
      </w:pPr>
      <w:bookmarkStart w:id="16" w:name="_Toc219063786"/>
      <w:r>
        <w:rPr>
          <w:lang w:val="en-US"/>
        </w:rPr>
        <w:lastRenderedPageBreak/>
        <w:t>Part Two: Investment Appraisal for Westward Plc</w:t>
      </w:r>
      <w:bookmarkEnd w:id="16"/>
    </w:p>
    <w:p w14:paraId="144221B3" w14:textId="591A407B" w:rsidR="00E107EE" w:rsidRDefault="00F60C8D" w:rsidP="00E107EE">
      <w:pPr>
        <w:pStyle w:val="Heading2"/>
        <w:spacing w:line="360" w:lineRule="auto"/>
        <w:rPr>
          <w:lang w:val="en-US"/>
        </w:rPr>
      </w:pPr>
      <w:bookmarkStart w:id="17" w:name="_Toc219063787"/>
      <w:r>
        <w:rPr>
          <w:lang w:val="en-US"/>
        </w:rPr>
        <w:t>Background and Investment Options</w:t>
      </w:r>
      <w:bookmarkEnd w:id="17"/>
    </w:p>
    <w:p w14:paraId="4D47DA58" w14:textId="6D3B8E36" w:rsidR="009C643C" w:rsidRDefault="004326D2" w:rsidP="009C643C">
      <w:pPr>
        <w:spacing w:line="360" w:lineRule="auto"/>
        <w:rPr>
          <w:lang w:val="en-US"/>
        </w:rPr>
      </w:pPr>
      <w:r>
        <w:rPr>
          <w:lang w:val="en-US"/>
        </w:rPr>
        <w:t xml:space="preserve">As per the brief, Westward PLC is a high-quality curtain manufacturing which is currently faced with a strategic decision-making dilemma. </w:t>
      </w:r>
      <w:r w:rsidR="00CA4CC9">
        <w:rPr>
          <w:lang w:val="en-US"/>
        </w:rPr>
        <w:t xml:space="preserve">It has identified three mutually exclusive investment projects, but it is unsure of which one to opt for. </w:t>
      </w:r>
      <w:r w:rsidR="00A949B1">
        <w:rPr>
          <w:lang w:val="en-US"/>
        </w:rPr>
        <w:t>The options are as follows.</w:t>
      </w:r>
    </w:p>
    <w:p w14:paraId="403A0A13" w14:textId="1EC2EE47" w:rsidR="00A949B1" w:rsidRDefault="00A949B1" w:rsidP="009C643C">
      <w:pPr>
        <w:spacing w:line="360" w:lineRule="auto"/>
        <w:rPr>
          <w:lang w:val="en-US"/>
        </w:rPr>
      </w:pPr>
      <w:r>
        <w:rPr>
          <w:b/>
          <w:bCs/>
          <w:lang w:val="en-US"/>
        </w:rPr>
        <w:t xml:space="preserve">Option – A: </w:t>
      </w:r>
      <w:r>
        <w:rPr>
          <w:lang w:val="en-US"/>
        </w:rPr>
        <w:t>Expand retail outlet to include all products at 600,000 Pounds initial investment</w:t>
      </w:r>
    </w:p>
    <w:p w14:paraId="4081D473" w14:textId="136F05D2" w:rsidR="00A949B1" w:rsidRDefault="00A949B1" w:rsidP="00A949B1">
      <w:pPr>
        <w:spacing w:line="360" w:lineRule="auto"/>
        <w:rPr>
          <w:lang w:val="en-US"/>
        </w:rPr>
      </w:pPr>
      <w:r>
        <w:rPr>
          <w:b/>
          <w:bCs/>
          <w:lang w:val="en-US"/>
        </w:rPr>
        <w:t xml:space="preserve">Option – B: </w:t>
      </w:r>
      <w:r>
        <w:rPr>
          <w:lang w:val="en-US"/>
        </w:rPr>
        <w:t>Develop internet sales capabilities at 1,000,000 Pounds initial investment</w:t>
      </w:r>
    </w:p>
    <w:p w14:paraId="5F763926" w14:textId="2CD12EC7" w:rsidR="00A949B1" w:rsidRDefault="00A949B1" w:rsidP="009C643C">
      <w:pPr>
        <w:spacing w:line="360" w:lineRule="auto"/>
        <w:rPr>
          <w:lang w:val="en-US"/>
        </w:rPr>
      </w:pPr>
      <w:r>
        <w:rPr>
          <w:b/>
          <w:bCs/>
          <w:lang w:val="en-US"/>
        </w:rPr>
        <w:t xml:space="preserve">Option – C: </w:t>
      </w:r>
      <w:r>
        <w:rPr>
          <w:lang w:val="en-US"/>
        </w:rPr>
        <w:t xml:space="preserve">Diversify </w:t>
      </w:r>
      <w:r w:rsidR="00174121">
        <w:rPr>
          <w:lang w:val="en-US"/>
        </w:rPr>
        <w:t>into wooden blinds and Roman blinds at 1,600,000 Pounds initial investment</w:t>
      </w:r>
    </w:p>
    <w:p w14:paraId="1586095A" w14:textId="102B46A2" w:rsidR="00C6737A" w:rsidRPr="00A949B1" w:rsidRDefault="00C6737A" w:rsidP="009C643C">
      <w:pPr>
        <w:spacing w:line="360" w:lineRule="auto"/>
        <w:rPr>
          <w:lang w:val="en-US"/>
        </w:rPr>
      </w:pPr>
      <w:r>
        <w:rPr>
          <w:lang w:val="en-US"/>
        </w:rPr>
        <w:t xml:space="preserve">The given context of the company is that it enjoys a corporate tax rate of 25% with </w:t>
      </w:r>
      <w:r w:rsidR="004C1043">
        <w:rPr>
          <w:lang w:val="en-US"/>
        </w:rPr>
        <w:t xml:space="preserve">the </w:t>
      </w:r>
      <w:r>
        <w:rPr>
          <w:lang w:val="en-US"/>
        </w:rPr>
        <w:t xml:space="preserve">availability of capital allowances at 20% straight-line basis. </w:t>
      </w:r>
      <w:r w:rsidR="00E166F6">
        <w:rPr>
          <w:lang w:val="en-US"/>
        </w:rPr>
        <w:t>The cost of capital is 6%</w:t>
      </w:r>
      <w:r w:rsidR="004C1043">
        <w:rPr>
          <w:lang w:val="en-US"/>
        </w:rPr>
        <w:t>,</w:t>
      </w:r>
      <w:r w:rsidR="00C92B19">
        <w:rPr>
          <w:lang w:val="en-US"/>
        </w:rPr>
        <w:t xml:space="preserve"> which also represents the very minimum </w:t>
      </w:r>
      <w:r w:rsidR="004C1043">
        <w:rPr>
          <w:lang w:val="en-US"/>
        </w:rPr>
        <w:t>required</w:t>
      </w:r>
      <w:r w:rsidR="00C92B19">
        <w:rPr>
          <w:lang w:val="en-US"/>
        </w:rPr>
        <w:t xml:space="preserve"> rate of return to compensate the investors.</w:t>
      </w:r>
    </w:p>
    <w:p w14:paraId="57DDAA1B" w14:textId="57DFA8FA" w:rsidR="00E107EE" w:rsidRDefault="00F60C8D" w:rsidP="00E107EE">
      <w:pPr>
        <w:pStyle w:val="Heading2"/>
        <w:spacing w:line="360" w:lineRule="auto"/>
        <w:rPr>
          <w:lang w:val="en-US"/>
        </w:rPr>
      </w:pPr>
      <w:bookmarkStart w:id="18" w:name="_Toc219063788"/>
      <w:r>
        <w:rPr>
          <w:lang w:val="en-US"/>
        </w:rPr>
        <w:t>Net Present Value Analysis</w:t>
      </w:r>
      <w:bookmarkEnd w:id="18"/>
    </w:p>
    <w:p w14:paraId="2B5430B7" w14:textId="3D191BA2" w:rsidR="00E107EE" w:rsidRDefault="00FF3FBD" w:rsidP="00FF3FBD">
      <w:pPr>
        <w:pStyle w:val="Heading3"/>
        <w:spacing w:line="360" w:lineRule="auto"/>
        <w:rPr>
          <w:rFonts w:ascii="Times New Roman" w:hAnsi="Times New Roman" w:cs="Times New Roman"/>
          <w:b/>
          <w:bCs/>
          <w:sz w:val="24"/>
          <w:szCs w:val="32"/>
          <w:lang w:val="en-US"/>
        </w:rPr>
      </w:pPr>
      <w:bookmarkStart w:id="19" w:name="_Toc219063789"/>
      <w:r>
        <w:rPr>
          <w:rFonts w:ascii="Times New Roman" w:hAnsi="Times New Roman" w:cs="Times New Roman"/>
          <w:b/>
          <w:bCs/>
          <w:sz w:val="24"/>
          <w:szCs w:val="32"/>
          <w:lang w:val="en-US"/>
        </w:rPr>
        <w:t>Theoretical Foundation of NPV</w:t>
      </w:r>
      <w:bookmarkEnd w:id="19"/>
    </w:p>
    <w:p w14:paraId="22A1589C" w14:textId="7EB99580" w:rsidR="00FF3FBD" w:rsidRDefault="00E2782C" w:rsidP="00FF3FBD">
      <w:pPr>
        <w:spacing w:line="360" w:lineRule="auto"/>
        <w:rPr>
          <w:lang w:val="en-US"/>
        </w:rPr>
      </w:pPr>
      <w:r>
        <w:rPr>
          <w:lang w:val="en-US"/>
        </w:rPr>
        <w:t>Net Present Value or NPV is one of the major investment appraisal theories</w:t>
      </w:r>
      <w:r w:rsidR="004C1043">
        <w:rPr>
          <w:lang w:val="en-US"/>
        </w:rPr>
        <w:t>,</w:t>
      </w:r>
      <w:r>
        <w:rPr>
          <w:lang w:val="en-US"/>
        </w:rPr>
        <w:t xml:space="preserve"> which is also considered to be a foundational principle </w:t>
      </w:r>
      <w:r w:rsidR="00D1370E">
        <w:rPr>
          <w:lang w:val="en-US"/>
        </w:rPr>
        <w:t xml:space="preserve">for </w:t>
      </w:r>
      <w:r w:rsidR="004C1043">
        <w:rPr>
          <w:lang w:val="en-US"/>
        </w:rPr>
        <w:t xml:space="preserve">the </w:t>
      </w:r>
      <w:r w:rsidR="00D1370E">
        <w:rPr>
          <w:lang w:val="en-US"/>
        </w:rPr>
        <w:t xml:space="preserve">time value of money. </w:t>
      </w:r>
      <w:r w:rsidR="001E323E">
        <w:rPr>
          <w:lang w:val="en-US"/>
        </w:rPr>
        <w:t>NPV is calculated for the present value of all the future cash inflows and outflows associated with an investment</w:t>
      </w:r>
      <w:r w:rsidR="00BC489E">
        <w:rPr>
          <w:lang w:val="en-US"/>
        </w:rPr>
        <w:t xml:space="preserve"> (</w:t>
      </w:r>
      <w:r w:rsidR="00BC489E" w:rsidRPr="00BC489E">
        <w:t>Arnold</w:t>
      </w:r>
      <w:r w:rsidR="00BC489E">
        <w:t>, 2014)</w:t>
      </w:r>
      <w:r w:rsidR="001E323E">
        <w:rPr>
          <w:lang w:val="en-US"/>
        </w:rPr>
        <w:t xml:space="preserve">. </w:t>
      </w:r>
      <w:r w:rsidR="00842F68">
        <w:rPr>
          <w:lang w:val="en-US"/>
        </w:rPr>
        <w:t xml:space="preserve">In order to come to the NPV of a project, </w:t>
      </w:r>
      <w:r w:rsidR="00760C85">
        <w:rPr>
          <w:lang w:val="en-US"/>
        </w:rPr>
        <w:t>a discount rate is required with which the discounting process is undertaken.</w:t>
      </w:r>
      <w:r w:rsidR="00677B91">
        <w:rPr>
          <w:lang w:val="en-US"/>
        </w:rPr>
        <w:t xml:space="preserve"> Now, the decision rule using the NPV technique is that a project must yield a positive NPV</w:t>
      </w:r>
      <w:r w:rsidR="004C1043">
        <w:rPr>
          <w:lang w:val="en-US"/>
        </w:rPr>
        <w:t>,</w:t>
      </w:r>
      <w:r w:rsidR="00677B91">
        <w:rPr>
          <w:lang w:val="en-US"/>
        </w:rPr>
        <w:t xml:space="preserve"> and when being compared to other projects, </w:t>
      </w:r>
      <w:r w:rsidR="00EB5289">
        <w:rPr>
          <w:lang w:val="en-US"/>
        </w:rPr>
        <w:t xml:space="preserve">one of the projects must yield the highest NPV to be considered. </w:t>
      </w:r>
      <w:r w:rsidR="001A5154">
        <w:rPr>
          <w:lang w:val="en-US"/>
        </w:rPr>
        <w:t xml:space="preserve">The superiority of NPV in this regard stems from the following attributes. </w:t>
      </w:r>
    </w:p>
    <w:p w14:paraId="03288ED2" w14:textId="1FE8112A" w:rsidR="001373D8" w:rsidRDefault="001373D8" w:rsidP="001373D8">
      <w:pPr>
        <w:pStyle w:val="ListParagraph"/>
        <w:numPr>
          <w:ilvl w:val="0"/>
          <w:numId w:val="3"/>
        </w:numPr>
        <w:spacing w:line="360" w:lineRule="auto"/>
        <w:rPr>
          <w:lang w:val="en-US"/>
        </w:rPr>
      </w:pPr>
      <w:r>
        <w:rPr>
          <w:b/>
          <w:bCs/>
          <w:lang w:val="en-US"/>
        </w:rPr>
        <w:t xml:space="preserve">Time Value of Money: </w:t>
      </w:r>
      <w:r w:rsidR="006534D9">
        <w:rPr>
          <w:lang w:val="en-US"/>
        </w:rPr>
        <w:t xml:space="preserve">By accounting for </w:t>
      </w:r>
      <w:r w:rsidR="004C1043">
        <w:rPr>
          <w:lang w:val="en-US"/>
        </w:rPr>
        <w:t xml:space="preserve">the </w:t>
      </w:r>
      <w:r w:rsidR="006534D9">
        <w:rPr>
          <w:lang w:val="en-US"/>
        </w:rPr>
        <w:t xml:space="preserve">time value of money, NPV showcases the most realistic returns to the </w:t>
      </w:r>
      <w:r w:rsidR="007B703A">
        <w:rPr>
          <w:lang w:val="en-US"/>
        </w:rPr>
        <w:t>projects</w:t>
      </w:r>
      <w:r w:rsidR="0077202E">
        <w:rPr>
          <w:lang w:val="en-US"/>
        </w:rPr>
        <w:t xml:space="preserve"> (</w:t>
      </w:r>
      <w:r w:rsidR="0077202E" w:rsidRPr="0077202E">
        <w:t>Arshad</w:t>
      </w:r>
      <w:r w:rsidR="0077202E">
        <w:t>, 2012)</w:t>
      </w:r>
      <w:r w:rsidR="007B703A">
        <w:rPr>
          <w:lang w:val="en-US"/>
        </w:rPr>
        <w:t xml:space="preserve">. </w:t>
      </w:r>
    </w:p>
    <w:p w14:paraId="4362B5C9" w14:textId="14FE6B88" w:rsidR="001373D8" w:rsidRDefault="001373D8" w:rsidP="001373D8">
      <w:pPr>
        <w:pStyle w:val="ListParagraph"/>
        <w:numPr>
          <w:ilvl w:val="0"/>
          <w:numId w:val="3"/>
        </w:numPr>
        <w:spacing w:line="360" w:lineRule="auto"/>
        <w:rPr>
          <w:lang w:val="en-US"/>
        </w:rPr>
      </w:pPr>
      <w:r>
        <w:rPr>
          <w:b/>
          <w:bCs/>
          <w:lang w:val="en-US"/>
        </w:rPr>
        <w:t>Risk Consideration:</w:t>
      </w:r>
      <w:r>
        <w:rPr>
          <w:lang w:val="en-US"/>
        </w:rPr>
        <w:t xml:space="preserve"> </w:t>
      </w:r>
      <w:r w:rsidR="00662906">
        <w:rPr>
          <w:lang w:val="en-US"/>
        </w:rPr>
        <w:t xml:space="preserve">NPV </w:t>
      </w:r>
      <w:r w:rsidR="004C1043">
        <w:rPr>
          <w:lang w:val="en-US"/>
        </w:rPr>
        <w:t>utilises</w:t>
      </w:r>
      <w:r w:rsidR="00662906">
        <w:rPr>
          <w:lang w:val="en-US"/>
        </w:rPr>
        <w:t xml:space="preserve"> cash flows of the projects </w:t>
      </w:r>
      <w:r w:rsidR="00FE411A">
        <w:rPr>
          <w:lang w:val="en-US"/>
        </w:rPr>
        <w:t>instead of relying on accounting profits</w:t>
      </w:r>
      <w:r w:rsidR="004C1043">
        <w:rPr>
          <w:lang w:val="en-US"/>
        </w:rPr>
        <w:t>,</w:t>
      </w:r>
      <w:r w:rsidR="00FE411A">
        <w:rPr>
          <w:lang w:val="en-US"/>
        </w:rPr>
        <w:t xml:space="preserve"> which can be easily manipulated. </w:t>
      </w:r>
    </w:p>
    <w:p w14:paraId="0A877FD3" w14:textId="0855CF76" w:rsidR="001373D8" w:rsidRPr="001373D8" w:rsidRDefault="001373D8" w:rsidP="001373D8">
      <w:pPr>
        <w:pStyle w:val="ListParagraph"/>
        <w:numPr>
          <w:ilvl w:val="0"/>
          <w:numId w:val="3"/>
        </w:numPr>
        <w:spacing w:line="360" w:lineRule="auto"/>
        <w:rPr>
          <w:lang w:val="en-US"/>
        </w:rPr>
      </w:pPr>
      <w:r>
        <w:rPr>
          <w:b/>
          <w:bCs/>
          <w:lang w:val="en-US"/>
        </w:rPr>
        <w:t xml:space="preserve">Shareholder Wealth </w:t>
      </w:r>
      <w:r w:rsidR="004C1043">
        <w:rPr>
          <w:b/>
          <w:bCs/>
          <w:lang w:val="en-US"/>
        </w:rPr>
        <w:t>Maximisation</w:t>
      </w:r>
      <w:r>
        <w:rPr>
          <w:b/>
          <w:bCs/>
          <w:lang w:val="en-US"/>
        </w:rPr>
        <w:t>:</w:t>
      </w:r>
      <w:r>
        <w:rPr>
          <w:lang w:val="en-US"/>
        </w:rPr>
        <w:t xml:space="preserve"> </w:t>
      </w:r>
      <w:r w:rsidR="00F02191">
        <w:rPr>
          <w:lang w:val="en-US"/>
        </w:rPr>
        <w:t>NPV helps to account for the amount that directly contributes to shareholders’ wealth</w:t>
      </w:r>
      <w:r w:rsidR="0077202E">
        <w:rPr>
          <w:lang w:val="en-US"/>
        </w:rPr>
        <w:t xml:space="preserve"> (</w:t>
      </w:r>
      <w:r w:rsidR="0077202E" w:rsidRPr="0077202E">
        <w:t>Yan</w:t>
      </w:r>
      <w:r w:rsidR="0077202E">
        <w:t xml:space="preserve"> and Zhang, 2022)</w:t>
      </w:r>
      <w:r w:rsidR="00F02191">
        <w:rPr>
          <w:lang w:val="en-US"/>
        </w:rPr>
        <w:t>.</w:t>
      </w:r>
    </w:p>
    <w:p w14:paraId="43C9231B" w14:textId="1685A118" w:rsidR="00FF3FBD" w:rsidRDefault="00387D1D" w:rsidP="00FF3FBD">
      <w:pPr>
        <w:pStyle w:val="Heading3"/>
        <w:spacing w:line="360" w:lineRule="auto"/>
        <w:rPr>
          <w:rFonts w:ascii="Times New Roman" w:hAnsi="Times New Roman" w:cs="Times New Roman"/>
          <w:b/>
          <w:bCs/>
          <w:sz w:val="24"/>
          <w:szCs w:val="32"/>
          <w:lang w:val="en-US"/>
        </w:rPr>
      </w:pPr>
      <w:bookmarkStart w:id="20" w:name="_Toc219063790"/>
      <w:r>
        <w:rPr>
          <w:rFonts w:ascii="Times New Roman" w:hAnsi="Times New Roman" w:cs="Times New Roman"/>
          <w:b/>
          <w:bCs/>
          <w:sz w:val="24"/>
          <w:szCs w:val="32"/>
          <w:lang w:val="en-US"/>
        </w:rPr>
        <w:t>NPV Calculations</w:t>
      </w:r>
      <w:bookmarkEnd w:id="20"/>
    </w:p>
    <w:p w14:paraId="1654A98A" w14:textId="281E8846" w:rsidR="00FF3FBD" w:rsidRDefault="00294369" w:rsidP="00FF3FBD">
      <w:pPr>
        <w:spacing w:line="360" w:lineRule="auto"/>
        <w:rPr>
          <w:lang w:val="en-US"/>
        </w:rPr>
      </w:pPr>
      <w:r>
        <w:rPr>
          <w:lang w:val="en-US"/>
        </w:rPr>
        <w:t>The NPV calculations for all three of the options are provided below.</w:t>
      </w:r>
    </w:p>
    <w:p w14:paraId="3C8E7311" w14:textId="65AA9696" w:rsidR="00E574A8" w:rsidRDefault="00E574A8" w:rsidP="00FF3FBD">
      <w:pPr>
        <w:spacing w:line="360" w:lineRule="auto"/>
        <w:rPr>
          <w:b/>
          <w:bCs/>
          <w:lang w:val="en-US"/>
        </w:rPr>
      </w:pPr>
      <w:r>
        <w:rPr>
          <w:b/>
          <w:bCs/>
          <w:lang w:val="en-US"/>
        </w:rPr>
        <w:t>Option – A: Retail Outlet Expansion</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D46DD7" w14:paraId="22A971AD" w14:textId="77777777" w:rsidTr="00D46DD7">
        <w:tc>
          <w:tcPr>
            <w:tcW w:w="1288" w:type="dxa"/>
          </w:tcPr>
          <w:p w14:paraId="5544BEB3" w14:textId="3996A02E" w:rsidR="00D46DD7" w:rsidRPr="00D46DD7" w:rsidRDefault="00D46DD7" w:rsidP="00D46DD7">
            <w:pPr>
              <w:spacing w:line="360" w:lineRule="auto"/>
              <w:jc w:val="center"/>
              <w:rPr>
                <w:b/>
                <w:bCs/>
                <w:lang w:val="en-US"/>
              </w:rPr>
            </w:pPr>
            <w:r>
              <w:rPr>
                <w:b/>
                <w:bCs/>
                <w:lang w:val="en-US"/>
              </w:rPr>
              <w:lastRenderedPageBreak/>
              <w:t>Year</w:t>
            </w:r>
          </w:p>
        </w:tc>
        <w:tc>
          <w:tcPr>
            <w:tcW w:w="1288" w:type="dxa"/>
          </w:tcPr>
          <w:p w14:paraId="4954BD49" w14:textId="25081B59" w:rsidR="00D46DD7" w:rsidRPr="00D46DD7" w:rsidRDefault="00D46DD7" w:rsidP="00D46DD7">
            <w:pPr>
              <w:spacing w:line="360" w:lineRule="auto"/>
              <w:jc w:val="center"/>
              <w:rPr>
                <w:b/>
                <w:bCs/>
                <w:lang w:val="en-US"/>
              </w:rPr>
            </w:pPr>
            <w:r>
              <w:rPr>
                <w:b/>
                <w:bCs/>
                <w:lang w:val="en-US"/>
              </w:rPr>
              <w:t>Pre-Tax Cash Flow (</w:t>
            </w:r>
            <w:r w:rsidRPr="00D46DD7">
              <w:rPr>
                <w:b/>
                <w:bCs/>
              </w:rPr>
              <w:t>£'000)</w:t>
            </w:r>
          </w:p>
        </w:tc>
        <w:tc>
          <w:tcPr>
            <w:tcW w:w="1288" w:type="dxa"/>
          </w:tcPr>
          <w:p w14:paraId="52EE6559" w14:textId="0281A3F6" w:rsidR="00D46DD7" w:rsidRPr="00D46DD7" w:rsidRDefault="00D46DD7" w:rsidP="00D46DD7">
            <w:pPr>
              <w:spacing w:line="360" w:lineRule="auto"/>
              <w:jc w:val="center"/>
              <w:rPr>
                <w:b/>
                <w:bCs/>
                <w:lang w:val="en-US"/>
              </w:rPr>
            </w:pPr>
            <w:r>
              <w:rPr>
                <w:b/>
                <w:bCs/>
                <w:lang w:val="en-US"/>
              </w:rPr>
              <w:t>Tax at 25% (</w:t>
            </w:r>
            <w:r w:rsidRPr="00D46DD7">
              <w:rPr>
                <w:b/>
                <w:bCs/>
              </w:rPr>
              <w:t>£'000)</w:t>
            </w:r>
          </w:p>
        </w:tc>
        <w:tc>
          <w:tcPr>
            <w:tcW w:w="1288" w:type="dxa"/>
          </w:tcPr>
          <w:p w14:paraId="1EB2DA48" w14:textId="06CC5C15" w:rsidR="00D46DD7" w:rsidRPr="00D46DD7" w:rsidRDefault="00D46DD7" w:rsidP="00D46DD7">
            <w:pPr>
              <w:spacing w:line="360" w:lineRule="auto"/>
              <w:jc w:val="center"/>
              <w:rPr>
                <w:b/>
                <w:bCs/>
                <w:lang w:val="en-US"/>
              </w:rPr>
            </w:pPr>
            <w:r>
              <w:rPr>
                <w:b/>
                <w:bCs/>
                <w:lang w:val="en-US"/>
              </w:rPr>
              <w:t>Tax Shield (</w:t>
            </w:r>
            <w:r w:rsidRPr="00D46DD7">
              <w:rPr>
                <w:b/>
                <w:bCs/>
              </w:rPr>
              <w:t>£'000)</w:t>
            </w:r>
          </w:p>
        </w:tc>
        <w:tc>
          <w:tcPr>
            <w:tcW w:w="1288" w:type="dxa"/>
          </w:tcPr>
          <w:p w14:paraId="4E6CB28E" w14:textId="0FD0AB14" w:rsidR="00D46DD7" w:rsidRPr="00D46DD7" w:rsidRDefault="00D46DD7" w:rsidP="00D46DD7">
            <w:pPr>
              <w:spacing w:line="360" w:lineRule="auto"/>
              <w:jc w:val="center"/>
              <w:rPr>
                <w:b/>
                <w:bCs/>
                <w:lang w:val="en-US"/>
              </w:rPr>
            </w:pPr>
            <w:r>
              <w:rPr>
                <w:b/>
                <w:bCs/>
                <w:lang w:val="en-US"/>
              </w:rPr>
              <w:t>After-Tax Cash Flow (</w:t>
            </w:r>
            <w:r w:rsidRPr="00D46DD7">
              <w:rPr>
                <w:b/>
                <w:bCs/>
              </w:rPr>
              <w:t>£'000)</w:t>
            </w:r>
          </w:p>
        </w:tc>
        <w:tc>
          <w:tcPr>
            <w:tcW w:w="1288" w:type="dxa"/>
          </w:tcPr>
          <w:p w14:paraId="3B0AC67B" w14:textId="5C239A35" w:rsidR="00D46DD7" w:rsidRPr="00D46DD7" w:rsidRDefault="00D46DD7" w:rsidP="00D46DD7">
            <w:pPr>
              <w:spacing w:line="360" w:lineRule="auto"/>
              <w:jc w:val="center"/>
              <w:rPr>
                <w:b/>
                <w:bCs/>
                <w:lang w:val="en-US"/>
              </w:rPr>
            </w:pPr>
            <w:r>
              <w:rPr>
                <w:b/>
                <w:bCs/>
                <w:lang w:val="en-US"/>
              </w:rPr>
              <w:t>Discount Factor @ 6%</w:t>
            </w:r>
          </w:p>
        </w:tc>
        <w:tc>
          <w:tcPr>
            <w:tcW w:w="1288" w:type="dxa"/>
          </w:tcPr>
          <w:p w14:paraId="2EC6D6CF" w14:textId="77777777" w:rsidR="00D46DD7" w:rsidRDefault="00D46DD7" w:rsidP="00D46DD7">
            <w:pPr>
              <w:spacing w:line="360" w:lineRule="auto"/>
              <w:jc w:val="center"/>
              <w:rPr>
                <w:b/>
                <w:bCs/>
              </w:rPr>
            </w:pPr>
            <w:r>
              <w:rPr>
                <w:b/>
                <w:bCs/>
                <w:lang w:val="en-US"/>
              </w:rPr>
              <w:t>PV (</w:t>
            </w:r>
            <w:r w:rsidRPr="00D46DD7">
              <w:rPr>
                <w:b/>
                <w:bCs/>
              </w:rPr>
              <w:t>£'000)</w:t>
            </w:r>
          </w:p>
          <w:p w14:paraId="276D2ECF" w14:textId="3C4D2685" w:rsidR="009608C4" w:rsidRPr="00D46DD7" w:rsidRDefault="009608C4" w:rsidP="00D46DD7">
            <w:pPr>
              <w:spacing w:line="360" w:lineRule="auto"/>
              <w:jc w:val="center"/>
              <w:rPr>
                <w:b/>
                <w:bCs/>
                <w:lang w:val="en-US"/>
              </w:rPr>
            </w:pPr>
            <w:r>
              <w:rPr>
                <w:b/>
                <w:bCs/>
              </w:rPr>
              <w:t>(ATCF * DF)</w:t>
            </w:r>
          </w:p>
        </w:tc>
      </w:tr>
      <w:tr w:rsidR="00D46DD7" w14:paraId="6BA43F23" w14:textId="77777777" w:rsidTr="00D46DD7">
        <w:tc>
          <w:tcPr>
            <w:tcW w:w="1288" w:type="dxa"/>
          </w:tcPr>
          <w:p w14:paraId="597AAF58" w14:textId="72C2392F" w:rsidR="00D46DD7" w:rsidRDefault="009608C4" w:rsidP="00D46DD7">
            <w:pPr>
              <w:spacing w:line="360" w:lineRule="auto"/>
              <w:jc w:val="center"/>
              <w:rPr>
                <w:lang w:val="en-US"/>
              </w:rPr>
            </w:pPr>
            <w:r>
              <w:rPr>
                <w:lang w:val="en-US"/>
              </w:rPr>
              <w:t>0</w:t>
            </w:r>
          </w:p>
        </w:tc>
        <w:tc>
          <w:tcPr>
            <w:tcW w:w="1288" w:type="dxa"/>
          </w:tcPr>
          <w:p w14:paraId="52A5B755" w14:textId="7EAF80E4" w:rsidR="00D46DD7" w:rsidRDefault="009608C4" w:rsidP="00D46DD7">
            <w:pPr>
              <w:spacing w:line="360" w:lineRule="auto"/>
              <w:jc w:val="center"/>
              <w:rPr>
                <w:lang w:val="en-US"/>
              </w:rPr>
            </w:pPr>
            <w:r>
              <w:rPr>
                <w:lang w:val="en-US"/>
              </w:rPr>
              <w:t>(600)</w:t>
            </w:r>
          </w:p>
        </w:tc>
        <w:tc>
          <w:tcPr>
            <w:tcW w:w="1288" w:type="dxa"/>
          </w:tcPr>
          <w:p w14:paraId="3A771517" w14:textId="73881A11" w:rsidR="00D46DD7" w:rsidRDefault="009608C4" w:rsidP="00D46DD7">
            <w:pPr>
              <w:spacing w:line="360" w:lineRule="auto"/>
              <w:jc w:val="center"/>
              <w:rPr>
                <w:lang w:val="en-US"/>
              </w:rPr>
            </w:pPr>
            <w:r>
              <w:rPr>
                <w:lang w:val="en-US"/>
              </w:rPr>
              <w:t>0</w:t>
            </w:r>
          </w:p>
        </w:tc>
        <w:tc>
          <w:tcPr>
            <w:tcW w:w="1288" w:type="dxa"/>
          </w:tcPr>
          <w:p w14:paraId="0570EBB3" w14:textId="475CFBFB" w:rsidR="00D46DD7" w:rsidRDefault="009608C4" w:rsidP="00D46DD7">
            <w:pPr>
              <w:spacing w:line="360" w:lineRule="auto"/>
              <w:jc w:val="center"/>
              <w:rPr>
                <w:lang w:val="en-US"/>
              </w:rPr>
            </w:pPr>
            <w:r>
              <w:rPr>
                <w:lang w:val="en-US"/>
              </w:rPr>
              <w:t>0</w:t>
            </w:r>
          </w:p>
        </w:tc>
        <w:tc>
          <w:tcPr>
            <w:tcW w:w="1288" w:type="dxa"/>
          </w:tcPr>
          <w:p w14:paraId="580EEB6C" w14:textId="3A0C0B0A" w:rsidR="00D46DD7" w:rsidRDefault="009608C4" w:rsidP="00D46DD7">
            <w:pPr>
              <w:spacing w:line="360" w:lineRule="auto"/>
              <w:jc w:val="center"/>
              <w:rPr>
                <w:lang w:val="en-US"/>
              </w:rPr>
            </w:pPr>
            <w:r>
              <w:rPr>
                <w:lang w:val="en-US"/>
              </w:rPr>
              <w:t>(600)</w:t>
            </w:r>
          </w:p>
        </w:tc>
        <w:tc>
          <w:tcPr>
            <w:tcW w:w="1288" w:type="dxa"/>
          </w:tcPr>
          <w:p w14:paraId="4F6A6D51" w14:textId="72CA7B45" w:rsidR="00D46DD7" w:rsidRDefault="009608C4" w:rsidP="00D46DD7">
            <w:pPr>
              <w:spacing w:line="360" w:lineRule="auto"/>
              <w:jc w:val="center"/>
              <w:rPr>
                <w:lang w:val="en-US"/>
              </w:rPr>
            </w:pPr>
            <w:r>
              <w:rPr>
                <w:lang w:val="en-US"/>
              </w:rPr>
              <w:t>1.00</w:t>
            </w:r>
          </w:p>
        </w:tc>
        <w:tc>
          <w:tcPr>
            <w:tcW w:w="1288" w:type="dxa"/>
          </w:tcPr>
          <w:p w14:paraId="40F0A986" w14:textId="5C248B75" w:rsidR="00D46DD7" w:rsidRDefault="009608C4" w:rsidP="00D46DD7">
            <w:pPr>
              <w:spacing w:line="360" w:lineRule="auto"/>
              <w:jc w:val="center"/>
              <w:rPr>
                <w:lang w:val="en-US"/>
              </w:rPr>
            </w:pPr>
            <w:r>
              <w:rPr>
                <w:lang w:val="en-US"/>
              </w:rPr>
              <w:t>(600)</w:t>
            </w:r>
          </w:p>
        </w:tc>
      </w:tr>
      <w:tr w:rsidR="00D46DD7" w14:paraId="7E8DDA5D" w14:textId="77777777" w:rsidTr="00D46DD7">
        <w:tc>
          <w:tcPr>
            <w:tcW w:w="1288" w:type="dxa"/>
          </w:tcPr>
          <w:p w14:paraId="17170A2B" w14:textId="2018C5AC" w:rsidR="00D46DD7" w:rsidRDefault="009608C4" w:rsidP="00D46DD7">
            <w:pPr>
              <w:spacing w:line="360" w:lineRule="auto"/>
              <w:jc w:val="center"/>
              <w:rPr>
                <w:lang w:val="en-US"/>
              </w:rPr>
            </w:pPr>
            <w:r>
              <w:rPr>
                <w:lang w:val="en-US"/>
              </w:rPr>
              <w:t>1</w:t>
            </w:r>
          </w:p>
        </w:tc>
        <w:tc>
          <w:tcPr>
            <w:tcW w:w="1288" w:type="dxa"/>
          </w:tcPr>
          <w:p w14:paraId="69EDCF30" w14:textId="5CFA6321" w:rsidR="00D46DD7" w:rsidRDefault="009608C4" w:rsidP="00D46DD7">
            <w:pPr>
              <w:spacing w:line="360" w:lineRule="auto"/>
              <w:jc w:val="center"/>
              <w:rPr>
                <w:lang w:val="en-US"/>
              </w:rPr>
            </w:pPr>
            <w:r>
              <w:rPr>
                <w:lang w:val="en-US"/>
              </w:rPr>
              <w:t>200</w:t>
            </w:r>
          </w:p>
        </w:tc>
        <w:tc>
          <w:tcPr>
            <w:tcW w:w="1288" w:type="dxa"/>
          </w:tcPr>
          <w:p w14:paraId="63324DC9" w14:textId="0C08D3FA" w:rsidR="00D46DD7" w:rsidRDefault="009608C4" w:rsidP="00D46DD7">
            <w:pPr>
              <w:spacing w:line="360" w:lineRule="auto"/>
              <w:jc w:val="center"/>
              <w:rPr>
                <w:lang w:val="en-US"/>
              </w:rPr>
            </w:pPr>
            <w:r>
              <w:rPr>
                <w:lang w:val="en-US"/>
              </w:rPr>
              <w:t>(50)</w:t>
            </w:r>
          </w:p>
        </w:tc>
        <w:tc>
          <w:tcPr>
            <w:tcW w:w="1288" w:type="dxa"/>
          </w:tcPr>
          <w:p w14:paraId="1BDF00B2" w14:textId="4A27EFEE" w:rsidR="00D46DD7" w:rsidRDefault="009608C4" w:rsidP="00D46DD7">
            <w:pPr>
              <w:spacing w:line="360" w:lineRule="auto"/>
              <w:jc w:val="center"/>
              <w:rPr>
                <w:lang w:val="en-US"/>
              </w:rPr>
            </w:pPr>
            <w:r>
              <w:rPr>
                <w:lang w:val="en-US"/>
              </w:rPr>
              <w:t>30</w:t>
            </w:r>
          </w:p>
        </w:tc>
        <w:tc>
          <w:tcPr>
            <w:tcW w:w="1288" w:type="dxa"/>
          </w:tcPr>
          <w:p w14:paraId="552A7CFC" w14:textId="0F9A46E9" w:rsidR="00D46DD7" w:rsidRDefault="009608C4" w:rsidP="00D46DD7">
            <w:pPr>
              <w:spacing w:line="360" w:lineRule="auto"/>
              <w:jc w:val="center"/>
              <w:rPr>
                <w:lang w:val="en-US"/>
              </w:rPr>
            </w:pPr>
            <w:r>
              <w:rPr>
                <w:lang w:val="en-US"/>
              </w:rPr>
              <w:t>180</w:t>
            </w:r>
          </w:p>
        </w:tc>
        <w:tc>
          <w:tcPr>
            <w:tcW w:w="1288" w:type="dxa"/>
          </w:tcPr>
          <w:p w14:paraId="5A09C4F5" w14:textId="46FBA1DD" w:rsidR="00D46DD7" w:rsidRDefault="009608C4" w:rsidP="00D46DD7">
            <w:pPr>
              <w:spacing w:line="360" w:lineRule="auto"/>
              <w:jc w:val="center"/>
              <w:rPr>
                <w:lang w:val="en-US"/>
              </w:rPr>
            </w:pPr>
            <w:r>
              <w:rPr>
                <w:lang w:val="en-US"/>
              </w:rPr>
              <w:t>0.9434</w:t>
            </w:r>
          </w:p>
        </w:tc>
        <w:tc>
          <w:tcPr>
            <w:tcW w:w="1288" w:type="dxa"/>
          </w:tcPr>
          <w:p w14:paraId="43D5DD0B" w14:textId="238315E9" w:rsidR="00D46DD7" w:rsidRDefault="009608C4" w:rsidP="00D46DD7">
            <w:pPr>
              <w:spacing w:line="360" w:lineRule="auto"/>
              <w:jc w:val="center"/>
              <w:rPr>
                <w:lang w:val="en-US"/>
              </w:rPr>
            </w:pPr>
            <w:r>
              <w:rPr>
                <w:lang w:val="en-US"/>
              </w:rPr>
              <w:t>169.81</w:t>
            </w:r>
          </w:p>
        </w:tc>
      </w:tr>
      <w:tr w:rsidR="00D46DD7" w14:paraId="27FAAFB4" w14:textId="77777777" w:rsidTr="00D46DD7">
        <w:tc>
          <w:tcPr>
            <w:tcW w:w="1288" w:type="dxa"/>
          </w:tcPr>
          <w:p w14:paraId="22FF2D27" w14:textId="71642C3A" w:rsidR="00D46DD7" w:rsidRDefault="009608C4" w:rsidP="00D46DD7">
            <w:pPr>
              <w:spacing w:line="360" w:lineRule="auto"/>
              <w:jc w:val="center"/>
              <w:rPr>
                <w:lang w:val="en-US"/>
              </w:rPr>
            </w:pPr>
            <w:r>
              <w:rPr>
                <w:lang w:val="en-US"/>
              </w:rPr>
              <w:t>2</w:t>
            </w:r>
          </w:p>
        </w:tc>
        <w:tc>
          <w:tcPr>
            <w:tcW w:w="1288" w:type="dxa"/>
          </w:tcPr>
          <w:p w14:paraId="32740550" w14:textId="7241AE7E" w:rsidR="00D46DD7" w:rsidRDefault="009608C4" w:rsidP="00D46DD7">
            <w:pPr>
              <w:spacing w:line="360" w:lineRule="auto"/>
              <w:jc w:val="center"/>
              <w:rPr>
                <w:lang w:val="en-US"/>
              </w:rPr>
            </w:pPr>
            <w:r>
              <w:rPr>
                <w:lang w:val="en-US"/>
              </w:rPr>
              <w:t>400</w:t>
            </w:r>
          </w:p>
        </w:tc>
        <w:tc>
          <w:tcPr>
            <w:tcW w:w="1288" w:type="dxa"/>
          </w:tcPr>
          <w:p w14:paraId="27FCA73B" w14:textId="1B10AF73" w:rsidR="00D46DD7" w:rsidRDefault="009608C4" w:rsidP="00D46DD7">
            <w:pPr>
              <w:spacing w:line="360" w:lineRule="auto"/>
              <w:jc w:val="center"/>
              <w:rPr>
                <w:lang w:val="en-US"/>
              </w:rPr>
            </w:pPr>
            <w:r>
              <w:rPr>
                <w:lang w:val="en-US"/>
              </w:rPr>
              <w:t>(100)</w:t>
            </w:r>
          </w:p>
        </w:tc>
        <w:tc>
          <w:tcPr>
            <w:tcW w:w="1288" w:type="dxa"/>
          </w:tcPr>
          <w:p w14:paraId="22A83BC1" w14:textId="4E69149A" w:rsidR="00D46DD7" w:rsidRDefault="009608C4" w:rsidP="00D46DD7">
            <w:pPr>
              <w:spacing w:line="360" w:lineRule="auto"/>
              <w:jc w:val="center"/>
              <w:rPr>
                <w:lang w:val="en-US"/>
              </w:rPr>
            </w:pPr>
            <w:r>
              <w:rPr>
                <w:lang w:val="en-US"/>
              </w:rPr>
              <w:t>30</w:t>
            </w:r>
          </w:p>
        </w:tc>
        <w:tc>
          <w:tcPr>
            <w:tcW w:w="1288" w:type="dxa"/>
          </w:tcPr>
          <w:p w14:paraId="2B09333B" w14:textId="49CFCC99" w:rsidR="00D46DD7" w:rsidRDefault="009608C4" w:rsidP="00D46DD7">
            <w:pPr>
              <w:spacing w:line="360" w:lineRule="auto"/>
              <w:jc w:val="center"/>
              <w:rPr>
                <w:lang w:val="en-US"/>
              </w:rPr>
            </w:pPr>
            <w:r>
              <w:rPr>
                <w:lang w:val="en-US"/>
              </w:rPr>
              <w:t>330</w:t>
            </w:r>
          </w:p>
        </w:tc>
        <w:tc>
          <w:tcPr>
            <w:tcW w:w="1288" w:type="dxa"/>
          </w:tcPr>
          <w:p w14:paraId="1AFF294A" w14:textId="0156830E" w:rsidR="00D46DD7" w:rsidRDefault="009608C4" w:rsidP="00D46DD7">
            <w:pPr>
              <w:spacing w:line="360" w:lineRule="auto"/>
              <w:jc w:val="center"/>
              <w:rPr>
                <w:lang w:val="en-US"/>
              </w:rPr>
            </w:pPr>
            <w:r>
              <w:rPr>
                <w:lang w:val="en-US"/>
              </w:rPr>
              <w:t>0.8900</w:t>
            </w:r>
          </w:p>
        </w:tc>
        <w:tc>
          <w:tcPr>
            <w:tcW w:w="1288" w:type="dxa"/>
          </w:tcPr>
          <w:p w14:paraId="49DFC0F7" w14:textId="1F7EBD7C" w:rsidR="00D46DD7" w:rsidRDefault="009608C4" w:rsidP="00D46DD7">
            <w:pPr>
              <w:spacing w:line="360" w:lineRule="auto"/>
              <w:jc w:val="center"/>
              <w:rPr>
                <w:lang w:val="en-US"/>
              </w:rPr>
            </w:pPr>
            <w:r>
              <w:rPr>
                <w:lang w:val="en-US"/>
              </w:rPr>
              <w:t>293.70</w:t>
            </w:r>
          </w:p>
        </w:tc>
      </w:tr>
      <w:tr w:rsidR="00D46DD7" w14:paraId="052E4853" w14:textId="77777777" w:rsidTr="00D46DD7">
        <w:tc>
          <w:tcPr>
            <w:tcW w:w="1288" w:type="dxa"/>
          </w:tcPr>
          <w:p w14:paraId="57335C6A" w14:textId="2B01979F" w:rsidR="00D46DD7" w:rsidRDefault="009608C4" w:rsidP="00D46DD7">
            <w:pPr>
              <w:spacing w:line="360" w:lineRule="auto"/>
              <w:jc w:val="center"/>
              <w:rPr>
                <w:lang w:val="en-US"/>
              </w:rPr>
            </w:pPr>
            <w:r>
              <w:rPr>
                <w:lang w:val="en-US"/>
              </w:rPr>
              <w:t>3</w:t>
            </w:r>
          </w:p>
        </w:tc>
        <w:tc>
          <w:tcPr>
            <w:tcW w:w="1288" w:type="dxa"/>
          </w:tcPr>
          <w:p w14:paraId="686D280C" w14:textId="112C76A2" w:rsidR="00D46DD7" w:rsidRDefault="009608C4" w:rsidP="00D46DD7">
            <w:pPr>
              <w:spacing w:line="360" w:lineRule="auto"/>
              <w:jc w:val="center"/>
              <w:rPr>
                <w:lang w:val="en-US"/>
              </w:rPr>
            </w:pPr>
            <w:r>
              <w:rPr>
                <w:lang w:val="en-US"/>
              </w:rPr>
              <w:t>500</w:t>
            </w:r>
          </w:p>
        </w:tc>
        <w:tc>
          <w:tcPr>
            <w:tcW w:w="1288" w:type="dxa"/>
          </w:tcPr>
          <w:p w14:paraId="3EA63086" w14:textId="017A478D" w:rsidR="00D46DD7" w:rsidRDefault="009608C4" w:rsidP="00D46DD7">
            <w:pPr>
              <w:spacing w:line="360" w:lineRule="auto"/>
              <w:jc w:val="center"/>
              <w:rPr>
                <w:lang w:val="en-US"/>
              </w:rPr>
            </w:pPr>
            <w:r>
              <w:rPr>
                <w:lang w:val="en-US"/>
              </w:rPr>
              <w:t>(125)</w:t>
            </w:r>
          </w:p>
        </w:tc>
        <w:tc>
          <w:tcPr>
            <w:tcW w:w="1288" w:type="dxa"/>
          </w:tcPr>
          <w:p w14:paraId="08A04832" w14:textId="3CD2D625" w:rsidR="00D46DD7" w:rsidRDefault="009608C4" w:rsidP="00D46DD7">
            <w:pPr>
              <w:spacing w:line="360" w:lineRule="auto"/>
              <w:jc w:val="center"/>
              <w:rPr>
                <w:lang w:val="en-US"/>
              </w:rPr>
            </w:pPr>
            <w:r>
              <w:rPr>
                <w:lang w:val="en-US"/>
              </w:rPr>
              <w:t>30</w:t>
            </w:r>
          </w:p>
        </w:tc>
        <w:tc>
          <w:tcPr>
            <w:tcW w:w="1288" w:type="dxa"/>
          </w:tcPr>
          <w:p w14:paraId="07FE4C88" w14:textId="0071E572" w:rsidR="00D46DD7" w:rsidRDefault="009608C4" w:rsidP="00D46DD7">
            <w:pPr>
              <w:spacing w:line="360" w:lineRule="auto"/>
              <w:jc w:val="center"/>
              <w:rPr>
                <w:lang w:val="en-US"/>
              </w:rPr>
            </w:pPr>
            <w:r>
              <w:rPr>
                <w:lang w:val="en-US"/>
              </w:rPr>
              <w:t>405</w:t>
            </w:r>
          </w:p>
        </w:tc>
        <w:tc>
          <w:tcPr>
            <w:tcW w:w="1288" w:type="dxa"/>
          </w:tcPr>
          <w:p w14:paraId="41CAB0E2" w14:textId="31FEE031" w:rsidR="00D46DD7" w:rsidRDefault="009608C4" w:rsidP="00D46DD7">
            <w:pPr>
              <w:spacing w:line="360" w:lineRule="auto"/>
              <w:jc w:val="center"/>
              <w:rPr>
                <w:lang w:val="en-US"/>
              </w:rPr>
            </w:pPr>
            <w:r>
              <w:rPr>
                <w:lang w:val="en-US"/>
              </w:rPr>
              <w:t>0.8396</w:t>
            </w:r>
          </w:p>
        </w:tc>
        <w:tc>
          <w:tcPr>
            <w:tcW w:w="1288" w:type="dxa"/>
          </w:tcPr>
          <w:p w14:paraId="17F09FC7" w14:textId="74730D67" w:rsidR="00D46DD7" w:rsidRDefault="009608C4" w:rsidP="00D46DD7">
            <w:pPr>
              <w:spacing w:line="360" w:lineRule="auto"/>
              <w:jc w:val="center"/>
              <w:rPr>
                <w:lang w:val="en-US"/>
              </w:rPr>
            </w:pPr>
            <w:r>
              <w:rPr>
                <w:lang w:val="en-US"/>
              </w:rPr>
              <w:t>340.04</w:t>
            </w:r>
          </w:p>
        </w:tc>
      </w:tr>
      <w:tr w:rsidR="00D46DD7" w14:paraId="52DF3D67" w14:textId="77777777" w:rsidTr="00D46DD7">
        <w:tc>
          <w:tcPr>
            <w:tcW w:w="1288" w:type="dxa"/>
          </w:tcPr>
          <w:p w14:paraId="5B994003" w14:textId="77226DA0" w:rsidR="00D46DD7" w:rsidRDefault="009608C4" w:rsidP="00D46DD7">
            <w:pPr>
              <w:spacing w:line="360" w:lineRule="auto"/>
              <w:jc w:val="center"/>
              <w:rPr>
                <w:lang w:val="en-US"/>
              </w:rPr>
            </w:pPr>
            <w:r>
              <w:rPr>
                <w:lang w:val="en-US"/>
              </w:rPr>
              <w:t>4</w:t>
            </w:r>
          </w:p>
        </w:tc>
        <w:tc>
          <w:tcPr>
            <w:tcW w:w="1288" w:type="dxa"/>
          </w:tcPr>
          <w:p w14:paraId="2139A535" w14:textId="768BFD7A" w:rsidR="00D46DD7" w:rsidRDefault="009608C4" w:rsidP="00D46DD7">
            <w:pPr>
              <w:spacing w:line="360" w:lineRule="auto"/>
              <w:jc w:val="center"/>
              <w:rPr>
                <w:lang w:val="en-US"/>
              </w:rPr>
            </w:pPr>
            <w:r>
              <w:rPr>
                <w:lang w:val="en-US"/>
              </w:rPr>
              <w:t>700</w:t>
            </w:r>
          </w:p>
        </w:tc>
        <w:tc>
          <w:tcPr>
            <w:tcW w:w="1288" w:type="dxa"/>
          </w:tcPr>
          <w:p w14:paraId="3B83AE3B" w14:textId="41DEE5ED" w:rsidR="00D46DD7" w:rsidRDefault="009608C4" w:rsidP="00D46DD7">
            <w:pPr>
              <w:spacing w:line="360" w:lineRule="auto"/>
              <w:jc w:val="center"/>
              <w:rPr>
                <w:lang w:val="en-US"/>
              </w:rPr>
            </w:pPr>
            <w:r>
              <w:rPr>
                <w:lang w:val="en-US"/>
              </w:rPr>
              <w:t>(175)</w:t>
            </w:r>
          </w:p>
        </w:tc>
        <w:tc>
          <w:tcPr>
            <w:tcW w:w="1288" w:type="dxa"/>
          </w:tcPr>
          <w:p w14:paraId="45BFEE51" w14:textId="1E0A4ABB" w:rsidR="00D46DD7" w:rsidRDefault="009608C4" w:rsidP="00D46DD7">
            <w:pPr>
              <w:spacing w:line="360" w:lineRule="auto"/>
              <w:jc w:val="center"/>
              <w:rPr>
                <w:lang w:val="en-US"/>
              </w:rPr>
            </w:pPr>
            <w:r>
              <w:rPr>
                <w:lang w:val="en-US"/>
              </w:rPr>
              <w:t>30</w:t>
            </w:r>
          </w:p>
        </w:tc>
        <w:tc>
          <w:tcPr>
            <w:tcW w:w="1288" w:type="dxa"/>
          </w:tcPr>
          <w:p w14:paraId="6F266DF1" w14:textId="7AB77B2B" w:rsidR="00D46DD7" w:rsidRDefault="009608C4" w:rsidP="00D46DD7">
            <w:pPr>
              <w:spacing w:line="360" w:lineRule="auto"/>
              <w:jc w:val="center"/>
              <w:rPr>
                <w:lang w:val="en-US"/>
              </w:rPr>
            </w:pPr>
            <w:r>
              <w:rPr>
                <w:lang w:val="en-US"/>
              </w:rPr>
              <w:t>555</w:t>
            </w:r>
          </w:p>
        </w:tc>
        <w:tc>
          <w:tcPr>
            <w:tcW w:w="1288" w:type="dxa"/>
          </w:tcPr>
          <w:p w14:paraId="3054B28F" w14:textId="6C2D98F2" w:rsidR="00D46DD7" w:rsidRDefault="009608C4" w:rsidP="00D46DD7">
            <w:pPr>
              <w:spacing w:line="360" w:lineRule="auto"/>
              <w:jc w:val="center"/>
              <w:rPr>
                <w:lang w:val="en-US"/>
              </w:rPr>
            </w:pPr>
            <w:r>
              <w:rPr>
                <w:lang w:val="en-US"/>
              </w:rPr>
              <w:t>0.7921</w:t>
            </w:r>
          </w:p>
        </w:tc>
        <w:tc>
          <w:tcPr>
            <w:tcW w:w="1288" w:type="dxa"/>
          </w:tcPr>
          <w:p w14:paraId="3C52E31A" w14:textId="1EA713A2" w:rsidR="00D46DD7" w:rsidRDefault="009608C4" w:rsidP="00D46DD7">
            <w:pPr>
              <w:spacing w:line="360" w:lineRule="auto"/>
              <w:jc w:val="center"/>
              <w:rPr>
                <w:lang w:val="en-US"/>
              </w:rPr>
            </w:pPr>
            <w:r>
              <w:rPr>
                <w:lang w:val="en-US"/>
              </w:rPr>
              <w:t>439.62</w:t>
            </w:r>
          </w:p>
        </w:tc>
      </w:tr>
      <w:tr w:rsidR="009608C4" w14:paraId="4F320F80" w14:textId="77777777" w:rsidTr="00D46DD7">
        <w:tc>
          <w:tcPr>
            <w:tcW w:w="1288" w:type="dxa"/>
          </w:tcPr>
          <w:p w14:paraId="17577DC2" w14:textId="77777777" w:rsidR="009608C4" w:rsidRDefault="009608C4" w:rsidP="00D46DD7">
            <w:pPr>
              <w:spacing w:line="360" w:lineRule="auto"/>
              <w:jc w:val="center"/>
              <w:rPr>
                <w:lang w:val="en-US"/>
              </w:rPr>
            </w:pPr>
          </w:p>
        </w:tc>
        <w:tc>
          <w:tcPr>
            <w:tcW w:w="1288" w:type="dxa"/>
          </w:tcPr>
          <w:p w14:paraId="128046EF" w14:textId="77777777" w:rsidR="009608C4" w:rsidRDefault="009608C4" w:rsidP="00D46DD7">
            <w:pPr>
              <w:spacing w:line="360" w:lineRule="auto"/>
              <w:jc w:val="center"/>
              <w:rPr>
                <w:lang w:val="en-US"/>
              </w:rPr>
            </w:pPr>
          </w:p>
        </w:tc>
        <w:tc>
          <w:tcPr>
            <w:tcW w:w="1288" w:type="dxa"/>
          </w:tcPr>
          <w:p w14:paraId="5E2DEEED" w14:textId="77777777" w:rsidR="009608C4" w:rsidRDefault="009608C4" w:rsidP="00D46DD7">
            <w:pPr>
              <w:spacing w:line="360" w:lineRule="auto"/>
              <w:jc w:val="center"/>
              <w:rPr>
                <w:lang w:val="en-US"/>
              </w:rPr>
            </w:pPr>
          </w:p>
        </w:tc>
        <w:tc>
          <w:tcPr>
            <w:tcW w:w="1288" w:type="dxa"/>
          </w:tcPr>
          <w:p w14:paraId="2333EB77" w14:textId="77777777" w:rsidR="009608C4" w:rsidRDefault="009608C4" w:rsidP="00D46DD7">
            <w:pPr>
              <w:spacing w:line="360" w:lineRule="auto"/>
              <w:jc w:val="center"/>
              <w:rPr>
                <w:lang w:val="en-US"/>
              </w:rPr>
            </w:pPr>
          </w:p>
        </w:tc>
        <w:tc>
          <w:tcPr>
            <w:tcW w:w="1288" w:type="dxa"/>
          </w:tcPr>
          <w:p w14:paraId="19DD0741" w14:textId="77777777" w:rsidR="009608C4" w:rsidRDefault="009608C4" w:rsidP="00D46DD7">
            <w:pPr>
              <w:spacing w:line="360" w:lineRule="auto"/>
              <w:jc w:val="center"/>
              <w:rPr>
                <w:lang w:val="en-US"/>
              </w:rPr>
            </w:pPr>
          </w:p>
        </w:tc>
        <w:tc>
          <w:tcPr>
            <w:tcW w:w="1288" w:type="dxa"/>
          </w:tcPr>
          <w:p w14:paraId="4F6C05FB" w14:textId="676A015E" w:rsidR="009608C4" w:rsidRPr="009608C4" w:rsidRDefault="008C0C9A" w:rsidP="00D46DD7">
            <w:pPr>
              <w:spacing w:line="360" w:lineRule="auto"/>
              <w:jc w:val="center"/>
              <w:rPr>
                <w:b/>
                <w:bCs/>
                <w:lang w:val="en-US"/>
              </w:rPr>
            </w:pPr>
            <w:r>
              <w:rPr>
                <w:b/>
                <w:bCs/>
                <w:lang w:val="en-US"/>
              </w:rPr>
              <w:t>N</w:t>
            </w:r>
            <w:r w:rsidR="009608C4" w:rsidRPr="009608C4">
              <w:rPr>
                <w:b/>
                <w:bCs/>
                <w:lang w:val="en-US"/>
              </w:rPr>
              <w:t>PV</w:t>
            </w:r>
          </w:p>
        </w:tc>
        <w:tc>
          <w:tcPr>
            <w:tcW w:w="1288" w:type="dxa"/>
          </w:tcPr>
          <w:p w14:paraId="7E2E3EF4" w14:textId="780A1BD6" w:rsidR="009608C4" w:rsidRPr="009608C4" w:rsidRDefault="009608C4" w:rsidP="00D46DD7">
            <w:pPr>
              <w:spacing w:line="360" w:lineRule="auto"/>
              <w:jc w:val="center"/>
              <w:rPr>
                <w:b/>
                <w:bCs/>
                <w:lang w:val="en-US"/>
              </w:rPr>
            </w:pPr>
            <w:r w:rsidRPr="009608C4">
              <w:rPr>
                <w:b/>
                <w:bCs/>
                <w:lang w:val="en-US"/>
              </w:rPr>
              <w:t>643.1</w:t>
            </w:r>
            <w:r w:rsidR="00FB3A35">
              <w:rPr>
                <w:b/>
                <w:bCs/>
                <w:lang w:val="en-US"/>
              </w:rPr>
              <w:t>65</w:t>
            </w:r>
          </w:p>
        </w:tc>
      </w:tr>
    </w:tbl>
    <w:p w14:paraId="6705E4E9" w14:textId="566A8126" w:rsidR="009608C4" w:rsidRPr="009608C4" w:rsidRDefault="009608C4" w:rsidP="009608C4">
      <w:pPr>
        <w:spacing w:line="360" w:lineRule="auto"/>
        <w:rPr>
          <w:lang w:val="en-US"/>
        </w:rPr>
      </w:pPr>
      <w:r>
        <w:rPr>
          <w:b/>
          <w:bCs/>
          <w:lang w:val="en-US"/>
        </w:rPr>
        <w:t xml:space="preserve">Option – B: </w:t>
      </w:r>
      <w:r>
        <w:rPr>
          <w:lang w:val="en-US"/>
        </w:rPr>
        <w:t>Internet Sales Development</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9608C4" w14:paraId="44609B74" w14:textId="77777777" w:rsidTr="00E81AC4">
        <w:tc>
          <w:tcPr>
            <w:tcW w:w="1288" w:type="dxa"/>
          </w:tcPr>
          <w:p w14:paraId="682BA4B2" w14:textId="77777777" w:rsidR="009608C4" w:rsidRPr="00D46DD7" w:rsidRDefault="009608C4" w:rsidP="00E81AC4">
            <w:pPr>
              <w:spacing w:line="360" w:lineRule="auto"/>
              <w:jc w:val="center"/>
              <w:rPr>
                <w:b/>
                <w:bCs/>
                <w:lang w:val="en-US"/>
              </w:rPr>
            </w:pPr>
            <w:r>
              <w:rPr>
                <w:b/>
                <w:bCs/>
                <w:lang w:val="en-US"/>
              </w:rPr>
              <w:t>Year</w:t>
            </w:r>
          </w:p>
        </w:tc>
        <w:tc>
          <w:tcPr>
            <w:tcW w:w="1288" w:type="dxa"/>
          </w:tcPr>
          <w:p w14:paraId="6D5A29A3" w14:textId="77777777" w:rsidR="009608C4" w:rsidRPr="00D46DD7" w:rsidRDefault="009608C4" w:rsidP="00E81AC4">
            <w:pPr>
              <w:spacing w:line="360" w:lineRule="auto"/>
              <w:jc w:val="center"/>
              <w:rPr>
                <w:b/>
                <w:bCs/>
                <w:lang w:val="en-US"/>
              </w:rPr>
            </w:pPr>
            <w:r>
              <w:rPr>
                <w:b/>
                <w:bCs/>
                <w:lang w:val="en-US"/>
              </w:rPr>
              <w:t>Pre-Tax Cash Flow (</w:t>
            </w:r>
            <w:r w:rsidRPr="00D46DD7">
              <w:rPr>
                <w:b/>
                <w:bCs/>
              </w:rPr>
              <w:t>£'000)</w:t>
            </w:r>
          </w:p>
        </w:tc>
        <w:tc>
          <w:tcPr>
            <w:tcW w:w="1288" w:type="dxa"/>
          </w:tcPr>
          <w:p w14:paraId="36FC3E6A" w14:textId="77777777" w:rsidR="009608C4" w:rsidRPr="00D46DD7" w:rsidRDefault="009608C4" w:rsidP="00E81AC4">
            <w:pPr>
              <w:spacing w:line="360" w:lineRule="auto"/>
              <w:jc w:val="center"/>
              <w:rPr>
                <w:b/>
                <w:bCs/>
                <w:lang w:val="en-US"/>
              </w:rPr>
            </w:pPr>
            <w:r>
              <w:rPr>
                <w:b/>
                <w:bCs/>
                <w:lang w:val="en-US"/>
              </w:rPr>
              <w:t>Tax at 25% (</w:t>
            </w:r>
            <w:r w:rsidRPr="00D46DD7">
              <w:rPr>
                <w:b/>
                <w:bCs/>
              </w:rPr>
              <w:t>£'000)</w:t>
            </w:r>
          </w:p>
        </w:tc>
        <w:tc>
          <w:tcPr>
            <w:tcW w:w="1288" w:type="dxa"/>
          </w:tcPr>
          <w:p w14:paraId="05F32714" w14:textId="77777777" w:rsidR="009608C4" w:rsidRPr="00D46DD7" w:rsidRDefault="009608C4" w:rsidP="00E81AC4">
            <w:pPr>
              <w:spacing w:line="360" w:lineRule="auto"/>
              <w:jc w:val="center"/>
              <w:rPr>
                <w:b/>
                <w:bCs/>
                <w:lang w:val="en-US"/>
              </w:rPr>
            </w:pPr>
            <w:r>
              <w:rPr>
                <w:b/>
                <w:bCs/>
                <w:lang w:val="en-US"/>
              </w:rPr>
              <w:t>Tax Shield (</w:t>
            </w:r>
            <w:r w:rsidRPr="00D46DD7">
              <w:rPr>
                <w:b/>
                <w:bCs/>
              </w:rPr>
              <w:t>£'000)</w:t>
            </w:r>
          </w:p>
        </w:tc>
        <w:tc>
          <w:tcPr>
            <w:tcW w:w="1288" w:type="dxa"/>
          </w:tcPr>
          <w:p w14:paraId="5C2ED114" w14:textId="77777777" w:rsidR="009608C4" w:rsidRPr="00D46DD7" w:rsidRDefault="009608C4" w:rsidP="00E81AC4">
            <w:pPr>
              <w:spacing w:line="360" w:lineRule="auto"/>
              <w:jc w:val="center"/>
              <w:rPr>
                <w:b/>
                <w:bCs/>
                <w:lang w:val="en-US"/>
              </w:rPr>
            </w:pPr>
            <w:r>
              <w:rPr>
                <w:b/>
                <w:bCs/>
                <w:lang w:val="en-US"/>
              </w:rPr>
              <w:t>After-Tax Cash Flow (</w:t>
            </w:r>
            <w:r w:rsidRPr="00D46DD7">
              <w:rPr>
                <w:b/>
                <w:bCs/>
              </w:rPr>
              <w:t>£'000)</w:t>
            </w:r>
          </w:p>
        </w:tc>
        <w:tc>
          <w:tcPr>
            <w:tcW w:w="1288" w:type="dxa"/>
          </w:tcPr>
          <w:p w14:paraId="0B17C98E" w14:textId="77777777" w:rsidR="009608C4" w:rsidRPr="00D46DD7" w:rsidRDefault="009608C4" w:rsidP="00E81AC4">
            <w:pPr>
              <w:spacing w:line="360" w:lineRule="auto"/>
              <w:jc w:val="center"/>
              <w:rPr>
                <w:b/>
                <w:bCs/>
                <w:lang w:val="en-US"/>
              </w:rPr>
            </w:pPr>
            <w:r>
              <w:rPr>
                <w:b/>
                <w:bCs/>
                <w:lang w:val="en-US"/>
              </w:rPr>
              <w:t>Discount Factor @ 6%</w:t>
            </w:r>
          </w:p>
        </w:tc>
        <w:tc>
          <w:tcPr>
            <w:tcW w:w="1288" w:type="dxa"/>
          </w:tcPr>
          <w:p w14:paraId="2A9C0588" w14:textId="77777777" w:rsidR="009608C4" w:rsidRDefault="009608C4" w:rsidP="00E81AC4">
            <w:pPr>
              <w:spacing w:line="360" w:lineRule="auto"/>
              <w:jc w:val="center"/>
              <w:rPr>
                <w:b/>
                <w:bCs/>
              </w:rPr>
            </w:pPr>
            <w:r>
              <w:rPr>
                <w:b/>
                <w:bCs/>
                <w:lang w:val="en-US"/>
              </w:rPr>
              <w:t>PV (</w:t>
            </w:r>
            <w:r w:rsidRPr="00D46DD7">
              <w:rPr>
                <w:b/>
                <w:bCs/>
              </w:rPr>
              <w:t>£'000)</w:t>
            </w:r>
          </w:p>
          <w:p w14:paraId="3E8D0E0B" w14:textId="77777777" w:rsidR="009608C4" w:rsidRPr="00D46DD7" w:rsidRDefault="009608C4" w:rsidP="00E81AC4">
            <w:pPr>
              <w:spacing w:line="360" w:lineRule="auto"/>
              <w:jc w:val="center"/>
              <w:rPr>
                <w:b/>
                <w:bCs/>
                <w:lang w:val="en-US"/>
              </w:rPr>
            </w:pPr>
            <w:r>
              <w:rPr>
                <w:b/>
                <w:bCs/>
              </w:rPr>
              <w:t>(ATCF * DF)</w:t>
            </w:r>
          </w:p>
        </w:tc>
      </w:tr>
      <w:tr w:rsidR="009608C4" w14:paraId="001C2C9D" w14:textId="77777777" w:rsidTr="00E81AC4">
        <w:tc>
          <w:tcPr>
            <w:tcW w:w="1288" w:type="dxa"/>
          </w:tcPr>
          <w:p w14:paraId="49389AB7" w14:textId="77777777" w:rsidR="009608C4" w:rsidRDefault="009608C4" w:rsidP="00E81AC4">
            <w:pPr>
              <w:spacing w:line="360" w:lineRule="auto"/>
              <w:jc w:val="center"/>
              <w:rPr>
                <w:lang w:val="en-US"/>
              </w:rPr>
            </w:pPr>
            <w:r>
              <w:rPr>
                <w:lang w:val="en-US"/>
              </w:rPr>
              <w:t>0</w:t>
            </w:r>
          </w:p>
        </w:tc>
        <w:tc>
          <w:tcPr>
            <w:tcW w:w="1288" w:type="dxa"/>
          </w:tcPr>
          <w:p w14:paraId="1B9435B3" w14:textId="73A0334A" w:rsidR="009608C4" w:rsidRDefault="009608C4" w:rsidP="00E81AC4">
            <w:pPr>
              <w:spacing w:line="360" w:lineRule="auto"/>
              <w:jc w:val="center"/>
              <w:rPr>
                <w:lang w:val="en-US"/>
              </w:rPr>
            </w:pPr>
            <w:r>
              <w:rPr>
                <w:lang w:val="en-US"/>
              </w:rPr>
              <w:t>(</w:t>
            </w:r>
            <w:r w:rsidR="00631B7B">
              <w:rPr>
                <w:lang w:val="en-US"/>
              </w:rPr>
              <w:t>1,000</w:t>
            </w:r>
            <w:r>
              <w:rPr>
                <w:lang w:val="en-US"/>
              </w:rPr>
              <w:t>)</w:t>
            </w:r>
          </w:p>
        </w:tc>
        <w:tc>
          <w:tcPr>
            <w:tcW w:w="1288" w:type="dxa"/>
          </w:tcPr>
          <w:p w14:paraId="1FDCD7FD" w14:textId="77777777" w:rsidR="009608C4" w:rsidRDefault="009608C4" w:rsidP="00E81AC4">
            <w:pPr>
              <w:spacing w:line="360" w:lineRule="auto"/>
              <w:jc w:val="center"/>
              <w:rPr>
                <w:lang w:val="en-US"/>
              </w:rPr>
            </w:pPr>
            <w:r>
              <w:rPr>
                <w:lang w:val="en-US"/>
              </w:rPr>
              <w:t>0</w:t>
            </w:r>
          </w:p>
        </w:tc>
        <w:tc>
          <w:tcPr>
            <w:tcW w:w="1288" w:type="dxa"/>
          </w:tcPr>
          <w:p w14:paraId="7656D515" w14:textId="77777777" w:rsidR="009608C4" w:rsidRDefault="009608C4" w:rsidP="00E81AC4">
            <w:pPr>
              <w:spacing w:line="360" w:lineRule="auto"/>
              <w:jc w:val="center"/>
              <w:rPr>
                <w:lang w:val="en-US"/>
              </w:rPr>
            </w:pPr>
            <w:r>
              <w:rPr>
                <w:lang w:val="en-US"/>
              </w:rPr>
              <w:t>0</w:t>
            </w:r>
          </w:p>
        </w:tc>
        <w:tc>
          <w:tcPr>
            <w:tcW w:w="1288" w:type="dxa"/>
          </w:tcPr>
          <w:p w14:paraId="7C396E1A" w14:textId="70AAA49E" w:rsidR="009608C4" w:rsidRDefault="009608C4" w:rsidP="00E81AC4">
            <w:pPr>
              <w:spacing w:line="360" w:lineRule="auto"/>
              <w:jc w:val="center"/>
              <w:rPr>
                <w:lang w:val="en-US"/>
              </w:rPr>
            </w:pPr>
            <w:r>
              <w:rPr>
                <w:lang w:val="en-US"/>
              </w:rPr>
              <w:t>(</w:t>
            </w:r>
            <w:r w:rsidR="00631B7B">
              <w:rPr>
                <w:lang w:val="en-US"/>
              </w:rPr>
              <w:t>1,0</w:t>
            </w:r>
            <w:r>
              <w:rPr>
                <w:lang w:val="en-US"/>
              </w:rPr>
              <w:t>00)</w:t>
            </w:r>
          </w:p>
        </w:tc>
        <w:tc>
          <w:tcPr>
            <w:tcW w:w="1288" w:type="dxa"/>
          </w:tcPr>
          <w:p w14:paraId="4241D5CE" w14:textId="77777777" w:rsidR="009608C4" w:rsidRDefault="009608C4" w:rsidP="00E81AC4">
            <w:pPr>
              <w:spacing w:line="360" w:lineRule="auto"/>
              <w:jc w:val="center"/>
              <w:rPr>
                <w:lang w:val="en-US"/>
              </w:rPr>
            </w:pPr>
            <w:r>
              <w:rPr>
                <w:lang w:val="en-US"/>
              </w:rPr>
              <w:t>1.00</w:t>
            </w:r>
          </w:p>
        </w:tc>
        <w:tc>
          <w:tcPr>
            <w:tcW w:w="1288" w:type="dxa"/>
          </w:tcPr>
          <w:p w14:paraId="72B40B23" w14:textId="0F45183B" w:rsidR="009608C4" w:rsidRDefault="009608C4" w:rsidP="00E81AC4">
            <w:pPr>
              <w:spacing w:line="360" w:lineRule="auto"/>
              <w:jc w:val="center"/>
              <w:rPr>
                <w:lang w:val="en-US"/>
              </w:rPr>
            </w:pPr>
            <w:r>
              <w:rPr>
                <w:lang w:val="en-US"/>
              </w:rPr>
              <w:t>(</w:t>
            </w:r>
            <w:r w:rsidR="00631B7B">
              <w:rPr>
                <w:lang w:val="en-US"/>
              </w:rPr>
              <w:t>1,0</w:t>
            </w:r>
            <w:r>
              <w:rPr>
                <w:lang w:val="en-US"/>
              </w:rPr>
              <w:t>00)</w:t>
            </w:r>
          </w:p>
        </w:tc>
      </w:tr>
      <w:tr w:rsidR="009608C4" w14:paraId="209DD008" w14:textId="77777777" w:rsidTr="00E81AC4">
        <w:tc>
          <w:tcPr>
            <w:tcW w:w="1288" w:type="dxa"/>
          </w:tcPr>
          <w:p w14:paraId="53E82FEB" w14:textId="77777777" w:rsidR="009608C4" w:rsidRDefault="009608C4" w:rsidP="00E81AC4">
            <w:pPr>
              <w:spacing w:line="360" w:lineRule="auto"/>
              <w:jc w:val="center"/>
              <w:rPr>
                <w:lang w:val="en-US"/>
              </w:rPr>
            </w:pPr>
            <w:r>
              <w:rPr>
                <w:lang w:val="en-US"/>
              </w:rPr>
              <w:t>1</w:t>
            </w:r>
          </w:p>
        </w:tc>
        <w:tc>
          <w:tcPr>
            <w:tcW w:w="1288" w:type="dxa"/>
          </w:tcPr>
          <w:p w14:paraId="0D831CA6" w14:textId="5A04153F" w:rsidR="009608C4" w:rsidRDefault="00631B7B" w:rsidP="00E81AC4">
            <w:pPr>
              <w:spacing w:line="360" w:lineRule="auto"/>
              <w:jc w:val="center"/>
              <w:rPr>
                <w:lang w:val="en-US"/>
              </w:rPr>
            </w:pPr>
            <w:r>
              <w:rPr>
                <w:lang w:val="en-US"/>
              </w:rPr>
              <w:t>400</w:t>
            </w:r>
          </w:p>
        </w:tc>
        <w:tc>
          <w:tcPr>
            <w:tcW w:w="1288" w:type="dxa"/>
          </w:tcPr>
          <w:p w14:paraId="79EEB8BC" w14:textId="57E4B310" w:rsidR="009608C4" w:rsidRDefault="00631B7B" w:rsidP="00E81AC4">
            <w:pPr>
              <w:spacing w:line="360" w:lineRule="auto"/>
              <w:jc w:val="center"/>
              <w:rPr>
                <w:lang w:val="en-US"/>
              </w:rPr>
            </w:pPr>
            <w:r>
              <w:rPr>
                <w:lang w:val="en-US"/>
              </w:rPr>
              <w:t>(100)</w:t>
            </w:r>
          </w:p>
        </w:tc>
        <w:tc>
          <w:tcPr>
            <w:tcW w:w="1288" w:type="dxa"/>
          </w:tcPr>
          <w:p w14:paraId="5631F97C" w14:textId="1ACFA5B2" w:rsidR="009608C4" w:rsidRDefault="00631B7B" w:rsidP="00E81AC4">
            <w:pPr>
              <w:spacing w:line="360" w:lineRule="auto"/>
              <w:jc w:val="center"/>
              <w:rPr>
                <w:lang w:val="en-US"/>
              </w:rPr>
            </w:pPr>
            <w:r>
              <w:rPr>
                <w:lang w:val="en-US"/>
              </w:rPr>
              <w:t>50</w:t>
            </w:r>
          </w:p>
        </w:tc>
        <w:tc>
          <w:tcPr>
            <w:tcW w:w="1288" w:type="dxa"/>
          </w:tcPr>
          <w:p w14:paraId="563CE72F" w14:textId="1BFCBDD7" w:rsidR="009608C4" w:rsidRDefault="00631B7B" w:rsidP="00E81AC4">
            <w:pPr>
              <w:spacing w:line="360" w:lineRule="auto"/>
              <w:jc w:val="center"/>
              <w:rPr>
                <w:lang w:val="en-US"/>
              </w:rPr>
            </w:pPr>
            <w:r>
              <w:rPr>
                <w:lang w:val="en-US"/>
              </w:rPr>
              <w:t>350</w:t>
            </w:r>
          </w:p>
        </w:tc>
        <w:tc>
          <w:tcPr>
            <w:tcW w:w="1288" w:type="dxa"/>
          </w:tcPr>
          <w:p w14:paraId="797DC771" w14:textId="204C71E0" w:rsidR="009608C4" w:rsidRDefault="00631B7B" w:rsidP="00E81AC4">
            <w:pPr>
              <w:spacing w:line="360" w:lineRule="auto"/>
              <w:jc w:val="center"/>
              <w:rPr>
                <w:lang w:val="en-US"/>
              </w:rPr>
            </w:pPr>
            <w:r>
              <w:rPr>
                <w:lang w:val="en-US"/>
              </w:rPr>
              <w:t>0.9434</w:t>
            </w:r>
          </w:p>
        </w:tc>
        <w:tc>
          <w:tcPr>
            <w:tcW w:w="1288" w:type="dxa"/>
          </w:tcPr>
          <w:p w14:paraId="6959444B" w14:textId="1511FA53" w:rsidR="009608C4" w:rsidRDefault="00631B7B" w:rsidP="00E81AC4">
            <w:pPr>
              <w:spacing w:line="360" w:lineRule="auto"/>
              <w:jc w:val="center"/>
              <w:rPr>
                <w:lang w:val="en-US"/>
              </w:rPr>
            </w:pPr>
            <w:r>
              <w:rPr>
                <w:lang w:val="en-US"/>
              </w:rPr>
              <w:t>330.19</w:t>
            </w:r>
          </w:p>
        </w:tc>
      </w:tr>
      <w:tr w:rsidR="009608C4" w14:paraId="213B4BEB" w14:textId="77777777" w:rsidTr="00E81AC4">
        <w:tc>
          <w:tcPr>
            <w:tcW w:w="1288" w:type="dxa"/>
          </w:tcPr>
          <w:p w14:paraId="61429420" w14:textId="77777777" w:rsidR="009608C4" w:rsidRDefault="009608C4" w:rsidP="00E81AC4">
            <w:pPr>
              <w:spacing w:line="360" w:lineRule="auto"/>
              <w:jc w:val="center"/>
              <w:rPr>
                <w:lang w:val="en-US"/>
              </w:rPr>
            </w:pPr>
            <w:r>
              <w:rPr>
                <w:lang w:val="en-US"/>
              </w:rPr>
              <w:t>2</w:t>
            </w:r>
          </w:p>
        </w:tc>
        <w:tc>
          <w:tcPr>
            <w:tcW w:w="1288" w:type="dxa"/>
          </w:tcPr>
          <w:p w14:paraId="52398BEE" w14:textId="7E771479" w:rsidR="009608C4" w:rsidRDefault="00631B7B" w:rsidP="00E81AC4">
            <w:pPr>
              <w:spacing w:line="360" w:lineRule="auto"/>
              <w:jc w:val="center"/>
              <w:rPr>
                <w:lang w:val="en-US"/>
              </w:rPr>
            </w:pPr>
            <w:r>
              <w:rPr>
                <w:lang w:val="en-US"/>
              </w:rPr>
              <w:t>450</w:t>
            </w:r>
          </w:p>
        </w:tc>
        <w:tc>
          <w:tcPr>
            <w:tcW w:w="1288" w:type="dxa"/>
          </w:tcPr>
          <w:p w14:paraId="04BA106B" w14:textId="5B443CC3" w:rsidR="009608C4" w:rsidRDefault="00631B7B" w:rsidP="00E81AC4">
            <w:pPr>
              <w:spacing w:line="360" w:lineRule="auto"/>
              <w:jc w:val="center"/>
              <w:rPr>
                <w:lang w:val="en-US"/>
              </w:rPr>
            </w:pPr>
            <w:r>
              <w:rPr>
                <w:lang w:val="en-US"/>
              </w:rPr>
              <w:t>(112.5)</w:t>
            </w:r>
          </w:p>
        </w:tc>
        <w:tc>
          <w:tcPr>
            <w:tcW w:w="1288" w:type="dxa"/>
          </w:tcPr>
          <w:p w14:paraId="71147C03" w14:textId="26801CD6" w:rsidR="009608C4" w:rsidRDefault="00631B7B" w:rsidP="00E81AC4">
            <w:pPr>
              <w:spacing w:line="360" w:lineRule="auto"/>
              <w:jc w:val="center"/>
              <w:rPr>
                <w:lang w:val="en-US"/>
              </w:rPr>
            </w:pPr>
            <w:r>
              <w:rPr>
                <w:lang w:val="en-US"/>
              </w:rPr>
              <w:t>50</w:t>
            </w:r>
          </w:p>
        </w:tc>
        <w:tc>
          <w:tcPr>
            <w:tcW w:w="1288" w:type="dxa"/>
          </w:tcPr>
          <w:p w14:paraId="39E66033" w14:textId="6A9CCA6F" w:rsidR="009608C4" w:rsidRDefault="00631B7B" w:rsidP="00E81AC4">
            <w:pPr>
              <w:spacing w:line="360" w:lineRule="auto"/>
              <w:jc w:val="center"/>
              <w:rPr>
                <w:lang w:val="en-US"/>
              </w:rPr>
            </w:pPr>
            <w:r>
              <w:rPr>
                <w:lang w:val="en-US"/>
              </w:rPr>
              <w:t>387.5</w:t>
            </w:r>
          </w:p>
        </w:tc>
        <w:tc>
          <w:tcPr>
            <w:tcW w:w="1288" w:type="dxa"/>
          </w:tcPr>
          <w:p w14:paraId="56054796" w14:textId="4747DD87" w:rsidR="009608C4" w:rsidRDefault="00631B7B" w:rsidP="00E81AC4">
            <w:pPr>
              <w:spacing w:line="360" w:lineRule="auto"/>
              <w:jc w:val="center"/>
              <w:rPr>
                <w:lang w:val="en-US"/>
              </w:rPr>
            </w:pPr>
            <w:r>
              <w:rPr>
                <w:lang w:val="en-US"/>
              </w:rPr>
              <w:t>0.8900</w:t>
            </w:r>
          </w:p>
        </w:tc>
        <w:tc>
          <w:tcPr>
            <w:tcW w:w="1288" w:type="dxa"/>
          </w:tcPr>
          <w:p w14:paraId="23983523" w14:textId="69D13300" w:rsidR="009608C4" w:rsidRDefault="00631B7B" w:rsidP="00E81AC4">
            <w:pPr>
              <w:spacing w:line="360" w:lineRule="auto"/>
              <w:jc w:val="center"/>
              <w:rPr>
                <w:lang w:val="en-US"/>
              </w:rPr>
            </w:pPr>
            <w:r>
              <w:rPr>
                <w:lang w:val="en-US"/>
              </w:rPr>
              <w:t>344.88</w:t>
            </w:r>
          </w:p>
        </w:tc>
      </w:tr>
      <w:tr w:rsidR="00631B7B" w14:paraId="3C93F201" w14:textId="77777777" w:rsidTr="00E81AC4">
        <w:tc>
          <w:tcPr>
            <w:tcW w:w="1288" w:type="dxa"/>
          </w:tcPr>
          <w:p w14:paraId="7ADC45CB" w14:textId="77777777" w:rsidR="00631B7B" w:rsidRDefault="00631B7B" w:rsidP="00631B7B">
            <w:pPr>
              <w:spacing w:line="360" w:lineRule="auto"/>
              <w:jc w:val="center"/>
              <w:rPr>
                <w:lang w:val="en-US"/>
              </w:rPr>
            </w:pPr>
            <w:r>
              <w:rPr>
                <w:lang w:val="en-US"/>
              </w:rPr>
              <w:t>3</w:t>
            </w:r>
          </w:p>
        </w:tc>
        <w:tc>
          <w:tcPr>
            <w:tcW w:w="1288" w:type="dxa"/>
          </w:tcPr>
          <w:p w14:paraId="6F6E6B43" w14:textId="13EB8DD7" w:rsidR="00631B7B" w:rsidRDefault="00631B7B" w:rsidP="00631B7B">
            <w:pPr>
              <w:spacing w:line="360" w:lineRule="auto"/>
              <w:jc w:val="center"/>
              <w:rPr>
                <w:lang w:val="en-US"/>
              </w:rPr>
            </w:pPr>
            <w:r>
              <w:rPr>
                <w:lang w:val="en-US"/>
              </w:rPr>
              <w:t>720</w:t>
            </w:r>
          </w:p>
        </w:tc>
        <w:tc>
          <w:tcPr>
            <w:tcW w:w="1288" w:type="dxa"/>
          </w:tcPr>
          <w:p w14:paraId="7A15E68B" w14:textId="7460FAEC" w:rsidR="00631B7B" w:rsidRDefault="00631B7B" w:rsidP="00631B7B">
            <w:pPr>
              <w:spacing w:line="360" w:lineRule="auto"/>
              <w:jc w:val="center"/>
              <w:rPr>
                <w:lang w:val="en-US"/>
              </w:rPr>
            </w:pPr>
            <w:r>
              <w:rPr>
                <w:lang w:val="en-US"/>
              </w:rPr>
              <w:t>(180)</w:t>
            </w:r>
          </w:p>
        </w:tc>
        <w:tc>
          <w:tcPr>
            <w:tcW w:w="1288" w:type="dxa"/>
          </w:tcPr>
          <w:p w14:paraId="353A506B" w14:textId="55FD515E" w:rsidR="00631B7B" w:rsidRDefault="00631B7B" w:rsidP="00631B7B">
            <w:pPr>
              <w:spacing w:line="360" w:lineRule="auto"/>
              <w:jc w:val="center"/>
              <w:rPr>
                <w:lang w:val="en-US"/>
              </w:rPr>
            </w:pPr>
            <w:r>
              <w:rPr>
                <w:lang w:val="en-US"/>
              </w:rPr>
              <w:t>50</w:t>
            </w:r>
          </w:p>
        </w:tc>
        <w:tc>
          <w:tcPr>
            <w:tcW w:w="1288" w:type="dxa"/>
          </w:tcPr>
          <w:p w14:paraId="192BDE55" w14:textId="04A20111" w:rsidR="00631B7B" w:rsidRDefault="00631B7B" w:rsidP="00631B7B">
            <w:pPr>
              <w:spacing w:line="360" w:lineRule="auto"/>
              <w:jc w:val="center"/>
              <w:rPr>
                <w:lang w:val="en-US"/>
              </w:rPr>
            </w:pPr>
            <w:r>
              <w:rPr>
                <w:lang w:val="en-US"/>
              </w:rPr>
              <w:t>590</w:t>
            </w:r>
          </w:p>
        </w:tc>
        <w:tc>
          <w:tcPr>
            <w:tcW w:w="1288" w:type="dxa"/>
          </w:tcPr>
          <w:p w14:paraId="42FD24F7" w14:textId="7063D450" w:rsidR="00631B7B" w:rsidRDefault="00631B7B" w:rsidP="00631B7B">
            <w:pPr>
              <w:spacing w:line="360" w:lineRule="auto"/>
              <w:jc w:val="center"/>
              <w:rPr>
                <w:lang w:val="en-US"/>
              </w:rPr>
            </w:pPr>
            <w:r>
              <w:rPr>
                <w:lang w:val="en-US"/>
              </w:rPr>
              <w:t>0.8396</w:t>
            </w:r>
          </w:p>
        </w:tc>
        <w:tc>
          <w:tcPr>
            <w:tcW w:w="1288" w:type="dxa"/>
          </w:tcPr>
          <w:p w14:paraId="047FF984" w14:textId="334D3A63" w:rsidR="00631B7B" w:rsidRDefault="00631B7B" w:rsidP="00631B7B">
            <w:pPr>
              <w:spacing w:line="360" w:lineRule="auto"/>
              <w:jc w:val="center"/>
              <w:rPr>
                <w:lang w:val="en-US"/>
              </w:rPr>
            </w:pPr>
            <w:r>
              <w:rPr>
                <w:lang w:val="en-US"/>
              </w:rPr>
              <w:t>495.36</w:t>
            </w:r>
          </w:p>
        </w:tc>
      </w:tr>
      <w:tr w:rsidR="00631B7B" w14:paraId="41CEA36F" w14:textId="77777777" w:rsidTr="00E81AC4">
        <w:tc>
          <w:tcPr>
            <w:tcW w:w="1288" w:type="dxa"/>
          </w:tcPr>
          <w:p w14:paraId="12B7DAEC" w14:textId="77777777" w:rsidR="00631B7B" w:rsidRDefault="00631B7B" w:rsidP="00631B7B">
            <w:pPr>
              <w:spacing w:line="360" w:lineRule="auto"/>
              <w:jc w:val="center"/>
              <w:rPr>
                <w:lang w:val="en-US"/>
              </w:rPr>
            </w:pPr>
            <w:r>
              <w:rPr>
                <w:lang w:val="en-US"/>
              </w:rPr>
              <w:t>4</w:t>
            </w:r>
          </w:p>
        </w:tc>
        <w:tc>
          <w:tcPr>
            <w:tcW w:w="1288" w:type="dxa"/>
          </w:tcPr>
          <w:p w14:paraId="325638F2" w14:textId="46E9FEA7" w:rsidR="00631B7B" w:rsidRDefault="00631B7B" w:rsidP="00631B7B">
            <w:pPr>
              <w:spacing w:line="360" w:lineRule="auto"/>
              <w:jc w:val="center"/>
              <w:rPr>
                <w:lang w:val="en-US"/>
              </w:rPr>
            </w:pPr>
            <w:r>
              <w:rPr>
                <w:lang w:val="en-US"/>
              </w:rPr>
              <w:t>980</w:t>
            </w:r>
          </w:p>
        </w:tc>
        <w:tc>
          <w:tcPr>
            <w:tcW w:w="1288" w:type="dxa"/>
          </w:tcPr>
          <w:p w14:paraId="30D37202" w14:textId="09BA6ECB" w:rsidR="00631B7B" w:rsidRDefault="00631B7B" w:rsidP="00631B7B">
            <w:pPr>
              <w:spacing w:line="360" w:lineRule="auto"/>
              <w:jc w:val="center"/>
              <w:rPr>
                <w:lang w:val="en-US"/>
              </w:rPr>
            </w:pPr>
            <w:r>
              <w:rPr>
                <w:lang w:val="en-US"/>
              </w:rPr>
              <w:t>(245)</w:t>
            </w:r>
          </w:p>
        </w:tc>
        <w:tc>
          <w:tcPr>
            <w:tcW w:w="1288" w:type="dxa"/>
          </w:tcPr>
          <w:p w14:paraId="3AC98541" w14:textId="0D45E93C" w:rsidR="00631B7B" w:rsidRDefault="00631B7B" w:rsidP="00631B7B">
            <w:pPr>
              <w:spacing w:line="360" w:lineRule="auto"/>
              <w:jc w:val="center"/>
              <w:rPr>
                <w:lang w:val="en-US"/>
              </w:rPr>
            </w:pPr>
            <w:r>
              <w:rPr>
                <w:lang w:val="en-US"/>
              </w:rPr>
              <w:t>50</w:t>
            </w:r>
          </w:p>
        </w:tc>
        <w:tc>
          <w:tcPr>
            <w:tcW w:w="1288" w:type="dxa"/>
          </w:tcPr>
          <w:p w14:paraId="6009CFE0" w14:textId="528791B2" w:rsidR="00631B7B" w:rsidRDefault="00631B7B" w:rsidP="00631B7B">
            <w:pPr>
              <w:spacing w:line="360" w:lineRule="auto"/>
              <w:jc w:val="center"/>
              <w:rPr>
                <w:lang w:val="en-US"/>
              </w:rPr>
            </w:pPr>
            <w:r>
              <w:rPr>
                <w:lang w:val="en-US"/>
              </w:rPr>
              <w:t>785</w:t>
            </w:r>
          </w:p>
        </w:tc>
        <w:tc>
          <w:tcPr>
            <w:tcW w:w="1288" w:type="dxa"/>
          </w:tcPr>
          <w:p w14:paraId="7378A63B" w14:textId="40D4EB29" w:rsidR="00631B7B" w:rsidRDefault="00631B7B" w:rsidP="00631B7B">
            <w:pPr>
              <w:spacing w:line="360" w:lineRule="auto"/>
              <w:jc w:val="center"/>
              <w:rPr>
                <w:lang w:val="en-US"/>
              </w:rPr>
            </w:pPr>
            <w:r>
              <w:rPr>
                <w:lang w:val="en-US"/>
              </w:rPr>
              <w:t>0.7921</w:t>
            </w:r>
          </w:p>
        </w:tc>
        <w:tc>
          <w:tcPr>
            <w:tcW w:w="1288" w:type="dxa"/>
          </w:tcPr>
          <w:p w14:paraId="768E07D0" w14:textId="7F3FF1C8" w:rsidR="00631B7B" w:rsidRDefault="00631B7B" w:rsidP="00631B7B">
            <w:pPr>
              <w:spacing w:line="360" w:lineRule="auto"/>
              <w:jc w:val="center"/>
              <w:rPr>
                <w:lang w:val="en-US"/>
              </w:rPr>
            </w:pPr>
            <w:r>
              <w:rPr>
                <w:lang w:val="en-US"/>
              </w:rPr>
              <w:t>621.80</w:t>
            </w:r>
          </w:p>
        </w:tc>
      </w:tr>
      <w:tr w:rsidR="00631B7B" w14:paraId="2D1B94AA" w14:textId="77777777" w:rsidTr="00E81AC4">
        <w:tc>
          <w:tcPr>
            <w:tcW w:w="1288" w:type="dxa"/>
          </w:tcPr>
          <w:p w14:paraId="2F60B051" w14:textId="77777777" w:rsidR="00631B7B" w:rsidRDefault="00631B7B" w:rsidP="00631B7B">
            <w:pPr>
              <w:spacing w:line="360" w:lineRule="auto"/>
              <w:jc w:val="center"/>
              <w:rPr>
                <w:lang w:val="en-US"/>
              </w:rPr>
            </w:pPr>
          </w:p>
        </w:tc>
        <w:tc>
          <w:tcPr>
            <w:tcW w:w="1288" w:type="dxa"/>
          </w:tcPr>
          <w:p w14:paraId="2B58E8D8" w14:textId="77777777" w:rsidR="00631B7B" w:rsidRDefault="00631B7B" w:rsidP="00631B7B">
            <w:pPr>
              <w:spacing w:line="360" w:lineRule="auto"/>
              <w:jc w:val="center"/>
              <w:rPr>
                <w:lang w:val="en-US"/>
              </w:rPr>
            </w:pPr>
          </w:p>
        </w:tc>
        <w:tc>
          <w:tcPr>
            <w:tcW w:w="1288" w:type="dxa"/>
          </w:tcPr>
          <w:p w14:paraId="0CE98302" w14:textId="77777777" w:rsidR="00631B7B" w:rsidRDefault="00631B7B" w:rsidP="00631B7B">
            <w:pPr>
              <w:spacing w:line="360" w:lineRule="auto"/>
              <w:jc w:val="center"/>
              <w:rPr>
                <w:lang w:val="en-US"/>
              </w:rPr>
            </w:pPr>
          </w:p>
        </w:tc>
        <w:tc>
          <w:tcPr>
            <w:tcW w:w="1288" w:type="dxa"/>
          </w:tcPr>
          <w:p w14:paraId="7553A3B6" w14:textId="77777777" w:rsidR="00631B7B" w:rsidRDefault="00631B7B" w:rsidP="00631B7B">
            <w:pPr>
              <w:spacing w:line="360" w:lineRule="auto"/>
              <w:jc w:val="center"/>
              <w:rPr>
                <w:lang w:val="en-US"/>
              </w:rPr>
            </w:pPr>
          </w:p>
        </w:tc>
        <w:tc>
          <w:tcPr>
            <w:tcW w:w="1288" w:type="dxa"/>
          </w:tcPr>
          <w:p w14:paraId="24BC81F8" w14:textId="77777777" w:rsidR="00631B7B" w:rsidRDefault="00631B7B" w:rsidP="00631B7B">
            <w:pPr>
              <w:spacing w:line="360" w:lineRule="auto"/>
              <w:jc w:val="center"/>
              <w:rPr>
                <w:lang w:val="en-US"/>
              </w:rPr>
            </w:pPr>
          </w:p>
        </w:tc>
        <w:tc>
          <w:tcPr>
            <w:tcW w:w="1288" w:type="dxa"/>
          </w:tcPr>
          <w:p w14:paraId="6ED2BC84" w14:textId="5C8CE501" w:rsidR="00631B7B" w:rsidRPr="009608C4" w:rsidRDefault="008C0C9A" w:rsidP="00631B7B">
            <w:pPr>
              <w:spacing w:line="360" w:lineRule="auto"/>
              <w:jc w:val="center"/>
              <w:rPr>
                <w:b/>
                <w:bCs/>
                <w:lang w:val="en-US"/>
              </w:rPr>
            </w:pPr>
            <w:r>
              <w:rPr>
                <w:b/>
                <w:bCs/>
                <w:lang w:val="en-US"/>
              </w:rPr>
              <w:t>N</w:t>
            </w:r>
            <w:r w:rsidR="00631B7B" w:rsidRPr="009608C4">
              <w:rPr>
                <w:b/>
                <w:bCs/>
                <w:lang w:val="en-US"/>
              </w:rPr>
              <w:t>PV</w:t>
            </w:r>
          </w:p>
        </w:tc>
        <w:tc>
          <w:tcPr>
            <w:tcW w:w="1288" w:type="dxa"/>
          </w:tcPr>
          <w:p w14:paraId="2597015A" w14:textId="24A34E66" w:rsidR="00631B7B" w:rsidRPr="009608C4" w:rsidRDefault="00631B7B" w:rsidP="00631B7B">
            <w:pPr>
              <w:spacing w:line="360" w:lineRule="auto"/>
              <w:jc w:val="center"/>
              <w:rPr>
                <w:b/>
                <w:bCs/>
                <w:lang w:val="en-US"/>
              </w:rPr>
            </w:pPr>
            <w:r>
              <w:rPr>
                <w:b/>
                <w:bCs/>
                <w:lang w:val="en-US"/>
              </w:rPr>
              <w:t>792.2</w:t>
            </w:r>
            <w:r w:rsidR="00FB3A35">
              <w:rPr>
                <w:b/>
                <w:bCs/>
                <w:lang w:val="en-US"/>
              </w:rPr>
              <w:t>28</w:t>
            </w:r>
          </w:p>
        </w:tc>
      </w:tr>
    </w:tbl>
    <w:p w14:paraId="793B775C" w14:textId="59CCF250" w:rsidR="008C0C9A" w:rsidRPr="008C0C9A" w:rsidRDefault="008C0C9A" w:rsidP="008C0C9A">
      <w:pPr>
        <w:spacing w:line="360" w:lineRule="auto"/>
        <w:rPr>
          <w:lang w:val="en-US"/>
        </w:rPr>
      </w:pPr>
      <w:r>
        <w:rPr>
          <w:b/>
          <w:bCs/>
          <w:lang w:val="en-US"/>
        </w:rPr>
        <w:t xml:space="preserve">Option – C: </w:t>
      </w:r>
      <w:r>
        <w:rPr>
          <w:lang w:val="en-US"/>
        </w:rPr>
        <w:t>Wooden Blinds and Roman Blinds</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8C0C9A" w14:paraId="303F7DE4" w14:textId="77777777" w:rsidTr="00E81AC4">
        <w:tc>
          <w:tcPr>
            <w:tcW w:w="1288" w:type="dxa"/>
          </w:tcPr>
          <w:p w14:paraId="795EF556" w14:textId="77777777" w:rsidR="008C0C9A" w:rsidRPr="00D46DD7" w:rsidRDefault="008C0C9A" w:rsidP="00E81AC4">
            <w:pPr>
              <w:spacing w:line="360" w:lineRule="auto"/>
              <w:jc w:val="center"/>
              <w:rPr>
                <w:b/>
                <w:bCs/>
                <w:lang w:val="en-US"/>
              </w:rPr>
            </w:pPr>
            <w:r>
              <w:rPr>
                <w:b/>
                <w:bCs/>
                <w:lang w:val="en-US"/>
              </w:rPr>
              <w:t>Year</w:t>
            </w:r>
          </w:p>
        </w:tc>
        <w:tc>
          <w:tcPr>
            <w:tcW w:w="1288" w:type="dxa"/>
          </w:tcPr>
          <w:p w14:paraId="4AF6DA41" w14:textId="77777777" w:rsidR="008C0C9A" w:rsidRPr="00D46DD7" w:rsidRDefault="008C0C9A" w:rsidP="00E81AC4">
            <w:pPr>
              <w:spacing w:line="360" w:lineRule="auto"/>
              <w:jc w:val="center"/>
              <w:rPr>
                <w:b/>
                <w:bCs/>
                <w:lang w:val="en-US"/>
              </w:rPr>
            </w:pPr>
            <w:r>
              <w:rPr>
                <w:b/>
                <w:bCs/>
                <w:lang w:val="en-US"/>
              </w:rPr>
              <w:t>Pre-Tax Cash Flow (</w:t>
            </w:r>
            <w:r w:rsidRPr="00D46DD7">
              <w:rPr>
                <w:b/>
                <w:bCs/>
              </w:rPr>
              <w:t>£'000)</w:t>
            </w:r>
          </w:p>
        </w:tc>
        <w:tc>
          <w:tcPr>
            <w:tcW w:w="1288" w:type="dxa"/>
          </w:tcPr>
          <w:p w14:paraId="7B1FCCBF" w14:textId="77777777" w:rsidR="008C0C9A" w:rsidRPr="00D46DD7" w:rsidRDefault="008C0C9A" w:rsidP="00E81AC4">
            <w:pPr>
              <w:spacing w:line="360" w:lineRule="auto"/>
              <w:jc w:val="center"/>
              <w:rPr>
                <w:b/>
                <w:bCs/>
                <w:lang w:val="en-US"/>
              </w:rPr>
            </w:pPr>
            <w:r>
              <w:rPr>
                <w:b/>
                <w:bCs/>
                <w:lang w:val="en-US"/>
              </w:rPr>
              <w:t>Tax at 25% (</w:t>
            </w:r>
            <w:r w:rsidRPr="00D46DD7">
              <w:rPr>
                <w:b/>
                <w:bCs/>
              </w:rPr>
              <w:t>£'000)</w:t>
            </w:r>
          </w:p>
        </w:tc>
        <w:tc>
          <w:tcPr>
            <w:tcW w:w="1288" w:type="dxa"/>
          </w:tcPr>
          <w:p w14:paraId="0DFEB320" w14:textId="77777777" w:rsidR="008C0C9A" w:rsidRPr="00D46DD7" w:rsidRDefault="008C0C9A" w:rsidP="00E81AC4">
            <w:pPr>
              <w:spacing w:line="360" w:lineRule="auto"/>
              <w:jc w:val="center"/>
              <w:rPr>
                <w:b/>
                <w:bCs/>
                <w:lang w:val="en-US"/>
              </w:rPr>
            </w:pPr>
            <w:r>
              <w:rPr>
                <w:b/>
                <w:bCs/>
                <w:lang w:val="en-US"/>
              </w:rPr>
              <w:t>Tax Shield (</w:t>
            </w:r>
            <w:r w:rsidRPr="00D46DD7">
              <w:rPr>
                <w:b/>
                <w:bCs/>
              </w:rPr>
              <w:t>£'000)</w:t>
            </w:r>
          </w:p>
        </w:tc>
        <w:tc>
          <w:tcPr>
            <w:tcW w:w="1288" w:type="dxa"/>
          </w:tcPr>
          <w:p w14:paraId="7F2A904A" w14:textId="77777777" w:rsidR="008C0C9A" w:rsidRPr="00D46DD7" w:rsidRDefault="008C0C9A" w:rsidP="00E81AC4">
            <w:pPr>
              <w:spacing w:line="360" w:lineRule="auto"/>
              <w:jc w:val="center"/>
              <w:rPr>
                <w:b/>
                <w:bCs/>
                <w:lang w:val="en-US"/>
              </w:rPr>
            </w:pPr>
            <w:r>
              <w:rPr>
                <w:b/>
                <w:bCs/>
                <w:lang w:val="en-US"/>
              </w:rPr>
              <w:t>After-Tax Cash Flow (</w:t>
            </w:r>
            <w:r w:rsidRPr="00D46DD7">
              <w:rPr>
                <w:b/>
                <w:bCs/>
              </w:rPr>
              <w:t>£'000)</w:t>
            </w:r>
          </w:p>
        </w:tc>
        <w:tc>
          <w:tcPr>
            <w:tcW w:w="1288" w:type="dxa"/>
          </w:tcPr>
          <w:p w14:paraId="1EEE5388" w14:textId="77777777" w:rsidR="008C0C9A" w:rsidRPr="00D46DD7" w:rsidRDefault="008C0C9A" w:rsidP="00E81AC4">
            <w:pPr>
              <w:spacing w:line="360" w:lineRule="auto"/>
              <w:jc w:val="center"/>
              <w:rPr>
                <w:b/>
                <w:bCs/>
                <w:lang w:val="en-US"/>
              </w:rPr>
            </w:pPr>
            <w:r>
              <w:rPr>
                <w:b/>
                <w:bCs/>
                <w:lang w:val="en-US"/>
              </w:rPr>
              <w:t>Discount Factor @ 6%</w:t>
            </w:r>
          </w:p>
        </w:tc>
        <w:tc>
          <w:tcPr>
            <w:tcW w:w="1288" w:type="dxa"/>
          </w:tcPr>
          <w:p w14:paraId="38074A92" w14:textId="77777777" w:rsidR="008C0C9A" w:rsidRDefault="008C0C9A" w:rsidP="00E81AC4">
            <w:pPr>
              <w:spacing w:line="360" w:lineRule="auto"/>
              <w:jc w:val="center"/>
              <w:rPr>
                <w:b/>
                <w:bCs/>
              </w:rPr>
            </w:pPr>
            <w:r>
              <w:rPr>
                <w:b/>
                <w:bCs/>
                <w:lang w:val="en-US"/>
              </w:rPr>
              <w:t>PV (</w:t>
            </w:r>
            <w:r w:rsidRPr="00D46DD7">
              <w:rPr>
                <w:b/>
                <w:bCs/>
              </w:rPr>
              <w:t>£'000)</w:t>
            </w:r>
          </w:p>
          <w:p w14:paraId="0AC4856E" w14:textId="77777777" w:rsidR="008C0C9A" w:rsidRPr="00D46DD7" w:rsidRDefault="008C0C9A" w:rsidP="00E81AC4">
            <w:pPr>
              <w:spacing w:line="360" w:lineRule="auto"/>
              <w:jc w:val="center"/>
              <w:rPr>
                <w:b/>
                <w:bCs/>
                <w:lang w:val="en-US"/>
              </w:rPr>
            </w:pPr>
            <w:r>
              <w:rPr>
                <w:b/>
                <w:bCs/>
              </w:rPr>
              <w:t>(ATCF * DF)</w:t>
            </w:r>
          </w:p>
        </w:tc>
      </w:tr>
      <w:tr w:rsidR="008C0C9A" w14:paraId="3EC10868" w14:textId="77777777" w:rsidTr="00E81AC4">
        <w:tc>
          <w:tcPr>
            <w:tcW w:w="1288" w:type="dxa"/>
          </w:tcPr>
          <w:p w14:paraId="0ECD5EC2" w14:textId="77777777" w:rsidR="008C0C9A" w:rsidRDefault="008C0C9A" w:rsidP="00E81AC4">
            <w:pPr>
              <w:spacing w:line="360" w:lineRule="auto"/>
              <w:jc w:val="center"/>
              <w:rPr>
                <w:lang w:val="en-US"/>
              </w:rPr>
            </w:pPr>
            <w:r>
              <w:rPr>
                <w:lang w:val="en-US"/>
              </w:rPr>
              <w:t>0</w:t>
            </w:r>
          </w:p>
        </w:tc>
        <w:tc>
          <w:tcPr>
            <w:tcW w:w="1288" w:type="dxa"/>
          </w:tcPr>
          <w:p w14:paraId="77B90487" w14:textId="03E034D3" w:rsidR="008C0C9A" w:rsidRDefault="008C0C9A" w:rsidP="00E81AC4">
            <w:pPr>
              <w:spacing w:line="360" w:lineRule="auto"/>
              <w:jc w:val="center"/>
              <w:rPr>
                <w:lang w:val="en-US"/>
              </w:rPr>
            </w:pPr>
            <w:r>
              <w:rPr>
                <w:lang w:val="en-US"/>
              </w:rPr>
              <w:t>(1,600)</w:t>
            </w:r>
          </w:p>
        </w:tc>
        <w:tc>
          <w:tcPr>
            <w:tcW w:w="1288" w:type="dxa"/>
          </w:tcPr>
          <w:p w14:paraId="0FEF96E6" w14:textId="77777777" w:rsidR="008C0C9A" w:rsidRDefault="008C0C9A" w:rsidP="00E81AC4">
            <w:pPr>
              <w:spacing w:line="360" w:lineRule="auto"/>
              <w:jc w:val="center"/>
              <w:rPr>
                <w:lang w:val="en-US"/>
              </w:rPr>
            </w:pPr>
            <w:r>
              <w:rPr>
                <w:lang w:val="en-US"/>
              </w:rPr>
              <w:t>0</w:t>
            </w:r>
          </w:p>
        </w:tc>
        <w:tc>
          <w:tcPr>
            <w:tcW w:w="1288" w:type="dxa"/>
          </w:tcPr>
          <w:p w14:paraId="757C9FBD" w14:textId="77777777" w:rsidR="008C0C9A" w:rsidRDefault="008C0C9A" w:rsidP="00E81AC4">
            <w:pPr>
              <w:spacing w:line="360" w:lineRule="auto"/>
              <w:jc w:val="center"/>
              <w:rPr>
                <w:lang w:val="en-US"/>
              </w:rPr>
            </w:pPr>
            <w:r>
              <w:rPr>
                <w:lang w:val="en-US"/>
              </w:rPr>
              <w:t>0</w:t>
            </w:r>
          </w:p>
        </w:tc>
        <w:tc>
          <w:tcPr>
            <w:tcW w:w="1288" w:type="dxa"/>
          </w:tcPr>
          <w:p w14:paraId="4908F99D" w14:textId="3F254BED" w:rsidR="008C0C9A" w:rsidRDefault="008C0C9A" w:rsidP="00E81AC4">
            <w:pPr>
              <w:spacing w:line="360" w:lineRule="auto"/>
              <w:jc w:val="center"/>
              <w:rPr>
                <w:lang w:val="en-US"/>
              </w:rPr>
            </w:pPr>
            <w:r>
              <w:rPr>
                <w:lang w:val="en-US"/>
              </w:rPr>
              <w:t>(1,600)</w:t>
            </w:r>
          </w:p>
        </w:tc>
        <w:tc>
          <w:tcPr>
            <w:tcW w:w="1288" w:type="dxa"/>
          </w:tcPr>
          <w:p w14:paraId="785CE1DC" w14:textId="77777777" w:rsidR="008C0C9A" w:rsidRDefault="008C0C9A" w:rsidP="00E81AC4">
            <w:pPr>
              <w:spacing w:line="360" w:lineRule="auto"/>
              <w:jc w:val="center"/>
              <w:rPr>
                <w:lang w:val="en-US"/>
              </w:rPr>
            </w:pPr>
            <w:r>
              <w:rPr>
                <w:lang w:val="en-US"/>
              </w:rPr>
              <w:t>1.00</w:t>
            </w:r>
          </w:p>
        </w:tc>
        <w:tc>
          <w:tcPr>
            <w:tcW w:w="1288" w:type="dxa"/>
          </w:tcPr>
          <w:p w14:paraId="1E51AF5B" w14:textId="3937CBE1" w:rsidR="008C0C9A" w:rsidRDefault="008C0C9A" w:rsidP="00E81AC4">
            <w:pPr>
              <w:spacing w:line="360" w:lineRule="auto"/>
              <w:jc w:val="center"/>
              <w:rPr>
                <w:lang w:val="en-US"/>
              </w:rPr>
            </w:pPr>
            <w:r>
              <w:rPr>
                <w:lang w:val="en-US"/>
              </w:rPr>
              <w:t>(1,600)</w:t>
            </w:r>
          </w:p>
        </w:tc>
      </w:tr>
      <w:tr w:rsidR="008C0C9A" w14:paraId="191ECA63" w14:textId="77777777" w:rsidTr="00E81AC4">
        <w:tc>
          <w:tcPr>
            <w:tcW w:w="1288" w:type="dxa"/>
          </w:tcPr>
          <w:p w14:paraId="0E6C492A" w14:textId="77777777" w:rsidR="008C0C9A" w:rsidRDefault="008C0C9A" w:rsidP="008C0C9A">
            <w:pPr>
              <w:spacing w:line="360" w:lineRule="auto"/>
              <w:jc w:val="center"/>
              <w:rPr>
                <w:lang w:val="en-US"/>
              </w:rPr>
            </w:pPr>
            <w:r>
              <w:rPr>
                <w:lang w:val="en-US"/>
              </w:rPr>
              <w:t>1</w:t>
            </w:r>
          </w:p>
        </w:tc>
        <w:tc>
          <w:tcPr>
            <w:tcW w:w="1288" w:type="dxa"/>
          </w:tcPr>
          <w:p w14:paraId="6B3F7964" w14:textId="5B9A107E" w:rsidR="008C0C9A" w:rsidRDefault="008C0C9A" w:rsidP="008C0C9A">
            <w:pPr>
              <w:spacing w:line="360" w:lineRule="auto"/>
              <w:jc w:val="center"/>
              <w:rPr>
                <w:lang w:val="en-US"/>
              </w:rPr>
            </w:pPr>
            <w:r>
              <w:rPr>
                <w:lang w:val="en-US"/>
              </w:rPr>
              <w:t>450</w:t>
            </w:r>
          </w:p>
        </w:tc>
        <w:tc>
          <w:tcPr>
            <w:tcW w:w="1288" w:type="dxa"/>
          </w:tcPr>
          <w:p w14:paraId="7D20E6D0" w14:textId="5372C50F" w:rsidR="008C0C9A" w:rsidRDefault="008C0C9A" w:rsidP="008C0C9A">
            <w:pPr>
              <w:spacing w:line="360" w:lineRule="auto"/>
              <w:jc w:val="center"/>
              <w:rPr>
                <w:lang w:val="en-US"/>
              </w:rPr>
            </w:pPr>
            <w:r>
              <w:rPr>
                <w:lang w:val="en-US"/>
              </w:rPr>
              <w:t>(112.5)</w:t>
            </w:r>
          </w:p>
        </w:tc>
        <w:tc>
          <w:tcPr>
            <w:tcW w:w="1288" w:type="dxa"/>
          </w:tcPr>
          <w:p w14:paraId="7243B292" w14:textId="538978FF" w:rsidR="008C0C9A" w:rsidRDefault="008C0C9A" w:rsidP="008C0C9A">
            <w:pPr>
              <w:spacing w:line="360" w:lineRule="auto"/>
              <w:jc w:val="center"/>
              <w:rPr>
                <w:lang w:val="en-US"/>
              </w:rPr>
            </w:pPr>
            <w:r>
              <w:rPr>
                <w:lang w:val="en-US"/>
              </w:rPr>
              <w:t>80</w:t>
            </w:r>
          </w:p>
        </w:tc>
        <w:tc>
          <w:tcPr>
            <w:tcW w:w="1288" w:type="dxa"/>
          </w:tcPr>
          <w:p w14:paraId="2A26725E" w14:textId="54161178" w:rsidR="008C0C9A" w:rsidRDefault="008C0C9A" w:rsidP="008C0C9A">
            <w:pPr>
              <w:spacing w:line="360" w:lineRule="auto"/>
              <w:jc w:val="center"/>
              <w:rPr>
                <w:lang w:val="en-US"/>
              </w:rPr>
            </w:pPr>
            <w:r>
              <w:rPr>
                <w:lang w:val="en-US"/>
              </w:rPr>
              <w:t>417.5</w:t>
            </w:r>
          </w:p>
        </w:tc>
        <w:tc>
          <w:tcPr>
            <w:tcW w:w="1288" w:type="dxa"/>
          </w:tcPr>
          <w:p w14:paraId="1FFE4635" w14:textId="5534AF88" w:rsidR="008C0C9A" w:rsidRDefault="008C0C9A" w:rsidP="008C0C9A">
            <w:pPr>
              <w:spacing w:line="360" w:lineRule="auto"/>
              <w:jc w:val="center"/>
              <w:rPr>
                <w:lang w:val="en-US"/>
              </w:rPr>
            </w:pPr>
            <w:r>
              <w:rPr>
                <w:lang w:val="en-US"/>
              </w:rPr>
              <w:t>0.9434</w:t>
            </w:r>
          </w:p>
        </w:tc>
        <w:tc>
          <w:tcPr>
            <w:tcW w:w="1288" w:type="dxa"/>
          </w:tcPr>
          <w:p w14:paraId="78D832B9" w14:textId="5A77BE16" w:rsidR="008C0C9A" w:rsidRDefault="008C0C9A" w:rsidP="008C0C9A">
            <w:pPr>
              <w:spacing w:line="360" w:lineRule="auto"/>
              <w:jc w:val="center"/>
              <w:rPr>
                <w:lang w:val="en-US"/>
              </w:rPr>
            </w:pPr>
            <w:r>
              <w:rPr>
                <w:lang w:val="en-US"/>
              </w:rPr>
              <w:t>393.87</w:t>
            </w:r>
          </w:p>
        </w:tc>
      </w:tr>
      <w:tr w:rsidR="008C0C9A" w14:paraId="194DDE51" w14:textId="77777777" w:rsidTr="00E81AC4">
        <w:tc>
          <w:tcPr>
            <w:tcW w:w="1288" w:type="dxa"/>
          </w:tcPr>
          <w:p w14:paraId="4D46F016" w14:textId="77777777" w:rsidR="008C0C9A" w:rsidRDefault="008C0C9A" w:rsidP="008C0C9A">
            <w:pPr>
              <w:spacing w:line="360" w:lineRule="auto"/>
              <w:jc w:val="center"/>
              <w:rPr>
                <w:lang w:val="en-US"/>
              </w:rPr>
            </w:pPr>
            <w:r>
              <w:rPr>
                <w:lang w:val="en-US"/>
              </w:rPr>
              <w:t>2</w:t>
            </w:r>
          </w:p>
        </w:tc>
        <w:tc>
          <w:tcPr>
            <w:tcW w:w="1288" w:type="dxa"/>
          </w:tcPr>
          <w:p w14:paraId="357557B5" w14:textId="68EE2C91" w:rsidR="008C0C9A" w:rsidRDefault="008C0C9A" w:rsidP="008C0C9A">
            <w:pPr>
              <w:spacing w:line="360" w:lineRule="auto"/>
              <w:jc w:val="center"/>
              <w:rPr>
                <w:lang w:val="en-US"/>
              </w:rPr>
            </w:pPr>
            <w:r>
              <w:rPr>
                <w:lang w:val="en-US"/>
              </w:rPr>
              <w:t>700</w:t>
            </w:r>
          </w:p>
        </w:tc>
        <w:tc>
          <w:tcPr>
            <w:tcW w:w="1288" w:type="dxa"/>
          </w:tcPr>
          <w:p w14:paraId="71B27AD1" w14:textId="559BD7C6" w:rsidR="008C0C9A" w:rsidRDefault="008C0C9A" w:rsidP="008C0C9A">
            <w:pPr>
              <w:spacing w:line="360" w:lineRule="auto"/>
              <w:jc w:val="center"/>
              <w:rPr>
                <w:lang w:val="en-US"/>
              </w:rPr>
            </w:pPr>
            <w:r>
              <w:rPr>
                <w:lang w:val="en-US"/>
              </w:rPr>
              <w:t>(175)</w:t>
            </w:r>
          </w:p>
        </w:tc>
        <w:tc>
          <w:tcPr>
            <w:tcW w:w="1288" w:type="dxa"/>
          </w:tcPr>
          <w:p w14:paraId="671E8960" w14:textId="3A648EB9" w:rsidR="008C0C9A" w:rsidRDefault="008C0C9A" w:rsidP="008C0C9A">
            <w:pPr>
              <w:spacing w:line="360" w:lineRule="auto"/>
              <w:jc w:val="center"/>
              <w:rPr>
                <w:lang w:val="en-US"/>
              </w:rPr>
            </w:pPr>
            <w:r>
              <w:rPr>
                <w:lang w:val="en-US"/>
              </w:rPr>
              <w:t>80</w:t>
            </w:r>
          </w:p>
        </w:tc>
        <w:tc>
          <w:tcPr>
            <w:tcW w:w="1288" w:type="dxa"/>
          </w:tcPr>
          <w:p w14:paraId="198925FB" w14:textId="5DAF99ED" w:rsidR="008C0C9A" w:rsidRDefault="008C0C9A" w:rsidP="008C0C9A">
            <w:pPr>
              <w:spacing w:line="360" w:lineRule="auto"/>
              <w:jc w:val="center"/>
              <w:rPr>
                <w:lang w:val="en-US"/>
              </w:rPr>
            </w:pPr>
            <w:r>
              <w:rPr>
                <w:lang w:val="en-US"/>
              </w:rPr>
              <w:t>605</w:t>
            </w:r>
          </w:p>
        </w:tc>
        <w:tc>
          <w:tcPr>
            <w:tcW w:w="1288" w:type="dxa"/>
          </w:tcPr>
          <w:p w14:paraId="3D82DC8F" w14:textId="613EC541" w:rsidR="008C0C9A" w:rsidRDefault="008C0C9A" w:rsidP="008C0C9A">
            <w:pPr>
              <w:spacing w:line="360" w:lineRule="auto"/>
              <w:jc w:val="center"/>
              <w:rPr>
                <w:lang w:val="en-US"/>
              </w:rPr>
            </w:pPr>
            <w:r>
              <w:rPr>
                <w:lang w:val="en-US"/>
              </w:rPr>
              <w:t>0.8900</w:t>
            </w:r>
          </w:p>
        </w:tc>
        <w:tc>
          <w:tcPr>
            <w:tcW w:w="1288" w:type="dxa"/>
          </w:tcPr>
          <w:p w14:paraId="605433A3" w14:textId="560A2C02" w:rsidR="008C0C9A" w:rsidRDefault="008C0C9A" w:rsidP="008C0C9A">
            <w:pPr>
              <w:spacing w:line="360" w:lineRule="auto"/>
              <w:jc w:val="center"/>
              <w:rPr>
                <w:lang w:val="en-US"/>
              </w:rPr>
            </w:pPr>
            <w:r>
              <w:rPr>
                <w:lang w:val="en-US"/>
              </w:rPr>
              <w:t>538.45</w:t>
            </w:r>
          </w:p>
        </w:tc>
      </w:tr>
      <w:tr w:rsidR="008C0C9A" w14:paraId="7971F55B" w14:textId="77777777" w:rsidTr="00E81AC4">
        <w:tc>
          <w:tcPr>
            <w:tcW w:w="1288" w:type="dxa"/>
          </w:tcPr>
          <w:p w14:paraId="5B5684B1" w14:textId="77777777" w:rsidR="008C0C9A" w:rsidRDefault="008C0C9A" w:rsidP="008C0C9A">
            <w:pPr>
              <w:spacing w:line="360" w:lineRule="auto"/>
              <w:jc w:val="center"/>
              <w:rPr>
                <w:lang w:val="en-US"/>
              </w:rPr>
            </w:pPr>
            <w:r>
              <w:rPr>
                <w:lang w:val="en-US"/>
              </w:rPr>
              <w:t>3</w:t>
            </w:r>
          </w:p>
        </w:tc>
        <w:tc>
          <w:tcPr>
            <w:tcW w:w="1288" w:type="dxa"/>
          </w:tcPr>
          <w:p w14:paraId="212D6E24" w14:textId="04A4D596" w:rsidR="008C0C9A" w:rsidRDefault="008C0C9A" w:rsidP="008C0C9A">
            <w:pPr>
              <w:spacing w:line="360" w:lineRule="auto"/>
              <w:jc w:val="center"/>
              <w:rPr>
                <w:lang w:val="en-US"/>
              </w:rPr>
            </w:pPr>
            <w:r>
              <w:rPr>
                <w:lang w:val="en-US"/>
              </w:rPr>
              <w:t>900</w:t>
            </w:r>
          </w:p>
        </w:tc>
        <w:tc>
          <w:tcPr>
            <w:tcW w:w="1288" w:type="dxa"/>
          </w:tcPr>
          <w:p w14:paraId="66E72DDF" w14:textId="7FD2F445" w:rsidR="008C0C9A" w:rsidRDefault="008C0C9A" w:rsidP="008C0C9A">
            <w:pPr>
              <w:spacing w:line="360" w:lineRule="auto"/>
              <w:jc w:val="center"/>
              <w:rPr>
                <w:lang w:val="en-US"/>
              </w:rPr>
            </w:pPr>
            <w:r>
              <w:rPr>
                <w:lang w:val="en-US"/>
              </w:rPr>
              <w:t>(225)</w:t>
            </w:r>
          </w:p>
        </w:tc>
        <w:tc>
          <w:tcPr>
            <w:tcW w:w="1288" w:type="dxa"/>
          </w:tcPr>
          <w:p w14:paraId="4DD7B933" w14:textId="5BAFAB90" w:rsidR="008C0C9A" w:rsidRDefault="008C0C9A" w:rsidP="008C0C9A">
            <w:pPr>
              <w:spacing w:line="360" w:lineRule="auto"/>
              <w:jc w:val="center"/>
              <w:rPr>
                <w:lang w:val="en-US"/>
              </w:rPr>
            </w:pPr>
            <w:r>
              <w:rPr>
                <w:lang w:val="en-US"/>
              </w:rPr>
              <w:t>80</w:t>
            </w:r>
          </w:p>
        </w:tc>
        <w:tc>
          <w:tcPr>
            <w:tcW w:w="1288" w:type="dxa"/>
          </w:tcPr>
          <w:p w14:paraId="67E8B6A9" w14:textId="77EBE2CE" w:rsidR="008C0C9A" w:rsidRDefault="008C0C9A" w:rsidP="008C0C9A">
            <w:pPr>
              <w:spacing w:line="360" w:lineRule="auto"/>
              <w:jc w:val="center"/>
              <w:rPr>
                <w:lang w:val="en-US"/>
              </w:rPr>
            </w:pPr>
            <w:r>
              <w:rPr>
                <w:lang w:val="en-US"/>
              </w:rPr>
              <w:t>755</w:t>
            </w:r>
          </w:p>
        </w:tc>
        <w:tc>
          <w:tcPr>
            <w:tcW w:w="1288" w:type="dxa"/>
          </w:tcPr>
          <w:p w14:paraId="65B46921" w14:textId="40222814" w:rsidR="008C0C9A" w:rsidRDefault="008C0C9A" w:rsidP="008C0C9A">
            <w:pPr>
              <w:spacing w:line="360" w:lineRule="auto"/>
              <w:jc w:val="center"/>
              <w:rPr>
                <w:lang w:val="en-US"/>
              </w:rPr>
            </w:pPr>
            <w:r>
              <w:rPr>
                <w:lang w:val="en-US"/>
              </w:rPr>
              <w:t>0.8396</w:t>
            </w:r>
          </w:p>
        </w:tc>
        <w:tc>
          <w:tcPr>
            <w:tcW w:w="1288" w:type="dxa"/>
          </w:tcPr>
          <w:p w14:paraId="5531FADE" w14:textId="7830BBE4" w:rsidR="008C0C9A" w:rsidRDefault="008C0C9A" w:rsidP="008C0C9A">
            <w:pPr>
              <w:spacing w:line="360" w:lineRule="auto"/>
              <w:jc w:val="center"/>
              <w:rPr>
                <w:lang w:val="en-US"/>
              </w:rPr>
            </w:pPr>
            <w:r>
              <w:rPr>
                <w:lang w:val="en-US"/>
              </w:rPr>
              <w:t>633.90</w:t>
            </w:r>
          </w:p>
        </w:tc>
      </w:tr>
      <w:tr w:rsidR="008C0C9A" w14:paraId="5ABC9433" w14:textId="77777777" w:rsidTr="00E81AC4">
        <w:tc>
          <w:tcPr>
            <w:tcW w:w="1288" w:type="dxa"/>
          </w:tcPr>
          <w:p w14:paraId="23DE94AE" w14:textId="77777777" w:rsidR="008C0C9A" w:rsidRDefault="008C0C9A" w:rsidP="008C0C9A">
            <w:pPr>
              <w:spacing w:line="360" w:lineRule="auto"/>
              <w:jc w:val="center"/>
              <w:rPr>
                <w:lang w:val="en-US"/>
              </w:rPr>
            </w:pPr>
            <w:r>
              <w:rPr>
                <w:lang w:val="en-US"/>
              </w:rPr>
              <w:lastRenderedPageBreak/>
              <w:t>4</w:t>
            </w:r>
          </w:p>
        </w:tc>
        <w:tc>
          <w:tcPr>
            <w:tcW w:w="1288" w:type="dxa"/>
          </w:tcPr>
          <w:p w14:paraId="2CFA8AFD" w14:textId="36AA1049" w:rsidR="008C0C9A" w:rsidRDefault="008C0C9A" w:rsidP="008C0C9A">
            <w:pPr>
              <w:spacing w:line="360" w:lineRule="auto"/>
              <w:jc w:val="center"/>
              <w:rPr>
                <w:lang w:val="en-US"/>
              </w:rPr>
            </w:pPr>
            <w:r>
              <w:rPr>
                <w:lang w:val="en-US"/>
              </w:rPr>
              <w:t>1,200</w:t>
            </w:r>
          </w:p>
        </w:tc>
        <w:tc>
          <w:tcPr>
            <w:tcW w:w="1288" w:type="dxa"/>
          </w:tcPr>
          <w:p w14:paraId="22B2D318" w14:textId="1AB88F03" w:rsidR="008C0C9A" w:rsidRDefault="008C0C9A" w:rsidP="008C0C9A">
            <w:pPr>
              <w:spacing w:line="360" w:lineRule="auto"/>
              <w:jc w:val="center"/>
              <w:rPr>
                <w:lang w:val="en-US"/>
              </w:rPr>
            </w:pPr>
            <w:r>
              <w:rPr>
                <w:lang w:val="en-US"/>
              </w:rPr>
              <w:t>(300)</w:t>
            </w:r>
          </w:p>
        </w:tc>
        <w:tc>
          <w:tcPr>
            <w:tcW w:w="1288" w:type="dxa"/>
          </w:tcPr>
          <w:p w14:paraId="415908A0" w14:textId="78DC0836" w:rsidR="008C0C9A" w:rsidRDefault="008C0C9A" w:rsidP="008C0C9A">
            <w:pPr>
              <w:spacing w:line="360" w:lineRule="auto"/>
              <w:jc w:val="center"/>
              <w:rPr>
                <w:lang w:val="en-US"/>
              </w:rPr>
            </w:pPr>
            <w:r>
              <w:rPr>
                <w:lang w:val="en-US"/>
              </w:rPr>
              <w:t>80</w:t>
            </w:r>
          </w:p>
        </w:tc>
        <w:tc>
          <w:tcPr>
            <w:tcW w:w="1288" w:type="dxa"/>
          </w:tcPr>
          <w:p w14:paraId="0FACB1DA" w14:textId="0E2AE7F7" w:rsidR="008C0C9A" w:rsidRDefault="008C0C9A" w:rsidP="008C0C9A">
            <w:pPr>
              <w:spacing w:line="360" w:lineRule="auto"/>
              <w:jc w:val="center"/>
              <w:rPr>
                <w:lang w:val="en-US"/>
              </w:rPr>
            </w:pPr>
            <w:r>
              <w:rPr>
                <w:lang w:val="en-US"/>
              </w:rPr>
              <w:t>980</w:t>
            </w:r>
          </w:p>
        </w:tc>
        <w:tc>
          <w:tcPr>
            <w:tcW w:w="1288" w:type="dxa"/>
          </w:tcPr>
          <w:p w14:paraId="6F2FB5DC" w14:textId="79685C75" w:rsidR="008C0C9A" w:rsidRDefault="008C0C9A" w:rsidP="008C0C9A">
            <w:pPr>
              <w:spacing w:line="360" w:lineRule="auto"/>
              <w:jc w:val="center"/>
              <w:rPr>
                <w:lang w:val="en-US"/>
              </w:rPr>
            </w:pPr>
            <w:r>
              <w:rPr>
                <w:lang w:val="en-US"/>
              </w:rPr>
              <w:t>0.7921</w:t>
            </w:r>
          </w:p>
        </w:tc>
        <w:tc>
          <w:tcPr>
            <w:tcW w:w="1288" w:type="dxa"/>
          </w:tcPr>
          <w:p w14:paraId="1460A592" w14:textId="4E50AC59" w:rsidR="008C0C9A" w:rsidRDefault="008C0C9A" w:rsidP="008C0C9A">
            <w:pPr>
              <w:spacing w:line="360" w:lineRule="auto"/>
              <w:jc w:val="center"/>
              <w:rPr>
                <w:lang w:val="en-US"/>
              </w:rPr>
            </w:pPr>
            <w:r>
              <w:rPr>
                <w:lang w:val="en-US"/>
              </w:rPr>
              <w:t>776.26</w:t>
            </w:r>
          </w:p>
        </w:tc>
      </w:tr>
      <w:tr w:rsidR="008C0C9A" w14:paraId="79D2F7AC" w14:textId="77777777" w:rsidTr="00E81AC4">
        <w:tc>
          <w:tcPr>
            <w:tcW w:w="1288" w:type="dxa"/>
          </w:tcPr>
          <w:p w14:paraId="0F8E5148" w14:textId="77777777" w:rsidR="008C0C9A" w:rsidRDefault="008C0C9A" w:rsidP="008C0C9A">
            <w:pPr>
              <w:spacing w:line="360" w:lineRule="auto"/>
              <w:jc w:val="center"/>
              <w:rPr>
                <w:lang w:val="en-US"/>
              </w:rPr>
            </w:pPr>
          </w:p>
        </w:tc>
        <w:tc>
          <w:tcPr>
            <w:tcW w:w="1288" w:type="dxa"/>
          </w:tcPr>
          <w:p w14:paraId="61D0E815" w14:textId="77777777" w:rsidR="008C0C9A" w:rsidRDefault="008C0C9A" w:rsidP="008C0C9A">
            <w:pPr>
              <w:spacing w:line="360" w:lineRule="auto"/>
              <w:jc w:val="center"/>
              <w:rPr>
                <w:lang w:val="en-US"/>
              </w:rPr>
            </w:pPr>
          </w:p>
        </w:tc>
        <w:tc>
          <w:tcPr>
            <w:tcW w:w="1288" w:type="dxa"/>
          </w:tcPr>
          <w:p w14:paraId="26645EEC" w14:textId="77777777" w:rsidR="008C0C9A" w:rsidRDefault="008C0C9A" w:rsidP="008C0C9A">
            <w:pPr>
              <w:spacing w:line="360" w:lineRule="auto"/>
              <w:jc w:val="center"/>
              <w:rPr>
                <w:lang w:val="en-US"/>
              </w:rPr>
            </w:pPr>
          </w:p>
        </w:tc>
        <w:tc>
          <w:tcPr>
            <w:tcW w:w="1288" w:type="dxa"/>
          </w:tcPr>
          <w:p w14:paraId="739A4FC9" w14:textId="77777777" w:rsidR="008C0C9A" w:rsidRDefault="008C0C9A" w:rsidP="008C0C9A">
            <w:pPr>
              <w:spacing w:line="360" w:lineRule="auto"/>
              <w:jc w:val="center"/>
              <w:rPr>
                <w:lang w:val="en-US"/>
              </w:rPr>
            </w:pPr>
          </w:p>
        </w:tc>
        <w:tc>
          <w:tcPr>
            <w:tcW w:w="1288" w:type="dxa"/>
          </w:tcPr>
          <w:p w14:paraId="01F3B9E0" w14:textId="77777777" w:rsidR="008C0C9A" w:rsidRDefault="008C0C9A" w:rsidP="008C0C9A">
            <w:pPr>
              <w:spacing w:line="360" w:lineRule="auto"/>
              <w:jc w:val="center"/>
              <w:rPr>
                <w:lang w:val="en-US"/>
              </w:rPr>
            </w:pPr>
          </w:p>
        </w:tc>
        <w:tc>
          <w:tcPr>
            <w:tcW w:w="1288" w:type="dxa"/>
          </w:tcPr>
          <w:p w14:paraId="7E2E708E" w14:textId="67E41EF8" w:rsidR="008C0C9A" w:rsidRPr="009608C4" w:rsidRDefault="008C0C9A" w:rsidP="008C0C9A">
            <w:pPr>
              <w:spacing w:line="360" w:lineRule="auto"/>
              <w:jc w:val="center"/>
              <w:rPr>
                <w:b/>
                <w:bCs/>
                <w:lang w:val="en-US"/>
              </w:rPr>
            </w:pPr>
            <w:r>
              <w:rPr>
                <w:b/>
                <w:bCs/>
                <w:lang w:val="en-US"/>
              </w:rPr>
              <w:t>N</w:t>
            </w:r>
            <w:r w:rsidRPr="009608C4">
              <w:rPr>
                <w:b/>
                <w:bCs/>
                <w:lang w:val="en-US"/>
              </w:rPr>
              <w:t>PV</w:t>
            </w:r>
          </w:p>
        </w:tc>
        <w:tc>
          <w:tcPr>
            <w:tcW w:w="1288" w:type="dxa"/>
          </w:tcPr>
          <w:p w14:paraId="56A101E8" w14:textId="2EEE089B" w:rsidR="008C0C9A" w:rsidRPr="009608C4" w:rsidRDefault="008C0C9A" w:rsidP="008C0C9A">
            <w:pPr>
              <w:spacing w:line="360" w:lineRule="auto"/>
              <w:jc w:val="center"/>
              <w:rPr>
                <w:b/>
                <w:bCs/>
                <w:lang w:val="en-US"/>
              </w:rPr>
            </w:pPr>
            <w:r>
              <w:rPr>
                <w:b/>
                <w:bCs/>
                <w:lang w:val="en-US"/>
              </w:rPr>
              <w:t>742</w:t>
            </w:r>
            <w:r w:rsidR="00A80C33">
              <w:rPr>
                <w:b/>
                <w:bCs/>
                <w:lang w:val="en-US"/>
              </w:rPr>
              <w:t>.</w:t>
            </w:r>
            <w:r>
              <w:rPr>
                <w:b/>
                <w:bCs/>
                <w:lang w:val="en-US"/>
              </w:rPr>
              <w:t>4</w:t>
            </w:r>
            <w:r w:rsidR="00FB3A35">
              <w:rPr>
                <w:b/>
                <w:bCs/>
                <w:lang w:val="en-US"/>
              </w:rPr>
              <w:t>75</w:t>
            </w:r>
          </w:p>
        </w:tc>
      </w:tr>
    </w:tbl>
    <w:p w14:paraId="1DCB3849" w14:textId="3BACE287" w:rsidR="00FF3FBD" w:rsidRDefault="00387D1D" w:rsidP="00FF3FBD">
      <w:pPr>
        <w:pStyle w:val="Heading3"/>
        <w:spacing w:line="360" w:lineRule="auto"/>
        <w:rPr>
          <w:rFonts w:ascii="Times New Roman" w:hAnsi="Times New Roman" w:cs="Times New Roman"/>
          <w:b/>
          <w:bCs/>
          <w:sz w:val="24"/>
          <w:szCs w:val="32"/>
          <w:lang w:val="en-US"/>
        </w:rPr>
      </w:pPr>
      <w:bookmarkStart w:id="21" w:name="_Toc219063791"/>
      <w:r>
        <w:rPr>
          <w:rFonts w:ascii="Times New Roman" w:hAnsi="Times New Roman" w:cs="Times New Roman"/>
          <w:b/>
          <w:bCs/>
          <w:sz w:val="24"/>
          <w:szCs w:val="32"/>
          <w:lang w:val="en-US"/>
        </w:rPr>
        <w:t>NPV Recommendations</w:t>
      </w:r>
      <w:bookmarkEnd w:id="21"/>
    </w:p>
    <w:p w14:paraId="0CD5C758" w14:textId="41977771" w:rsidR="003B434F" w:rsidRPr="00FF3FBD" w:rsidRDefault="00484F0A" w:rsidP="00FF3FBD">
      <w:pPr>
        <w:spacing w:line="360" w:lineRule="auto"/>
        <w:rPr>
          <w:lang w:val="en-US"/>
        </w:rPr>
      </w:pPr>
      <w:r>
        <w:rPr>
          <w:lang w:val="en-US"/>
        </w:rPr>
        <w:t>All three of the options generate positive NPVs</w:t>
      </w:r>
      <w:r w:rsidR="004C1043">
        <w:rPr>
          <w:lang w:val="en-US"/>
        </w:rPr>
        <w:t>,</w:t>
      </w:r>
      <w:r>
        <w:rPr>
          <w:lang w:val="en-US"/>
        </w:rPr>
        <w:t xml:space="preserve"> for which only the option with the highest NPV is to be considered. </w:t>
      </w:r>
      <w:r w:rsidR="0029321B">
        <w:rPr>
          <w:lang w:val="en-US"/>
        </w:rPr>
        <w:t>In this regard, only Option B can be considered as its NPV is the highest of the three</w:t>
      </w:r>
      <w:r w:rsidR="004C1043">
        <w:rPr>
          <w:lang w:val="en-US"/>
        </w:rPr>
        <w:t>,</w:t>
      </w:r>
      <w:r w:rsidR="004040BF">
        <w:rPr>
          <w:lang w:val="en-US"/>
        </w:rPr>
        <w:t xml:space="preserve"> with an NPV of 792,228 Pounds. </w:t>
      </w:r>
      <w:r w:rsidR="003B434F">
        <w:rPr>
          <w:lang w:val="en-US"/>
        </w:rPr>
        <w:t xml:space="preserve">Option A requires 600,000 Pounds but only yields about </w:t>
      </w:r>
      <w:r w:rsidR="00FB3A35">
        <w:rPr>
          <w:lang w:val="en-US"/>
        </w:rPr>
        <w:t>6</w:t>
      </w:r>
      <w:r w:rsidR="003B434F">
        <w:rPr>
          <w:lang w:val="en-US"/>
        </w:rPr>
        <w:t>43,165 Pounds and at the same time, Option C requires 1,600,000 Pounds but yields a substantial 742,475 Pounds</w:t>
      </w:r>
      <w:r w:rsidR="00C23548">
        <w:rPr>
          <w:lang w:val="en-US"/>
        </w:rPr>
        <w:t xml:space="preserve"> in return. </w:t>
      </w:r>
      <w:r w:rsidR="000359AC">
        <w:rPr>
          <w:lang w:val="en-US"/>
        </w:rPr>
        <w:t xml:space="preserve">Now, as Option B requires less initial investment than Option C while yielding almost 50,000 Pounds more, </w:t>
      </w:r>
      <w:r w:rsidR="00471125">
        <w:rPr>
          <w:lang w:val="en-US"/>
        </w:rPr>
        <w:t>it is the most optimum choice to undertake.</w:t>
      </w:r>
    </w:p>
    <w:p w14:paraId="31FCE8B9" w14:textId="3185D144" w:rsidR="00E107EE" w:rsidRDefault="00F60C8D" w:rsidP="00E107EE">
      <w:pPr>
        <w:pStyle w:val="Heading2"/>
        <w:spacing w:line="360" w:lineRule="auto"/>
        <w:rPr>
          <w:lang w:val="en-US"/>
        </w:rPr>
      </w:pPr>
      <w:bookmarkStart w:id="22" w:name="_Toc219063792"/>
      <w:r>
        <w:rPr>
          <w:lang w:val="en-US"/>
        </w:rPr>
        <w:t>Internal Rate of Return Analysis</w:t>
      </w:r>
      <w:bookmarkEnd w:id="22"/>
    </w:p>
    <w:p w14:paraId="727361C9" w14:textId="1D501D55" w:rsidR="00F3447B" w:rsidRDefault="00F3447B" w:rsidP="00F3447B">
      <w:pPr>
        <w:pStyle w:val="Heading3"/>
        <w:spacing w:line="360" w:lineRule="auto"/>
        <w:rPr>
          <w:rFonts w:ascii="Times New Roman" w:hAnsi="Times New Roman" w:cs="Times New Roman"/>
          <w:b/>
          <w:bCs/>
          <w:sz w:val="24"/>
          <w:szCs w:val="32"/>
          <w:lang w:val="en-US"/>
        </w:rPr>
      </w:pPr>
      <w:bookmarkStart w:id="23" w:name="_Toc219063793"/>
      <w:r>
        <w:rPr>
          <w:rFonts w:ascii="Times New Roman" w:hAnsi="Times New Roman" w:cs="Times New Roman"/>
          <w:b/>
          <w:bCs/>
          <w:sz w:val="24"/>
          <w:szCs w:val="32"/>
          <w:lang w:val="en-US"/>
        </w:rPr>
        <w:t xml:space="preserve">Theoretical Foundation of </w:t>
      </w:r>
      <w:r w:rsidR="00387D1D">
        <w:rPr>
          <w:rFonts w:ascii="Times New Roman" w:hAnsi="Times New Roman" w:cs="Times New Roman"/>
          <w:b/>
          <w:bCs/>
          <w:sz w:val="24"/>
          <w:szCs w:val="32"/>
          <w:lang w:val="en-US"/>
        </w:rPr>
        <w:t>IRR</w:t>
      </w:r>
      <w:bookmarkEnd w:id="23"/>
    </w:p>
    <w:p w14:paraId="4F7B44B2" w14:textId="41885228" w:rsidR="00F3447B" w:rsidRDefault="001C411C" w:rsidP="00F3447B">
      <w:pPr>
        <w:spacing w:line="360" w:lineRule="auto"/>
        <w:rPr>
          <w:lang w:val="en-US"/>
        </w:rPr>
      </w:pPr>
      <w:r>
        <w:rPr>
          <w:lang w:val="en-US"/>
        </w:rPr>
        <w:t>Internal Rate of Return or IRR is the discount rate at which the NPV comes out to be zero</w:t>
      </w:r>
      <w:r w:rsidR="004C1043">
        <w:rPr>
          <w:lang w:val="en-US"/>
        </w:rPr>
        <w:t>,</w:t>
      </w:r>
      <w:r>
        <w:rPr>
          <w:lang w:val="en-US"/>
        </w:rPr>
        <w:t xml:space="preserve"> which indicates the break-even </w:t>
      </w:r>
      <w:r w:rsidR="004C1043">
        <w:rPr>
          <w:lang w:val="en-US"/>
        </w:rPr>
        <w:t xml:space="preserve">point </w:t>
      </w:r>
      <w:r>
        <w:rPr>
          <w:lang w:val="en-US"/>
        </w:rPr>
        <w:t xml:space="preserve">of a project. </w:t>
      </w:r>
      <w:r w:rsidR="00667AB0">
        <w:rPr>
          <w:lang w:val="en-US"/>
        </w:rPr>
        <w:t>IRR is the measurement which helps to calculate the intrinsic rate of return of a project</w:t>
      </w:r>
      <w:r w:rsidR="004C1043">
        <w:rPr>
          <w:lang w:val="en-US"/>
        </w:rPr>
        <w:t>,</w:t>
      </w:r>
      <w:r w:rsidR="006F144F">
        <w:rPr>
          <w:lang w:val="en-US"/>
        </w:rPr>
        <w:t xml:space="preserve"> which does not account for the project’s external factors</w:t>
      </w:r>
      <w:r w:rsidR="004C1043">
        <w:rPr>
          <w:lang w:val="en-US"/>
        </w:rPr>
        <w:t>,</w:t>
      </w:r>
      <w:r w:rsidR="006F144F">
        <w:rPr>
          <w:lang w:val="en-US"/>
        </w:rPr>
        <w:t xml:space="preserve"> such as </w:t>
      </w:r>
      <w:r w:rsidR="004C1043">
        <w:rPr>
          <w:lang w:val="en-US"/>
        </w:rPr>
        <w:t xml:space="preserve">the </w:t>
      </w:r>
      <w:r w:rsidR="006F144F">
        <w:rPr>
          <w:lang w:val="en-US"/>
        </w:rPr>
        <w:t>cost of capital</w:t>
      </w:r>
      <w:r w:rsidR="0077202E">
        <w:rPr>
          <w:lang w:val="en-US"/>
        </w:rPr>
        <w:t xml:space="preserve"> (</w:t>
      </w:r>
      <w:r w:rsidR="0077202E" w:rsidRPr="0077202E">
        <w:t>Patrick</w:t>
      </w:r>
      <w:r w:rsidR="0077202E">
        <w:t xml:space="preserve"> and French, 2016)</w:t>
      </w:r>
      <w:r w:rsidR="006F144F">
        <w:rPr>
          <w:lang w:val="en-US"/>
        </w:rPr>
        <w:t xml:space="preserve">. </w:t>
      </w:r>
      <w:r w:rsidR="00192BCC">
        <w:rPr>
          <w:lang w:val="en-US"/>
        </w:rPr>
        <w:t>As for the decision rule, if the IRR exceeds the cost of capital, then the project remains acceptable</w:t>
      </w:r>
      <w:r w:rsidR="004C1043">
        <w:rPr>
          <w:lang w:val="en-US"/>
        </w:rPr>
        <w:t>;</w:t>
      </w:r>
      <w:r w:rsidR="00192BCC">
        <w:rPr>
          <w:lang w:val="en-US"/>
        </w:rPr>
        <w:t xml:space="preserve"> however, if the IRR cannot exceed the cost of capital, then the project </w:t>
      </w:r>
      <w:r w:rsidR="004C1043">
        <w:rPr>
          <w:lang w:val="en-US"/>
        </w:rPr>
        <w:t>is</w:t>
      </w:r>
      <w:r w:rsidR="00192BCC">
        <w:rPr>
          <w:lang w:val="en-US"/>
        </w:rPr>
        <w:t xml:space="preserve"> rejected. </w:t>
      </w:r>
    </w:p>
    <w:p w14:paraId="32D36D9A" w14:textId="6A7A306F" w:rsidR="004C0E91" w:rsidRDefault="004C0E91" w:rsidP="00F3447B">
      <w:pPr>
        <w:spacing w:line="360" w:lineRule="auto"/>
        <w:rPr>
          <w:lang w:val="en-US"/>
        </w:rPr>
      </w:pPr>
      <w:r>
        <w:rPr>
          <w:lang w:val="en-US"/>
        </w:rPr>
        <w:t xml:space="preserve">Now, the popularity of the technique arises from its ability to interpret the profitability in a percentage form instead of a concrete figure. </w:t>
      </w:r>
      <w:r w:rsidR="005A0577">
        <w:rPr>
          <w:lang w:val="en-US"/>
        </w:rPr>
        <w:t>Although it has its benefits in evaluating investment projects, IRR also has certain limitations</w:t>
      </w:r>
      <w:r w:rsidR="004C1043">
        <w:rPr>
          <w:lang w:val="en-US"/>
        </w:rPr>
        <w:t>,</w:t>
      </w:r>
      <w:r w:rsidR="005A0577">
        <w:rPr>
          <w:lang w:val="en-US"/>
        </w:rPr>
        <w:t xml:space="preserve"> including calculating projects with multiple non-conventional cash</w:t>
      </w:r>
      <w:r w:rsidR="007D7AC8">
        <w:rPr>
          <w:lang w:val="en-US"/>
        </w:rPr>
        <w:t xml:space="preserve"> flows. </w:t>
      </w:r>
      <w:r w:rsidR="0093382E">
        <w:rPr>
          <w:lang w:val="en-US"/>
        </w:rPr>
        <w:t>Also, IRR assumes that the interim cash flows must be reinvested at the IRR</w:t>
      </w:r>
      <w:r w:rsidR="004C1043">
        <w:rPr>
          <w:lang w:val="en-US"/>
        </w:rPr>
        <w:t>,</w:t>
      </w:r>
      <w:r w:rsidR="0093382E">
        <w:rPr>
          <w:lang w:val="en-US"/>
        </w:rPr>
        <w:t xml:space="preserve"> which is nearly impossible in real-world </w:t>
      </w:r>
      <w:r w:rsidR="00491448">
        <w:rPr>
          <w:lang w:val="en-US"/>
        </w:rPr>
        <w:t>cases</w:t>
      </w:r>
      <w:r w:rsidR="0021519C">
        <w:rPr>
          <w:lang w:val="en-US"/>
        </w:rPr>
        <w:t xml:space="preserve"> (</w:t>
      </w:r>
      <w:r w:rsidR="0021519C" w:rsidRPr="0021519C">
        <w:t>Arshad</w:t>
      </w:r>
      <w:r w:rsidR="0021519C">
        <w:t>, 2012)</w:t>
      </w:r>
      <w:r w:rsidR="00491448">
        <w:rPr>
          <w:lang w:val="en-US"/>
        </w:rPr>
        <w:t>.</w:t>
      </w:r>
    </w:p>
    <w:p w14:paraId="47073110" w14:textId="418D0E08" w:rsidR="00F3447B" w:rsidRDefault="00387D1D" w:rsidP="00F3447B">
      <w:pPr>
        <w:pStyle w:val="Heading3"/>
        <w:spacing w:line="360" w:lineRule="auto"/>
        <w:rPr>
          <w:rFonts w:ascii="Times New Roman" w:hAnsi="Times New Roman" w:cs="Times New Roman"/>
          <w:b/>
          <w:bCs/>
          <w:sz w:val="24"/>
          <w:szCs w:val="32"/>
          <w:lang w:val="en-US"/>
        </w:rPr>
      </w:pPr>
      <w:bookmarkStart w:id="24" w:name="_Toc219063794"/>
      <w:r>
        <w:rPr>
          <w:rFonts w:ascii="Times New Roman" w:hAnsi="Times New Roman" w:cs="Times New Roman"/>
          <w:b/>
          <w:bCs/>
          <w:sz w:val="24"/>
          <w:szCs w:val="32"/>
          <w:lang w:val="en-US"/>
        </w:rPr>
        <w:t>IRR Calculation of Option B</w:t>
      </w:r>
      <w:bookmarkEnd w:id="24"/>
    </w:p>
    <w:p w14:paraId="79F208D4" w14:textId="2B86B50F" w:rsidR="00F3447B" w:rsidRDefault="00B33F38" w:rsidP="00F3447B">
      <w:pPr>
        <w:spacing w:line="360" w:lineRule="auto"/>
        <w:rPr>
          <w:lang w:val="en-US"/>
        </w:rPr>
      </w:pPr>
      <w:r>
        <w:rPr>
          <w:lang w:val="en-US"/>
        </w:rPr>
        <w:t>The IRR of Option B is calculated below</w:t>
      </w:r>
      <w:r w:rsidR="004C1043">
        <w:rPr>
          <w:lang w:val="en-US"/>
        </w:rPr>
        <w:t>,</w:t>
      </w:r>
      <w:r>
        <w:rPr>
          <w:lang w:val="en-US"/>
        </w:rPr>
        <w:t xml:space="preserve"> as it has been accepted in the previous section.</w:t>
      </w:r>
    </w:p>
    <w:p w14:paraId="6E45A4B7" w14:textId="56C3A633" w:rsidR="007A5861" w:rsidRPr="007A5861" w:rsidRDefault="007A5861" w:rsidP="00F3447B">
      <w:pPr>
        <w:spacing w:line="360" w:lineRule="auto"/>
        <w:rPr>
          <w:lang w:val="en-US"/>
        </w:rPr>
      </w:pPr>
      <w:r>
        <w:rPr>
          <w:b/>
          <w:bCs/>
          <w:lang w:val="en-US"/>
        </w:rPr>
        <w:t xml:space="preserve">Trial – 01: </w:t>
      </w:r>
      <w:r w:rsidR="0057563D">
        <w:rPr>
          <w:lang w:val="en-US"/>
        </w:rPr>
        <w:t>6</w:t>
      </w:r>
      <w:r>
        <w:rPr>
          <w:lang w:val="en-US"/>
        </w:rPr>
        <w:t>% Discount Rate</w:t>
      </w:r>
    </w:p>
    <w:tbl>
      <w:tblPr>
        <w:tblStyle w:val="TableGrid"/>
        <w:tblW w:w="0" w:type="auto"/>
        <w:tblLook w:val="04A0" w:firstRow="1" w:lastRow="0" w:firstColumn="1" w:lastColumn="0" w:noHBand="0" w:noVBand="1"/>
      </w:tblPr>
      <w:tblGrid>
        <w:gridCol w:w="2254"/>
        <w:gridCol w:w="2254"/>
        <w:gridCol w:w="2254"/>
        <w:gridCol w:w="2254"/>
      </w:tblGrid>
      <w:tr w:rsidR="007A5861" w14:paraId="4E669538" w14:textId="77777777" w:rsidTr="007A5861">
        <w:tc>
          <w:tcPr>
            <w:tcW w:w="2254" w:type="dxa"/>
          </w:tcPr>
          <w:p w14:paraId="58DECDBC" w14:textId="53800CB5" w:rsidR="007A5861" w:rsidRPr="007A5861" w:rsidRDefault="007A5861" w:rsidP="007A5861">
            <w:pPr>
              <w:spacing w:line="360" w:lineRule="auto"/>
              <w:jc w:val="center"/>
              <w:rPr>
                <w:b/>
                <w:bCs/>
                <w:lang w:val="en-US"/>
              </w:rPr>
            </w:pPr>
            <w:r>
              <w:rPr>
                <w:b/>
                <w:bCs/>
                <w:lang w:val="en-US"/>
              </w:rPr>
              <w:t>Year</w:t>
            </w:r>
          </w:p>
        </w:tc>
        <w:tc>
          <w:tcPr>
            <w:tcW w:w="2254" w:type="dxa"/>
          </w:tcPr>
          <w:p w14:paraId="76877B76" w14:textId="782D07F9" w:rsidR="007A5861" w:rsidRPr="007A5861" w:rsidRDefault="007A5861" w:rsidP="007A5861">
            <w:pPr>
              <w:spacing w:line="360" w:lineRule="auto"/>
              <w:jc w:val="center"/>
              <w:rPr>
                <w:b/>
                <w:bCs/>
                <w:lang w:val="en-US"/>
              </w:rPr>
            </w:pPr>
            <w:r>
              <w:rPr>
                <w:b/>
                <w:bCs/>
                <w:lang w:val="en-US"/>
              </w:rPr>
              <w:t xml:space="preserve">After-Tax Cash Flow </w:t>
            </w:r>
            <w:r w:rsidRPr="007A5861">
              <w:rPr>
                <w:b/>
                <w:bCs/>
              </w:rPr>
              <w:t>(£'000)</w:t>
            </w:r>
          </w:p>
        </w:tc>
        <w:tc>
          <w:tcPr>
            <w:tcW w:w="2254" w:type="dxa"/>
          </w:tcPr>
          <w:p w14:paraId="469859B9" w14:textId="3FBB3452" w:rsidR="007A5861" w:rsidRPr="007A5861" w:rsidRDefault="007A5861" w:rsidP="007A5861">
            <w:pPr>
              <w:spacing w:line="360" w:lineRule="auto"/>
              <w:jc w:val="center"/>
              <w:rPr>
                <w:b/>
                <w:bCs/>
                <w:lang w:val="en-US"/>
              </w:rPr>
            </w:pPr>
            <w:r>
              <w:rPr>
                <w:b/>
                <w:bCs/>
                <w:lang w:val="en-US"/>
              </w:rPr>
              <w:t xml:space="preserve">Discount Factor @ </w:t>
            </w:r>
            <w:r w:rsidR="0057563D">
              <w:rPr>
                <w:b/>
                <w:bCs/>
                <w:lang w:val="en-US"/>
              </w:rPr>
              <w:t>6</w:t>
            </w:r>
            <w:r>
              <w:rPr>
                <w:b/>
                <w:bCs/>
                <w:lang w:val="en-US"/>
              </w:rPr>
              <w:t>%</w:t>
            </w:r>
          </w:p>
        </w:tc>
        <w:tc>
          <w:tcPr>
            <w:tcW w:w="2254" w:type="dxa"/>
          </w:tcPr>
          <w:p w14:paraId="5DB6F1C9" w14:textId="3C512B2A" w:rsidR="007A5861" w:rsidRPr="007A5861" w:rsidRDefault="007A5861" w:rsidP="007A5861">
            <w:pPr>
              <w:spacing w:line="360" w:lineRule="auto"/>
              <w:jc w:val="center"/>
              <w:rPr>
                <w:b/>
                <w:bCs/>
                <w:lang w:val="en-US"/>
              </w:rPr>
            </w:pPr>
            <w:r>
              <w:rPr>
                <w:b/>
                <w:bCs/>
                <w:lang w:val="en-US"/>
              </w:rPr>
              <w:t xml:space="preserve">Present Value </w:t>
            </w:r>
            <w:r w:rsidRPr="007A5861">
              <w:rPr>
                <w:b/>
                <w:bCs/>
              </w:rPr>
              <w:t>(£'000)</w:t>
            </w:r>
          </w:p>
        </w:tc>
      </w:tr>
      <w:tr w:rsidR="004A499D" w14:paraId="0DFF0580" w14:textId="77777777" w:rsidTr="007A5861">
        <w:tc>
          <w:tcPr>
            <w:tcW w:w="2254" w:type="dxa"/>
          </w:tcPr>
          <w:p w14:paraId="50776015" w14:textId="40E22D3B" w:rsidR="004A499D" w:rsidRDefault="004A499D" w:rsidP="004A499D">
            <w:pPr>
              <w:spacing w:line="360" w:lineRule="auto"/>
              <w:jc w:val="center"/>
              <w:rPr>
                <w:lang w:val="en-US"/>
              </w:rPr>
            </w:pPr>
            <w:r>
              <w:rPr>
                <w:lang w:val="en-US"/>
              </w:rPr>
              <w:t>0</w:t>
            </w:r>
          </w:p>
        </w:tc>
        <w:tc>
          <w:tcPr>
            <w:tcW w:w="2254" w:type="dxa"/>
          </w:tcPr>
          <w:p w14:paraId="0EADDE33" w14:textId="6FB391B4" w:rsidR="004A499D" w:rsidRDefault="004A499D" w:rsidP="004A499D">
            <w:pPr>
              <w:spacing w:line="360" w:lineRule="auto"/>
              <w:jc w:val="center"/>
              <w:rPr>
                <w:lang w:val="en-US"/>
              </w:rPr>
            </w:pPr>
            <w:r>
              <w:rPr>
                <w:lang w:val="en-US"/>
              </w:rPr>
              <w:t>(1,000)</w:t>
            </w:r>
          </w:p>
        </w:tc>
        <w:tc>
          <w:tcPr>
            <w:tcW w:w="2254" w:type="dxa"/>
          </w:tcPr>
          <w:p w14:paraId="3F31F277" w14:textId="119FF012" w:rsidR="004A499D" w:rsidRDefault="004A499D" w:rsidP="004A499D">
            <w:pPr>
              <w:spacing w:line="360" w:lineRule="auto"/>
              <w:jc w:val="center"/>
              <w:rPr>
                <w:lang w:val="en-US"/>
              </w:rPr>
            </w:pPr>
            <w:r>
              <w:rPr>
                <w:lang w:val="en-US"/>
              </w:rPr>
              <w:t>1.00</w:t>
            </w:r>
          </w:p>
        </w:tc>
        <w:tc>
          <w:tcPr>
            <w:tcW w:w="2254" w:type="dxa"/>
          </w:tcPr>
          <w:p w14:paraId="7A2F91F3" w14:textId="3FC9A0CE" w:rsidR="004A499D" w:rsidRDefault="004A499D" w:rsidP="004A499D">
            <w:pPr>
              <w:spacing w:line="360" w:lineRule="auto"/>
              <w:jc w:val="center"/>
              <w:rPr>
                <w:lang w:val="en-US"/>
              </w:rPr>
            </w:pPr>
            <w:r>
              <w:rPr>
                <w:lang w:val="en-US"/>
              </w:rPr>
              <w:t>(1,600)</w:t>
            </w:r>
          </w:p>
        </w:tc>
      </w:tr>
      <w:tr w:rsidR="004A499D" w14:paraId="7F1F23B2" w14:textId="77777777" w:rsidTr="007A5861">
        <w:tc>
          <w:tcPr>
            <w:tcW w:w="2254" w:type="dxa"/>
          </w:tcPr>
          <w:p w14:paraId="0B82BA79" w14:textId="3FEE0FBE" w:rsidR="004A499D" w:rsidRDefault="004A499D" w:rsidP="004A499D">
            <w:pPr>
              <w:spacing w:line="360" w:lineRule="auto"/>
              <w:jc w:val="center"/>
              <w:rPr>
                <w:lang w:val="en-US"/>
              </w:rPr>
            </w:pPr>
            <w:r>
              <w:rPr>
                <w:lang w:val="en-US"/>
              </w:rPr>
              <w:t>1</w:t>
            </w:r>
          </w:p>
        </w:tc>
        <w:tc>
          <w:tcPr>
            <w:tcW w:w="2254" w:type="dxa"/>
          </w:tcPr>
          <w:p w14:paraId="31386590" w14:textId="56E99A3B" w:rsidR="004A499D" w:rsidRDefault="004A499D" w:rsidP="004A499D">
            <w:pPr>
              <w:spacing w:line="360" w:lineRule="auto"/>
              <w:jc w:val="center"/>
              <w:rPr>
                <w:lang w:val="en-US"/>
              </w:rPr>
            </w:pPr>
            <w:r>
              <w:rPr>
                <w:lang w:val="en-US"/>
              </w:rPr>
              <w:t>350</w:t>
            </w:r>
          </w:p>
        </w:tc>
        <w:tc>
          <w:tcPr>
            <w:tcW w:w="2254" w:type="dxa"/>
          </w:tcPr>
          <w:p w14:paraId="5B9D023A" w14:textId="352AD681" w:rsidR="004A499D" w:rsidRDefault="004A499D" w:rsidP="004A499D">
            <w:pPr>
              <w:spacing w:line="360" w:lineRule="auto"/>
              <w:jc w:val="center"/>
              <w:rPr>
                <w:lang w:val="en-US"/>
              </w:rPr>
            </w:pPr>
            <w:r>
              <w:rPr>
                <w:lang w:val="en-US"/>
              </w:rPr>
              <w:t>0.9434</w:t>
            </w:r>
          </w:p>
        </w:tc>
        <w:tc>
          <w:tcPr>
            <w:tcW w:w="2254" w:type="dxa"/>
          </w:tcPr>
          <w:p w14:paraId="316B5EC3" w14:textId="4773DA45" w:rsidR="004A499D" w:rsidRDefault="004A499D" w:rsidP="004A499D">
            <w:pPr>
              <w:spacing w:line="360" w:lineRule="auto"/>
              <w:jc w:val="center"/>
              <w:rPr>
                <w:lang w:val="en-US"/>
              </w:rPr>
            </w:pPr>
            <w:r>
              <w:rPr>
                <w:lang w:val="en-US"/>
              </w:rPr>
              <w:t>393.87</w:t>
            </w:r>
          </w:p>
        </w:tc>
      </w:tr>
      <w:tr w:rsidR="004A499D" w14:paraId="05E6A8C6" w14:textId="77777777" w:rsidTr="007A5861">
        <w:tc>
          <w:tcPr>
            <w:tcW w:w="2254" w:type="dxa"/>
          </w:tcPr>
          <w:p w14:paraId="68A96118" w14:textId="2ADEC7AA" w:rsidR="004A499D" w:rsidRDefault="004A499D" w:rsidP="004A499D">
            <w:pPr>
              <w:spacing w:line="360" w:lineRule="auto"/>
              <w:jc w:val="center"/>
              <w:rPr>
                <w:lang w:val="en-US"/>
              </w:rPr>
            </w:pPr>
            <w:r>
              <w:rPr>
                <w:lang w:val="en-US"/>
              </w:rPr>
              <w:lastRenderedPageBreak/>
              <w:t>2</w:t>
            </w:r>
          </w:p>
        </w:tc>
        <w:tc>
          <w:tcPr>
            <w:tcW w:w="2254" w:type="dxa"/>
          </w:tcPr>
          <w:p w14:paraId="44FEB241" w14:textId="5ACE9C61" w:rsidR="004A499D" w:rsidRDefault="004A499D" w:rsidP="004A499D">
            <w:pPr>
              <w:spacing w:line="360" w:lineRule="auto"/>
              <w:jc w:val="center"/>
              <w:rPr>
                <w:lang w:val="en-US"/>
              </w:rPr>
            </w:pPr>
            <w:r>
              <w:rPr>
                <w:lang w:val="en-US"/>
              </w:rPr>
              <w:t>387.5</w:t>
            </w:r>
          </w:p>
        </w:tc>
        <w:tc>
          <w:tcPr>
            <w:tcW w:w="2254" w:type="dxa"/>
          </w:tcPr>
          <w:p w14:paraId="7A094DF6" w14:textId="428966E0" w:rsidR="004A499D" w:rsidRDefault="004A499D" w:rsidP="004A499D">
            <w:pPr>
              <w:spacing w:line="360" w:lineRule="auto"/>
              <w:jc w:val="center"/>
              <w:rPr>
                <w:lang w:val="en-US"/>
              </w:rPr>
            </w:pPr>
            <w:r>
              <w:rPr>
                <w:lang w:val="en-US"/>
              </w:rPr>
              <w:t>0.8900</w:t>
            </w:r>
          </w:p>
        </w:tc>
        <w:tc>
          <w:tcPr>
            <w:tcW w:w="2254" w:type="dxa"/>
          </w:tcPr>
          <w:p w14:paraId="5200DB37" w14:textId="2C3C891A" w:rsidR="004A499D" w:rsidRDefault="004A499D" w:rsidP="004A499D">
            <w:pPr>
              <w:spacing w:line="360" w:lineRule="auto"/>
              <w:jc w:val="center"/>
              <w:rPr>
                <w:lang w:val="en-US"/>
              </w:rPr>
            </w:pPr>
            <w:r>
              <w:rPr>
                <w:lang w:val="en-US"/>
              </w:rPr>
              <w:t>538.45</w:t>
            </w:r>
          </w:p>
        </w:tc>
      </w:tr>
      <w:tr w:rsidR="004A499D" w14:paraId="33CBD2E1" w14:textId="77777777" w:rsidTr="007A5861">
        <w:tc>
          <w:tcPr>
            <w:tcW w:w="2254" w:type="dxa"/>
          </w:tcPr>
          <w:p w14:paraId="7CE55498" w14:textId="3F9E7DDB" w:rsidR="004A499D" w:rsidRDefault="004A499D" w:rsidP="004A499D">
            <w:pPr>
              <w:spacing w:line="360" w:lineRule="auto"/>
              <w:jc w:val="center"/>
              <w:rPr>
                <w:lang w:val="en-US"/>
              </w:rPr>
            </w:pPr>
            <w:r>
              <w:rPr>
                <w:lang w:val="en-US"/>
              </w:rPr>
              <w:t>3</w:t>
            </w:r>
          </w:p>
        </w:tc>
        <w:tc>
          <w:tcPr>
            <w:tcW w:w="2254" w:type="dxa"/>
          </w:tcPr>
          <w:p w14:paraId="04EB52EB" w14:textId="43521200" w:rsidR="004A499D" w:rsidRDefault="004A499D" w:rsidP="004A499D">
            <w:pPr>
              <w:spacing w:line="360" w:lineRule="auto"/>
              <w:jc w:val="center"/>
              <w:rPr>
                <w:lang w:val="en-US"/>
              </w:rPr>
            </w:pPr>
            <w:r>
              <w:rPr>
                <w:lang w:val="en-US"/>
              </w:rPr>
              <w:t>590</w:t>
            </w:r>
          </w:p>
        </w:tc>
        <w:tc>
          <w:tcPr>
            <w:tcW w:w="2254" w:type="dxa"/>
          </w:tcPr>
          <w:p w14:paraId="52D8B30C" w14:textId="2964693D" w:rsidR="004A499D" w:rsidRDefault="004A499D" w:rsidP="004A499D">
            <w:pPr>
              <w:spacing w:line="360" w:lineRule="auto"/>
              <w:jc w:val="center"/>
              <w:rPr>
                <w:lang w:val="en-US"/>
              </w:rPr>
            </w:pPr>
            <w:r>
              <w:rPr>
                <w:lang w:val="en-US"/>
              </w:rPr>
              <w:t>0.8396</w:t>
            </w:r>
          </w:p>
        </w:tc>
        <w:tc>
          <w:tcPr>
            <w:tcW w:w="2254" w:type="dxa"/>
          </w:tcPr>
          <w:p w14:paraId="5E59BD9B" w14:textId="0C2604E2" w:rsidR="004A499D" w:rsidRDefault="004A499D" w:rsidP="004A499D">
            <w:pPr>
              <w:spacing w:line="360" w:lineRule="auto"/>
              <w:jc w:val="center"/>
              <w:rPr>
                <w:lang w:val="en-US"/>
              </w:rPr>
            </w:pPr>
            <w:r>
              <w:rPr>
                <w:lang w:val="en-US"/>
              </w:rPr>
              <w:t>633.90</w:t>
            </w:r>
          </w:p>
        </w:tc>
      </w:tr>
      <w:tr w:rsidR="004A499D" w14:paraId="298DC421" w14:textId="77777777" w:rsidTr="007A5861">
        <w:tc>
          <w:tcPr>
            <w:tcW w:w="2254" w:type="dxa"/>
          </w:tcPr>
          <w:p w14:paraId="2D65C6F9" w14:textId="3E4EFDC5" w:rsidR="004A499D" w:rsidRDefault="004A499D" w:rsidP="004A499D">
            <w:pPr>
              <w:spacing w:line="360" w:lineRule="auto"/>
              <w:jc w:val="center"/>
              <w:rPr>
                <w:lang w:val="en-US"/>
              </w:rPr>
            </w:pPr>
            <w:r>
              <w:rPr>
                <w:lang w:val="en-US"/>
              </w:rPr>
              <w:t>4</w:t>
            </w:r>
          </w:p>
        </w:tc>
        <w:tc>
          <w:tcPr>
            <w:tcW w:w="2254" w:type="dxa"/>
          </w:tcPr>
          <w:p w14:paraId="348F1201" w14:textId="3E895EE5" w:rsidR="004A499D" w:rsidRDefault="004A499D" w:rsidP="004A499D">
            <w:pPr>
              <w:spacing w:line="360" w:lineRule="auto"/>
              <w:jc w:val="center"/>
              <w:rPr>
                <w:lang w:val="en-US"/>
              </w:rPr>
            </w:pPr>
            <w:r>
              <w:rPr>
                <w:lang w:val="en-US"/>
              </w:rPr>
              <w:t>785</w:t>
            </w:r>
          </w:p>
        </w:tc>
        <w:tc>
          <w:tcPr>
            <w:tcW w:w="2254" w:type="dxa"/>
          </w:tcPr>
          <w:p w14:paraId="6FB27824" w14:textId="2995FCAA" w:rsidR="004A499D" w:rsidRDefault="004A499D" w:rsidP="004A499D">
            <w:pPr>
              <w:spacing w:line="360" w:lineRule="auto"/>
              <w:jc w:val="center"/>
              <w:rPr>
                <w:lang w:val="en-US"/>
              </w:rPr>
            </w:pPr>
            <w:r>
              <w:rPr>
                <w:lang w:val="en-US"/>
              </w:rPr>
              <w:t>0.7921</w:t>
            </w:r>
          </w:p>
        </w:tc>
        <w:tc>
          <w:tcPr>
            <w:tcW w:w="2254" w:type="dxa"/>
          </w:tcPr>
          <w:p w14:paraId="2CB7FDBB" w14:textId="7A0ABFD3" w:rsidR="004A499D" w:rsidRDefault="004A499D" w:rsidP="004A499D">
            <w:pPr>
              <w:spacing w:line="360" w:lineRule="auto"/>
              <w:jc w:val="center"/>
              <w:rPr>
                <w:lang w:val="en-US"/>
              </w:rPr>
            </w:pPr>
            <w:r>
              <w:rPr>
                <w:lang w:val="en-US"/>
              </w:rPr>
              <w:t>776.26</w:t>
            </w:r>
          </w:p>
        </w:tc>
      </w:tr>
      <w:tr w:rsidR="004A499D" w14:paraId="1F836310" w14:textId="77777777" w:rsidTr="007A5861">
        <w:tc>
          <w:tcPr>
            <w:tcW w:w="2254" w:type="dxa"/>
          </w:tcPr>
          <w:p w14:paraId="68843B94" w14:textId="77777777" w:rsidR="004A499D" w:rsidRDefault="004A499D" w:rsidP="004A499D">
            <w:pPr>
              <w:spacing w:line="360" w:lineRule="auto"/>
              <w:jc w:val="center"/>
              <w:rPr>
                <w:lang w:val="en-US"/>
              </w:rPr>
            </w:pPr>
          </w:p>
        </w:tc>
        <w:tc>
          <w:tcPr>
            <w:tcW w:w="2254" w:type="dxa"/>
          </w:tcPr>
          <w:p w14:paraId="33EE87C4" w14:textId="77777777" w:rsidR="004A499D" w:rsidRDefault="004A499D" w:rsidP="004A499D">
            <w:pPr>
              <w:spacing w:line="360" w:lineRule="auto"/>
              <w:jc w:val="center"/>
              <w:rPr>
                <w:lang w:val="en-US"/>
              </w:rPr>
            </w:pPr>
          </w:p>
        </w:tc>
        <w:tc>
          <w:tcPr>
            <w:tcW w:w="2254" w:type="dxa"/>
          </w:tcPr>
          <w:p w14:paraId="60DB2C5D" w14:textId="59992102" w:rsidR="004A499D" w:rsidRDefault="004A499D" w:rsidP="004A499D">
            <w:pPr>
              <w:spacing w:line="360" w:lineRule="auto"/>
              <w:jc w:val="center"/>
              <w:rPr>
                <w:lang w:val="en-US"/>
              </w:rPr>
            </w:pPr>
            <w:r>
              <w:rPr>
                <w:b/>
                <w:bCs/>
                <w:lang w:val="en-US"/>
              </w:rPr>
              <w:t>N</w:t>
            </w:r>
            <w:r w:rsidRPr="009608C4">
              <w:rPr>
                <w:b/>
                <w:bCs/>
                <w:lang w:val="en-US"/>
              </w:rPr>
              <w:t>PV</w:t>
            </w:r>
            <w:r w:rsidR="00BE5C2F">
              <w:rPr>
                <w:b/>
                <w:bCs/>
                <w:lang w:val="en-US"/>
              </w:rPr>
              <w:t xml:space="preserve"> @ 6%</w:t>
            </w:r>
          </w:p>
        </w:tc>
        <w:tc>
          <w:tcPr>
            <w:tcW w:w="2254" w:type="dxa"/>
          </w:tcPr>
          <w:p w14:paraId="5341D489" w14:textId="7FED174D" w:rsidR="004A499D" w:rsidRDefault="00BE5C2F" w:rsidP="004A499D">
            <w:pPr>
              <w:spacing w:line="360" w:lineRule="auto"/>
              <w:jc w:val="center"/>
              <w:rPr>
                <w:lang w:val="en-US"/>
              </w:rPr>
            </w:pPr>
            <w:r>
              <w:rPr>
                <w:b/>
                <w:bCs/>
                <w:lang w:val="en-US"/>
              </w:rPr>
              <w:t>792.228</w:t>
            </w:r>
          </w:p>
        </w:tc>
      </w:tr>
    </w:tbl>
    <w:p w14:paraId="118A7FB7" w14:textId="4E651B1C" w:rsidR="00180A37" w:rsidRPr="007A5861" w:rsidRDefault="00180A37" w:rsidP="00180A37">
      <w:pPr>
        <w:spacing w:line="360" w:lineRule="auto"/>
        <w:rPr>
          <w:lang w:val="en-US"/>
        </w:rPr>
      </w:pPr>
      <w:r>
        <w:rPr>
          <w:b/>
          <w:bCs/>
          <w:lang w:val="en-US"/>
        </w:rPr>
        <w:t xml:space="preserve">Trial – 02: </w:t>
      </w:r>
      <w:r w:rsidR="0057563D">
        <w:rPr>
          <w:lang w:val="en-US"/>
        </w:rPr>
        <w:t>40</w:t>
      </w:r>
      <w:r>
        <w:rPr>
          <w:lang w:val="en-US"/>
        </w:rPr>
        <w:t>% Discount Rate</w:t>
      </w:r>
    </w:p>
    <w:tbl>
      <w:tblPr>
        <w:tblStyle w:val="TableGrid"/>
        <w:tblW w:w="0" w:type="auto"/>
        <w:tblLook w:val="04A0" w:firstRow="1" w:lastRow="0" w:firstColumn="1" w:lastColumn="0" w:noHBand="0" w:noVBand="1"/>
      </w:tblPr>
      <w:tblGrid>
        <w:gridCol w:w="2254"/>
        <w:gridCol w:w="2254"/>
        <w:gridCol w:w="2254"/>
        <w:gridCol w:w="2254"/>
      </w:tblGrid>
      <w:tr w:rsidR="00180A37" w14:paraId="0FB96AD2" w14:textId="77777777" w:rsidTr="00E81AC4">
        <w:tc>
          <w:tcPr>
            <w:tcW w:w="2254" w:type="dxa"/>
          </w:tcPr>
          <w:p w14:paraId="09523B78" w14:textId="77777777" w:rsidR="00180A37" w:rsidRPr="007A5861" w:rsidRDefault="00180A37" w:rsidP="00E81AC4">
            <w:pPr>
              <w:spacing w:line="360" w:lineRule="auto"/>
              <w:jc w:val="center"/>
              <w:rPr>
                <w:b/>
                <w:bCs/>
                <w:lang w:val="en-US"/>
              </w:rPr>
            </w:pPr>
            <w:r>
              <w:rPr>
                <w:b/>
                <w:bCs/>
                <w:lang w:val="en-US"/>
              </w:rPr>
              <w:t>Year</w:t>
            </w:r>
          </w:p>
        </w:tc>
        <w:tc>
          <w:tcPr>
            <w:tcW w:w="2254" w:type="dxa"/>
          </w:tcPr>
          <w:p w14:paraId="32C00F9C" w14:textId="77777777" w:rsidR="00180A37" w:rsidRPr="007A5861" w:rsidRDefault="00180A37" w:rsidP="00E81AC4">
            <w:pPr>
              <w:spacing w:line="360" w:lineRule="auto"/>
              <w:jc w:val="center"/>
              <w:rPr>
                <w:b/>
                <w:bCs/>
                <w:lang w:val="en-US"/>
              </w:rPr>
            </w:pPr>
            <w:r>
              <w:rPr>
                <w:b/>
                <w:bCs/>
                <w:lang w:val="en-US"/>
              </w:rPr>
              <w:t xml:space="preserve">After-Tax Cash Flow </w:t>
            </w:r>
            <w:r w:rsidRPr="007A5861">
              <w:rPr>
                <w:b/>
                <w:bCs/>
              </w:rPr>
              <w:t>(£'000)</w:t>
            </w:r>
          </w:p>
        </w:tc>
        <w:tc>
          <w:tcPr>
            <w:tcW w:w="2254" w:type="dxa"/>
          </w:tcPr>
          <w:p w14:paraId="0D23A32D" w14:textId="1B05204D" w:rsidR="00180A37" w:rsidRPr="007A5861" w:rsidRDefault="00180A37" w:rsidP="00E81AC4">
            <w:pPr>
              <w:spacing w:line="360" w:lineRule="auto"/>
              <w:jc w:val="center"/>
              <w:rPr>
                <w:b/>
                <w:bCs/>
                <w:lang w:val="en-US"/>
              </w:rPr>
            </w:pPr>
            <w:r>
              <w:rPr>
                <w:b/>
                <w:bCs/>
                <w:lang w:val="en-US"/>
              </w:rPr>
              <w:t xml:space="preserve">Discount Factor @ </w:t>
            </w:r>
            <w:r w:rsidR="0057563D">
              <w:rPr>
                <w:b/>
                <w:bCs/>
                <w:lang w:val="en-US"/>
              </w:rPr>
              <w:t>4</w:t>
            </w:r>
            <w:r>
              <w:rPr>
                <w:b/>
                <w:bCs/>
                <w:lang w:val="en-US"/>
              </w:rPr>
              <w:t>0%</w:t>
            </w:r>
          </w:p>
        </w:tc>
        <w:tc>
          <w:tcPr>
            <w:tcW w:w="2254" w:type="dxa"/>
          </w:tcPr>
          <w:p w14:paraId="2B379E1C" w14:textId="77777777" w:rsidR="00180A37" w:rsidRPr="007A5861" w:rsidRDefault="00180A37" w:rsidP="00E81AC4">
            <w:pPr>
              <w:spacing w:line="360" w:lineRule="auto"/>
              <w:jc w:val="center"/>
              <w:rPr>
                <w:b/>
                <w:bCs/>
                <w:lang w:val="en-US"/>
              </w:rPr>
            </w:pPr>
            <w:r>
              <w:rPr>
                <w:b/>
                <w:bCs/>
                <w:lang w:val="en-US"/>
              </w:rPr>
              <w:t xml:space="preserve">Present Value </w:t>
            </w:r>
            <w:r w:rsidRPr="007A5861">
              <w:rPr>
                <w:b/>
                <w:bCs/>
              </w:rPr>
              <w:t>(£'000)</w:t>
            </w:r>
          </w:p>
        </w:tc>
      </w:tr>
      <w:tr w:rsidR="00180A37" w14:paraId="36759EC4" w14:textId="77777777" w:rsidTr="00E81AC4">
        <w:tc>
          <w:tcPr>
            <w:tcW w:w="2254" w:type="dxa"/>
          </w:tcPr>
          <w:p w14:paraId="5743BB2D" w14:textId="77777777" w:rsidR="00180A37" w:rsidRDefault="00180A37" w:rsidP="00E81AC4">
            <w:pPr>
              <w:spacing w:line="360" w:lineRule="auto"/>
              <w:jc w:val="center"/>
              <w:rPr>
                <w:lang w:val="en-US"/>
              </w:rPr>
            </w:pPr>
            <w:r>
              <w:rPr>
                <w:lang w:val="en-US"/>
              </w:rPr>
              <w:t>0</w:t>
            </w:r>
          </w:p>
        </w:tc>
        <w:tc>
          <w:tcPr>
            <w:tcW w:w="2254" w:type="dxa"/>
          </w:tcPr>
          <w:p w14:paraId="5C7092B9" w14:textId="2ED0DFD1" w:rsidR="00180A37" w:rsidRDefault="004A499D" w:rsidP="00E81AC4">
            <w:pPr>
              <w:spacing w:line="360" w:lineRule="auto"/>
              <w:jc w:val="center"/>
              <w:rPr>
                <w:lang w:val="en-US"/>
              </w:rPr>
            </w:pPr>
            <w:r>
              <w:rPr>
                <w:lang w:val="en-US"/>
              </w:rPr>
              <w:t>(1,000)</w:t>
            </w:r>
          </w:p>
        </w:tc>
        <w:tc>
          <w:tcPr>
            <w:tcW w:w="2254" w:type="dxa"/>
          </w:tcPr>
          <w:p w14:paraId="65B9BA31" w14:textId="32611E3E" w:rsidR="00180A37" w:rsidRDefault="004A499D" w:rsidP="00E81AC4">
            <w:pPr>
              <w:spacing w:line="360" w:lineRule="auto"/>
              <w:jc w:val="center"/>
              <w:rPr>
                <w:lang w:val="en-US"/>
              </w:rPr>
            </w:pPr>
            <w:r>
              <w:rPr>
                <w:lang w:val="en-US"/>
              </w:rPr>
              <w:t>1.00</w:t>
            </w:r>
          </w:p>
        </w:tc>
        <w:tc>
          <w:tcPr>
            <w:tcW w:w="2254" w:type="dxa"/>
          </w:tcPr>
          <w:p w14:paraId="2128D4BA" w14:textId="10E00BF4" w:rsidR="00180A37" w:rsidRDefault="004A499D" w:rsidP="00E81AC4">
            <w:pPr>
              <w:spacing w:line="360" w:lineRule="auto"/>
              <w:jc w:val="center"/>
              <w:rPr>
                <w:lang w:val="en-US"/>
              </w:rPr>
            </w:pPr>
            <w:r>
              <w:rPr>
                <w:lang w:val="en-US"/>
              </w:rPr>
              <w:t>(1,000)</w:t>
            </w:r>
          </w:p>
        </w:tc>
      </w:tr>
      <w:tr w:rsidR="00180A37" w14:paraId="7A728679" w14:textId="77777777" w:rsidTr="00E81AC4">
        <w:tc>
          <w:tcPr>
            <w:tcW w:w="2254" w:type="dxa"/>
          </w:tcPr>
          <w:p w14:paraId="59588BB6" w14:textId="77777777" w:rsidR="00180A37" w:rsidRDefault="00180A37" w:rsidP="00E81AC4">
            <w:pPr>
              <w:spacing w:line="360" w:lineRule="auto"/>
              <w:jc w:val="center"/>
              <w:rPr>
                <w:lang w:val="en-US"/>
              </w:rPr>
            </w:pPr>
            <w:r>
              <w:rPr>
                <w:lang w:val="en-US"/>
              </w:rPr>
              <w:t>1</w:t>
            </w:r>
          </w:p>
        </w:tc>
        <w:tc>
          <w:tcPr>
            <w:tcW w:w="2254" w:type="dxa"/>
          </w:tcPr>
          <w:p w14:paraId="34F49C09" w14:textId="3CB62194" w:rsidR="00180A37" w:rsidRDefault="004A499D" w:rsidP="00E81AC4">
            <w:pPr>
              <w:spacing w:line="360" w:lineRule="auto"/>
              <w:jc w:val="center"/>
              <w:rPr>
                <w:lang w:val="en-US"/>
              </w:rPr>
            </w:pPr>
            <w:r>
              <w:rPr>
                <w:lang w:val="en-US"/>
              </w:rPr>
              <w:t>350</w:t>
            </w:r>
          </w:p>
        </w:tc>
        <w:tc>
          <w:tcPr>
            <w:tcW w:w="2254" w:type="dxa"/>
          </w:tcPr>
          <w:p w14:paraId="2712D3B9" w14:textId="7661E47E" w:rsidR="00180A37" w:rsidRDefault="004A499D" w:rsidP="00E81AC4">
            <w:pPr>
              <w:spacing w:line="360" w:lineRule="auto"/>
              <w:jc w:val="center"/>
              <w:rPr>
                <w:lang w:val="en-US"/>
              </w:rPr>
            </w:pPr>
            <w:r>
              <w:rPr>
                <w:lang w:val="en-US"/>
              </w:rPr>
              <w:t>0.7143</w:t>
            </w:r>
          </w:p>
        </w:tc>
        <w:tc>
          <w:tcPr>
            <w:tcW w:w="2254" w:type="dxa"/>
          </w:tcPr>
          <w:p w14:paraId="18511A81" w14:textId="3D2BC297" w:rsidR="00180A37" w:rsidRDefault="004A499D" w:rsidP="00E81AC4">
            <w:pPr>
              <w:spacing w:line="360" w:lineRule="auto"/>
              <w:jc w:val="center"/>
              <w:rPr>
                <w:lang w:val="en-US"/>
              </w:rPr>
            </w:pPr>
            <w:r>
              <w:rPr>
                <w:lang w:val="en-US"/>
              </w:rPr>
              <w:t>250</w:t>
            </w:r>
          </w:p>
        </w:tc>
      </w:tr>
      <w:tr w:rsidR="004A499D" w14:paraId="5A077264" w14:textId="77777777" w:rsidTr="00E81AC4">
        <w:tc>
          <w:tcPr>
            <w:tcW w:w="2254" w:type="dxa"/>
          </w:tcPr>
          <w:p w14:paraId="169DD854" w14:textId="77777777" w:rsidR="004A499D" w:rsidRDefault="004A499D" w:rsidP="004A499D">
            <w:pPr>
              <w:spacing w:line="360" w:lineRule="auto"/>
              <w:jc w:val="center"/>
              <w:rPr>
                <w:lang w:val="en-US"/>
              </w:rPr>
            </w:pPr>
            <w:r>
              <w:rPr>
                <w:lang w:val="en-US"/>
              </w:rPr>
              <w:t>2</w:t>
            </w:r>
          </w:p>
        </w:tc>
        <w:tc>
          <w:tcPr>
            <w:tcW w:w="2254" w:type="dxa"/>
          </w:tcPr>
          <w:p w14:paraId="4080D878" w14:textId="65037C75" w:rsidR="004A499D" w:rsidRDefault="004A499D" w:rsidP="004A499D">
            <w:pPr>
              <w:spacing w:line="360" w:lineRule="auto"/>
              <w:jc w:val="center"/>
              <w:rPr>
                <w:lang w:val="en-US"/>
              </w:rPr>
            </w:pPr>
            <w:r>
              <w:rPr>
                <w:lang w:val="en-US"/>
              </w:rPr>
              <w:t>387.5</w:t>
            </w:r>
          </w:p>
        </w:tc>
        <w:tc>
          <w:tcPr>
            <w:tcW w:w="2254" w:type="dxa"/>
          </w:tcPr>
          <w:p w14:paraId="29FD5826" w14:textId="16E07A5A" w:rsidR="004A499D" w:rsidRDefault="004A499D" w:rsidP="004A499D">
            <w:pPr>
              <w:spacing w:line="360" w:lineRule="auto"/>
              <w:jc w:val="center"/>
              <w:rPr>
                <w:lang w:val="en-US"/>
              </w:rPr>
            </w:pPr>
            <w:r>
              <w:rPr>
                <w:lang w:val="en-US"/>
              </w:rPr>
              <w:t>0.5102</w:t>
            </w:r>
          </w:p>
        </w:tc>
        <w:tc>
          <w:tcPr>
            <w:tcW w:w="2254" w:type="dxa"/>
          </w:tcPr>
          <w:p w14:paraId="772B7A80" w14:textId="512409E8" w:rsidR="004A499D" w:rsidRDefault="004A499D" w:rsidP="004A499D">
            <w:pPr>
              <w:spacing w:line="360" w:lineRule="auto"/>
              <w:jc w:val="center"/>
              <w:rPr>
                <w:lang w:val="en-US"/>
              </w:rPr>
            </w:pPr>
            <w:r>
              <w:rPr>
                <w:lang w:val="en-US"/>
              </w:rPr>
              <w:t>197.70</w:t>
            </w:r>
          </w:p>
        </w:tc>
      </w:tr>
      <w:tr w:rsidR="004A499D" w14:paraId="62DE6084" w14:textId="77777777" w:rsidTr="00E81AC4">
        <w:tc>
          <w:tcPr>
            <w:tcW w:w="2254" w:type="dxa"/>
          </w:tcPr>
          <w:p w14:paraId="6ABC43C3" w14:textId="77777777" w:rsidR="004A499D" w:rsidRDefault="004A499D" w:rsidP="004A499D">
            <w:pPr>
              <w:spacing w:line="360" w:lineRule="auto"/>
              <w:jc w:val="center"/>
              <w:rPr>
                <w:lang w:val="en-US"/>
              </w:rPr>
            </w:pPr>
            <w:r>
              <w:rPr>
                <w:lang w:val="en-US"/>
              </w:rPr>
              <w:t>3</w:t>
            </w:r>
          </w:p>
        </w:tc>
        <w:tc>
          <w:tcPr>
            <w:tcW w:w="2254" w:type="dxa"/>
          </w:tcPr>
          <w:p w14:paraId="53807D16" w14:textId="51CA8E90" w:rsidR="004A499D" w:rsidRDefault="004A499D" w:rsidP="004A499D">
            <w:pPr>
              <w:spacing w:line="360" w:lineRule="auto"/>
              <w:jc w:val="center"/>
              <w:rPr>
                <w:lang w:val="en-US"/>
              </w:rPr>
            </w:pPr>
            <w:r>
              <w:rPr>
                <w:lang w:val="en-US"/>
              </w:rPr>
              <w:t>590</w:t>
            </w:r>
          </w:p>
        </w:tc>
        <w:tc>
          <w:tcPr>
            <w:tcW w:w="2254" w:type="dxa"/>
          </w:tcPr>
          <w:p w14:paraId="034B8864" w14:textId="39FB6FCE" w:rsidR="004A499D" w:rsidRDefault="004A499D" w:rsidP="004A499D">
            <w:pPr>
              <w:spacing w:line="360" w:lineRule="auto"/>
              <w:jc w:val="center"/>
              <w:rPr>
                <w:lang w:val="en-US"/>
              </w:rPr>
            </w:pPr>
            <w:r>
              <w:rPr>
                <w:lang w:val="en-US"/>
              </w:rPr>
              <w:t>0.3644</w:t>
            </w:r>
          </w:p>
        </w:tc>
        <w:tc>
          <w:tcPr>
            <w:tcW w:w="2254" w:type="dxa"/>
          </w:tcPr>
          <w:p w14:paraId="03BC1E2D" w14:textId="0069846D" w:rsidR="004A499D" w:rsidRDefault="004A499D" w:rsidP="004A499D">
            <w:pPr>
              <w:spacing w:line="360" w:lineRule="auto"/>
              <w:jc w:val="center"/>
              <w:rPr>
                <w:lang w:val="en-US"/>
              </w:rPr>
            </w:pPr>
            <w:r>
              <w:rPr>
                <w:lang w:val="en-US"/>
              </w:rPr>
              <w:t>215.00</w:t>
            </w:r>
          </w:p>
        </w:tc>
      </w:tr>
      <w:tr w:rsidR="004A499D" w14:paraId="614415ED" w14:textId="77777777" w:rsidTr="00E81AC4">
        <w:tc>
          <w:tcPr>
            <w:tcW w:w="2254" w:type="dxa"/>
          </w:tcPr>
          <w:p w14:paraId="08299352" w14:textId="77777777" w:rsidR="004A499D" w:rsidRDefault="004A499D" w:rsidP="004A499D">
            <w:pPr>
              <w:spacing w:line="360" w:lineRule="auto"/>
              <w:jc w:val="center"/>
              <w:rPr>
                <w:lang w:val="en-US"/>
              </w:rPr>
            </w:pPr>
            <w:r>
              <w:rPr>
                <w:lang w:val="en-US"/>
              </w:rPr>
              <w:t>4</w:t>
            </w:r>
          </w:p>
        </w:tc>
        <w:tc>
          <w:tcPr>
            <w:tcW w:w="2254" w:type="dxa"/>
          </w:tcPr>
          <w:p w14:paraId="3E056025" w14:textId="62CC0007" w:rsidR="004A499D" w:rsidRDefault="004A499D" w:rsidP="004A499D">
            <w:pPr>
              <w:spacing w:line="360" w:lineRule="auto"/>
              <w:jc w:val="center"/>
              <w:rPr>
                <w:lang w:val="en-US"/>
              </w:rPr>
            </w:pPr>
            <w:r>
              <w:rPr>
                <w:lang w:val="en-US"/>
              </w:rPr>
              <w:t>785</w:t>
            </w:r>
          </w:p>
        </w:tc>
        <w:tc>
          <w:tcPr>
            <w:tcW w:w="2254" w:type="dxa"/>
          </w:tcPr>
          <w:p w14:paraId="6F463D7C" w14:textId="77392ADA" w:rsidR="004A499D" w:rsidRDefault="004A499D" w:rsidP="004A499D">
            <w:pPr>
              <w:spacing w:line="360" w:lineRule="auto"/>
              <w:jc w:val="center"/>
              <w:rPr>
                <w:lang w:val="en-US"/>
              </w:rPr>
            </w:pPr>
            <w:r>
              <w:rPr>
                <w:lang w:val="en-US"/>
              </w:rPr>
              <w:t>0.2603</w:t>
            </w:r>
          </w:p>
        </w:tc>
        <w:tc>
          <w:tcPr>
            <w:tcW w:w="2254" w:type="dxa"/>
          </w:tcPr>
          <w:p w14:paraId="74B1BA46" w14:textId="599DDAC5" w:rsidR="004A499D" w:rsidRDefault="004A499D" w:rsidP="004A499D">
            <w:pPr>
              <w:spacing w:line="360" w:lineRule="auto"/>
              <w:jc w:val="center"/>
              <w:rPr>
                <w:lang w:val="en-US"/>
              </w:rPr>
            </w:pPr>
            <w:r>
              <w:rPr>
                <w:lang w:val="en-US"/>
              </w:rPr>
              <w:t>204.34</w:t>
            </w:r>
          </w:p>
        </w:tc>
      </w:tr>
      <w:tr w:rsidR="004A499D" w14:paraId="6F27115C" w14:textId="77777777" w:rsidTr="00E81AC4">
        <w:tc>
          <w:tcPr>
            <w:tcW w:w="2254" w:type="dxa"/>
          </w:tcPr>
          <w:p w14:paraId="0C0A00BD" w14:textId="77777777" w:rsidR="004A499D" w:rsidRDefault="004A499D" w:rsidP="004A499D">
            <w:pPr>
              <w:spacing w:line="360" w:lineRule="auto"/>
              <w:jc w:val="center"/>
              <w:rPr>
                <w:lang w:val="en-US"/>
              </w:rPr>
            </w:pPr>
          </w:p>
        </w:tc>
        <w:tc>
          <w:tcPr>
            <w:tcW w:w="2254" w:type="dxa"/>
          </w:tcPr>
          <w:p w14:paraId="76CB0BC1" w14:textId="77777777" w:rsidR="004A499D" w:rsidRDefault="004A499D" w:rsidP="004A499D">
            <w:pPr>
              <w:spacing w:line="360" w:lineRule="auto"/>
              <w:jc w:val="center"/>
              <w:rPr>
                <w:lang w:val="en-US"/>
              </w:rPr>
            </w:pPr>
          </w:p>
        </w:tc>
        <w:tc>
          <w:tcPr>
            <w:tcW w:w="2254" w:type="dxa"/>
          </w:tcPr>
          <w:p w14:paraId="668ED4AF" w14:textId="4DE22493" w:rsidR="004A499D" w:rsidRPr="00BE5C2F" w:rsidRDefault="004A499D" w:rsidP="004A499D">
            <w:pPr>
              <w:spacing w:line="360" w:lineRule="auto"/>
              <w:jc w:val="center"/>
              <w:rPr>
                <w:b/>
                <w:bCs/>
                <w:lang w:val="en-US"/>
              </w:rPr>
            </w:pPr>
            <w:r w:rsidRPr="00BE5C2F">
              <w:rPr>
                <w:b/>
                <w:bCs/>
                <w:lang w:val="en-US"/>
              </w:rPr>
              <w:t>NPV @ 40%</w:t>
            </w:r>
          </w:p>
        </w:tc>
        <w:tc>
          <w:tcPr>
            <w:tcW w:w="2254" w:type="dxa"/>
          </w:tcPr>
          <w:p w14:paraId="10823B3B" w14:textId="459BDE39" w:rsidR="004A499D" w:rsidRPr="00BE5C2F" w:rsidRDefault="004A499D" w:rsidP="004A499D">
            <w:pPr>
              <w:spacing w:line="360" w:lineRule="auto"/>
              <w:jc w:val="center"/>
              <w:rPr>
                <w:b/>
                <w:bCs/>
                <w:lang w:val="en-US"/>
              </w:rPr>
            </w:pPr>
            <w:r w:rsidRPr="00BE5C2F">
              <w:rPr>
                <w:b/>
                <w:bCs/>
                <w:lang w:val="en-US"/>
              </w:rPr>
              <w:t>(132.960)</w:t>
            </w:r>
          </w:p>
        </w:tc>
      </w:tr>
    </w:tbl>
    <w:p w14:paraId="6568BBAE" w14:textId="27025FC1" w:rsidR="007A5861" w:rsidRPr="00FF3FBD" w:rsidRDefault="000F577E" w:rsidP="00F3447B">
      <w:pPr>
        <w:spacing w:line="360" w:lineRule="auto"/>
        <w:rPr>
          <w:lang w:val="en-US"/>
        </w:rPr>
      </w:pPr>
      <w:r>
        <w:rPr>
          <w:lang w:val="en-US"/>
        </w:rPr>
        <w:t xml:space="preserve">Hence, IRR is = </w:t>
      </w:r>
      <w:r w:rsidR="00186279">
        <w:rPr>
          <w:lang w:val="en-US"/>
        </w:rPr>
        <w:t>6</w:t>
      </w:r>
      <w:r>
        <w:rPr>
          <w:lang w:val="en-US"/>
        </w:rPr>
        <w:t>% + [(</w:t>
      </w:r>
      <w:r w:rsidR="00186279">
        <w:rPr>
          <w:lang w:val="en-US"/>
        </w:rPr>
        <w:t>792,228</w:t>
      </w:r>
      <w:r>
        <w:rPr>
          <w:lang w:val="en-US"/>
        </w:rPr>
        <w:t xml:space="preserve"> / (</w:t>
      </w:r>
      <w:r w:rsidR="00186279">
        <w:rPr>
          <w:lang w:val="en-US"/>
        </w:rPr>
        <w:t>792,228</w:t>
      </w:r>
      <w:r>
        <w:rPr>
          <w:lang w:val="en-US"/>
        </w:rPr>
        <w:t xml:space="preserve"> – </w:t>
      </w:r>
      <w:r w:rsidR="00186279">
        <w:rPr>
          <w:lang w:val="en-US"/>
        </w:rPr>
        <w:t>(-132,960</w:t>
      </w:r>
      <w:r>
        <w:rPr>
          <w:lang w:val="en-US"/>
        </w:rPr>
        <w:t>)] * (</w:t>
      </w:r>
      <w:r w:rsidR="00186279">
        <w:rPr>
          <w:lang w:val="en-US"/>
        </w:rPr>
        <w:t>4</w:t>
      </w:r>
      <w:r>
        <w:rPr>
          <w:lang w:val="en-US"/>
        </w:rPr>
        <w:t xml:space="preserve">0% - </w:t>
      </w:r>
      <w:r w:rsidR="00186279">
        <w:rPr>
          <w:lang w:val="en-US"/>
        </w:rPr>
        <w:t>6</w:t>
      </w:r>
      <w:r>
        <w:rPr>
          <w:lang w:val="en-US"/>
        </w:rPr>
        <w:t xml:space="preserve">%) = </w:t>
      </w:r>
      <w:r w:rsidRPr="00C53D9F">
        <w:rPr>
          <w:b/>
          <w:bCs/>
          <w:lang w:val="en-US"/>
        </w:rPr>
        <w:t>3</w:t>
      </w:r>
      <w:r w:rsidR="00186279">
        <w:rPr>
          <w:b/>
          <w:bCs/>
          <w:lang w:val="en-US"/>
        </w:rPr>
        <w:t>5.11</w:t>
      </w:r>
      <w:r w:rsidRPr="00C53D9F">
        <w:rPr>
          <w:b/>
          <w:bCs/>
          <w:lang w:val="en-US"/>
        </w:rPr>
        <w:t>%</w:t>
      </w:r>
    </w:p>
    <w:p w14:paraId="55499AEF" w14:textId="7EF36DE5" w:rsidR="00F3447B" w:rsidRDefault="00387D1D" w:rsidP="00F3447B">
      <w:pPr>
        <w:pStyle w:val="Heading3"/>
        <w:spacing w:line="360" w:lineRule="auto"/>
        <w:rPr>
          <w:rFonts w:ascii="Times New Roman" w:hAnsi="Times New Roman" w:cs="Times New Roman"/>
          <w:b/>
          <w:bCs/>
          <w:sz w:val="24"/>
          <w:szCs w:val="32"/>
          <w:lang w:val="en-US"/>
        </w:rPr>
      </w:pPr>
      <w:bookmarkStart w:id="25" w:name="_Toc219063795"/>
      <w:r>
        <w:rPr>
          <w:rFonts w:ascii="Times New Roman" w:hAnsi="Times New Roman" w:cs="Times New Roman"/>
          <w:b/>
          <w:bCs/>
          <w:sz w:val="24"/>
          <w:szCs w:val="32"/>
          <w:lang w:val="en-US"/>
        </w:rPr>
        <w:t>IRR Interpretation</w:t>
      </w:r>
      <w:bookmarkEnd w:id="25"/>
    </w:p>
    <w:p w14:paraId="7BF2F062" w14:textId="01C7DBEF" w:rsidR="00E107EE" w:rsidRDefault="00AC33B6" w:rsidP="00E107EE">
      <w:pPr>
        <w:spacing w:line="360" w:lineRule="auto"/>
        <w:rPr>
          <w:lang w:val="en-US"/>
        </w:rPr>
      </w:pPr>
      <w:r>
        <w:rPr>
          <w:lang w:val="en-US"/>
        </w:rPr>
        <w:t>The IRR of Option B has resulted in</w:t>
      </w:r>
      <w:r w:rsidR="0069480A">
        <w:rPr>
          <w:lang w:val="en-US"/>
        </w:rPr>
        <w:t xml:space="preserve"> 3</w:t>
      </w:r>
      <w:r w:rsidR="0021519C">
        <w:rPr>
          <w:lang w:val="en-US"/>
        </w:rPr>
        <w:t>5.11</w:t>
      </w:r>
      <w:r w:rsidR="0069480A">
        <w:rPr>
          <w:lang w:val="en-US"/>
        </w:rPr>
        <w:t>%</w:t>
      </w:r>
      <w:r w:rsidR="004C1043">
        <w:rPr>
          <w:lang w:val="en-US"/>
        </w:rPr>
        <w:t>,</w:t>
      </w:r>
      <w:r w:rsidR="0069480A">
        <w:rPr>
          <w:lang w:val="en-US"/>
        </w:rPr>
        <w:t xml:space="preserve"> which exceeds the cost of capital of 6% significantly. </w:t>
      </w:r>
      <w:r w:rsidR="00097B0A">
        <w:rPr>
          <w:lang w:val="en-US"/>
        </w:rPr>
        <w:t xml:space="preserve">Now, even if the actual returns fall considerably short of the projected returns, the project will remain lucrative to invest in. </w:t>
      </w:r>
      <w:r w:rsidR="00884177">
        <w:rPr>
          <w:lang w:val="en-US"/>
        </w:rPr>
        <w:t xml:space="preserve">As there is </w:t>
      </w:r>
      <w:r w:rsidR="004C1043">
        <w:rPr>
          <w:lang w:val="en-US"/>
        </w:rPr>
        <w:t xml:space="preserve">an </w:t>
      </w:r>
      <w:r w:rsidR="00884177">
        <w:rPr>
          <w:lang w:val="en-US"/>
        </w:rPr>
        <w:t>excess of returns</w:t>
      </w:r>
      <w:r w:rsidR="00307BB0">
        <w:rPr>
          <w:lang w:val="en-US"/>
        </w:rPr>
        <w:t xml:space="preserve">, the project yields </w:t>
      </w:r>
      <w:r w:rsidR="004C1043">
        <w:rPr>
          <w:lang w:val="en-US"/>
        </w:rPr>
        <w:t xml:space="preserve">a </w:t>
      </w:r>
      <w:r w:rsidR="00307BB0">
        <w:rPr>
          <w:lang w:val="en-US"/>
        </w:rPr>
        <w:t xml:space="preserve">greater margin of safety for the company to invest in. </w:t>
      </w:r>
      <w:r w:rsidR="0068694E">
        <w:rPr>
          <w:lang w:val="en-US"/>
        </w:rPr>
        <w:t xml:space="preserve">As a result, even if there </w:t>
      </w:r>
      <w:r w:rsidR="00C7444C">
        <w:rPr>
          <w:lang w:val="en-US"/>
        </w:rPr>
        <w:t xml:space="preserve">are </w:t>
      </w:r>
      <w:r w:rsidR="0068694E">
        <w:rPr>
          <w:lang w:val="en-US"/>
        </w:rPr>
        <w:t xml:space="preserve">significant forecasting errors or the economic conditions degrade, </w:t>
      </w:r>
      <w:r w:rsidR="00A109ED">
        <w:rPr>
          <w:lang w:val="en-US"/>
        </w:rPr>
        <w:t xml:space="preserve">the company will still stand to benefit. </w:t>
      </w:r>
    </w:p>
    <w:p w14:paraId="2C628AC3" w14:textId="3611C3EB" w:rsidR="00C7444C" w:rsidRDefault="00C7444C" w:rsidP="00E107EE">
      <w:pPr>
        <w:spacing w:line="360" w:lineRule="auto"/>
        <w:rPr>
          <w:lang w:val="en-US"/>
        </w:rPr>
      </w:pPr>
      <w:r>
        <w:rPr>
          <w:lang w:val="en-US"/>
        </w:rPr>
        <w:t xml:space="preserve">The spread of </w:t>
      </w:r>
      <w:r w:rsidR="0021519C">
        <w:rPr>
          <w:lang w:val="en-US"/>
        </w:rPr>
        <w:t xml:space="preserve">over </w:t>
      </w:r>
      <w:r>
        <w:rPr>
          <w:lang w:val="en-US"/>
        </w:rPr>
        <w:t>2</w:t>
      </w:r>
      <w:r w:rsidR="0021519C">
        <w:rPr>
          <w:lang w:val="en-US"/>
        </w:rPr>
        <w:t>9</w:t>
      </w:r>
      <w:r>
        <w:rPr>
          <w:lang w:val="en-US"/>
        </w:rPr>
        <w:t xml:space="preserve">% clearly showcases that the project remains lucrative. For instance, if cash flows are to be 60% of projections, even then the project will exceed the cost of capital the company bears. </w:t>
      </w:r>
    </w:p>
    <w:p w14:paraId="404524E7" w14:textId="06A825A0" w:rsidR="002872CC" w:rsidRDefault="002872CC" w:rsidP="00E107EE">
      <w:pPr>
        <w:spacing w:line="360" w:lineRule="auto"/>
        <w:rPr>
          <w:lang w:val="en-US"/>
        </w:rPr>
      </w:pPr>
      <w:r>
        <w:rPr>
          <w:lang w:val="en-US"/>
        </w:rPr>
        <w:t xml:space="preserve">Lastly, the IRR must not be considered separately and rather should be used as a complement to NPV. Although the IRR suggests that Option B is excellent in terms of </w:t>
      </w:r>
      <w:r w:rsidR="004C1043">
        <w:rPr>
          <w:lang w:val="en-US"/>
        </w:rPr>
        <w:t>generating</w:t>
      </w:r>
      <w:r>
        <w:rPr>
          <w:lang w:val="en-US"/>
        </w:rPr>
        <w:t xml:space="preserve"> returns, it cannot showcase the volume of that value creation. </w:t>
      </w:r>
      <w:r w:rsidR="003E6FC8">
        <w:rPr>
          <w:lang w:val="en-US"/>
        </w:rPr>
        <w:t xml:space="preserve">This is why NPV must be incorporated to address the limitations that NPV has. </w:t>
      </w:r>
    </w:p>
    <w:p w14:paraId="149EC096" w14:textId="0354AD70" w:rsidR="00E107EE" w:rsidRDefault="001A6228" w:rsidP="00E107EE">
      <w:pPr>
        <w:pStyle w:val="Heading2"/>
        <w:spacing w:line="360" w:lineRule="auto"/>
        <w:rPr>
          <w:lang w:val="en-US"/>
        </w:rPr>
      </w:pPr>
      <w:bookmarkStart w:id="26" w:name="_Toc219063796"/>
      <w:r>
        <w:rPr>
          <w:lang w:val="en-US"/>
        </w:rPr>
        <w:t>Theoretical Arguments for NPV as the Best Investment Appraisal Method</w:t>
      </w:r>
      <w:bookmarkEnd w:id="26"/>
    </w:p>
    <w:p w14:paraId="5F4C7E86" w14:textId="3076D244" w:rsidR="00E107EE" w:rsidRDefault="0000168C" w:rsidP="00E107EE">
      <w:pPr>
        <w:spacing w:line="360" w:lineRule="auto"/>
        <w:rPr>
          <w:lang w:val="en-US"/>
        </w:rPr>
      </w:pPr>
      <w:r>
        <w:rPr>
          <w:lang w:val="en-US"/>
        </w:rPr>
        <w:t xml:space="preserve">There are multiple arguments for NPV to be the best investment appraisal method. </w:t>
      </w:r>
      <w:r w:rsidR="00F27F3C">
        <w:rPr>
          <w:lang w:val="en-US"/>
        </w:rPr>
        <w:t>These arguments are provided below.</w:t>
      </w:r>
    </w:p>
    <w:p w14:paraId="67A715DA" w14:textId="18FE5632" w:rsidR="00507DD5" w:rsidRDefault="00507DD5" w:rsidP="00507DD5">
      <w:pPr>
        <w:pStyle w:val="ListParagraph"/>
        <w:numPr>
          <w:ilvl w:val="0"/>
          <w:numId w:val="4"/>
        </w:numPr>
        <w:spacing w:line="360" w:lineRule="auto"/>
        <w:rPr>
          <w:lang w:val="en-US"/>
        </w:rPr>
      </w:pPr>
      <w:r>
        <w:rPr>
          <w:b/>
          <w:bCs/>
          <w:lang w:val="en-US"/>
        </w:rPr>
        <w:lastRenderedPageBreak/>
        <w:t xml:space="preserve">Consistency with Shareholder Wealth </w:t>
      </w:r>
      <w:r w:rsidR="004C1043">
        <w:rPr>
          <w:b/>
          <w:bCs/>
          <w:lang w:val="en-US"/>
        </w:rPr>
        <w:t>Maximisation</w:t>
      </w:r>
      <w:r>
        <w:rPr>
          <w:b/>
          <w:bCs/>
          <w:lang w:val="en-US"/>
        </w:rPr>
        <w:t xml:space="preserve">: </w:t>
      </w:r>
      <w:r>
        <w:rPr>
          <w:lang w:val="en-US"/>
        </w:rPr>
        <w:t>NPV is one such method which directly showcases the amount of value added by a particular project</w:t>
      </w:r>
      <w:r w:rsidR="004C1043">
        <w:rPr>
          <w:lang w:val="en-US"/>
        </w:rPr>
        <w:t>,</w:t>
      </w:r>
      <w:r w:rsidR="000816A6">
        <w:rPr>
          <w:lang w:val="en-US"/>
        </w:rPr>
        <w:t xml:space="preserve"> which illustrates the value additivity of a project to </w:t>
      </w:r>
      <w:r w:rsidR="004C1043">
        <w:rPr>
          <w:lang w:val="en-US"/>
        </w:rPr>
        <w:t>shareholders’</w:t>
      </w:r>
      <w:r w:rsidR="000816A6">
        <w:rPr>
          <w:lang w:val="en-US"/>
        </w:rPr>
        <w:t xml:space="preserve"> wealth</w:t>
      </w:r>
      <w:r w:rsidR="0021519C">
        <w:rPr>
          <w:lang w:val="en-US"/>
        </w:rPr>
        <w:t xml:space="preserve"> (</w:t>
      </w:r>
      <w:r w:rsidR="0021519C" w:rsidRPr="0021519C">
        <w:t>Wang</w:t>
      </w:r>
      <w:r w:rsidR="0021519C">
        <w:t>, 2021)</w:t>
      </w:r>
      <w:r w:rsidR="000816A6">
        <w:rPr>
          <w:lang w:val="en-US"/>
        </w:rPr>
        <w:t>. For instance, Option B showcases that an additional 792,228 Pounds</w:t>
      </w:r>
      <w:r w:rsidR="008D0312">
        <w:rPr>
          <w:lang w:val="en-US"/>
        </w:rPr>
        <w:t xml:space="preserve"> will be added to the company’s value generation. </w:t>
      </w:r>
      <w:r w:rsidR="009F4B65">
        <w:rPr>
          <w:lang w:val="en-US"/>
        </w:rPr>
        <w:t xml:space="preserve">As a result, it automatically becomes </w:t>
      </w:r>
      <w:r w:rsidR="004C1043">
        <w:rPr>
          <w:lang w:val="en-US"/>
        </w:rPr>
        <w:t>a</w:t>
      </w:r>
      <w:r w:rsidR="009F4B65">
        <w:rPr>
          <w:lang w:val="en-US"/>
        </w:rPr>
        <w:t xml:space="preserve"> superior metric compared to other available ones. </w:t>
      </w:r>
    </w:p>
    <w:p w14:paraId="14731913" w14:textId="703D7362" w:rsidR="00507DD5" w:rsidRDefault="00507DD5" w:rsidP="00507DD5">
      <w:pPr>
        <w:pStyle w:val="ListParagraph"/>
        <w:numPr>
          <w:ilvl w:val="0"/>
          <w:numId w:val="4"/>
        </w:numPr>
        <w:spacing w:line="360" w:lineRule="auto"/>
        <w:rPr>
          <w:lang w:val="en-US"/>
        </w:rPr>
      </w:pPr>
      <w:r>
        <w:rPr>
          <w:b/>
          <w:bCs/>
          <w:lang w:val="en-US"/>
        </w:rPr>
        <w:t>Proper Treatment of Time Value of Money:</w:t>
      </w:r>
      <w:r>
        <w:rPr>
          <w:lang w:val="en-US"/>
        </w:rPr>
        <w:t xml:space="preserve"> </w:t>
      </w:r>
      <w:r w:rsidR="00132A95">
        <w:rPr>
          <w:lang w:val="en-US"/>
        </w:rPr>
        <w:t xml:space="preserve">NPV properly discounts all the cash flows to the present value to calculate the profitability of a project. </w:t>
      </w:r>
      <w:r w:rsidR="00015726">
        <w:rPr>
          <w:lang w:val="en-US"/>
        </w:rPr>
        <w:t xml:space="preserve">In this </w:t>
      </w:r>
      <w:r w:rsidR="00C979E4">
        <w:rPr>
          <w:lang w:val="en-US"/>
        </w:rPr>
        <w:t>way</w:t>
      </w:r>
      <w:r w:rsidR="00015726">
        <w:rPr>
          <w:lang w:val="en-US"/>
        </w:rPr>
        <w:t xml:space="preserve">, the </w:t>
      </w:r>
      <w:r w:rsidR="00C979E4">
        <w:rPr>
          <w:lang w:val="en-US"/>
        </w:rPr>
        <w:t xml:space="preserve">process </w:t>
      </w:r>
      <w:r w:rsidR="00015726">
        <w:rPr>
          <w:lang w:val="en-US"/>
        </w:rPr>
        <w:t>incorporates the time value of money concept</w:t>
      </w:r>
      <w:r w:rsidR="00AB4659">
        <w:rPr>
          <w:lang w:val="en-US"/>
        </w:rPr>
        <w:t xml:space="preserve"> effectively into calculating NPV.  </w:t>
      </w:r>
      <w:r w:rsidR="009A3FE9">
        <w:rPr>
          <w:lang w:val="en-US"/>
        </w:rPr>
        <w:t xml:space="preserve">In this regard, even if </w:t>
      </w:r>
      <w:r w:rsidR="004C1043">
        <w:rPr>
          <w:lang w:val="en-US"/>
        </w:rPr>
        <w:t xml:space="preserve">the </w:t>
      </w:r>
      <w:r w:rsidR="009A3FE9">
        <w:rPr>
          <w:lang w:val="en-US"/>
        </w:rPr>
        <w:t xml:space="preserve">discounted payback period is to be used, it will not yield the same results due to its timing constraints. </w:t>
      </w:r>
    </w:p>
    <w:p w14:paraId="2114E5A7" w14:textId="012AC8CF" w:rsidR="00507DD5" w:rsidRPr="00507DD5" w:rsidRDefault="00507DD5" w:rsidP="00507DD5">
      <w:pPr>
        <w:pStyle w:val="ListParagraph"/>
        <w:numPr>
          <w:ilvl w:val="0"/>
          <w:numId w:val="4"/>
        </w:numPr>
        <w:spacing w:line="360" w:lineRule="auto"/>
        <w:rPr>
          <w:lang w:val="en-US"/>
        </w:rPr>
      </w:pPr>
      <w:r>
        <w:rPr>
          <w:b/>
          <w:bCs/>
          <w:lang w:val="en-US"/>
        </w:rPr>
        <w:t>Consideration of All Cash Flows:</w:t>
      </w:r>
      <w:r>
        <w:rPr>
          <w:lang w:val="en-US"/>
        </w:rPr>
        <w:t xml:space="preserve"> </w:t>
      </w:r>
      <w:r w:rsidR="00533693">
        <w:rPr>
          <w:lang w:val="en-US"/>
        </w:rPr>
        <w:t>NPV is one such appraisal technique which considers all the cash flows related to a project</w:t>
      </w:r>
      <w:r w:rsidR="004C1043">
        <w:rPr>
          <w:lang w:val="en-US"/>
        </w:rPr>
        <w:t>,</w:t>
      </w:r>
      <w:r w:rsidR="00533693">
        <w:rPr>
          <w:lang w:val="en-US"/>
        </w:rPr>
        <w:t xml:space="preserve"> unlike </w:t>
      </w:r>
      <w:r w:rsidR="004C1043">
        <w:rPr>
          <w:lang w:val="en-US"/>
        </w:rPr>
        <w:t xml:space="preserve">the </w:t>
      </w:r>
      <w:r w:rsidR="00533693">
        <w:rPr>
          <w:lang w:val="en-US"/>
        </w:rPr>
        <w:t>payback period</w:t>
      </w:r>
      <w:r w:rsidR="004C1043">
        <w:rPr>
          <w:lang w:val="en-US"/>
        </w:rPr>
        <w:t>,</w:t>
      </w:r>
      <w:r w:rsidR="00533693">
        <w:rPr>
          <w:lang w:val="en-US"/>
        </w:rPr>
        <w:t xml:space="preserve"> which does not go beyond the cash flow of the payback year</w:t>
      </w:r>
      <w:r w:rsidR="0021519C">
        <w:rPr>
          <w:lang w:val="en-US"/>
        </w:rPr>
        <w:t xml:space="preserve"> (</w:t>
      </w:r>
      <w:r w:rsidR="0021519C" w:rsidRPr="0021519C">
        <w:t>Dai</w:t>
      </w:r>
      <w:r w:rsidR="0021519C">
        <w:t xml:space="preserve"> et al., 2022)</w:t>
      </w:r>
      <w:r w:rsidR="00533693">
        <w:rPr>
          <w:lang w:val="en-US"/>
        </w:rPr>
        <w:t xml:space="preserve">. </w:t>
      </w:r>
      <w:r w:rsidR="00690593">
        <w:rPr>
          <w:lang w:val="en-US"/>
        </w:rPr>
        <w:t>Moreover, it is one of the very few appraisal techniques which calculates the profitability of a project effectively.</w:t>
      </w:r>
    </w:p>
    <w:p w14:paraId="486DD7A6" w14:textId="2758D967" w:rsidR="00E107EE" w:rsidRDefault="001A6228" w:rsidP="00E107EE">
      <w:pPr>
        <w:pStyle w:val="Heading2"/>
        <w:spacing w:line="360" w:lineRule="auto"/>
        <w:rPr>
          <w:lang w:val="en-US"/>
        </w:rPr>
      </w:pPr>
      <w:bookmarkStart w:id="27" w:name="_Toc219063797"/>
      <w:r>
        <w:rPr>
          <w:lang w:val="en-US"/>
        </w:rPr>
        <w:t>Continued Popularity of Non-Discounting Methods</w:t>
      </w:r>
      <w:bookmarkEnd w:id="27"/>
    </w:p>
    <w:p w14:paraId="4C35D65F" w14:textId="631AE57F" w:rsidR="00E107EE" w:rsidRDefault="00244AD4" w:rsidP="00E107EE">
      <w:pPr>
        <w:spacing w:line="360" w:lineRule="auto"/>
        <w:rPr>
          <w:lang w:val="en-US"/>
        </w:rPr>
      </w:pPr>
      <w:r>
        <w:rPr>
          <w:lang w:val="en-US"/>
        </w:rPr>
        <w:t xml:space="preserve">Although the discounting methods yield the closest to accurate results, the non-discounting methods such as payback period, accounting rate of return etc. are still very popular. </w:t>
      </w:r>
      <w:r w:rsidR="000F2EB0">
        <w:rPr>
          <w:lang w:val="en-US"/>
        </w:rPr>
        <w:t>The reasonings are as follows.</w:t>
      </w:r>
    </w:p>
    <w:p w14:paraId="67A5FCDC" w14:textId="26705EB2" w:rsidR="00866B51" w:rsidRDefault="00866B51" w:rsidP="00E107EE">
      <w:pPr>
        <w:spacing w:line="360" w:lineRule="auto"/>
        <w:rPr>
          <w:b/>
          <w:bCs/>
          <w:lang w:val="en-US"/>
        </w:rPr>
      </w:pPr>
      <w:r>
        <w:rPr>
          <w:b/>
          <w:bCs/>
          <w:lang w:val="en-US"/>
        </w:rPr>
        <w:t>Popularity of Payback Period</w:t>
      </w:r>
    </w:p>
    <w:p w14:paraId="1B0E2D67" w14:textId="3C54A847" w:rsidR="00866B51" w:rsidRPr="00866B51" w:rsidRDefault="00E14DF9" w:rsidP="00866B51">
      <w:pPr>
        <w:pStyle w:val="ListParagraph"/>
        <w:numPr>
          <w:ilvl w:val="0"/>
          <w:numId w:val="5"/>
        </w:numPr>
        <w:spacing w:line="360" w:lineRule="auto"/>
        <w:rPr>
          <w:b/>
          <w:bCs/>
          <w:lang w:val="en-US"/>
        </w:rPr>
      </w:pPr>
      <w:r>
        <w:rPr>
          <w:lang w:val="en-US"/>
        </w:rPr>
        <w:t xml:space="preserve">It is an intuitive concept to answer a very simple question. “How long till we get our money back?” </w:t>
      </w:r>
      <w:r w:rsidR="00546638">
        <w:rPr>
          <w:lang w:val="en-US"/>
        </w:rPr>
        <w:t xml:space="preserve">To answer this question, no professional training is required nor any financial training is needed. </w:t>
      </w:r>
      <w:r w:rsidR="00E84E37">
        <w:rPr>
          <w:lang w:val="en-US"/>
        </w:rPr>
        <w:t>As a result, managers from non-technical backgrounds are also able to use it and interpret an investment decision efficiently.</w:t>
      </w:r>
    </w:p>
    <w:p w14:paraId="5F569E65" w14:textId="5C7ED958" w:rsidR="00866B51" w:rsidRPr="00C87383" w:rsidRDefault="00DB3E05" w:rsidP="00866B51">
      <w:pPr>
        <w:pStyle w:val="ListParagraph"/>
        <w:numPr>
          <w:ilvl w:val="0"/>
          <w:numId w:val="5"/>
        </w:numPr>
        <w:spacing w:line="360" w:lineRule="auto"/>
        <w:rPr>
          <w:b/>
          <w:bCs/>
          <w:lang w:val="en-US"/>
        </w:rPr>
      </w:pPr>
      <w:r>
        <w:rPr>
          <w:lang w:val="en-US"/>
        </w:rPr>
        <w:t xml:space="preserve">The use of payback period has remained dominant even after the reliability of discounted methods has been proven because of its ability to define the shorter payback period and differentiate projects based on liquidity alone. </w:t>
      </w:r>
      <w:r w:rsidR="00A32B1E">
        <w:rPr>
          <w:lang w:val="en-US"/>
        </w:rPr>
        <w:t xml:space="preserve">For riskier projects, </w:t>
      </w:r>
      <w:r w:rsidR="009A704E">
        <w:rPr>
          <w:lang w:val="en-US"/>
        </w:rPr>
        <w:t>it is important to ensure that the payback period is lower</w:t>
      </w:r>
      <w:r w:rsidR="00AC2B27">
        <w:rPr>
          <w:lang w:val="en-US"/>
        </w:rPr>
        <w:t xml:space="preserve"> (</w:t>
      </w:r>
      <w:r w:rsidR="00AC2B27" w:rsidRPr="00AC2B27">
        <w:t>Cotter</w:t>
      </w:r>
      <w:r w:rsidR="00AC2B27">
        <w:t>, 2023)</w:t>
      </w:r>
      <w:r w:rsidR="009A704E">
        <w:rPr>
          <w:lang w:val="en-US"/>
        </w:rPr>
        <w:t>.</w:t>
      </w:r>
    </w:p>
    <w:p w14:paraId="70A48A38" w14:textId="465EE421" w:rsidR="00C87383" w:rsidRPr="00866B51" w:rsidRDefault="00C87383" w:rsidP="00866B51">
      <w:pPr>
        <w:pStyle w:val="ListParagraph"/>
        <w:numPr>
          <w:ilvl w:val="0"/>
          <w:numId w:val="5"/>
        </w:numPr>
        <w:spacing w:line="360" w:lineRule="auto"/>
        <w:rPr>
          <w:b/>
          <w:bCs/>
          <w:lang w:val="en-US"/>
        </w:rPr>
      </w:pPr>
      <w:r>
        <w:rPr>
          <w:lang w:val="en-US"/>
        </w:rPr>
        <w:t xml:space="preserve">Because of the simplicity of the method, </w:t>
      </w:r>
      <w:r w:rsidR="00A84A0A">
        <w:rPr>
          <w:lang w:val="en-US"/>
        </w:rPr>
        <w:t xml:space="preserve">it does not require much </w:t>
      </w:r>
      <w:r w:rsidR="00B12192">
        <w:rPr>
          <w:lang w:val="en-US"/>
        </w:rPr>
        <w:t xml:space="preserve">data to complete the </w:t>
      </w:r>
      <w:r w:rsidR="00D84FB2">
        <w:rPr>
          <w:lang w:val="en-US"/>
        </w:rPr>
        <w:t xml:space="preserve">process. </w:t>
      </w:r>
      <w:r w:rsidR="00C51C6D">
        <w:rPr>
          <w:lang w:val="en-US"/>
        </w:rPr>
        <w:t>As a result, it remains to be a dominant method.</w:t>
      </w:r>
    </w:p>
    <w:p w14:paraId="5867A889" w14:textId="55BFEB14" w:rsidR="00866B51" w:rsidRDefault="00866B51" w:rsidP="00866B51">
      <w:pPr>
        <w:spacing w:line="360" w:lineRule="auto"/>
        <w:rPr>
          <w:b/>
          <w:bCs/>
          <w:lang w:val="en-US"/>
        </w:rPr>
      </w:pPr>
      <w:r>
        <w:rPr>
          <w:b/>
          <w:bCs/>
          <w:lang w:val="en-US"/>
        </w:rPr>
        <w:t>Persistence of Accounting Rate of Return</w:t>
      </w:r>
    </w:p>
    <w:p w14:paraId="1BB97274" w14:textId="2843E2E1" w:rsidR="00866B51" w:rsidRPr="00866B51" w:rsidRDefault="00886D92" w:rsidP="00866B51">
      <w:pPr>
        <w:pStyle w:val="ListParagraph"/>
        <w:numPr>
          <w:ilvl w:val="0"/>
          <w:numId w:val="5"/>
        </w:numPr>
        <w:spacing w:line="360" w:lineRule="auto"/>
        <w:rPr>
          <w:b/>
          <w:bCs/>
          <w:lang w:val="en-US"/>
        </w:rPr>
      </w:pPr>
      <w:r>
        <w:rPr>
          <w:lang w:val="en-US"/>
        </w:rPr>
        <w:lastRenderedPageBreak/>
        <w:t xml:space="preserve">Due to the use of accounting profits, </w:t>
      </w:r>
      <w:r w:rsidR="000847C3">
        <w:rPr>
          <w:lang w:val="en-US"/>
        </w:rPr>
        <w:t xml:space="preserve">ARR uses information from the financial statements directly. </w:t>
      </w:r>
      <w:r w:rsidR="00A708E2">
        <w:rPr>
          <w:lang w:val="en-US"/>
        </w:rPr>
        <w:t>This ensures of consistency and integrates the control systems of a company with its investment appraisal techniques.</w:t>
      </w:r>
    </w:p>
    <w:p w14:paraId="1DAA5076" w14:textId="10EDB1D1" w:rsidR="00866B51" w:rsidRPr="00866B51" w:rsidRDefault="0010165D" w:rsidP="00866B51">
      <w:pPr>
        <w:pStyle w:val="ListParagraph"/>
        <w:numPr>
          <w:ilvl w:val="0"/>
          <w:numId w:val="5"/>
        </w:numPr>
        <w:spacing w:line="360" w:lineRule="auto"/>
        <w:rPr>
          <w:b/>
          <w:bCs/>
          <w:lang w:val="en-US"/>
        </w:rPr>
      </w:pPr>
      <w:r>
        <w:rPr>
          <w:lang w:val="en-US"/>
        </w:rPr>
        <w:t xml:space="preserve">When accounting-based profitability measures </w:t>
      </w:r>
      <w:r w:rsidR="001859FB">
        <w:rPr>
          <w:lang w:val="en-US"/>
        </w:rPr>
        <w:t>are used by the executives</w:t>
      </w:r>
      <w:r w:rsidR="00630D69">
        <w:rPr>
          <w:lang w:val="en-US"/>
        </w:rPr>
        <w:t xml:space="preserve"> such as ROE, ROCE and as such ones, </w:t>
      </w:r>
      <w:r w:rsidR="004712BC">
        <w:rPr>
          <w:lang w:val="en-US"/>
        </w:rPr>
        <w:t xml:space="preserve">ARR becomes intuitively more relevant and useable. </w:t>
      </w:r>
      <w:r w:rsidR="000840F6">
        <w:rPr>
          <w:lang w:val="en-US"/>
        </w:rPr>
        <w:t>As a result, it remains to be dominant</w:t>
      </w:r>
      <w:r w:rsidR="00AC2B27">
        <w:rPr>
          <w:lang w:val="en-US"/>
        </w:rPr>
        <w:t xml:space="preserve"> (</w:t>
      </w:r>
      <w:r w:rsidR="00AC2B27" w:rsidRPr="00AC2B27">
        <w:t>Whittington</w:t>
      </w:r>
      <w:r w:rsidR="00AC2B27">
        <w:t>, 2013)</w:t>
      </w:r>
      <w:r w:rsidR="000840F6">
        <w:rPr>
          <w:lang w:val="en-US"/>
        </w:rPr>
        <w:t>.</w:t>
      </w:r>
    </w:p>
    <w:p w14:paraId="7A841E05" w14:textId="3187CC9D" w:rsidR="00E107EE" w:rsidRDefault="001A6228" w:rsidP="00E107EE">
      <w:pPr>
        <w:pStyle w:val="Heading2"/>
        <w:spacing w:line="360" w:lineRule="auto"/>
        <w:rPr>
          <w:lang w:val="en-US"/>
        </w:rPr>
      </w:pPr>
      <w:bookmarkStart w:id="28" w:name="_Toc219063798"/>
      <w:r>
        <w:rPr>
          <w:lang w:val="en-US"/>
        </w:rPr>
        <w:t>Other Factors to Consider before Investment Decision</w:t>
      </w:r>
      <w:bookmarkEnd w:id="28"/>
    </w:p>
    <w:p w14:paraId="58F9998A" w14:textId="634D8053" w:rsidR="00E107EE" w:rsidRDefault="00DC075C" w:rsidP="00E107EE">
      <w:pPr>
        <w:spacing w:line="360" w:lineRule="auto"/>
        <w:rPr>
          <w:lang w:val="en-US"/>
        </w:rPr>
      </w:pPr>
      <w:r>
        <w:rPr>
          <w:lang w:val="en-US"/>
        </w:rPr>
        <w:t xml:space="preserve">Although having financial underpinning </w:t>
      </w:r>
      <w:r w:rsidR="003C2F64">
        <w:rPr>
          <w:lang w:val="en-US"/>
        </w:rPr>
        <w:t xml:space="preserve">is essential for any investment decisions, </w:t>
      </w:r>
      <w:r w:rsidR="006F2436">
        <w:rPr>
          <w:lang w:val="en-US"/>
        </w:rPr>
        <w:t xml:space="preserve">it is also necessary to consider other factors to ensure of best possible results. </w:t>
      </w:r>
      <w:r w:rsidR="00934B04">
        <w:rPr>
          <w:lang w:val="en-US"/>
        </w:rPr>
        <w:t>These other factors are elaborated below.</w:t>
      </w:r>
    </w:p>
    <w:p w14:paraId="768C485C" w14:textId="00316C87" w:rsidR="00065B99" w:rsidRPr="00065B99" w:rsidRDefault="00065B99" w:rsidP="00065B99">
      <w:pPr>
        <w:pStyle w:val="ListParagraph"/>
        <w:numPr>
          <w:ilvl w:val="0"/>
          <w:numId w:val="6"/>
        </w:numPr>
        <w:spacing w:line="360" w:lineRule="auto"/>
        <w:rPr>
          <w:b/>
          <w:bCs/>
          <w:lang w:val="en-US"/>
        </w:rPr>
      </w:pPr>
      <w:r>
        <w:rPr>
          <w:b/>
          <w:bCs/>
          <w:lang w:val="en-US"/>
        </w:rPr>
        <w:t xml:space="preserve">Strategic Fit and Competitive Positioning: </w:t>
      </w:r>
      <w:r>
        <w:rPr>
          <w:lang w:val="en-US"/>
        </w:rPr>
        <w:t xml:space="preserve">Option B </w:t>
      </w:r>
      <w:r w:rsidR="00DC5318">
        <w:rPr>
          <w:lang w:val="en-US"/>
        </w:rPr>
        <w:t xml:space="preserve">aligns directly with the company’s industry positioning </w:t>
      </w:r>
      <w:r w:rsidR="00471561">
        <w:rPr>
          <w:lang w:val="en-US"/>
        </w:rPr>
        <w:t xml:space="preserve">in the retail industry. </w:t>
      </w:r>
      <w:r w:rsidR="00C47BAD">
        <w:rPr>
          <w:lang w:val="en-US"/>
        </w:rPr>
        <w:t xml:space="preserve">Moreover, in the UK, online retail penetration has been expanding over quite a few years. </w:t>
      </w:r>
      <w:r w:rsidR="00956108">
        <w:rPr>
          <w:lang w:val="en-US"/>
        </w:rPr>
        <w:t xml:space="preserve">Current estimates range from 25-30% for total retail to shift to online medium by the end of 2025. </w:t>
      </w:r>
      <w:r w:rsidR="006B0B81">
        <w:rPr>
          <w:lang w:val="en-US"/>
        </w:rPr>
        <w:t>As a result, developing internet capabilities in the face of digitalization is only feasible for the company</w:t>
      </w:r>
      <w:r w:rsidR="00AC2B27">
        <w:rPr>
          <w:lang w:val="en-US"/>
        </w:rPr>
        <w:t xml:space="preserve"> (</w:t>
      </w:r>
      <w:r w:rsidR="00AC2B27" w:rsidRPr="00AC2B27">
        <w:t>Alkaraan</w:t>
      </w:r>
      <w:r w:rsidR="00AC2B27">
        <w:t xml:space="preserve"> and Northcott, 2013)</w:t>
      </w:r>
      <w:r w:rsidR="006B0B81">
        <w:rPr>
          <w:lang w:val="en-US"/>
        </w:rPr>
        <w:t>.</w:t>
      </w:r>
    </w:p>
    <w:p w14:paraId="60647337" w14:textId="0B6902B4" w:rsidR="00065B99" w:rsidRPr="00065B99" w:rsidRDefault="00065B99" w:rsidP="00065B99">
      <w:pPr>
        <w:pStyle w:val="ListParagraph"/>
        <w:numPr>
          <w:ilvl w:val="0"/>
          <w:numId w:val="6"/>
        </w:numPr>
        <w:spacing w:line="360" w:lineRule="auto"/>
        <w:rPr>
          <w:b/>
          <w:bCs/>
          <w:lang w:val="en-US"/>
        </w:rPr>
      </w:pPr>
      <w:r>
        <w:rPr>
          <w:b/>
          <w:bCs/>
          <w:lang w:val="en-US"/>
        </w:rPr>
        <w:t xml:space="preserve">Market and Demand Risk: </w:t>
      </w:r>
      <w:r w:rsidR="0057316B">
        <w:rPr>
          <w:lang w:val="en-US"/>
        </w:rPr>
        <w:t xml:space="preserve">One of the major risks of the projections about the cash flows made is that the demand </w:t>
      </w:r>
      <w:r w:rsidR="004C1043">
        <w:rPr>
          <w:lang w:val="en-US"/>
        </w:rPr>
        <w:t>materialises</w:t>
      </w:r>
      <w:r w:rsidR="0057316B">
        <w:rPr>
          <w:lang w:val="en-US"/>
        </w:rPr>
        <w:t xml:space="preserve"> just as projected</w:t>
      </w:r>
      <w:r w:rsidR="004C1043">
        <w:rPr>
          <w:lang w:val="en-US"/>
        </w:rPr>
        <w:t>;</w:t>
      </w:r>
      <w:r w:rsidR="0057316B">
        <w:rPr>
          <w:lang w:val="en-US"/>
        </w:rPr>
        <w:t xml:space="preserve"> however, in </w:t>
      </w:r>
      <w:r w:rsidR="004C1043">
        <w:rPr>
          <w:lang w:val="en-US"/>
        </w:rPr>
        <w:t xml:space="preserve">the </w:t>
      </w:r>
      <w:r w:rsidR="0057316B">
        <w:rPr>
          <w:lang w:val="en-US"/>
        </w:rPr>
        <w:t xml:space="preserve">real world, it may not </w:t>
      </w:r>
      <w:r w:rsidR="004C1043">
        <w:rPr>
          <w:lang w:val="en-US"/>
        </w:rPr>
        <w:t>materialise</w:t>
      </w:r>
      <w:r w:rsidR="0057316B">
        <w:rPr>
          <w:lang w:val="en-US"/>
        </w:rPr>
        <w:t xml:space="preserve"> as per expectations. </w:t>
      </w:r>
      <w:r w:rsidR="00046827">
        <w:rPr>
          <w:lang w:val="en-US"/>
        </w:rPr>
        <w:t xml:space="preserve">For instance, </w:t>
      </w:r>
      <w:r w:rsidR="00885301">
        <w:rPr>
          <w:lang w:val="en-US"/>
        </w:rPr>
        <w:t>Option C incorporates product diversification</w:t>
      </w:r>
      <w:r w:rsidR="004C1043">
        <w:rPr>
          <w:lang w:val="en-US"/>
        </w:rPr>
        <w:t>,</w:t>
      </w:r>
      <w:r w:rsidR="00885301">
        <w:rPr>
          <w:lang w:val="en-US"/>
        </w:rPr>
        <w:t xml:space="preserve"> </w:t>
      </w:r>
      <w:r w:rsidR="00FA59E9">
        <w:rPr>
          <w:lang w:val="en-US"/>
        </w:rPr>
        <w:t>which reduces product risk effectively.</w:t>
      </w:r>
    </w:p>
    <w:p w14:paraId="2726255F" w14:textId="2BDCE58A" w:rsidR="00065B99" w:rsidRPr="00065B99" w:rsidRDefault="00065B99" w:rsidP="00065B99">
      <w:pPr>
        <w:pStyle w:val="ListParagraph"/>
        <w:numPr>
          <w:ilvl w:val="0"/>
          <w:numId w:val="6"/>
        </w:numPr>
        <w:spacing w:line="360" w:lineRule="auto"/>
        <w:rPr>
          <w:b/>
          <w:bCs/>
          <w:lang w:val="en-US"/>
        </w:rPr>
      </w:pPr>
      <w:r>
        <w:rPr>
          <w:b/>
          <w:bCs/>
          <w:lang w:val="en-US"/>
        </w:rPr>
        <w:t xml:space="preserve">Organisational Capabilities and Resources: </w:t>
      </w:r>
      <w:r w:rsidR="008F3192">
        <w:rPr>
          <w:lang w:val="en-US"/>
        </w:rPr>
        <w:t xml:space="preserve">Each of the options will equip the company with different capabilities. </w:t>
      </w:r>
      <w:r w:rsidR="00C41648">
        <w:rPr>
          <w:lang w:val="en-US"/>
        </w:rPr>
        <w:t xml:space="preserve">Option B will </w:t>
      </w:r>
      <w:r w:rsidR="004C1043">
        <w:rPr>
          <w:lang w:val="en-US"/>
        </w:rPr>
        <w:t>digitalise</w:t>
      </w:r>
      <w:r w:rsidR="00C41648">
        <w:rPr>
          <w:lang w:val="en-US"/>
        </w:rPr>
        <w:t xml:space="preserve"> the company’s operations</w:t>
      </w:r>
      <w:r w:rsidR="004C1043">
        <w:rPr>
          <w:lang w:val="en-US"/>
        </w:rPr>
        <w:t>,</w:t>
      </w:r>
      <w:r w:rsidR="00C41648">
        <w:rPr>
          <w:lang w:val="en-US"/>
        </w:rPr>
        <w:t xml:space="preserve"> while Option C will diversify its product</w:t>
      </w:r>
      <w:r w:rsidR="00A10C73">
        <w:rPr>
          <w:lang w:val="en-US"/>
        </w:rPr>
        <w:t xml:space="preserve"> lineups. </w:t>
      </w:r>
      <w:r w:rsidR="005113E5">
        <w:rPr>
          <w:lang w:val="en-US"/>
        </w:rPr>
        <w:t xml:space="preserve">As a result, the company must </w:t>
      </w:r>
      <w:r w:rsidR="004C1043">
        <w:rPr>
          <w:lang w:val="en-US"/>
        </w:rPr>
        <w:t>prioritise</w:t>
      </w:r>
      <w:r w:rsidR="005113E5">
        <w:rPr>
          <w:lang w:val="en-US"/>
        </w:rPr>
        <w:t xml:space="preserve"> what it </w:t>
      </w:r>
      <w:r w:rsidR="004C1043">
        <w:rPr>
          <w:lang w:val="en-US"/>
        </w:rPr>
        <w:t>currently</w:t>
      </w:r>
      <w:r w:rsidR="005113E5">
        <w:rPr>
          <w:lang w:val="en-US"/>
        </w:rPr>
        <w:t xml:space="preserve"> has in its hands and take </w:t>
      </w:r>
      <w:r w:rsidR="004C1043">
        <w:rPr>
          <w:lang w:val="en-US"/>
        </w:rPr>
        <w:t>action</w:t>
      </w:r>
      <w:r w:rsidR="005113E5">
        <w:rPr>
          <w:lang w:val="en-US"/>
        </w:rPr>
        <w:t xml:space="preserve"> accordingly. </w:t>
      </w:r>
      <w:r w:rsidR="00354189">
        <w:rPr>
          <w:lang w:val="en-US"/>
        </w:rPr>
        <w:t xml:space="preserve">In doing so, the management should rather assess its capability gaps and incorporate the possible factor acquisition costs as well as the risks involved to make the decision. </w:t>
      </w:r>
    </w:p>
    <w:p w14:paraId="5E7F7620" w14:textId="5D81F3A3" w:rsidR="00B945EB" w:rsidRDefault="00B945EB" w:rsidP="00B945EB">
      <w:pPr>
        <w:pStyle w:val="Heading2"/>
        <w:spacing w:line="360" w:lineRule="auto"/>
        <w:rPr>
          <w:lang w:val="en-US"/>
        </w:rPr>
      </w:pPr>
      <w:bookmarkStart w:id="29" w:name="_Toc219063799"/>
      <w:r>
        <w:rPr>
          <w:lang w:val="en-US"/>
        </w:rPr>
        <w:t>Capital Rationing and Optimal Investment Policy</w:t>
      </w:r>
      <w:bookmarkEnd w:id="29"/>
    </w:p>
    <w:p w14:paraId="6A896E43" w14:textId="6E990EED" w:rsidR="00B945EB" w:rsidRDefault="00053375" w:rsidP="00B945EB">
      <w:pPr>
        <w:spacing w:line="360" w:lineRule="auto"/>
        <w:rPr>
          <w:lang w:val="en-US"/>
        </w:rPr>
      </w:pPr>
      <w:r>
        <w:rPr>
          <w:lang w:val="en-US"/>
        </w:rPr>
        <w:t xml:space="preserve">The concept of capital rationing refers to the process of allocating resources amongst available investment projects based on </w:t>
      </w:r>
      <w:r w:rsidR="004C1043">
        <w:rPr>
          <w:lang w:val="en-US"/>
        </w:rPr>
        <w:t>the maximisation</w:t>
      </w:r>
      <w:r>
        <w:rPr>
          <w:lang w:val="en-US"/>
        </w:rPr>
        <w:t xml:space="preserve"> of returns. </w:t>
      </w:r>
      <w:r w:rsidR="000904DD">
        <w:rPr>
          <w:lang w:val="en-US"/>
        </w:rPr>
        <w:t xml:space="preserve">This process prevents a company </w:t>
      </w:r>
      <w:r w:rsidR="004C1043">
        <w:rPr>
          <w:lang w:val="en-US"/>
        </w:rPr>
        <w:t>from undertaking</w:t>
      </w:r>
      <w:r w:rsidR="000904DD">
        <w:rPr>
          <w:lang w:val="en-US"/>
        </w:rPr>
        <w:t xml:space="preserve"> every project available at hand. </w:t>
      </w:r>
      <w:r w:rsidR="00E436F8">
        <w:rPr>
          <w:lang w:val="en-US"/>
        </w:rPr>
        <w:t xml:space="preserve">Rather, the diversification of </w:t>
      </w:r>
      <w:r w:rsidR="007F6228">
        <w:rPr>
          <w:lang w:val="en-US"/>
        </w:rPr>
        <w:t>projects helps to reduce financial risks</w:t>
      </w:r>
      <w:r w:rsidR="00345E84">
        <w:rPr>
          <w:lang w:val="en-US"/>
        </w:rPr>
        <w:t xml:space="preserve"> (</w:t>
      </w:r>
      <w:r w:rsidR="00345E84" w:rsidRPr="00345E84">
        <w:t>Bruggen</w:t>
      </w:r>
      <w:r w:rsidR="00345E84">
        <w:t>, 2011)</w:t>
      </w:r>
      <w:r w:rsidR="007F6228">
        <w:rPr>
          <w:lang w:val="en-US"/>
        </w:rPr>
        <w:t xml:space="preserve">. </w:t>
      </w:r>
      <w:r w:rsidR="00097B2E">
        <w:rPr>
          <w:lang w:val="en-US"/>
        </w:rPr>
        <w:t xml:space="preserve">The process of undertaking capital rationing entails the use of </w:t>
      </w:r>
      <w:r w:rsidR="004C1043">
        <w:rPr>
          <w:lang w:val="en-US"/>
        </w:rPr>
        <w:t xml:space="preserve">the </w:t>
      </w:r>
      <w:r w:rsidR="00097B2E">
        <w:rPr>
          <w:lang w:val="en-US"/>
        </w:rPr>
        <w:t>profitability index</w:t>
      </w:r>
      <w:r w:rsidR="009674A0">
        <w:rPr>
          <w:lang w:val="en-US"/>
        </w:rPr>
        <w:t xml:space="preserve"> to rank projects based on priority.</w:t>
      </w:r>
    </w:p>
    <w:p w14:paraId="249A5A30" w14:textId="4F8BE1A6" w:rsidR="00881508" w:rsidRDefault="00881508" w:rsidP="00B945EB">
      <w:pPr>
        <w:spacing w:line="360" w:lineRule="auto"/>
        <w:rPr>
          <w:lang w:val="en-US"/>
        </w:rPr>
      </w:pPr>
      <w:r>
        <w:rPr>
          <w:lang w:val="en-US"/>
        </w:rPr>
        <w:lastRenderedPageBreak/>
        <w:t xml:space="preserve">Profitability Index is a process of dividing </w:t>
      </w:r>
      <w:r w:rsidR="004C1043">
        <w:rPr>
          <w:lang w:val="en-US"/>
        </w:rPr>
        <w:t xml:space="preserve">the </w:t>
      </w:r>
      <w:r>
        <w:rPr>
          <w:lang w:val="en-US"/>
        </w:rPr>
        <w:t xml:space="preserve">initial investment by </w:t>
      </w:r>
      <w:r w:rsidR="004C1043">
        <w:rPr>
          <w:lang w:val="en-US"/>
        </w:rPr>
        <w:t xml:space="preserve">the </w:t>
      </w:r>
      <w:r>
        <w:rPr>
          <w:lang w:val="en-US"/>
        </w:rPr>
        <w:t>PV of future cash flows of each of the projects</w:t>
      </w:r>
      <w:r w:rsidR="004C1043">
        <w:rPr>
          <w:lang w:val="en-US"/>
        </w:rPr>
        <w:t>,</w:t>
      </w:r>
      <w:r>
        <w:rPr>
          <w:lang w:val="en-US"/>
        </w:rPr>
        <w:t xml:space="preserve"> </w:t>
      </w:r>
      <w:r w:rsidR="00C7351F">
        <w:rPr>
          <w:lang w:val="en-US"/>
        </w:rPr>
        <w:t xml:space="preserve">which provides </w:t>
      </w:r>
      <w:r w:rsidR="004C1043">
        <w:rPr>
          <w:lang w:val="en-US"/>
        </w:rPr>
        <w:t>the</w:t>
      </w:r>
      <w:r w:rsidR="00C7351F">
        <w:rPr>
          <w:lang w:val="en-US"/>
        </w:rPr>
        <w:t xml:space="preserve"> value created based on </w:t>
      </w:r>
      <w:r w:rsidR="004C1043">
        <w:rPr>
          <w:lang w:val="en-US"/>
        </w:rPr>
        <w:t>each</w:t>
      </w:r>
      <w:r w:rsidR="00C7351F">
        <w:rPr>
          <w:lang w:val="en-US"/>
        </w:rPr>
        <w:t xml:space="preserve"> currency unit invested. </w:t>
      </w:r>
      <w:r w:rsidR="009E4501">
        <w:rPr>
          <w:lang w:val="en-US"/>
        </w:rPr>
        <w:t>The higher a project ranks, the more priority it gets in times of making a decision</w:t>
      </w:r>
      <w:r w:rsidR="00F37E8B">
        <w:rPr>
          <w:lang w:val="en-US"/>
        </w:rPr>
        <w:t xml:space="preserve"> (</w:t>
      </w:r>
      <w:r w:rsidR="00F37E8B" w:rsidRPr="00345E84">
        <w:t>Bruggen</w:t>
      </w:r>
      <w:r w:rsidR="00F37E8B">
        <w:t>, 2011)</w:t>
      </w:r>
      <w:r w:rsidR="009E4501">
        <w:rPr>
          <w:lang w:val="en-US"/>
        </w:rPr>
        <w:t xml:space="preserve">. </w:t>
      </w:r>
    </w:p>
    <w:p w14:paraId="07CDE799" w14:textId="0F87CBBB" w:rsidR="009C2673" w:rsidRDefault="009C2673" w:rsidP="00B945EB">
      <w:pPr>
        <w:spacing w:line="360" w:lineRule="auto"/>
        <w:rPr>
          <w:lang w:val="en-US"/>
        </w:rPr>
      </w:pPr>
      <w:r>
        <w:rPr>
          <w:lang w:val="en-US"/>
        </w:rPr>
        <w:t>Now, if the same concept is to be applied to the case of Westward PLC</w:t>
      </w:r>
      <w:r w:rsidR="00A34DA0">
        <w:rPr>
          <w:lang w:val="en-US"/>
        </w:rPr>
        <w:t xml:space="preserve"> with a budget of 2,500,000 Pounds, </w:t>
      </w:r>
      <w:r w:rsidR="004C1043">
        <w:rPr>
          <w:lang w:val="en-US"/>
        </w:rPr>
        <w:t xml:space="preserve">the </w:t>
      </w:r>
      <w:r w:rsidR="00A34DA0">
        <w:rPr>
          <w:lang w:val="en-US"/>
        </w:rPr>
        <w:t>decision-making process can be made more efficient and effective. The PI of each of the options is calculated below.</w:t>
      </w:r>
    </w:p>
    <w:tbl>
      <w:tblPr>
        <w:tblStyle w:val="TableGrid"/>
        <w:tblW w:w="0" w:type="auto"/>
        <w:tblLook w:val="04A0" w:firstRow="1" w:lastRow="0" w:firstColumn="1" w:lastColumn="0" w:noHBand="0" w:noVBand="1"/>
      </w:tblPr>
      <w:tblGrid>
        <w:gridCol w:w="1803"/>
        <w:gridCol w:w="1803"/>
        <w:gridCol w:w="1803"/>
        <w:gridCol w:w="1803"/>
        <w:gridCol w:w="1804"/>
      </w:tblGrid>
      <w:tr w:rsidR="00140AA0" w14:paraId="5D312C43" w14:textId="77777777" w:rsidTr="00140AA0">
        <w:tc>
          <w:tcPr>
            <w:tcW w:w="1803" w:type="dxa"/>
          </w:tcPr>
          <w:p w14:paraId="304C762A" w14:textId="694DCE7B" w:rsidR="00140AA0" w:rsidRPr="00140AA0" w:rsidRDefault="00365283" w:rsidP="00140AA0">
            <w:pPr>
              <w:spacing w:line="360" w:lineRule="auto"/>
              <w:jc w:val="center"/>
              <w:rPr>
                <w:b/>
                <w:bCs/>
                <w:lang w:val="en-US"/>
              </w:rPr>
            </w:pPr>
            <w:r>
              <w:rPr>
                <w:b/>
                <w:bCs/>
                <w:lang w:val="en-US"/>
              </w:rPr>
              <w:t>Options</w:t>
            </w:r>
          </w:p>
        </w:tc>
        <w:tc>
          <w:tcPr>
            <w:tcW w:w="1803" w:type="dxa"/>
          </w:tcPr>
          <w:p w14:paraId="005DE5A7" w14:textId="15C17F61" w:rsidR="00140AA0" w:rsidRPr="00140AA0" w:rsidRDefault="00365283" w:rsidP="00140AA0">
            <w:pPr>
              <w:spacing w:line="360" w:lineRule="auto"/>
              <w:jc w:val="center"/>
              <w:rPr>
                <w:b/>
                <w:bCs/>
                <w:lang w:val="en-US"/>
              </w:rPr>
            </w:pPr>
            <w:r>
              <w:rPr>
                <w:b/>
                <w:bCs/>
                <w:lang w:val="en-US"/>
              </w:rPr>
              <w:t xml:space="preserve">Initial Investment </w:t>
            </w:r>
            <w:r w:rsidRPr="007A5861">
              <w:rPr>
                <w:b/>
                <w:bCs/>
              </w:rPr>
              <w:t>(£</w:t>
            </w:r>
            <w:r>
              <w:rPr>
                <w:b/>
                <w:bCs/>
              </w:rPr>
              <w:t>)</w:t>
            </w:r>
          </w:p>
        </w:tc>
        <w:tc>
          <w:tcPr>
            <w:tcW w:w="1803" w:type="dxa"/>
          </w:tcPr>
          <w:p w14:paraId="2D3FFA95" w14:textId="1A387F62" w:rsidR="00140AA0" w:rsidRPr="00140AA0" w:rsidRDefault="00365283" w:rsidP="00140AA0">
            <w:pPr>
              <w:spacing w:line="360" w:lineRule="auto"/>
              <w:jc w:val="center"/>
              <w:rPr>
                <w:b/>
                <w:bCs/>
                <w:lang w:val="en-US"/>
              </w:rPr>
            </w:pPr>
            <w:r>
              <w:rPr>
                <w:b/>
                <w:bCs/>
                <w:lang w:val="en-US"/>
              </w:rPr>
              <w:t xml:space="preserve">NPV </w:t>
            </w:r>
            <w:r w:rsidRPr="007A5861">
              <w:rPr>
                <w:b/>
                <w:bCs/>
              </w:rPr>
              <w:t>(£</w:t>
            </w:r>
            <w:r>
              <w:rPr>
                <w:b/>
                <w:bCs/>
              </w:rPr>
              <w:t>)</w:t>
            </w:r>
          </w:p>
        </w:tc>
        <w:tc>
          <w:tcPr>
            <w:tcW w:w="1803" w:type="dxa"/>
          </w:tcPr>
          <w:p w14:paraId="0A7CE17A" w14:textId="67E3C2DC" w:rsidR="00140AA0" w:rsidRPr="00140AA0" w:rsidRDefault="00365283" w:rsidP="00140AA0">
            <w:pPr>
              <w:spacing w:line="360" w:lineRule="auto"/>
              <w:jc w:val="center"/>
              <w:rPr>
                <w:b/>
                <w:bCs/>
                <w:lang w:val="en-US"/>
              </w:rPr>
            </w:pPr>
            <w:r>
              <w:rPr>
                <w:b/>
                <w:bCs/>
                <w:lang w:val="en-US"/>
              </w:rPr>
              <w:t xml:space="preserve">PV of Future Cash Flows </w:t>
            </w:r>
            <w:r w:rsidRPr="007A5861">
              <w:rPr>
                <w:b/>
                <w:bCs/>
              </w:rPr>
              <w:t>(£</w:t>
            </w:r>
            <w:r>
              <w:rPr>
                <w:b/>
                <w:bCs/>
              </w:rPr>
              <w:t>)</w:t>
            </w:r>
          </w:p>
        </w:tc>
        <w:tc>
          <w:tcPr>
            <w:tcW w:w="1804" w:type="dxa"/>
          </w:tcPr>
          <w:p w14:paraId="73E2C1C9" w14:textId="0B3D4737" w:rsidR="00140AA0" w:rsidRPr="00140AA0" w:rsidRDefault="00365283" w:rsidP="00140AA0">
            <w:pPr>
              <w:spacing w:line="360" w:lineRule="auto"/>
              <w:jc w:val="center"/>
              <w:rPr>
                <w:b/>
                <w:bCs/>
                <w:lang w:val="en-US"/>
              </w:rPr>
            </w:pPr>
            <w:r>
              <w:rPr>
                <w:b/>
                <w:bCs/>
                <w:lang w:val="en-US"/>
              </w:rPr>
              <w:t>PI</w:t>
            </w:r>
            <w:r w:rsidR="00D16827">
              <w:rPr>
                <w:b/>
                <w:bCs/>
                <w:lang w:val="en-US"/>
              </w:rPr>
              <w:t xml:space="preserve"> (PV of Future CFs / Initial Investment)</w:t>
            </w:r>
          </w:p>
        </w:tc>
      </w:tr>
      <w:tr w:rsidR="00140AA0" w14:paraId="24B5DEBB" w14:textId="77777777" w:rsidTr="00140AA0">
        <w:tc>
          <w:tcPr>
            <w:tcW w:w="1803" w:type="dxa"/>
          </w:tcPr>
          <w:p w14:paraId="427BE413" w14:textId="20228397" w:rsidR="00140AA0" w:rsidRDefault="00365283" w:rsidP="00140AA0">
            <w:pPr>
              <w:spacing w:line="360" w:lineRule="auto"/>
              <w:jc w:val="center"/>
              <w:rPr>
                <w:lang w:val="en-US"/>
              </w:rPr>
            </w:pPr>
            <w:r>
              <w:rPr>
                <w:lang w:val="en-US"/>
              </w:rPr>
              <w:t>A</w:t>
            </w:r>
          </w:p>
        </w:tc>
        <w:tc>
          <w:tcPr>
            <w:tcW w:w="1803" w:type="dxa"/>
          </w:tcPr>
          <w:p w14:paraId="25E98FA9" w14:textId="497E8B1D" w:rsidR="00140AA0" w:rsidRDefault="00365283" w:rsidP="00140AA0">
            <w:pPr>
              <w:spacing w:line="360" w:lineRule="auto"/>
              <w:jc w:val="center"/>
              <w:rPr>
                <w:lang w:val="en-US"/>
              </w:rPr>
            </w:pPr>
            <w:r>
              <w:rPr>
                <w:lang w:val="en-US"/>
              </w:rPr>
              <w:t>600,000</w:t>
            </w:r>
          </w:p>
        </w:tc>
        <w:tc>
          <w:tcPr>
            <w:tcW w:w="1803" w:type="dxa"/>
          </w:tcPr>
          <w:p w14:paraId="0C39094F" w14:textId="37AF04B5" w:rsidR="00140AA0" w:rsidRDefault="00365283" w:rsidP="00140AA0">
            <w:pPr>
              <w:spacing w:line="360" w:lineRule="auto"/>
              <w:jc w:val="center"/>
              <w:rPr>
                <w:lang w:val="en-US"/>
              </w:rPr>
            </w:pPr>
            <w:r>
              <w:rPr>
                <w:lang w:val="en-US"/>
              </w:rPr>
              <w:t>643,165</w:t>
            </w:r>
          </w:p>
        </w:tc>
        <w:tc>
          <w:tcPr>
            <w:tcW w:w="1803" w:type="dxa"/>
          </w:tcPr>
          <w:p w14:paraId="0326D70C" w14:textId="7E1826B6" w:rsidR="00140AA0" w:rsidRDefault="00365283" w:rsidP="00140AA0">
            <w:pPr>
              <w:spacing w:line="360" w:lineRule="auto"/>
              <w:jc w:val="center"/>
              <w:rPr>
                <w:lang w:val="en-US"/>
              </w:rPr>
            </w:pPr>
            <w:r>
              <w:rPr>
                <w:lang w:val="en-US"/>
              </w:rPr>
              <w:t>1,243,165</w:t>
            </w:r>
          </w:p>
        </w:tc>
        <w:tc>
          <w:tcPr>
            <w:tcW w:w="1804" w:type="dxa"/>
          </w:tcPr>
          <w:p w14:paraId="04149572" w14:textId="23E69AEA" w:rsidR="00140AA0" w:rsidRDefault="00196B52" w:rsidP="00140AA0">
            <w:pPr>
              <w:spacing w:line="360" w:lineRule="auto"/>
              <w:jc w:val="center"/>
              <w:rPr>
                <w:lang w:val="en-US"/>
              </w:rPr>
            </w:pPr>
            <w:r>
              <w:rPr>
                <w:lang w:val="en-US"/>
              </w:rPr>
              <w:t>2.07</w:t>
            </w:r>
          </w:p>
        </w:tc>
      </w:tr>
      <w:tr w:rsidR="00140AA0" w14:paraId="6C0FFF6E" w14:textId="77777777" w:rsidTr="00140AA0">
        <w:tc>
          <w:tcPr>
            <w:tcW w:w="1803" w:type="dxa"/>
          </w:tcPr>
          <w:p w14:paraId="702E6BC3" w14:textId="671EECC1" w:rsidR="00140AA0" w:rsidRDefault="00365283" w:rsidP="00140AA0">
            <w:pPr>
              <w:spacing w:line="360" w:lineRule="auto"/>
              <w:jc w:val="center"/>
              <w:rPr>
                <w:lang w:val="en-US"/>
              </w:rPr>
            </w:pPr>
            <w:r>
              <w:rPr>
                <w:lang w:val="en-US"/>
              </w:rPr>
              <w:t>B</w:t>
            </w:r>
          </w:p>
        </w:tc>
        <w:tc>
          <w:tcPr>
            <w:tcW w:w="1803" w:type="dxa"/>
          </w:tcPr>
          <w:p w14:paraId="3FE8FF81" w14:textId="508CE54D" w:rsidR="00140AA0" w:rsidRDefault="00365283" w:rsidP="00140AA0">
            <w:pPr>
              <w:spacing w:line="360" w:lineRule="auto"/>
              <w:jc w:val="center"/>
              <w:rPr>
                <w:lang w:val="en-US"/>
              </w:rPr>
            </w:pPr>
            <w:r>
              <w:rPr>
                <w:lang w:val="en-US"/>
              </w:rPr>
              <w:t>1,000,000</w:t>
            </w:r>
          </w:p>
        </w:tc>
        <w:tc>
          <w:tcPr>
            <w:tcW w:w="1803" w:type="dxa"/>
          </w:tcPr>
          <w:p w14:paraId="689ECA0F" w14:textId="70C6ED9F" w:rsidR="00140AA0" w:rsidRDefault="00365283" w:rsidP="00140AA0">
            <w:pPr>
              <w:spacing w:line="360" w:lineRule="auto"/>
              <w:jc w:val="center"/>
              <w:rPr>
                <w:lang w:val="en-US"/>
              </w:rPr>
            </w:pPr>
            <w:r>
              <w:rPr>
                <w:lang w:val="en-US"/>
              </w:rPr>
              <w:t>792,228</w:t>
            </w:r>
          </w:p>
        </w:tc>
        <w:tc>
          <w:tcPr>
            <w:tcW w:w="1803" w:type="dxa"/>
          </w:tcPr>
          <w:p w14:paraId="2EBA8541" w14:textId="78E3EBA0" w:rsidR="00140AA0" w:rsidRDefault="00365283" w:rsidP="00140AA0">
            <w:pPr>
              <w:spacing w:line="360" w:lineRule="auto"/>
              <w:jc w:val="center"/>
              <w:rPr>
                <w:lang w:val="en-US"/>
              </w:rPr>
            </w:pPr>
            <w:r>
              <w:rPr>
                <w:lang w:val="en-US"/>
              </w:rPr>
              <w:t>1,792,228</w:t>
            </w:r>
          </w:p>
        </w:tc>
        <w:tc>
          <w:tcPr>
            <w:tcW w:w="1804" w:type="dxa"/>
          </w:tcPr>
          <w:p w14:paraId="4496E65B" w14:textId="61155F29" w:rsidR="00140AA0" w:rsidRDefault="00365283" w:rsidP="00140AA0">
            <w:pPr>
              <w:spacing w:line="360" w:lineRule="auto"/>
              <w:jc w:val="center"/>
              <w:rPr>
                <w:lang w:val="en-US"/>
              </w:rPr>
            </w:pPr>
            <w:r>
              <w:rPr>
                <w:lang w:val="en-US"/>
              </w:rPr>
              <w:t>1.792</w:t>
            </w:r>
          </w:p>
        </w:tc>
      </w:tr>
      <w:tr w:rsidR="00140AA0" w14:paraId="2AF6F872" w14:textId="77777777" w:rsidTr="00140AA0">
        <w:tc>
          <w:tcPr>
            <w:tcW w:w="1803" w:type="dxa"/>
          </w:tcPr>
          <w:p w14:paraId="3CC71F04" w14:textId="286D8B18" w:rsidR="00140AA0" w:rsidRDefault="00365283" w:rsidP="00140AA0">
            <w:pPr>
              <w:spacing w:line="360" w:lineRule="auto"/>
              <w:jc w:val="center"/>
              <w:rPr>
                <w:lang w:val="en-US"/>
              </w:rPr>
            </w:pPr>
            <w:r>
              <w:rPr>
                <w:lang w:val="en-US"/>
              </w:rPr>
              <w:t>C</w:t>
            </w:r>
          </w:p>
        </w:tc>
        <w:tc>
          <w:tcPr>
            <w:tcW w:w="1803" w:type="dxa"/>
          </w:tcPr>
          <w:p w14:paraId="3DFDA044" w14:textId="5EC762B5" w:rsidR="00140AA0" w:rsidRDefault="00365283" w:rsidP="00140AA0">
            <w:pPr>
              <w:spacing w:line="360" w:lineRule="auto"/>
              <w:jc w:val="center"/>
              <w:rPr>
                <w:lang w:val="en-US"/>
              </w:rPr>
            </w:pPr>
            <w:r>
              <w:rPr>
                <w:lang w:val="en-US"/>
              </w:rPr>
              <w:t>1,600,000</w:t>
            </w:r>
          </w:p>
        </w:tc>
        <w:tc>
          <w:tcPr>
            <w:tcW w:w="1803" w:type="dxa"/>
          </w:tcPr>
          <w:p w14:paraId="45FA12F1" w14:textId="7F1FF406" w:rsidR="00140AA0" w:rsidRDefault="00365283" w:rsidP="00140AA0">
            <w:pPr>
              <w:spacing w:line="360" w:lineRule="auto"/>
              <w:jc w:val="center"/>
              <w:rPr>
                <w:lang w:val="en-US"/>
              </w:rPr>
            </w:pPr>
            <w:r>
              <w:rPr>
                <w:lang w:val="en-US"/>
              </w:rPr>
              <w:t>742,475</w:t>
            </w:r>
          </w:p>
        </w:tc>
        <w:tc>
          <w:tcPr>
            <w:tcW w:w="1803" w:type="dxa"/>
          </w:tcPr>
          <w:p w14:paraId="25B570E8" w14:textId="27D73A4C" w:rsidR="00140AA0" w:rsidRDefault="00365283" w:rsidP="00140AA0">
            <w:pPr>
              <w:spacing w:line="360" w:lineRule="auto"/>
              <w:jc w:val="center"/>
              <w:rPr>
                <w:lang w:val="en-US"/>
              </w:rPr>
            </w:pPr>
            <w:r>
              <w:rPr>
                <w:lang w:val="en-US"/>
              </w:rPr>
              <w:t>2,342,475</w:t>
            </w:r>
          </w:p>
        </w:tc>
        <w:tc>
          <w:tcPr>
            <w:tcW w:w="1804" w:type="dxa"/>
          </w:tcPr>
          <w:p w14:paraId="3CB94774" w14:textId="62A678F6" w:rsidR="00140AA0" w:rsidRDefault="00365283" w:rsidP="00140AA0">
            <w:pPr>
              <w:spacing w:line="360" w:lineRule="auto"/>
              <w:jc w:val="center"/>
              <w:rPr>
                <w:lang w:val="en-US"/>
              </w:rPr>
            </w:pPr>
            <w:r>
              <w:rPr>
                <w:lang w:val="en-US"/>
              </w:rPr>
              <w:t>1.464</w:t>
            </w:r>
          </w:p>
        </w:tc>
      </w:tr>
    </w:tbl>
    <w:p w14:paraId="278E9E42" w14:textId="4E2F2355" w:rsidR="00531842" w:rsidRPr="001B2354" w:rsidRDefault="00EA52C5" w:rsidP="00B945EB">
      <w:pPr>
        <w:spacing w:line="360" w:lineRule="auto"/>
        <w:rPr>
          <w:lang w:val="en-US"/>
        </w:rPr>
      </w:pPr>
      <w:r>
        <w:rPr>
          <w:lang w:val="en-US"/>
        </w:rPr>
        <w:t xml:space="preserve">Based on the PI results, the company must investment all of Option A and B alongside investing in </w:t>
      </w:r>
      <w:r w:rsidR="006C7C96">
        <w:rPr>
          <w:lang w:val="en-US"/>
        </w:rPr>
        <w:t xml:space="preserve">Option C for </w:t>
      </w:r>
      <w:r>
        <w:rPr>
          <w:lang w:val="en-US"/>
        </w:rPr>
        <w:t>56.25%</w:t>
      </w:r>
      <w:r w:rsidR="00710966">
        <w:rPr>
          <w:lang w:val="en-US"/>
        </w:rPr>
        <w:t>. This will help the company to generate the most profits for its 2,500,000 Pounds of budget</w:t>
      </w:r>
      <w:r w:rsidR="00C75F0E">
        <w:rPr>
          <w:lang w:val="en-US"/>
        </w:rPr>
        <w:t xml:space="preserve"> as it will ensure of maximum NPV for all of the projects.</w:t>
      </w:r>
    </w:p>
    <w:p w14:paraId="3557E3FF" w14:textId="1C73837B" w:rsidR="00B945EB" w:rsidRDefault="00B945EB" w:rsidP="00B945EB">
      <w:pPr>
        <w:pStyle w:val="Heading2"/>
        <w:spacing w:line="360" w:lineRule="auto"/>
        <w:rPr>
          <w:lang w:val="en-US"/>
        </w:rPr>
      </w:pPr>
      <w:bookmarkStart w:id="30" w:name="_Toc219063800"/>
      <w:r>
        <w:rPr>
          <w:lang w:val="en-US"/>
        </w:rPr>
        <w:t>Sources of Finance for Investment Program</w:t>
      </w:r>
      <w:bookmarkEnd w:id="30"/>
    </w:p>
    <w:p w14:paraId="6C111E33" w14:textId="679F7C27" w:rsidR="00574122" w:rsidRDefault="00E46A43" w:rsidP="00B945EB">
      <w:pPr>
        <w:spacing w:line="360" w:lineRule="auto"/>
        <w:rPr>
          <w:lang w:val="en-US"/>
        </w:rPr>
      </w:pPr>
      <w:r>
        <w:rPr>
          <w:lang w:val="en-US"/>
        </w:rPr>
        <w:t>There are various sources of finance for the investment program</w:t>
      </w:r>
      <w:r w:rsidR="004C1043">
        <w:rPr>
          <w:lang w:val="en-US"/>
        </w:rPr>
        <w:t>,</w:t>
      </w:r>
      <w:r>
        <w:rPr>
          <w:lang w:val="en-US"/>
        </w:rPr>
        <w:t xml:space="preserve"> including retained earnings, equity capital, bank loans and others. As these three are the major ones, their advantages and disadvantages are elaborated below.</w:t>
      </w:r>
    </w:p>
    <w:p w14:paraId="0B1F4A13" w14:textId="77777777" w:rsidR="00574122" w:rsidRDefault="00574122" w:rsidP="00B945EB">
      <w:pPr>
        <w:spacing w:line="360" w:lineRule="auto"/>
        <w:rPr>
          <w:b/>
          <w:bCs/>
          <w:lang w:val="en-US"/>
        </w:rPr>
      </w:pPr>
      <w:r>
        <w:rPr>
          <w:b/>
          <w:bCs/>
          <w:lang w:val="en-US"/>
        </w:rPr>
        <w:t>Retained Earnings</w:t>
      </w:r>
    </w:p>
    <w:p w14:paraId="0BA3CBB0" w14:textId="5B074AD9" w:rsidR="00A9700A" w:rsidRPr="00A9700A" w:rsidRDefault="00A9700A" w:rsidP="00B945EB">
      <w:pPr>
        <w:spacing w:line="360" w:lineRule="auto"/>
        <w:rPr>
          <w:lang w:val="en-US"/>
        </w:rPr>
      </w:pPr>
      <w:r>
        <w:rPr>
          <w:lang w:val="en-US"/>
        </w:rPr>
        <w:t xml:space="preserve">These are the earnings which get reinvested in the business instead of </w:t>
      </w:r>
      <w:r w:rsidR="004C1043">
        <w:rPr>
          <w:lang w:val="en-US"/>
        </w:rPr>
        <w:t>being</w:t>
      </w:r>
      <w:r>
        <w:rPr>
          <w:lang w:val="en-US"/>
        </w:rPr>
        <w:t xml:space="preserve"> distributed among the shareholders for future expansionary projects or contingencies.</w:t>
      </w:r>
    </w:p>
    <w:p w14:paraId="0948BF87" w14:textId="77777777" w:rsidR="00574122" w:rsidRDefault="00574122" w:rsidP="00B945EB">
      <w:pPr>
        <w:spacing w:line="360" w:lineRule="auto"/>
        <w:rPr>
          <w:b/>
          <w:bCs/>
          <w:lang w:val="en-US"/>
        </w:rPr>
      </w:pPr>
      <w:r>
        <w:rPr>
          <w:b/>
          <w:bCs/>
          <w:lang w:val="en-US"/>
        </w:rPr>
        <w:t>Advantages:</w:t>
      </w:r>
    </w:p>
    <w:p w14:paraId="0329EFD6" w14:textId="6BE6C384" w:rsidR="00574122" w:rsidRDefault="003A4992" w:rsidP="00574122">
      <w:pPr>
        <w:pStyle w:val="ListParagraph"/>
        <w:numPr>
          <w:ilvl w:val="0"/>
          <w:numId w:val="7"/>
        </w:numPr>
        <w:spacing w:line="360" w:lineRule="auto"/>
        <w:rPr>
          <w:lang w:val="en-US"/>
        </w:rPr>
      </w:pPr>
      <w:r>
        <w:rPr>
          <w:lang w:val="en-US"/>
        </w:rPr>
        <w:t>There are no explicit cost</w:t>
      </w:r>
      <w:r w:rsidR="008C45AC">
        <w:rPr>
          <w:lang w:val="en-US"/>
        </w:rPr>
        <w:t>s</w:t>
      </w:r>
      <w:r>
        <w:rPr>
          <w:lang w:val="en-US"/>
        </w:rPr>
        <w:t xml:space="preserve"> of retaining these earnings</w:t>
      </w:r>
      <w:r w:rsidR="004C1043">
        <w:rPr>
          <w:lang w:val="en-US"/>
        </w:rPr>
        <w:t>,</w:t>
      </w:r>
      <w:r>
        <w:rPr>
          <w:lang w:val="en-US"/>
        </w:rPr>
        <w:t xml:space="preserve"> as companies do not have to pay anything on the earnings retained</w:t>
      </w:r>
      <w:r w:rsidR="008C45AC">
        <w:rPr>
          <w:lang w:val="en-US"/>
        </w:rPr>
        <w:t>.</w:t>
      </w:r>
    </w:p>
    <w:p w14:paraId="756510BA" w14:textId="1282796F" w:rsidR="00574122" w:rsidRDefault="008C45AC" w:rsidP="00574122">
      <w:pPr>
        <w:pStyle w:val="ListParagraph"/>
        <w:numPr>
          <w:ilvl w:val="0"/>
          <w:numId w:val="7"/>
        </w:numPr>
        <w:spacing w:line="360" w:lineRule="auto"/>
        <w:rPr>
          <w:lang w:val="en-US"/>
        </w:rPr>
      </w:pPr>
      <w:r>
        <w:rPr>
          <w:lang w:val="en-US"/>
        </w:rPr>
        <w:t xml:space="preserve">Because the funds are already available to the company, </w:t>
      </w:r>
      <w:r w:rsidR="00761C87">
        <w:rPr>
          <w:lang w:val="en-US"/>
        </w:rPr>
        <w:t>it does not have to wait to invest in a project</w:t>
      </w:r>
      <w:r w:rsidR="00F37E8B">
        <w:rPr>
          <w:lang w:val="en-US"/>
        </w:rPr>
        <w:t xml:space="preserve"> (</w:t>
      </w:r>
      <w:r w:rsidR="00F37E8B" w:rsidRPr="00F37E8B">
        <w:t>Thuranira</w:t>
      </w:r>
      <w:r w:rsidR="00F37E8B">
        <w:t>, 2014)</w:t>
      </w:r>
      <w:r w:rsidR="00761C87">
        <w:rPr>
          <w:lang w:val="en-US"/>
        </w:rPr>
        <w:t>.</w:t>
      </w:r>
    </w:p>
    <w:p w14:paraId="43930695" w14:textId="19FB1FDC" w:rsidR="00574122" w:rsidRDefault="00574122" w:rsidP="00574122">
      <w:pPr>
        <w:spacing w:line="360" w:lineRule="auto"/>
        <w:rPr>
          <w:b/>
          <w:bCs/>
          <w:lang w:val="en-US"/>
        </w:rPr>
      </w:pPr>
      <w:r>
        <w:rPr>
          <w:b/>
          <w:bCs/>
          <w:lang w:val="en-US"/>
        </w:rPr>
        <w:t>Disadvantages:</w:t>
      </w:r>
    </w:p>
    <w:p w14:paraId="29C477D2" w14:textId="2D44994B" w:rsidR="00737051" w:rsidRPr="00737051" w:rsidRDefault="00737051" w:rsidP="00737051">
      <w:pPr>
        <w:pStyle w:val="ListParagraph"/>
        <w:numPr>
          <w:ilvl w:val="0"/>
          <w:numId w:val="8"/>
        </w:numPr>
        <w:spacing w:line="360" w:lineRule="auto"/>
        <w:rPr>
          <w:lang w:val="en-US"/>
        </w:rPr>
      </w:pPr>
      <w:r>
        <w:rPr>
          <w:lang w:val="en-US"/>
        </w:rPr>
        <w:t>It is dependent on the capacity of generating profits</w:t>
      </w:r>
      <w:r w:rsidR="004C1043">
        <w:rPr>
          <w:lang w:val="en-US"/>
        </w:rPr>
        <w:t>;</w:t>
      </w:r>
      <w:r>
        <w:rPr>
          <w:lang w:val="en-US"/>
        </w:rPr>
        <w:t xml:space="preserve"> lower profits may not yield any retained earnings</w:t>
      </w:r>
      <w:r w:rsidR="00F37E8B">
        <w:rPr>
          <w:lang w:val="en-US"/>
        </w:rPr>
        <w:t xml:space="preserve"> (</w:t>
      </w:r>
      <w:r w:rsidR="00F37E8B" w:rsidRPr="00F37E8B">
        <w:t>Thuranira</w:t>
      </w:r>
      <w:r w:rsidR="00F37E8B">
        <w:t>, 2014)</w:t>
      </w:r>
      <w:r>
        <w:rPr>
          <w:lang w:val="en-US"/>
        </w:rPr>
        <w:t>.</w:t>
      </w:r>
    </w:p>
    <w:p w14:paraId="4833C8F4" w14:textId="0BCAC2B2" w:rsidR="00574122" w:rsidRDefault="00737051" w:rsidP="00574122">
      <w:pPr>
        <w:pStyle w:val="ListParagraph"/>
        <w:numPr>
          <w:ilvl w:val="0"/>
          <w:numId w:val="8"/>
        </w:numPr>
        <w:spacing w:line="360" w:lineRule="auto"/>
        <w:rPr>
          <w:lang w:val="en-US"/>
        </w:rPr>
      </w:pPr>
      <w:r>
        <w:rPr>
          <w:lang w:val="en-US"/>
        </w:rPr>
        <w:lastRenderedPageBreak/>
        <w:t xml:space="preserve">If the shareholders want dividends instead of the company retaining earnings, then the company may not be able to retain any earnings. </w:t>
      </w:r>
    </w:p>
    <w:p w14:paraId="71B96CB9" w14:textId="5B48C330" w:rsidR="00574122" w:rsidRDefault="00574122" w:rsidP="00574122">
      <w:pPr>
        <w:spacing w:line="360" w:lineRule="auto"/>
        <w:rPr>
          <w:b/>
          <w:bCs/>
          <w:lang w:val="en-US"/>
        </w:rPr>
      </w:pPr>
      <w:r>
        <w:rPr>
          <w:b/>
          <w:bCs/>
          <w:lang w:val="en-US"/>
        </w:rPr>
        <w:t>Equity Capital</w:t>
      </w:r>
    </w:p>
    <w:p w14:paraId="18F19E16" w14:textId="4F26513F" w:rsidR="0079705D" w:rsidRPr="0079705D" w:rsidRDefault="0079705D" w:rsidP="00574122">
      <w:pPr>
        <w:spacing w:line="360" w:lineRule="auto"/>
        <w:rPr>
          <w:lang w:val="en-US"/>
        </w:rPr>
      </w:pPr>
      <w:r>
        <w:rPr>
          <w:lang w:val="en-US"/>
        </w:rPr>
        <w:t>This is a</w:t>
      </w:r>
      <w:r w:rsidR="00BD5513">
        <w:rPr>
          <w:lang w:val="en-US"/>
        </w:rPr>
        <w:t xml:space="preserve"> source of</w:t>
      </w:r>
      <w:r>
        <w:rPr>
          <w:lang w:val="en-US"/>
        </w:rPr>
        <w:t xml:space="preserve"> funding which a company gets access to by selling equity </w:t>
      </w:r>
      <w:r w:rsidR="004C1043">
        <w:rPr>
          <w:lang w:val="en-US"/>
        </w:rPr>
        <w:t>in</w:t>
      </w:r>
      <w:r>
        <w:rPr>
          <w:lang w:val="en-US"/>
        </w:rPr>
        <w:t xml:space="preserve"> the company.</w:t>
      </w:r>
    </w:p>
    <w:p w14:paraId="718CE5BF" w14:textId="77777777" w:rsidR="00574122" w:rsidRDefault="00574122" w:rsidP="00574122">
      <w:pPr>
        <w:spacing w:line="360" w:lineRule="auto"/>
        <w:rPr>
          <w:b/>
          <w:bCs/>
          <w:lang w:val="en-US"/>
        </w:rPr>
      </w:pPr>
      <w:r>
        <w:rPr>
          <w:b/>
          <w:bCs/>
          <w:lang w:val="en-US"/>
        </w:rPr>
        <w:t>Advantages:</w:t>
      </w:r>
    </w:p>
    <w:p w14:paraId="4556C9FF" w14:textId="0DAB1477" w:rsidR="00574122" w:rsidRDefault="00FF4BE0" w:rsidP="00574122">
      <w:pPr>
        <w:pStyle w:val="ListParagraph"/>
        <w:numPr>
          <w:ilvl w:val="0"/>
          <w:numId w:val="9"/>
        </w:numPr>
        <w:spacing w:line="360" w:lineRule="auto"/>
        <w:rPr>
          <w:lang w:val="en-US"/>
        </w:rPr>
      </w:pPr>
      <w:r>
        <w:rPr>
          <w:lang w:val="en-US"/>
        </w:rPr>
        <w:t xml:space="preserve">There remains </w:t>
      </w:r>
      <w:r w:rsidR="004C1043">
        <w:rPr>
          <w:lang w:val="en-US"/>
        </w:rPr>
        <w:t>an</w:t>
      </w:r>
      <w:r>
        <w:rPr>
          <w:lang w:val="en-US"/>
        </w:rPr>
        <w:t xml:space="preserve"> obligation for the company to pay the capital back.</w:t>
      </w:r>
    </w:p>
    <w:p w14:paraId="2D900DFC" w14:textId="6E6635AF" w:rsidR="00574122" w:rsidRDefault="0070651D" w:rsidP="00574122">
      <w:pPr>
        <w:pStyle w:val="ListParagraph"/>
        <w:numPr>
          <w:ilvl w:val="0"/>
          <w:numId w:val="9"/>
        </w:numPr>
        <w:spacing w:line="360" w:lineRule="auto"/>
        <w:rPr>
          <w:lang w:val="en-US"/>
        </w:rPr>
      </w:pPr>
      <w:r>
        <w:rPr>
          <w:lang w:val="en-US"/>
        </w:rPr>
        <w:t>Unlike interes</w:t>
      </w:r>
      <w:r w:rsidR="008D56C8">
        <w:rPr>
          <w:lang w:val="en-US"/>
        </w:rPr>
        <w:t>t</w:t>
      </w:r>
      <w:r>
        <w:rPr>
          <w:lang w:val="en-US"/>
        </w:rPr>
        <w:t>s, the dividends are not required to be paid</w:t>
      </w:r>
      <w:r w:rsidR="00042EDF">
        <w:rPr>
          <w:lang w:val="en-US"/>
        </w:rPr>
        <w:t xml:space="preserve"> </w:t>
      </w:r>
      <w:r w:rsidR="004C1043">
        <w:rPr>
          <w:lang w:val="en-US"/>
        </w:rPr>
        <w:t>regularly</w:t>
      </w:r>
      <w:r w:rsidR="00F37E8B">
        <w:rPr>
          <w:lang w:val="en-US"/>
        </w:rPr>
        <w:t xml:space="preserve"> (</w:t>
      </w:r>
      <w:r w:rsidR="00F37E8B" w:rsidRPr="00F37E8B">
        <w:t>Karmazin</w:t>
      </w:r>
      <w:r w:rsidR="00F37E8B">
        <w:t xml:space="preserve"> and Bondar, 2013)</w:t>
      </w:r>
      <w:r w:rsidR="00042EDF">
        <w:rPr>
          <w:lang w:val="en-US"/>
        </w:rPr>
        <w:t>.</w:t>
      </w:r>
    </w:p>
    <w:p w14:paraId="0A7547EE" w14:textId="77777777" w:rsidR="00574122" w:rsidRDefault="00574122" w:rsidP="00574122">
      <w:pPr>
        <w:spacing w:line="360" w:lineRule="auto"/>
        <w:rPr>
          <w:b/>
          <w:bCs/>
          <w:lang w:val="en-US"/>
        </w:rPr>
      </w:pPr>
      <w:r>
        <w:rPr>
          <w:b/>
          <w:bCs/>
          <w:lang w:val="en-US"/>
        </w:rPr>
        <w:t>Disadvantages:</w:t>
      </w:r>
    </w:p>
    <w:p w14:paraId="19E4A8F2" w14:textId="7C459F84" w:rsidR="00574122" w:rsidRDefault="007624DD" w:rsidP="00574122">
      <w:pPr>
        <w:pStyle w:val="ListParagraph"/>
        <w:numPr>
          <w:ilvl w:val="0"/>
          <w:numId w:val="10"/>
        </w:numPr>
        <w:spacing w:line="360" w:lineRule="auto"/>
        <w:rPr>
          <w:lang w:val="en-US"/>
        </w:rPr>
      </w:pPr>
      <w:r>
        <w:rPr>
          <w:lang w:val="en-US"/>
        </w:rPr>
        <w:t>By issuing more shares, the company dilutes the ownership and control of the existing shareholders.</w:t>
      </w:r>
    </w:p>
    <w:p w14:paraId="6C765DC3" w14:textId="3B78DE3B" w:rsidR="007624DD" w:rsidRDefault="007624DD" w:rsidP="00574122">
      <w:pPr>
        <w:pStyle w:val="ListParagraph"/>
        <w:numPr>
          <w:ilvl w:val="0"/>
          <w:numId w:val="10"/>
        </w:numPr>
        <w:spacing w:line="360" w:lineRule="auto"/>
        <w:rPr>
          <w:lang w:val="en-US"/>
        </w:rPr>
      </w:pPr>
      <w:r>
        <w:rPr>
          <w:lang w:val="en-US"/>
        </w:rPr>
        <w:t>Dividends are not mandatory to be paid, but expectations of investors can change what the company will undertake for its dividend policies</w:t>
      </w:r>
      <w:r w:rsidR="00F37E8B">
        <w:rPr>
          <w:lang w:val="en-US"/>
        </w:rPr>
        <w:t xml:space="preserve"> (</w:t>
      </w:r>
      <w:r w:rsidR="00F37E8B" w:rsidRPr="00F37E8B">
        <w:t>Karmazin</w:t>
      </w:r>
      <w:r w:rsidR="00F37E8B">
        <w:t xml:space="preserve"> and Bondar, 2013)</w:t>
      </w:r>
      <w:r>
        <w:rPr>
          <w:lang w:val="en-US"/>
        </w:rPr>
        <w:t>.</w:t>
      </w:r>
    </w:p>
    <w:p w14:paraId="713014F3" w14:textId="6D138F05" w:rsidR="00574122" w:rsidRDefault="00574122" w:rsidP="00574122">
      <w:pPr>
        <w:spacing w:line="360" w:lineRule="auto"/>
        <w:rPr>
          <w:b/>
          <w:bCs/>
          <w:lang w:val="en-US"/>
        </w:rPr>
      </w:pPr>
      <w:r>
        <w:rPr>
          <w:b/>
          <w:bCs/>
          <w:lang w:val="en-US"/>
        </w:rPr>
        <w:t>Bank Loans</w:t>
      </w:r>
    </w:p>
    <w:p w14:paraId="4FDE2BC9" w14:textId="27C168B7" w:rsidR="006A1F42" w:rsidRPr="006A1F42" w:rsidRDefault="006A1F42" w:rsidP="00574122">
      <w:pPr>
        <w:spacing w:line="360" w:lineRule="auto"/>
        <w:rPr>
          <w:lang w:val="en-US"/>
        </w:rPr>
      </w:pPr>
      <w:r>
        <w:rPr>
          <w:lang w:val="en-US"/>
        </w:rPr>
        <w:t xml:space="preserve">This is one of the most accessible </w:t>
      </w:r>
      <w:r w:rsidR="00715565">
        <w:rPr>
          <w:lang w:val="en-US"/>
        </w:rPr>
        <w:t xml:space="preserve">sources of funding for any business to fund projects and other plans. It has its </w:t>
      </w:r>
      <w:r w:rsidR="0082049B">
        <w:rPr>
          <w:lang w:val="en-US"/>
        </w:rPr>
        <w:t xml:space="preserve">fair share of </w:t>
      </w:r>
      <w:r w:rsidR="00715565">
        <w:rPr>
          <w:lang w:val="en-US"/>
        </w:rPr>
        <w:t xml:space="preserve">advantages as well as disadvantages. </w:t>
      </w:r>
    </w:p>
    <w:p w14:paraId="5CA092E8" w14:textId="77777777" w:rsidR="00574122" w:rsidRDefault="00574122" w:rsidP="00574122">
      <w:pPr>
        <w:spacing w:line="360" w:lineRule="auto"/>
        <w:rPr>
          <w:b/>
          <w:bCs/>
          <w:lang w:val="en-US"/>
        </w:rPr>
      </w:pPr>
      <w:r>
        <w:rPr>
          <w:b/>
          <w:bCs/>
          <w:lang w:val="en-US"/>
        </w:rPr>
        <w:t>Advantages:</w:t>
      </w:r>
    </w:p>
    <w:p w14:paraId="1730A606" w14:textId="6C075D1D" w:rsidR="00574122" w:rsidRDefault="00431000" w:rsidP="00574122">
      <w:pPr>
        <w:pStyle w:val="ListParagraph"/>
        <w:numPr>
          <w:ilvl w:val="0"/>
          <w:numId w:val="11"/>
        </w:numPr>
        <w:spacing w:line="360" w:lineRule="auto"/>
        <w:rPr>
          <w:lang w:val="en-US"/>
        </w:rPr>
      </w:pPr>
      <w:r>
        <w:rPr>
          <w:lang w:val="en-US"/>
        </w:rPr>
        <w:t xml:space="preserve">As the money is being lent, </w:t>
      </w:r>
      <w:r w:rsidR="00F07E69">
        <w:rPr>
          <w:lang w:val="en-US"/>
        </w:rPr>
        <w:t>the ownership of the shareholders remain</w:t>
      </w:r>
      <w:r w:rsidR="003A0211">
        <w:rPr>
          <w:lang w:val="en-US"/>
        </w:rPr>
        <w:t>s</w:t>
      </w:r>
      <w:r w:rsidR="00F07E69">
        <w:rPr>
          <w:lang w:val="en-US"/>
        </w:rPr>
        <w:t xml:space="preserve"> undiluted.</w:t>
      </w:r>
    </w:p>
    <w:p w14:paraId="405E028E" w14:textId="5FDE19AB" w:rsidR="00574122" w:rsidRDefault="003A0211" w:rsidP="00574122">
      <w:pPr>
        <w:pStyle w:val="ListParagraph"/>
        <w:numPr>
          <w:ilvl w:val="0"/>
          <w:numId w:val="11"/>
        </w:numPr>
        <w:spacing w:line="360" w:lineRule="auto"/>
        <w:rPr>
          <w:lang w:val="en-US"/>
        </w:rPr>
      </w:pPr>
      <w:r>
        <w:rPr>
          <w:lang w:val="en-US"/>
        </w:rPr>
        <w:t>When loans are successfully repaid</w:t>
      </w:r>
      <w:r w:rsidR="00B73EE1">
        <w:rPr>
          <w:lang w:val="en-US"/>
        </w:rPr>
        <w:t xml:space="preserve">, </w:t>
      </w:r>
      <w:r w:rsidR="004B63BD">
        <w:rPr>
          <w:lang w:val="en-US"/>
        </w:rPr>
        <w:t xml:space="preserve">the company can build its credit history </w:t>
      </w:r>
      <w:r w:rsidR="00192874">
        <w:rPr>
          <w:lang w:val="en-US"/>
        </w:rPr>
        <w:t xml:space="preserve">and get access to more loans for future </w:t>
      </w:r>
      <w:r w:rsidR="004C1043">
        <w:rPr>
          <w:lang w:val="en-US"/>
        </w:rPr>
        <w:t>endeavours</w:t>
      </w:r>
      <w:r w:rsidR="00F37E8B">
        <w:rPr>
          <w:lang w:val="en-US"/>
        </w:rPr>
        <w:t xml:space="preserve"> (</w:t>
      </w:r>
      <w:r w:rsidR="00F37E8B" w:rsidRPr="00F37E8B">
        <w:t>VALLABHANENI</w:t>
      </w:r>
      <w:r w:rsidR="00F37E8B">
        <w:t>, 2022)</w:t>
      </w:r>
      <w:r w:rsidR="00A45519">
        <w:rPr>
          <w:lang w:val="en-US"/>
        </w:rPr>
        <w:t>.</w:t>
      </w:r>
    </w:p>
    <w:p w14:paraId="7194DB46" w14:textId="77777777" w:rsidR="00574122" w:rsidRDefault="00574122" w:rsidP="00574122">
      <w:pPr>
        <w:spacing w:line="360" w:lineRule="auto"/>
        <w:rPr>
          <w:b/>
          <w:bCs/>
          <w:lang w:val="en-US"/>
        </w:rPr>
      </w:pPr>
      <w:r>
        <w:rPr>
          <w:b/>
          <w:bCs/>
          <w:lang w:val="en-US"/>
        </w:rPr>
        <w:t>Disadvantages:</w:t>
      </w:r>
    </w:p>
    <w:p w14:paraId="377B157D" w14:textId="4E51B37C" w:rsidR="00A579FD" w:rsidRDefault="00482939" w:rsidP="00574122">
      <w:pPr>
        <w:pStyle w:val="ListParagraph"/>
        <w:numPr>
          <w:ilvl w:val="0"/>
          <w:numId w:val="12"/>
        </w:numPr>
        <w:spacing w:line="360" w:lineRule="auto"/>
        <w:rPr>
          <w:lang w:val="en-US"/>
        </w:rPr>
      </w:pPr>
      <w:r>
        <w:rPr>
          <w:lang w:val="en-US"/>
        </w:rPr>
        <w:t>Principal and interests are mandatory to be repaid</w:t>
      </w:r>
      <w:r w:rsidR="004C1043">
        <w:rPr>
          <w:lang w:val="en-US"/>
        </w:rPr>
        <w:t>,</w:t>
      </w:r>
      <w:r>
        <w:rPr>
          <w:lang w:val="en-US"/>
        </w:rPr>
        <w:t xml:space="preserve"> which creates financial risks for the company.</w:t>
      </w:r>
    </w:p>
    <w:p w14:paraId="4D120DC0" w14:textId="26307A5B" w:rsidR="009C643C" w:rsidRPr="00574122" w:rsidRDefault="00A579FD" w:rsidP="00574122">
      <w:pPr>
        <w:pStyle w:val="ListParagraph"/>
        <w:numPr>
          <w:ilvl w:val="0"/>
          <w:numId w:val="12"/>
        </w:numPr>
        <w:spacing w:line="360" w:lineRule="auto"/>
        <w:rPr>
          <w:lang w:val="en-US"/>
        </w:rPr>
      </w:pPr>
      <w:r>
        <w:rPr>
          <w:lang w:val="en-US"/>
        </w:rPr>
        <w:t>If financial risks are not managed properly, the company may even default on the loans</w:t>
      </w:r>
      <w:r w:rsidR="00F37E8B">
        <w:rPr>
          <w:lang w:val="en-US"/>
        </w:rPr>
        <w:t xml:space="preserve"> (</w:t>
      </w:r>
      <w:r w:rsidR="00F37E8B" w:rsidRPr="00F37E8B">
        <w:t>VALLABHANENI</w:t>
      </w:r>
      <w:r w:rsidR="00F37E8B">
        <w:t>, 2022)</w:t>
      </w:r>
      <w:r>
        <w:rPr>
          <w:lang w:val="en-US"/>
        </w:rPr>
        <w:t>.</w:t>
      </w:r>
      <w:r w:rsidR="009C643C" w:rsidRPr="00574122">
        <w:rPr>
          <w:lang w:val="en-US"/>
        </w:rPr>
        <w:br w:type="page"/>
      </w:r>
    </w:p>
    <w:p w14:paraId="48A65A9D" w14:textId="0804D55F" w:rsidR="009C643C" w:rsidRDefault="009C643C" w:rsidP="009C643C">
      <w:pPr>
        <w:pStyle w:val="Heading1"/>
        <w:spacing w:line="360" w:lineRule="auto"/>
        <w:rPr>
          <w:lang w:val="en-US"/>
        </w:rPr>
      </w:pPr>
      <w:bookmarkStart w:id="31" w:name="_Toc219063801"/>
      <w:r>
        <w:rPr>
          <w:lang w:val="en-US"/>
        </w:rPr>
        <w:lastRenderedPageBreak/>
        <w:t>Conclusion</w:t>
      </w:r>
      <w:bookmarkEnd w:id="31"/>
    </w:p>
    <w:p w14:paraId="1C66FBEF" w14:textId="1E99A08A" w:rsidR="009C643C" w:rsidRDefault="00564EB9" w:rsidP="009C643C">
      <w:pPr>
        <w:spacing w:line="360" w:lineRule="auto"/>
        <w:rPr>
          <w:lang w:val="en-US"/>
        </w:rPr>
      </w:pPr>
      <w:r>
        <w:rPr>
          <w:lang w:val="en-US"/>
        </w:rPr>
        <w:t xml:space="preserve">The undertaken comparative analysis effectively showcases the role of financial analysis as well as investment analysis in making sound decisions. </w:t>
      </w:r>
      <w:r w:rsidR="007155AB">
        <w:rPr>
          <w:lang w:val="en-US"/>
        </w:rPr>
        <w:t xml:space="preserve">In Part One, </w:t>
      </w:r>
      <w:r w:rsidR="00E778BE">
        <w:rPr>
          <w:lang w:val="en-US"/>
        </w:rPr>
        <w:t>an extensive analysis has been undertaken on Rolls-Royce Holdings PLC through ratio analysis</w:t>
      </w:r>
      <w:r w:rsidR="004C1043">
        <w:rPr>
          <w:lang w:val="en-US"/>
        </w:rPr>
        <w:t>,</w:t>
      </w:r>
      <w:r w:rsidR="00E778BE">
        <w:rPr>
          <w:lang w:val="en-US"/>
        </w:rPr>
        <w:t xml:space="preserve"> which has showcased exceptional improvement as the operating margins of the company improved from a modest 11.79% in 2023 to 15.37% in 2024. At the same time, ROCE increased to 15.35 in the same period from 11.72%. </w:t>
      </w:r>
      <w:r w:rsidR="00C812E3">
        <w:rPr>
          <w:lang w:val="en-US"/>
        </w:rPr>
        <w:t xml:space="preserve">Again, the company strengthened its liquidity significantly by getting rid of its net debt of 1,952 million Pounds in 2023 to 475 million </w:t>
      </w:r>
      <w:r w:rsidR="004C1043">
        <w:rPr>
          <w:lang w:val="en-US"/>
        </w:rPr>
        <w:t>pounds</w:t>
      </w:r>
      <w:r w:rsidR="00C812E3">
        <w:rPr>
          <w:lang w:val="en-US"/>
        </w:rPr>
        <w:t xml:space="preserve"> in 2024.</w:t>
      </w:r>
      <w:r w:rsidR="008F6D11">
        <w:rPr>
          <w:lang w:val="en-US"/>
        </w:rPr>
        <w:t xml:space="preserve"> Moreover, the company improved upon its free cash flow generation in the same time period, as well. </w:t>
      </w:r>
      <w:r w:rsidR="00F15382">
        <w:rPr>
          <w:lang w:val="en-US"/>
        </w:rPr>
        <w:t>After having undertaken all the quantitative analys</w:t>
      </w:r>
      <w:r w:rsidR="002B59F8">
        <w:rPr>
          <w:lang w:val="en-US"/>
        </w:rPr>
        <w:t xml:space="preserve">es, the power and limitations of ratio analyses have been described. </w:t>
      </w:r>
      <w:r w:rsidR="008174C5">
        <w:rPr>
          <w:lang w:val="en-US"/>
        </w:rPr>
        <w:t xml:space="preserve">From describing the inherent drawbacks to </w:t>
      </w:r>
      <w:r w:rsidR="00B34603">
        <w:rPr>
          <w:lang w:val="en-US"/>
        </w:rPr>
        <w:t xml:space="preserve">capturing the strengths, this report has encompassed major areas of analysis of strategic decision-making regarding investments. </w:t>
      </w:r>
      <w:r w:rsidR="00940265">
        <w:rPr>
          <w:lang w:val="en-US"/>
        </w:rPr>
        <w:t>Alongside the analys</w:t>
      </w:r>
      <w:r w:rsidR="006B0BC4">
        <w:rPr>
          <w:lang w:val="en-US"/>
        </w:rPr>
        <w:t xml:space="preserve">es undertaken, </w:t>
      </w:r>
      <w:r w:rsidR="00DA5495">
        <w:rPr>
          <w:lang w:val="en-US"/>
        </w:rPr>
        <w:t xml:space="preserve">necessary recommendations were also provided to sustain such incredible performance and growth. </w:t>
      </w:r>
      <w:r w:rsidR="00194CB3">
        <w:rPr>
          <w:lang w:val="en-US"/>
        </w:rPr>
        <w:t xml:space="preserve">In Part Two, </w:t>
      </w:r>
      <w:r w:rsidR="00605749">
        <w:rPr>
          <w:lang w:val="en-US"/>
        </w:rPr>
        <w:t xml:space="preserve">in the case of Westward PLC, </w:t>
      </w:r>
      <w:r w:rsidR="0091178C">
        <w:rPr>
          <w:lang w:val="en-US"/>
        </w:rPr>
        <w:t>necessary capital budgeting techniques have been applied</w:t>
      </w:r>
      <w:r w:rsidR="004C1043">
        <w:rPr>
          <w:lang w:val="en-US"/>
        </w:rPr>
        <w:t>,</w:t>
      </w:r>
      <w:r w:rsidR="0091178C">
        <w:rPr>
          <w:lang w:val="en-US"/>
        </w:rPr>
        <w:t xml:space="preserve"> including net present value and internal rate of return. </w:t>
      </w:r>
      <w:r w:rsidR="00BB05ED">
        <w:rPr>
          <w:lang w:val="en-US"/>
        </w:rPr>
        <w:t xml:space="preserve">From taking real-life examples to </w:t>
      </w:r>
      <w:r w:rsidR="00791C4B">
        <w:rPr>
          <w:lang w:val="en-US"/>
        </w:rPr>
        <w:t xml:space="preserve">incorporating theoretical aspects on why NPV is regarded </w:t>
      </w:r>
      <w:r w:rsidR="004C1043">
        <w:rPr>
          <w:lang w:val="en-US"/>
        </w:rPr>
        <w:t>as</w:t>
      </w:r>
      <w:r w:rsidR="00791C4B">
        <w:rPr>
          <w:lang w:val="en-US"/>
        </w:rPr>
        <w:t xml:space="preserve"> the most optimal capital budgeting technique, the report has been enriched with necessary quantitative and qualitative analyses. </w:t>
      </w:r>
      <w:r w:rsidR="00900AD1">
        <w:rPr>
          <w:lang w:val="en-US"/>
        </w:rPr>
        <w:t xml:space="preserve">In the second part, it has been identified that Option B yields the best possible results for the company from a net present value as well as an internal rate of return </w:t>
      </w:r>
      <w:r w:rsidR="004C1043">
        <w:rPr>
          <w:lang w:val="en-US"/>
        </w:rPr>
        <w:t>perspective</w:t>
      </w:r>
      <w:r w:rsidR="00900AD1">
        <w:rPr>
          <w:lang w:val="en-US"/>
        </w:rPr>
        <w:t xml:space="preserve">. </w:t>
      </w:r>
      <w:r w:rsidR="000144E6">
        <w:rPr>
          <w:lang w:val="en-US"/>
        </w:rPr>
        <w:t>Yet, the non-discounting methods</w:t>
      </w:r>
      <w:r w:rsidR="004C1043">
        <w:rPr>
          <w:lang w:val="en-US"/>
        </w:rPr>
        <w:t>,</w:t>
      </w:r>
      <w:r w:rsidR="000144E6">
        <w:rPr>
          <w:lang w:val="en-US"/>
        </w:rPr>
        <w:t xml:space="preserve"> such as payback period</w:t>
      </w:r>
      <w:r w:rsidR="004C1043">
        <w:rPr>
          <w:lang w:val="en-US"/>
        </w:rPr>
        <w:t>,</w:t>
      </w:r>
      <w:r w:rsidR="000144E6">
        <w:rPr>
          <w:lang w:val="en-US"/>
        </w:rPr>
        <w:t xml:space="preserve"> showcase certain limitations. </w:t>
      </w:r>
      <w:r w:rsidR="00D83AAB">
        <w:rPr>
          <w:lang w:val="en-US"/>
        </w:rPr>
        <w:t xml:space="preserve">Now, by incorporating both parts, </w:t>
      </w:r>
      <w:r w:rsidR="004C1043">
        <w:rPr>
          <w:lang w:val="en-US"/>
        </w:rPr>
        <w:t xml:space="preserve">the </w:t>
      </w:r>
      <w:r w:rsidR="00D83AAB">
        <w:rPr>
          <w:lang w:val="en-US"/>
        </w:rPr>
        <w:t xml:space="preserve">necessary financial analysis has been underpinned by </w:t>
      </w:r>
      <w:r w:rsidR="004C1043">
        <w:rPr>
          <w:lang w:val="en-US"/>
        </w:rPr>
        <w:t xml:space="preserve">the </w:t>
      </w:r>
      <w:r w:rsidR="00D83AAB">
        <w:rPr>
          <w:lang w:val="en-US"/>
        </w:rPr>
        <w:t>necessary quantitative and qualitative foundations.</w:t>
      </w:r>
      <w:r w:rsidR="00B67613">
        <w:rPr>
          <w:lang w:val="en-US"/>
        </w:rPr>
        <w:t xml:space="preserve"> Also, by </w:t>
      </w:r>
      <w:r w:rsidR="00644824">
        <w:rPr>
          <w:lang w:val="en-US"/>
        </w:rPr>
        <w:t>balancing competing objectives</w:t>
      </w:r>
      <w:r w:rsidR="004C1043">
        <w:rPr>
          <w:lang w:val="en-US"/>
        </w:rPr>
        <w:t>,</w:t>
      </w:r>
      <w:r w:rsidR="005100FA">
        <w:rPr>
          <w:lang w:val="en-US"/>
        </w:rPr>
        <w:t xml:space="preserve"> including profitability versus liquidity, growth versus risk and others, necessary recommendations have been provided for maximum output to be achieved by both the companies in question. </w:t>
      </w:r>
    </w:p>
    <w:p w14:paraId="0A1347B8" w14:textId="77777777" w:rsidR="009C643C" w:rsidRDefault="009C643C">
      <w:pPr>
        <w:spacing w:after="160"/>
        <w:jc w:val="left"/>
        <w:rPr>
          <w:lang w:val="en-US"/>
        </w:rPr>
      </w:pPr>
      <w:r>
        <w:rPr>
          <w:lang w:val="en-US"/>
        </w:rPr>
        <w:br w:type="page"/>
      </w:r>
    </w:p>
    <w:p w14:paraId="3140B446" w14:textId="3C02C269" w:rsidR="00E85FE7" w:rsidRPr="00E85FE7" w:rsidRDefault="009C643C" w:rsidP="00E14FD1">
      <w:pPr>
        <w:pStyle w:val="Heading1"/>
        <w:spacing w:line="360" w:lineRule="auto"/>
        <w:rPr>
          <w:lang w:val="en-US"/>
        </w:rPr>
      </w:pPr>
      <w:bookmarkStart w:id="32" w:name="_Toc219063802"/>
      <w:r>
        <w:rPr>
          <w:lang w:val="en-US"/>
        </w:rPr>
        <w:lastRenderedPageBreak/>
        <w:t>References</w:t>
      </w:r>
      <w:bookmarkEnd w:id="32"/>
    </w:p>
    <w:p w14:paraId="6DFE4AEC" w14:textId="77777777" w:rsidR="0091044E" w:rsidRDefault="0091044E" w:rsidP="0091044E">
      <w:pPr>
        <w:spacing w:line="360" w:lineRule="auto"/>
      </w:pPr>
      <w:r w:rsidRPr="0091044E">
        <w:t>Afonso, P. and Cunha, J.</w:t>
      </w:r>
      <w:r>
        <w:t xml:space="preserve"> (</w:t>
      </w:r>
      <w:r w:rsidRPr="0091044E">
        <w:t>2009</w:t>
      </w:r>
      <w:r>
        <w:t>)</w:t>
      </w:r>
      <w:r w:rsidRPr="0091044E">
        <w:t xml:space="preserve"> Determinants of the use of capital investment appraisal methods: evidence from the field.</w:t>
      </w:r>
    </w:p>
    <w:p w14:paraId="4F8D2CAF" w14:textId="77777777" w:rsidR="0091044E" w:rsidRDefault="0091044E" w:rsidP="0091044E">
      <w:pPr>
        <w:spacing w:line="360" w:lineRule="auto"/>
      </w:pPr>
      <w:r w:rsidRPr="0091044E">
        <w:t>Alabi, A.W., Olaoye, F.O. and Ojo, O.D.</w:t>
      </w:r>
      <w:r>
        <w:t xml:space="preserve"> (</w:t>
      </w:r>
      <w:r w:rsidRPr="0091044E">
        <w:t>2022</w:t>
      </w:r>
      <w:r>
        <w:t>)</w:t>
      </w:r>
      <w:r w:rsidRPr="0091044E">
        <w:t xml:space="preserve"> The nexus between corporate governance and financial performance of the FTSE 100 index entities in the United Kingdom. </w:t>
      </w:r>
      <w:r w:rsidRPr="0091044E">
        <w:rPr>
          <w:i/>
          <w:iCs/>
        </w:rPr>
        <w:t>European Journal of Business and Management Research</w:t>
      </w:r>
      <w:r w:rsidRPr="0091044E">
        <w:t>, </w:t>
      </w:r>
      <w:r w:rsidRPr="0091044E">
        <w:rPr>
          <w:i/>
          <w:iCs/>
        </w:rPr>
        <w:t>7</w:t>
      </w:r>
      <w:r w:rsidRPr="0091044E">
        <w:t>(6), pp.235-246.</w:t>
      </w:r>
    </w:p>
    <w:p w14:paraId="75F8042C" w14:textId="77777777" w:rsidR="0091044E" w:rsidRPr="00E85FE7" w:rsidRDefault="0091044E" w:rsidP="0091044E">
      <w:pPr>
        <w:spacing w:line="360" w:lineRule="auto"/>
      </w:pPr>
      <w:r w:rsidRPr="00E85FE7">
        <w:t>Alkaraan, F. and Northcott, D. (2013)</w:t>
      </w:r>
      <w:r>
        <w:t>.</w:t>
      </w:r>
      <w:r w:rsidRPr="00E85FE7">
        <w:t xml:space="preserve"> Strategic investment decision-making processes: the influence of contextual factors. </w:t>
      </w:r>
      <w:r w:rsidRPr="0091044E">
        <w:rPr>
          <w:i/>
          <w:iCs/>
        </w:rPr>
        <w:t>Meditari Accountancy Research</w:t>
      </w:r>
      <w:r w:rsidRPr="00E85FE7">
        <w:t>, </w:t>
      </w:r>
      <w:r w:rsidRPr="0091044E">
        <w:rPr>
          <w:i/>
          <w:iCs/>
        </w:rPr>
        <w:t>21</w:t>
      </w:r>
      <w:r w:rsidRPr="00E85FE7">
        <w:t>(2), pp.117-143.</w:t>
      </w:r>
    </w:p>
    <w:p w14:paraId="46C4FA94" w14:textId="77777777" w:rsidR="0091044E" w:rsidRDefault="0091044E" w:rsidP="0091044E">
      <w:pPr>
        <w:spacing w:line="360" w:lineRule="auto"/>
      </w:pPr>
      <w:r w:rsidRPr="0091044E">
        <w:t xml:space="preserve">Anuar, M.A. </w:t>
      </w:r>
      <w:r>
        <w:t>(</w:t>
      </w:r>
      <w:r w:rsidRPr="0091044E">
        <w:t>2005</w:t>
      </w:r>
      <w:r>
        <w:t xml:space="preserve">) </w:t>
      </w:r>
      <w:r w:rsidRPr="0091044E">
        <w:rPr>
          <w:i/>
          <w:iCs/>
        </w:rPr>
        <w:t>Appraisal techniques used in evaluating capital investments: conventional capital budgeting and the real options approach</w:t>
      </w:r>
      <w:r w:rsidRPr="0091044E">
        <w:t> (Doctoral dissertation, Loughborough University).</w:t>
      </w:r>
    </w:p>
    <w:p w14:paraId="0DCDDD81" w14:textId="77777777" w:rsidR="0091044E" w:rsidRPr="00E85FE7" w:rsidRDefault="0091044E" w:rsidP="0091044E">
      <w:pPr>
        <w:spacing w:line="360" w:lineRule="auto"/>
      </w:pPr>
      <w:r w:rsidRPr="00E85FE7">
        <w:t>Arnold, T. (2014)</w:t>
      </w:r>
      <w:r>
        <w:t>.</w:t>
      </w:r>
      <w:r w:rsidRPr="00E85FE7">
        <w:t xml:space="preserve"> How net present value is implemented. In </w:t>
      </w:r>
      <w:r w:rsidRPr="0091044E">
        <w:rPr>
          <w:i/>
          <w:iCs/>
        </w:rPr>
        <w:t>A pragmatic guide to real options</w:t>
      </w:r>
      <w:r w:rsidRPr="00E85FE7">
        <w:t> (pp. 1-13). New York: Palgrave Macmillan US.</w:t>
      </w:r>
    </w:p>
    <w:p w14:paraId="2DB75A42" w14:textId="77777777" w:rsidR="0091044E" w:rsidRDefault="0091044E" w:rsidP="0091044E">
      <w:pPr>
        <w:spacing w:line="360" w:lineRule="auto"/>
      </w:pPr>
      <w:r w:rsidRPr="00E85FE7">
        <w:t>Arshad, A. (2012)</w:t>
      </w:r>
      <w:r>
        <w:t>.</w:t>
      </w:r>
      <w:r w:rsidRPr="00E85FE7">
        <w:t xml:space="preserve"> Net present value is better than internal rate of return. </w:t>
      </w:r>
      <w:r w:rsidRPr="0091044E">
        <w:rPr>
          <w:i/>
          <w:iCs/>
        </w:rPr>
        <w:t>Interdisciplinary Journal of contemporary research in business</w:t>
      </w:r>
      <w:r w:rsidRPr="00E85FE7">
        <w:t>, </w:t>
      </w:r>
      <w:r w:rsidRPr="0091044E">
        <w:rPr>
          <w:i/>
          <w:iCs/>
        </w:rPr>
        <w:t>4</w:t>
      </w:r>
      <w:r w:rsidRPr="00E85FE7">
        <w:t>(8), pp.211-219.</w:t>
      </w:r>
    </w:p>
    <w:p w14:paraId="6E0E58E3" w14:textId="77777777" w:rsidR="0091044E" w:rsidRPr="00E85FE7" w:rsidRDefault="0091044E" w:rsidP="0091044E">
      <w:pPr>
        <w:spacing w:line="360" w:lineRule="auto"/>
      </w:pPr>
      <w:r w:rsidRPr="00E85FE7">
        <w:t>Asiri, B.K. (2015) How investors perceive financial ratios at different growth opportunities and financial leverages. </w:t>
      </w:r>
      <w:r w:rsidRPr="0091044E">
        <w:rPr>
          <w:i/>
          <w:iCs/>
        </w:rPr>
        <w:t>Journal of Business Studies Quarterly</w:t>
      </w:r>
      <w:r w:rsidRPr="00E85FE7">
        <w:t>, </w:t>
      </w:r>
      <w:r w:rsidRPr="0091044E">
        <w:rPr>
          <w:i/>
          <w:iCs/>
        </w:rPr>
        <w:t>6</w:t>
      </w:r>
      <w:r w:rsidRPr="00E85FE7">
        <w:t>(3), p.1.</w:t>
      </w:r>
    </w:p>
    <w:p w14:paraId="3774DE2C" w14:textId="77777777" w:rsidR="0091044E" w:rsidRDefault="0091044E" w:rsidP="0091044E">
      <w:pPr>
        <w:spacing w:line="360" w:lineRule="auto"/>
      </w:pPr>
      <w:r w:rsidRPr="0091044E">
        <w:t>Bhunia, A., Mukhuti, S.S. and Roy, S.G.</w:t>
      </w:r>
      <w:r>
        <w:t xml:space="preserve"> (</w:t>
      </w:r>
      <w:r w:rsidRPr="0091044E">
        <w:t>2011</w:t>
      </w:r>
      <w:r>
        <w:t>)</w:t>
      </w:r>
      <w:r w:rsidRPr="0091044E">
        <w:t xml:space="preserve"> Financial performance analysis-A case study. </w:t>
      </w:r>
      <w:r w:rsidRPr="0091044E">
        <w:rPr>
          <w:i/>
          <w:iCs/>
        </w:rPr>
        <w:t>Current Research Journal of Social Sciences</w:t>
      </w:r>
      <w:r w:rsidRPr="0091044E">
        <w:t>, </w:t>
      </w:r>
      <w:r w:rsidRPr="0091044E">
        <w:rPr>
          <w:i/>
          <w:iCs/>
        </w:rPr>
        <w:t>3</w:t>
      </w:r>
      <w:r w:rsidRPr="0091044E">
        <w:t>(3), pp.269-275.</w:t>
      </w:r>
    </w:p>
    <w:p w14:paraId="197C126E" w14:textId="77777777" w:rsidR="0091044E" w:rsidRPr="00E85FE7" w:rsidRDefault="0091044E" w:rsidP="0091044E">
      <w:pPr>
        <w:spacing w:line="360" w:lineRule="auto"/>
      </w:pPr>
      <w:r w:rsidRPr="00E85FE7">
        <w:t>Bojarenko, J. (2017) Variability of accounting policies–advantages and disadvantages. </w:t>
      </w:r>
      <w:r w:rsidRPr="0091044E">
        <w:rPr>
          <w:i/>
          <w:iCs/>
        </w:rPr>
        <w:t>Copernican Journal of Finance &amp; Accounting</w:t>
      </w:r>
      <w:r w:rsidRPr="00E85FE7">
        <w:t>, </w:t>
      </w:r>
      <w:r w:rsidRPr="0091044E">
        <w:rPr>
          <w:i/>
          <w:iCs/>
        </w:rPr>
        <w:t>6</w:t>
      </w:r>
      <w:r w:rsidRPr="00E85FE7">
        <w:t>(3), pp.9-19.</w:t>
      </w:r>
    </w:p>
    <w:p w14:paraId="47DBD4A3" w14:textId="77777777" w:rsidR="0091044E" w:rsidRPr="00E85FE7" w:rsidRDefault="0091044E" w:rsidP="0091044E">
      <w:pPr>
        <w:spacing w:line="360" w:lineRule="auto"/>
      </w:pPr>
      <w:r w:rsidRPr="00E85FE7">
        <w:t>Bruggen, A. (2011) Capital rationing for capital budgeting. </w:t>
      </w:r>
      <w:r w:rsidRPr="0091044E">
        <w:rPr>
          <w:i/>
          <w:iCs/>
        </w:rPr>
        <w:t>Capital Budgeting Valuation; Financial Analysis for Today’s Investment Projects. Hoboken, NJ: John Wiley &amp; Sons, Inc</w:t>
      </w:r>
      <w:r w:rsidRPr="00E85FE7">
        <w:t>, pp.95-109.</w:t>
      </w:r>
    </w:p>
    <w:p w14:paraId="5779406A" w14:textId="77777777" w:rsidR="0091044E" w:rsidRPr="00E85FE7" w:rsidRDefault="0091044E" w:rsidP="0091044E">
      <w:pPr>
        <w:spacing w:line="360" w:lineRule="auto"/>
      </w:pPr>
      <w:r w:rsidRPr="00E85FE7">
        <w:t>Cotter, E. (2023) Net Present Value and Payback Period: An Analysis.</w:t>
      </w:r>
    </w:p>
    <w:p w14:paraId="61A8FC1F" w14:textId="77777777" w:rsidR="0091044E" w:rsidRPr="00E85FE7" w:rsidRDefault="0091044E" w:rsidP="0091044E">
      <w:pPr>
        <w:spacing w:line="360" w:lineRule="auto"/>
      </w:pPr>
      <w:r w:rsidRPr="00E85FE7">
        <w:t>Dai, H., Li, N., Wang, Y. and Zhao, X. (2022) The analysis of three main investment criteria: NPV IRR and payback period. In </w:t>
      </w:r>
      <w:r w:rsidRPr="0091044E">
        <w:rPr>
          <w:i/>
          <w:iCs/>
        </w:rPr>
        <w:t>2022 7th International Conference on Financial Innovation and Economic Development (ICFIED 2022)</w:t>
      </w:r>
      <w:r w:rsidRPr="00E85FE7">
        <w:t> (pp. 185-189). Atlantis Press.</w:t>
      </w:r>
    </w:p>
    <w:p w14:paraId="2ADD1465" w14:textId="77777777" w:rsidR="0091044E" w:rsidRDefault="0091044E" w:rsidP="0091044E">
      <w:pPr>
        <w:spacing w:line="360" w:lineRule="auto"/>
      </w:pPr>
      <w:r w:rsidRPr="0091044E">
        <w:t>Danbolt, J., Hirst, I. and Jones, E.</w:t>
      </w:r>
      <w:r>
        <w:t xml:space="preserve"> (</w:t>
      </w:r>
      <w:r w:rsidRPr="0091044E">
        <w:t>2018</w:t>
      </w:r>
      <w:r>
        <w:t>)</w:t>
      </w:r>
      <w:r w:rsidRPr="0091044E">
        <w:t xml:space="preserve"> Gaming the FTSE 100 index. </w:t>
      </w:r>
      <w:r w:rsidRPr="0091044E">
        <w:rPr>
          <w:i/>
          <w:iCs/>
        </w:rPr>
        <w:t>The British Accounting Review</w:t>
      </w:r>
      <w:r w:rsidRPr="0091044E">
        <w:t>, </w:t>
      </w:r>
      <w:r w:rsidRPr="0091044E">
        <w:rPr>
          <w:i/>
          <w:iCs/>
        </w:rPr>
        <w:t>50</w:t>
      </w:r>
      <w:r w:rsidRPr="0091044E">
        <w:t>(4), pp.364-378.</w:t>
      </w:r>
    </w:p>
    <w:p w14:paraId="7E642614" w14:textId="77777777" w:rsidR="0091044E" w:rsidRDefault="0091044E" w:rsidP="0091044E">
      <w:pPr>
        <w:spacing w:line="360" w:lineRule="auto"/>
      </w:pPr>
      <w:r w:rsidRPr="0091044E">
        <w:lastRenderedPageBreak/>
        <w:t>Elmghaamez, I.K. and Akintoye, E.</w:t>
      </w:r>
      <w:r>
        <w:t xml:space="preserve"> (</w:t>
      </w:r>
      <w:r w:rsidRPr="0091044E">
        <w:t>2021</w:t>
      </w:r>
      <w:r>
        <w:t>)</w:t>
      </w:r>
      <w:r w:rsidRPr="0091044E">
        <w:t xml:space="preserve"> Internal corporate governance mechanisms and financial performance: evidence from the UK's top FTSE 100 listed companies. </w:t>
      </w:r>
      <w:r w:rsidRPr="0091044E">
        <w:rPr>
          <w:i/>
          <w:iCs/>
        </w:rPr>
        <w:t>International Journal of Business Governance and Ethics</w:t>
      </w:r>
      <w:r w:rsidRPr="0091044E">
        <w:t>, </w:t>
      </w:r>
      <w:r w:rsidRPr="0091044E">
        <w:rPr>
          <w:i/>
          <w:iCs/>
        </w:rPr>
        <w:t>15</w:t>
      </w:r>
      <w:r w:rsidRPr="0091044E">
        <w:t>(2), pp.190-214.</w:t>
      </w:r>
    </w:p>
    <w:p w14:paraId="6315C0BA" w14:textId="77777777" w:rsidR="0091044E" w:rsidRDefault="0091044E" w:rsidP="0091044E">
      <w:pPr>
        <w:spacing w:line="360" w:lineRule="auto"/>
      </w:pPr>
      <w:r w:rsidRPr="0091044E">
        <w:t>European Investment Bank ed.</w:t>
      </w:r>
      <w:r>
        <w:t xml:space="preserve"> (</w:t>
      </w:r>
      <w:r w:rsidRPr="0091044E">
        <w:t>2023</w:t>
      </w:r>
      <w:r>
        <w:t>)</w:t>
      </w:r>
      <w:r w:rsidRPr="0091044E">
        <w:t> </w:t>
      </w:r>
      <w:r w:rsidRPr="0091044E">
        <w:rPr>
          <w:i/>
          <w:iCs/>
        </w:rPr>
        <w:t>The economic appraisal of investment projects at the EIB</w:t>
      </w:r>
      <w:r w:rsidRPr="0091044E">
        <w:t>. European Investment Bank.</w:t>
      </w:r>
    </w:p>
    <w:p w14:paraId="548F9C53" w14:textId="77777777" w:rsidR="0091044E" w:rsidRPr="00E85FE7" w:rsidRDefault="0091044E" w:rsidP="0091044E">
      <w:pPr>
        <w:spacing w:line="360" w:lineRule="auto"/>
      </w:pPr>
      <w:r w:rsidRPr="00E85FE7">
        <w:t>Faello, J. (2015) Understanding the limitations of financial ratios. </w:t>
      </w:r>
      <w:r w:rsidRPr="0091044E">
        <w:rPr>
          <w:i/>
          <w:iCs/>
        </w:rPr>
        <w:t>Academy of accounting and financial studies journal</w:t>
      </w:r>
      <w:r w:rsidRPr="00E85FE7">
        <w:t>, </w:t>
      </w:r>
      <w:r w:rsidRPr="0091044E">
        <w:rPr>
          <w:i/>
          <w:iCs/>
        </w:rPr>
        <w:t>19</w:t>
      </w:r>
      <w:r w:rsidRPr="00E85FE7">
        <w:t>(3), p.75.</w:t>
      </w:r>
    </w:p>
    <w:p w14:paraId="246D068D" w14:textId="77777777" w:rsidR="0091044E" w:rsidRDefault="0091044E" w:rsidP="0091044E">
      <w:pPr>
        <w:spacing w:line="360" w:lineRule="auto"/>
      </w:pPr>
      <w:r w:rsidRPr="0091044E">
        <w:t>Fatihudin, D.</w:t>
      </w:r>
      <w:r>
        <w:t xml:space="preserve"> (</w:t>
      </w:r>
      <w:r w:rsidRPr="0091044E">
        <w:t>2018</w:t>
      </w:r>
      <w:r>
        <w:t>)</w:t>
      </w:r>
      <w:r w:rsidRPr="0091044E">
        <w:t xml:space="preserve"> How measuring financial performance. </w:t>
      </w:r>
      <w:r w:rsidRPr="0091044E">
        <w:rPr>
          <w:i/>
          <w:iCs/>
        </w:rPr>
        <w:t>International Journal of Civil Engineering and Technology (IJCIET)</w:t>
      </w:r>
      <w:r w:rsidRPr="0091044E">
        <w:t>, </w:t>
      </w:r>
      <w:r w:rsidRPr="0091044E">
        <w:rPr>
          <w:i/>
          <w:iCs/>
        </w:rPr>
        <w:t>9</w:t>
      </w:r>
      <w:r w:rsidRPr="0091044E">
        <w:t>(6), pp.553-557.</w:t>
      </w:r>
    </w:p>
    <w:p w14:paraId="05A1265E" w14:textId="77777777" w:rsidR="0091044E" w:rsidRPr="00E85FE7" w:rsidRDefault="0091044E" w:rsidP="0091044E">
      <w:pPr>
        <w:spacing w:line="360" w:lineRule="auto"/>
      </w:pPr>
      <w:r w:rsidRPr="00E85FE7">
        <w:t>Gabric, D. (2018)</w:t>
      </w:r>
      <w:r>
        <w:t>.</w:t>
      </w:r>
      <w:r w:rsidRPr="00E85FE7">
        <w:t xml:space="preserve"> Determination of accounting manipulations in the financial statements using accrual based investment ratios. </w:t>
      </w:r>
      <w:r w:rsidRPr="0091044E">
        <w:rPr>
          <w:i/>
          <w:iCs/>
        </w:rPr>
        <w:t>Economic Review: Journal of Economics and Business</w:t>
      </w:r>
      <w:r w:rsidRPr="00E85FE7">
        <w:t>, </w:t>
      </w:r>
      <w:r w:rsidRPr="0091044E">
        <w:rPr>
          <w:i/>
          <w:iCs/>
        </w:rPr>
        <w:t>16</w:t>
      </w:r>
      <w:r w:rsidRPr="00E85FE7">
        <w:t>(1), pp.71-81.</w:t>
      </w:r>
    </w:p>
    <w:p w14:paraId="1249A125" w14:textId="77777777" w:rsidR="0091044E" w:rsidRDefault="0091044E" w:rsidP="0091044E">
      <w:pPr>
        <w:spacing w:line="360" w:lineRule="auto"/>
      </w:pPr>
      <w:r w:rsidRPr="0091044E">
        <w:t>Harris, E.P. and El-Massri, M.</w:t>
      </w:r>
      <w:r>
        <w:t xml:space="preserve"> (</w:t>
      </w:r>
      <w:r w:rsidRPr="0091044E">
        <w:t>2011</w:t>
      </w:r>
      <w:r>
        <w:t>)</w:t>
      </w:r>
      <w:r w:rsidRPr="0091044E">
        <w:t xml:space="preserve"> Capital investment appraisal. In </w:t>
      </w:r>
      <w:r w:rsidRPr="0091044E">
        <w:rPr>
          <w:i/>
          <w:iCs/>
        </w:rPr>
        <w:t>Review of management accounting research</w:t>
      </w:r>
      <w:r w:rsidRPr="0091044E">
        <w:t> (pp. 343-377). London: Palgrave Macmillan UK.</w:t>
      </w:r>
    </w:p>
    <w:p w14:paraId="2DB7B660" w14:textId="77777777" w:rsidR="0091044E" w:rsidRPr="00E85FE7" w:rsidRDefault="0091044E" w:rsidP="0091044E">
      <w:pPr>
        <w:spacing w:line="360" w:lineRule="auto"/>
      </w:pPr>
      <w:r w:rsidRPr="00E85FE7">
        <w:t>Harrison, J.L. and Morton, A. (2007) What we teach and what they do: A Comparative Analysis of Ratios. In </w:t>
      </w:r>
      <w:r w:rsidRPr="0091044E">
        <w:rPr>
          <w:i/>
          <w:iCs/>
        </w:rPr>
        <w:t>Managing our intellectual and social capital: proceedings of the 21st Australian and New Zealand Academy of Management (ANZAM) Conference</w:t>
      </w:r>
      <w:r w:rsidRPr="00E85FE7">
        <w:t>. Promaco Conventions.</w:t>
      </w:r>
    </w:p>
    <w:p w14:paraId="7BDC419C" w14:textId="77777777" w:rsidR="0091044E" w:rsidRDefault="0091044E" w:rsidP="0091044E">
      <w:pPr>
        <w:spacing w:line="360" w:lineRule="auto"/>
      </w:pPr>
      <w:r w:rsidRPr="0091044E">
        <w:t>Hunjra, A.I., Batool, I. and Niazi, G.S.K.</w:t>
      </w:r>
      <w:r>
        <w:t xml:space="preserve"> (</w:t>
      </w:r>
      <w:r w:rsidRPr="0091044E">
        <w:t>2011</w:t>
      </w:r>
      <w:r>
        <w:t>)</w:t>
      </w:r>
      <w:r w:rsidRPr="0091044E">
        <w:t xml:space="preserve"> Investment appraisal techniques and constraints on capital investment.</w:t>
      </w:r>
    </w:p>
    <w:p w14:paraId="4BCDFB7A" w14:textId="77777777" w:rsidR="0091044E" w:rsidRDefault="0091044E" w:rsidP="0091044E">
      <w:pPr>
        <w:spacing w:line="360" w:lineRule="auto"/>
      </w:pPr>
      <w:r w:rsidRPr="0091044E">
        <w:t>Kahraman, C., Oztaysi, B., Onar, S.Ç. and Cebi, S.</w:t>
      </w:r>
      <w:r>
        <w:t xml:space="preserve"> (</w:t>
      </w:r>
      <w:r w:rsidRPr="0091044E">
        <w:t>2022</w:t>
      </w:r>
      <w:r>
        <w:t xml:space="preserve">) </w:t>
      </w:r>
      <w:r w:rsidRPr="0091044E">
        <w:t>Fuzzy investment assessment techniques: A state-of-the-art literature review. In </w:t>
      </w:r>
      <w:r w:rsidRPr="0091044E">
        <w:rPr>
          <w:i/>
          <w:iCs/>
        </w:rPr>
        <w:t>International Conference on Innovations in Bio-Inspired Computing and Applications</w:t>
      </w:r>
      <w:r w:rsidRPr="0091044E">
        <w:t> (pp. 649-657). Cham: Springer Nature Switzerland.</w:t>
      </w:r>
    </w:p>
    <w:p w14:paraId="38355043" w14:textId="77777777" w:rsidR="0091044E" w:rsidRPr="00E85FE7" w:rsidRDefault="0091044E" w:rsidP="0091044E">
      <w:pPr>
        <w:spacing w:line="360" w:lineRule="auto"/>
      </w:pPr>
      <w:r w:rsidRPr="00E85FE7">
        <w:t>Karmazin, V.A. and Bondar, A.O. (2013) The advantages and disadvantages of financing with preferred and common stock. </w:t>
      </w:r>
      <w:r w:rsidRPr="0091044E">
        <w:rPr>
          <w:i/>
          <w:iCs/>
        </w:rPr>
        <w:t>Економічний вісник Національного технічного університету України Київський політехнічний інститут</w:t>
      </w:r>
      <w:r w:rsidRPr="00E85FE7">
        <w:t>, (10), pp.241-244.</w:t>
      </w:r>
    </w:p>
    <w:p w14:paraId="7054E51E" w14:textId="77777777" w:rsidR="0091044E" w:rsidRDefault="0091044E" w:rsidP="0091044E">
      <w:pPr>
        <w:spacing w:line="360" w:lineRule="auto"/>
      </w:pPr>
      <w:r w:rsidRPr="0091044E">
        <w:t>Kengatharan, L.</w:t>
      </w:r>
      <w:r>
        <w:t xml:space="preserve"> (</w:t>
      </w:r>
      <w:r w:rsidRPr="0091044E">
        <w:t>2017</w:t>
      </w:r>
      <w:r>
        <w:t>)</w:t>
      </w:r>
      <w:r w:rsidRPr="0091044E">
        <w:t xml:space="preserve"> Use of capital investment appraisal practices and effectiveness of investment decisions: A study on listed manufacturing companies in Sri Lanka. </w:t>
      </w:r>
      <w:r w:rsidRPr="0091044E">
        <w:rPr>
          <w:i/>
          <w:iCs/>
        </w:rPr>
        <w:t>Asian Journal of Finance &amp; Accounting</w:t>
      </w:r>
      <w:r w:rsidRPr="0091044E">
        <w:t>.</w:t>
      </w:r>
    </w:p>
    <w:p w14:paraId="03E69462" w14:textId="77777777" w:rsidR="0091044E" w:rsidRPr="00E85FE7" w:rsidRDefault="0091044E" w:rsidP="0091044E">
      <w:pPr>
        <w:spacing w:line="360" w:lineRule="auto"/>
      </w:pPr>
      <w:r w:rsidRPr="00E85FE7">
        <w:t>Kumar Saxena, C.A. (2024) WORKING CAPITAL MANAGEMENT A CRITICAL ANALYSIS OF TECHNIQUES AND PRACTICES. </w:t>
      </w:r>
      <w:r w:rsidRPr="0091044E">
        <w:rPr>
          <w:i/>
          <w:iCs/>
        </w:rPr>
        <w:t>Bulletin of Pure &amp; Applied Sciences-Zoology</w:t>
      </w:r>
      <w:r w:rsidRPr="00E85FE7">
        <w:t>, </w:t>
      </w:r>
      <w:r w:rsidRPr="0091044E">
        <w:rPr>
          <w:i/>
          <w:iCs/>
        </w:rPr>
        <w:t>43</w:t>
      </w:r>
      <w:r w:rsidRPr="00E85FE7">
        <w:t>.</w:t>
      </w:r>
    </w:p>
    <w:p w14:paraId="3FD7170B" w14:textId="77777777" w:rsidR="0091044E" w:rsidRPr="00E85FE7" w:rsidRDefault="0091044E" w:rsidP="0091044E">
      <w:pPr>
        <w:spacing w:line="360" w:lineRule="auto"/>
      </w:pPr>
      <w:r w:rsidRPr="00E85FE7">
        <w:lastRenderedPageBreak/>
        <w:t>Moghadasnian, S. and Ketabchi, M. (2024) Cost Efficiency and Financial Health in Airlines Leveraging Cost Management KPIs. </w:t>
      </w:r>
      <w:r w:rsidRPr="0091044E">
        <w:rPr>
          <w:i/>
          <w:iCs/>
        </w:rPr>
        <w:t>Transactions on Data Analysis in Social Science</w:t>
      </w:r>
      <w:r w:rsidRPr="00E85FE7">
        <w:t>, </w:t>
      </w:r>
      <w:r w:rsidRPr="0091044E">
        <w:rPr>
          <w:i/>
          <w:iCs/>
        </w:rPr>
        <w:t>6</w:t>
      </w:r>
      <w:r w:rsidRPr="00E85FE7">
        <w:t>(3), pp.31-40.</w:t>
      </w:r>
    </w:p>
    <w:p w14:paraId="399BD79D" w14:textId="77777777" w:rsidR="0091044E" w:rsidRPr="00E85FE7" w:rsidRDefault="0091044E" w:rsidP="0091044E">
      <w:pPr>
        <w:spacing w:line="360" w:lineRule="auto"/>
      </w:pPr>
      <w:r w:rsidRPr="0091044E">
        <w:t>Myšková, R. and Hájek, P.</w:t>
      </w:r>
      <w:r>
        <w:t xml:space="preserve"> (</w:t>
      </w:r>
      <w:r w:rsidRPr="0091044E">
        <w:t>2017</w:t>
      </w:r>
      <w:r>
        <w:t>)</w:t>
      </w:r>
      <w:r w:rsidRPr="0091044E">
        <w:t xml:space="preserve"> Comprehensive assessment of firm financial performance using financial ratios and linguistic analysis of annual reports.</w:t>
      </w:r>
    </w:p>
    <w:p w14:paraId="2AAB7AFA" w14:textId="77777777" w:rsidR="0091044E" w:rsidRDefault="0091044E" w:rsidP="0091044E">
      <w:pPr>
        <w:spacing w:line="360" w:lineRule="auto"/>
      </w:pPr>
      <w:r w:rsidRPr="0091044E">
        <w:t>Northcott, D. and Alkaraan, F.</w:t>
      </w:r>
      <w:r>
        <w:t xml:space="preserve"> (</w:t>
      </w:r>
      <w:r w:rsidRPr="0091044E">
        <w:t>2007</w:t>
      </w:r>
      <w:r>
        <w:t>)</w:t>
      </w:r>
      <w:r w:rsidRPr="0091044E">
        <w:t xml:space="preserve"> Strategic investment appraisal. </w:t>
      </w:r>
      <w:r w:rsidRPr="0091044E">
        <w:rPr>
          <w:i/>
          <w:iCs/>
        </w:rPr>
        <w:t>Issues in management accounting</w:t>
      </w:r>
      <w:r w:rsidRPr="0091044E">
        <w:t>, pp.199-220.</w:t>
      </w:r>
    </w:p>
    <w:p w14:paraId="0F99939A" w14:textId="77777777" w:rsidR="0091044E" w:rsidRDefault="0091044E" w:rsidP="0091044E">
      <w:pPr>
        <w:spacing w:line="360" w:lineRule="auto"/>
      </w:pPr>
      <w:r w:rsidRPr="0091044E">
        <w:t>Olakunle, O.O. and Ogundeyi, O.A.</w:t>
      </w:r>
      <w:r>
        <w:t xml:space="preserve"> (</w:t>
      </w:r>
      <w:r w:rsidRPr="0091044E">
        <w:t>2011</w:t>
      </w:r>
      <w:r>
        <w:t>)</w:t>
      </w:r>
      <w:r w:rsidRPr="0091044E">
        <w:t xml:space="preserve"> An Evaluation of the Usage of Capital Investment Appraisal Techniques in Manufacturing. </w:t>
      </w:r>
      <w:r w:rsidRPr="0091044E">
        <w:rPr>
          <w:i/>
          <w:iCs/>
        </w:rPr>
        <w:t>Bachelor Dissertation, Obafemi Awolowo University, Ile-Ife, Nigeria</w:t>
      </w:r>
      <w:r w:rsidRPr="0091044E">
        <w:t>.</w:t>
      </w:r>
    </w:p>
    <w:p w14:paraId="11C03910" w14:textId="77777777" w:rsidR="0091044E" w:rsidRPr="00E85FE7" w:rsidRDefault="0091044E" w:rsidP="0091044E">
      <w:pPr>
        <w:spacing w:line="360" w:lineRule="auto"/>
      </w:pPr>
      <w:r w:rsidRPr="00E85FE7">
        <w:t>Patrick, M. and French, N. (2016) The internal rate of return (IRR): projections, benchmarks and pitfalls. </w:t>
      </w:r>
      <w:r w:rsidRPr="0091044E">
        <w:rPr>
          <w:i/>
          <w:iCs/>
        </w:rPr>
        <w:t>Journal of Property Investment &amp; Finance</w:t>
      </w:r>
      <w:r w:rsidRPr="00E85FE7">
        <w:t>, </w:t>
      </w:r>
      <w:r w:rsidRPr="0091044E">
        <w:rPr>
          <w:i/>
          <w:iCs/>
        </w:rPr>
        <w:t>34</w:t>
      </w:r>
      <w:r w:rsidRPr="00E85FE7">
        <w:t>(6), pp.664-669.</w:t>
      </w:r>
    </w:p>
    <w:p w14:paraId="1659E48B" w14:textId="77777777" w:rsidR="0091044E" w:rsidRPr="00E85FE7" w:rsidRDefault="0091044E" w:rsidP="0091044E">
      <w:pPr>
        <w:spacing w:line="360" w:lineRule="auto"/>
      </w:pPr>
      <w:r w:rsidRPr="00E85FE7">
        <w:t>Rashid, C.A. (2018) Efficiency of financial ratios analysis for evaluating companies’ liquidity. </w:t>
      </w:r>
      <w:r w:rsidRPr="0091044E">
        <w:rPr>
          <w:i/>
          <w:iCs/>
        </w:rPr>
        <w:t>International journal of social sciences &amp; educational studies</w:t>
      </w:r>
      <w:r w:rsidRPr="00E85FE7">
        <w:t>, </w:t>
      </w:r>
      <w:r w:rsidRPr="0091044E">
        <w:rPr>
          <w:i/>
          <w:iCs/>
        </w:rPr>
        <w:t>4</w:t>
      </w:r>
      <w:r w:rsidRPr="00E85FE7">
        <w:t>(4), pp.110-123.</w:t>
      </w:r>
    </w:p>
    <w:p w14:paraId="11A17826" w14:textId="77777777" w:rsidR="0091044E" w:rsidRPr="00E85FE7" w:rsidRDefault="0091044E" w:rsidP="0091044E">
      <w:pPr>
        <w:spacing w:line="360" w:lineRule="auto"/>
      </w:pPr>
      <w:r w:rsidRPr="00E85FE7">
        <w:t>Rashid, C.A. (2021) The efficiency of financial ratios analysis to evaluate company’s profitability. </w:t>
      </w:r>
      <w:r w:rsidRPr="0091044E">
        <w:rPr>
          <w:i/>
          <w:iCs/>
        </w:rPr>
        <w:t>Journal of Global Economics and Business</w:t>
      </w:r>
      <w:r w:rsidRPr="00E85FE7">
        <w:t>, </w:t>
      </w:r>
      <w:r w:rsidRPr="0091044E">
        <w:rPr>
          <w:i/>
          <w:iCs/>
        </w:rPr>
        <w:t>2</w:t>
      </w:r>
      <w:r w:rsidRPr="00E85FE7">
        <w:t>(4), pp.119-132.</w:t>
      </w:r>
    </w:p>
    <w:p w14:paraId="7A8B0080" w14:textId="77777777" w:rsidR="0091044E" w:rsidRDefault="0091044E" w:rsidP="0091044E">
      <w:pPr>
        <w:spacing w:line="360" w:lineRule="auto"/>
      </w:pPr>
      <w:r w:rsidRPr="0091044E">
        <w:t>Ravisankar, A., Sampath, B. and Asif, M.M.</w:t>
      </w:r>
      <w:r>
        <w:t xml:space="preserve"> (</w:t>
      </w:r>
      <w:r w:rsidRPr="0091044E">
        <w:t>2023</w:t>
      </w:r>
      <w:r>
        <w:t>)</w:t>
      </w:r>
      <w:r w:rsidRPr="0091044E">
        <w:t xml:space="preserve"> Economic Studies on Automobile Management: Working Capital and Investment Analysis. In </w:t>
      </w:r>
      <w:r w:rsidRPr="0091044E">
        <w:rPr>
          <w:i/>
          <w:iCs/>
        </w:rPr>
        <w:t>Multidisciplinary Approaches to Organizational Governance During Health Crises</w:t>
      </w:r>
      <w:r w:rsidRPr="0091044E">
        <w:t> (pp. 169-198). IGI Global.</w:t>
      </w:r>
    </w:p>
    <w:p w14:paraId="419F1F44" w14:textId="77777777" w:rsidR="0091044E" w:rsidRPr="00E85FE7" w:rsidRDefault="0091044E" w:rsidP="0091044E">
      <w:pPr>
        <w:spacing w:line="360" w:lineRule="auto"/>
      </w:pPr>
      <w:r w:rsidRPr="00E85FE7">
        <w:t xml:space="preserve">Rolls-Royce (2022) </w:t>
      </w:r>
      <w:r w:rsidRPr="0091044E">
        <w:rPr>
          <w:i/>
          <w:iCs/>
        </w:rPr>
        <w:t>Rolls-Royce appoints Tufan Erginbilgic as Chief Executive Officer</w:t>
      </w:r>
      <w:r w:rsidRPr="00E85FE7">
        <w:t>. [online] www.rolls-royce.com. Available at: https://www.rolls-royce.com/media/press-releases/2022/26-07-2022-rr-appoints-tufan-erginbilgic-as-chief-executive-officer.aspx [Accessed 24 Dec. 2025].</w:t>
      </w:r>
    </w:p>
    <w:p w14:paraId="107F5BC8" w14:textId="77777777" w:rsidR="0091044E" w:rsidRPr="00E85FE7" w:rsidRDefault="0091044E" w:rsidP="0091044E">
      <w:pPr>
        <w:spacing w:line="360" w:lineRule="auto"/>
      </w:pPr>
      <w:r w:rsidRPr="00E85FE7">
        <w:t xml:space="preserve">Rolls-Royce (2024) </w:t>
      </w:r>
      <w:r w:rsidRPr="0091044E">
        <w:rPr>
          <w:i/>
          <w:iCs/>
        </w:rPr>
        <w:t>Rolls-Royce Holdings plc</w:t>
      </w:r>
      <w:r w:rsidRPr="00E85FE7">
        <w:t>. [online] Available at: https://www.rolls-royce.com/~/media/Files/R/Rolls-Royce/documents/annual-report/2025/2024-annual-report.pdf [Accessed 24 Dec. 2025].</w:t>
      </w:r>
    </w:p>
    <w:p w14:paraId="00F0C69A" w14:textId="77777777" w:rsidR="0091044E" w:rsidRPr="00E85FE7" w:rsidRDefault="0091044E" w:rsidP="0091044E">
      <w:pPr>
        <w:spacing w:line="360" w:lineRule="auto"/>
      </w:pPr>
      <w:r w:rsidRPr="00E85FE7">
        <w:t xml:space="preserve">Rolls-Royce (2025) </w:t>
      </w:r>
      <w:r w:rsidRPr="0091044E">
        <w:rPr>
          <w:i/>
          <w:iCs/>
        </w:rPr>
        <w:t>Rest of the world</w:t>
      </w:r>
      <w:r w:rsidRPr="00E85FE7">
        <w:t>. [online] careers.rolls-royce.com. Available at: https://careers.rolls-royce.com/usa/our-locations/rest-of-the-world [Accessed 24 Dec. 2025].</w:t>
      </w:r>
    </w:p>
    <w:p w14:paraId="2FFFA53D" w14:textId="77777777" w:rsidR="0091044E" w:rsidRDefault="0091044E" w:rsidP="0091044E">
      <w:pPr>
        <w:spacing w:line="360" w:lineRule="auto"/>
      </w:pPr>
      <w:r w:rsidRPr="0091044E">
        <w:t>Sahoo, S.K. and Goswami, S.S.</w:t>
      </w:r>
      <w:r>
        <w:t xml:space="preserve"> (</w:t>
      </w:r>
      <w:r w:rsidRPr="0091044E">
        <w:t>2023</w:t>
      </w:r>
      <w:r>
        <w:t>)</w:t>
      </w:r>
      <w:r w:rsidRPr="0091044E">
        <w:t xml:space="preserve"> A comprehensive review of multiple criteria decision-making (MCDM) methods: advancements, applications, and future directions. </w:t>
      </w:r>
      <w:r w:rsidRPr="0091044E">
        <w:rPr>
          <w:i/>
          <w:iCs/>
        </w:rPr>
        <w:t>Decision Making Advances</w:t>
      </w:r>
      <w:r w:rsidRPr="0091044E">
        <w:t>, </w:t>
      </w:r>
      <w:r w:rsidRPr="0091044E">
        <w:rPr>
          <w:i/>
          <w:iCs/>
        </w:rPr>
        <w:t>1</w:t>
      </w:r>
      <w:r w:rsidRPr="0091044E">
        <w:t>(1), pp.25-48.</w:t>
      </w:r>
    </w:p>
    <w:p w14:paraId="7D72DDD7" w14:textId="77777777" w:rsidR="0091044E" w:rsidRPr="00E85FE7" w:rsidRDefault="0091044E" w:rsidP="0091044E">
      <w:pPr>
        <w:spacing w:line="360" w:lineRule="auto"/>
      </w:pPr>
      <w:r w:rsidRPr="00E85FE7">
        <w:lastRenderedPageBreak/>
        <w:t>Santosuosso, P. (2014) Do efficiency ratios help investors to explore firm performances? Evidence from Italian listed firms. </w:t>
      </w:r>
      <w:r w:rsidRPr="0091044E">
        <w:rPr>
          <w:i/>
          <w:iCs/>
        </w:rPr>
        <w:t>International Business Research</w:t>
      </w:r>
      <w:r w:rsidRPr="00E85FE7">
        <w:t>, </w:t>
      </w:r>
      <w:r w:rsidRPr="0091044E">
        <w:rPr>
          <w:i/>
          <w:iCs/>
        </w:rPr>
        <w:t>7</w:t>
      </w:r>
      <w:r w:rsidRPr="00E85FE7">
        <w:t>(12), p.111.</w:t>
      </w:r>
    </w:p>
    <w:p w14:paraId="16513286" w14:textId="45F6B60A" w:rsidR="006463B7" w:rsidRDefault="006463B7" w:rsidP="0091044E">
      <w:pPr>
        <w:spacing w:line="360" w:lineRule="auto"/>
      </w:pPr>
      <w:r w:rsidRPr="006463B7">
        <w:t>Scholleova, H., Fotr, J. and Svecova, L., 2010. Investment decision making criterions in practice. </w:t>
      </w:r>
      <w:r w:rsidRPr="006463B7">
        <w:rPr>
          <w:i/>
          <w:iCs/>
        </w:rPr>
        <w:t>Economics &amp; Management</w:t>
      </w:r>
      <w:r w:rsidRPr="006463B7">
        <w:t>, </w:t>
      </w:r>
      <w:r w:rsidRPr="006463B7">
        <w:rPr>
          <w:i/>
          <w:iCs/>
        </w:rPr>
        <w:t>15</w:t>
      </w:r>
      <w:r w:rsidRPr="006463B7">
        <w:t>(1), pp.1018-1023.</w:t>
      </w:r>
    </w:p>
    <w:p w14:paraId="3AB56DCA" w14:textId="2F316DE2" w:rsidR="0091044E" w:rsidRDefault="0091044E" w:rsidP="0091044E">
      <w:pPr>
        <w:spacing w:line="360" w:lineRule="auto"/>
      </w:pPr>
      <w:r w:rsidRPr="0091044E">
        <w:t xml:space="preserve">Schulze, J. </w:t>
      </w:r>
      <w:r>
        <w:t>(</w:t>
      </w:r>
      <w:r w:rsidRPr="0091044E">
        <w:t>2024</w:t>
      </w:r>
      <w:r>
        <w:t>)</w:t>
      </w:r>
      <w:r w:rsidRPr="0091044E">
        <w:t> </w:t>
      </w:r>
      <w:r w:rsidRPr="0091044E">
        <w:rPr>
          <w:i/>
          <w:iCs/>
        </w:rPr>
        <w:t>Rolls Royce: The Engine of Change: Evaluating Financial Growth and Equity Dynamics</w:t>
      </w:r>
      <w:r w:rsidRPr="0091044E">
        <w:t> (Master's thesis, Universidade NOVA de Lisboa (Portugal)).</w:t>
      </w:r>
    </w:p>
    <w:p w14:paraId="5D41B72C" w14:textId="77777777" w:rsidR="0091044E" w:rsidRPr="00E85FE7" w:rsidRDefault="0091044E" w:rsidP="0091044E">
      <w:pPr>
        <w:spacing w:line="360" w:lineRule="auto"/>
      </w:pPr>
      <w:r w:rsidRPr="0091044E">
        <w:t>Shin, Y.B., Lee, S., Chun, S.G. and Chung, D.</w:t>
      </w:r>
      <w:r>
        <w:t xml:space="preserve"> (</w:t>
      </w:r>
      <w:r w:rsidRPr="0091044E">
        <w:t>2013</w:t>
      </w:r>
      <w:r>
        <w:t>)</w:t>
      </w:r>
      <w:r w:rsidRPr="0091044E">
        <w:t xml:space="preserve"> A critical review of popular multi-criteria decision making methodologies. </w:t>
      </w:r>
      <w:r w:rsidRPr="0091044E">
        <w:rPr>
          <w:i/>
          <w:iCs/>
        </w:rPr>
        <w:t>Issues in Information Systems</w:t>
      </w:r>
      <w:r w:rsidRPr="0091044E">
        <w:t>, </w:t>
      </w:r>
      <w:r w:rsidRPr="0091044E">
        <w:rPr>
          <w:i/>
          <w:iCs/>
        </w:rPr>
        <w:t>14</w:t>
      </w:r>
      <w:r w:rsidRPr="0091044E">
        <w:t>(1), pp.358-365.</w:t>
      </w:r>
    </w:p>
    <w:p w14:paraId="3D1CF631" w14:textId="77777777" w:rsidR="0091044E" w:rsidRPr="00E85FE7" w:rsidRDefault="0091044E" w:rsidP="0091044E">
      <w:pPr>
        <w:spacing w:line="360" w:lineRule="auto"/>
      </w:pPr>
      <w:r w:rsidRPr="00E85FE7">
        <w:t xml:space="preserve">Stone, A. (2024) </w:t>
      </w:r>
      <w:r w:rsidRPr="0091044E">
        <w:rPr>
          <w:i/>
          <w:iCs/>
        </w:rPr>
        <w:t>Rolls-Royce delivers a record performance in 2023, strong momentum into 2024</w:t>
      </w:r>
      <w:r w:rsidRPr="00E85FE7">
        <w:t>. [online] Directors Talk Interviews. Available at: https://www.directorstalkinterviews.com/rolls-royce-delivers-a-record-performance-in-2023-strong-momentum-into-2024/4121143890 [Accessed 24 Dec. 2025].</w:t>
      </w:r>
    </w:p>
    <w:p w14:paraId="1B1D7C29" w14:textId="77777777" w:rsidR="0091044E" w:rsidRDefault="0091044E" w:rsidP="0091044E">
      <w:pPr>
        <w:spacing w:line="360" w:lineRule="auto"/>
      </w:pPr>
      <w:r w:rsidRPr="0091044E">
        <w:t>Tembo, C.K., Muleya, F. and Kanyemba, A.</w:t>
      </w:r>
      <w:r>
        <w:t xml:space="preserve"> (</w:t>
      </w:r>
      <w:r w:rsidRPr="0091044E">
        <w:t>2024</w:t>
      </w:r>
      <w:r>
        <w:t>)</w:t>
      </w:r>
      <w:r w:rsidRPr="0091044E">
        <w:t xml:space="preserve"> An appraisal of cost management techniques used in the construction industry. </w:t>
      </w:r>
      <w:r w:rsidRPr="0091044E">
        <w:rPr>
          <w:i/>
          <w:iCs/>
        </w:rPr>
        <w:t>International Journal of Construction Management</w:t>
      </w:r>
      <w:r w:rsidRPr="0091044E">
        <w:t>, </w:t>
      </w:r>
      <w:r w:rsidRPr="0091044E">
        <w:rPr>
          <w:i/>
          <w:iCs/>
        </w:rPr>
        <w:t>24</w:t>
      </w:r>
      <w:r w:rsidRPr="0091044E">
        <w:t>(1), pp.10-18.</w:t>
      </w:r>
    </w:p>
    <w:p w14:paraId="52EEDD11" w14:textId="77777777" w:rsidR="0091044E" w:rsidRPr="00E85FE7" w:rsidRDefault="0091044E" w:rsidP="0091044E">
      <w:pPr>
        <w:spacing w:line="360" w:lineRule="auto"/>
      </w:pPr>
      <w:r w:rsidRPr="00E85FE7">
        <w:t>Thuranira, M.G. (2014)</w:t>
      </w:r>
      <w:r>
        <w:t xml:space="preserve">. </w:t>
      </w:r>
      <w:r w:rsidRPr="0091044E">
        <w:rPr>
          <w:i/>
          <w:iCs/>
        </w:rPr>
        <w:t>The effect of retained earnings on the returns of firms listed at the Nairobi Securities Exchange</w:t>
      </w:r>
      <w:r w:rsidRPr="00E85FE7">
        <w:t> (Doctoral dissertation, University of Nairobi).</w:t>
      </w:r>
    </w:p>
    <w:p w14:paraId="30A3B516" w14:textId="77777777" w:rsidR="0091044E" w:rsidRDefault="0091044E" w:rsidP="0091044E">
      <w:pPr>
        <w:spacing w:line="360" w:lineRule="auto"/>
      </w:pPr>
      <w:r w:rsidRPr="0091044E">
        <w:t>Tonini, F.</w:t>
      </w:r>
      <w:r>
        <w:t xml:space="preserve"> (</w:t>
      </w:r>
      <w:r w:rsidRPr="0091044E">
        <w:t>2022</w:t>
      </w:r>
      <w:r>
        <w:t>)</w:t>
      </w:r>
      <w:r w:rsidRPr="0091044E">
        <w:t xml:space="preserve"> A critical analysis of Rolls-Royce Holdings plc’s Shareholder Wealth creation in the five-year period from 2017 to 2021.</w:t>
      </w:r>
    </w:p>
    <w:p w14:paraId="1366D3A7" w14:textId="77777777" w:rsidR="0091044E" w:rsidRPr="00E85FE7" w:rsidRDefault="0091044E" w:rsidP="0091044E">
      <w:pPr>
        <w:spacing w:line="360" w:lineRule="auto"/>
      </w:pPr>
      <w:r w:rsidRPr="00E85FE7">
        <w:t xml:space="preserve">VALLABHANENI, M., 2022. Investigating the Roles </w:t>
      </w:r>
      <w:r>
        <w:t xml:space="preserve">and </w:t>
      </w:r>
      <w:r w:rsidRPr="00E85FE7">
        <w:t>Advantages of Syndicated Loans for Funds. </w:t>
      </w:r>
      <w:r w:rsidRPr="0091044E">
        <w:rPr>
          <w:i/>
          <w:iCs/>
        </w:rPr>
        <w:t>Message from the Editor-in-Chief</w:t>
      </w:r>
      <w:r w:rsidRPr="00E85FE7">
        <w:t>.</w:t>
      </w:r>
    </w:p>
    <w:p w14:paraId="6AD26C28" w14:textId="77777777" w:rsidR="0091044E" w:rsidRPr="00E85FE7" w:rsidRDefault="0091044E" w:rsidP="0091044E">
      <w:pPr>
        <w:spacing w:line="360" w:lineRule="auto"/>
      </w:pPr>
      <w:r w:rsidRPr="00E85FE7">
        <w:t>Wang, Y. (2021)</w:t>
      </w:r>
      <w:r>
        <w:t>.</w:t>
      </w:r>
      <w:r w:rsidRPr="00E85FE7">
        <w:t xml:space="preserve"> The development and usage of NPV and IRR</w:t>
      </w:r>
      <w:r>
        <w:t>,</w:t>
      </w:r>
      <w:r w:rsidRPr="00E85FE7">
        <w:t xml:space="preserve"> and their comparison. In </w:t>
      </w:r>
      <w:r w:rsidRPr="0091044E">
        <w:rPr>
          <w:i/>
          <w:iCs/>
        </w:rPr>
        <w:t>2021 3rd International Conference on Economic Management and Cultural Industry (ICEMCI 2021)</w:t>
      </w:r>
      <w:r w:rsidRPr="00E85FE7">
        <w:t> (pp. 2044-2048). Atlantis Press.</w:t>
      </w:r>
    </w:p>
    <w:p w14:paraId="258C271B" w14:textId="77777777" w:rsidR="0091044E" w:rsidRDefault="0091044E" w:rsidP="0091044E">
      <w:pPr>
        <w:spacing w:line="360" w:lineRule="auto"/>
      </w:pPr>
      <w:r w:rsidRPr="0091044E">
        <w:t>Waworuntu, S.R., Wantah, M.D. and Rusmanto, T.</w:t>
      </w:r>
      <w:r>
        <w:t xml:space="preserve"> (</w:t>
      </w:r>
      <w:r w:rsidRPr="0091044E">
        <w:t>2014</w:t>
      </w:r>
      <w:r>
        <w:t>)</w:t>
      </w:r>
      <w:r w:rsidRPr="0091044E">
        <w:t xml:space="preserve"> CSR and financial performance analysis: evidence from top ASEAN listed companies. </w:t>
      </w:r>
      <w:r w:rsidRPr="0091044E">
        <w:rPr>
          <w:i/>
          <w:iCs/>
        </w:rPr>
        <w:t>Procedia-Social and Behavioral Sciences</w:t>
      </w:r>
      <w:r w:rsidRPr="0091044E">
        <w:t>, </w:t>
      </w:r>
      <w:r w:rsidRPr="0091044E">
        <w:rPr>
          <w:i/>
          <w:iCs/>
        </w:rPr>
        <w:t>164</w:t>
      </w:r>
      <w:r w:rsidRPr="0091044E">
        <w:t>, pp.493-500.</w:t>
      </w:r>
    </w:p>
    <w:p w14:paraId="0CC4F1EE" w14:textId="77777777" w:rsidR="0091044E" w:rsidRPr="00E85FE7" w:rsidRDefault="0091044E" w:rsidP="0091044E">
      <w:pPr>
        <w:spacing w:line="360" w:lineRule="auto"/>
      </w:pPr>
      <w:r w:rsidRPr="00E85FE7">
        <w:t>Whittington, G. (2013)</w:t>
      </w:r>
      <w:r>
        <w:t>.</w:t>
      </w:r>
      <w:r w:rsidRPr="00E85FE7">
        <w:t xml:space="preserve"> On the use of the accounting rate of return in empirical research. In </w:t>
      </w:r>
      <w:r w:rsidRPr="0091044E">
        <w:rPr>
          <w:i/>
          <w:iCs/>
        </w:rPr>
        <w:t>Estimating the Economic Rate of Return From Accounting Data (RLE Accounting)</w:t>
      </w:r>
      <w:r w:rsidRPr="00E85FE7">
        <w:t> (pp. 149-156). Routledge.</w:t>
      </w:r>
    </w:p>
    <w:p w14:paraId="7A81F6FF" w14:textId="77777777" w:rsidR="0091044E" w:rsidRDefault="0091044E" w:rsidP="0091044E">
      <w:pPr>
        <w:spacing w:line="360" w:lineRule="auto"/>
      </w:pPr>
      <w:r w:rsidRPr="00E85FE7">
        <w:lastRenderedPageBreak/>
        <w:t>Yan, R. and Zhang, Y. (2022)</w:t>
      </w:r>
      <w:r>
        <w:t>.</w:t>
      </w:r>
      <w:r w:rsidRPr="00E85FE7">
        <w:t xml:space="preserve"> The Introduction of NPV and IRR. In </w:t>
      </w:r>
      <w:r w:rsidRPr="0091044E">
        <w:rPr>
          <w:i/>
          <w:iCs/>
        </w:rPr>
        <w:t>2022 7th International Conference on Financial Innovation and Economic Development (ICFIED 2022)</w:t>
      </w:r>
      <w:r w:rsidRPr="00E85FE7">
        <w:t> (pp. 1472-1476). Atlantis Press.</w:t>
      </w:r>
    </w:p>
    <w:p w14:paraId="4BC45A1D" w14:textId="77777777" w:rsidR="009C643C" w:rsidRDefault="009C643C">
      <w:pPr>
        <w:spacing w:after="160"/>
        <w:jc w:val="left"/>
        <w:rPr>
          <w:lang w:val="en-US"/>
        </w:rPr>
      </w:pPr>
      <w:r>
        <w:rPr>
          <w:lang w:val="en-US"/>
        </w:rPr>
        <w:br w:type="page"/>
      </w:r>
    </w:p>
    <w:p w14:paraId="46C1E2F3" w14:textId="3F1D907A" w:rsidR="009C643C" w:rsidRDefault="009C643C" w:rsidP="009C643C">
      <w:pPr>
        <w:pStyle w:val="Heading1"/>
        <w:spacing w:line="360" w:lineRule="auto"/>
        <w:rPr>
          <w:lang w:val="en-US"/>
        </w:rPr>
      </w:pPr>
      <w:bookmarkStart w:id="33" w:name="_Toc219063803"/>
      <w:r>
        <w:rPr>
          <w:lang w:val="en-US"/>
        </w:rPr>
        <w:lastRenderedPageBreak/>
        <w:t>Appendix</w:t>
      </w:r>
      <w:bookmarkEnd w:id="33"/>
    </w:p>
    <w:p w14:paraId="07A164A6" w14:textId="2115C3DA" w:rsidR="009C643C" w:rsidRDefault="001C37DC" w:rsidP="009C643C">
      <w:pPr>
        <w:spacing w:line="360" w:lineRule="auto"/>
        <w:rPr>
          <w:b/>
          <w:bCs/>
          <w:sz w:val="28"/>
          <w:szCs w:val="32"/>
          <w:lang w:val="en-US"/>
        </w:rPr>
      </w:pPr>
      <w:r>
        <w:rPr>
          <w:b/>
          <w:bCs/>
          <w:sz w:val="28"/>
          <w:szCs w:val="32"/>
          <w:lang w:val="en-US"/>
        </w:rPr>
        <w:t>Financial Statement of Rolls-Royce Holdings PLC</w:t>
      </w:r>
    </w:p>
    <w:p w14:paraId="408003B0" w14:textId="7487441E" w:rsidR="001C37DC" w:rsidRPr="001C37DC" w:rsidRDefault="00B17AC7" w:rsidP="00B33D0E">
      <w:pPr>
        <w:spacing w:line="360" w:lineRule="auto"/>
        <w:jc w:val="center"/>
        <w:rPr>
          <w:szCs w:val="28"/>
          <w:lang w:val="en-US"/>
        </w:rPr>
      </w:pPr>
      <w:r>
        <w:rPr>
          <w:noProof/>
          <w:szCs w:val="28"/>
          <w:lang w:val="en-US"/>
        </w:rPr>
        <w:object w:dxaOrig="1520" w:dyaOrig="988" w14:anchorId="044D337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5pt;height:48pt;mso-width-percent:0;mso-height-percent:0;mso-width-percent:0;mso-height-percent:0" o:ole="">
            <v:imagedata r:id="rId17" o:title=""/>
          </v:shape>
          <o:OLEObject Type="Embed" ProgID="FoxitPhantomPDF.Document" ShapeID="_x0000_i1025" DrawAspect="Icon" ObjectID="_1829683377" r:id="rId18"/>
        </w:object>
      </w:r>
    </w:p>
    <w:sectPr w:rsidR="001C37DC" w:rsidRPr="001C37D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D2A08" w14:textId="77777777" w:rsidR="00D03E7D" w:rsidRDefault="00D03E7D" w:rsidP="00C435A9">
      <w:pPr>
        <w:spacing w:after="0" w:line="240" w:lineRule="auto"/>
      </w:pPr>
      <w:r>
        <w:separator/>
      </w:r>
    </w:p>
  </w:endnote>
  <w:endnote w:type="continuationSeparator" w:id="0">
    <w:p w14:paraId="2AAC7B7A" w14:textId="77777777" w:rsidR="00D03E7D" w:rsidRDefault="00D03E7D" w:rsidP="00C43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F420B" w14:textId="77777777" w:rsidR="00D03E7D" w:rsidRDefault="00D03E7D" w:rsidP="00C435A9">
      <w:pPr>
        <w:spacing w:after="0" w:line="240" w:lineRule="auto"/>
      </w:pPr>
      <w:r>
        <w:separator/>
      </w:r>
    </w:p>
  </w:footnote>
  <w:footnote w:type="continuationSeparator" w:id="0">
    <w:p w14:paraId="64870724" w14:textId="77777777" w:rsidR="00D03E7D" w:rsidRDefault="00D03E7D" w:rsidP="00C43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3773D"/>
    <w:multiLevelType w:val="hybridMultilevel"/>
    <w:tmpl w:val="77B28A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694713"/>
    <w:multiLevelType w:val="hybridMultilevel"/>
    <w:tmpl w:val="E7A65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11597D"/>
    <w:multiLevelType w:val="hybridMultilevel"/>
    <w:tmpl w:val="FEEAE138"/>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B3B5B8C"/>
    <w:multiLevelType w:val="hybridMultilevel"/>
    <w:tmpl w:val="FEEAE138"/>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E9909D2"/>
    <w:multiLevelType w:val="hybridMultilevel"/>
    <w:tmpl w:val="FEEAE138"/>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C0F6F8C"/>
    <w:multiLevelType w:val="hybridMultilevel"/>
    <w:tmpl w:val="3F0AC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357DA8"/>
    <w:multiLevelType w:val="hybridMultilevel"/>
    <w:tmpl w:val="903CD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5732FD"/>
    <w:multiLevelType w:val="hybridMultilevel"/>
    <w:tmpl w:val="FEEAE138"/>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11B3361"/>
    <w:multiLevelType w:val="hybridMultilevel"/>
    <w:tmpl w:val="FCA293EA"/>
    <w:lvl w:ilvl="0" w:tplc="5570401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2F0463"/>
    <w:multiLevelType w:val="hybridMultilevel"/>
    <w:tmpl w:val="0652E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773D70"/>
    <w:multiLevelType w:val="hybridMultilevel"/>
    <w:tmpl w:val="94C85F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6962B9"/>
    <w:multiLevelType w:val="hybridMultilevel"/>
    <w:tmpl w:val="FEEAE138"/>
    <w:lvl w:ilvl="0" w:tplc="1D687D0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6C149A"/>
    <w:multiLevelType w:val="hybridMultilevel"/>
    <w:tmpl w:val="FEEAE138"/>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9"/>
  </w:num>
  <w:num w:numId="2">
    <w:abstractNumId w:val="10"/>
  </w:num>
  <w:num w:numId="3">
    <w:abstractNumId w:val="6"/>
  </w:num>
  <w:num w:numId="4">
    <w:abstractNumId w:val="5"/>
  </w:num>
  <w:num w:numId="5">
    <w:abstractNumId w:val="8"/>
  </w:num>
  <w:num w:numId="6">
    <w:abstractNumId w:val="1"/>
  </w:num>
  <w:num w:numId="7">
    <w:abstractNumId w:val="11"/>
  </w:num>
  <w:num w:numId="8">
    <w:abstractNumId w:val="3"/>
  </w:num>
  <w:num w:numId="9">
    <w:abstractNumId w:val="12"/>
  </w:num>
  <w:num w:numId="10">
    <w:abstractNumId w:val="2"/>
  </w:num>
  <w:num w:numId="11">
    <w:abstractNumId w:val="4"/>
  </w:num>
  <w:num w:numId="12">
    <w:abstractNumId w:val="7"/>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DCE"/>
    <w:rsid w:val="0000168C"/>
    <w:rsid w:val="00005023"/>
    <w:rsid w:val="00005E85"/>
    <w:rsid w:val="000144E6"/>
    <w:rsid w:val="00015726"/>
    <w:rsid w:val="0001739D"/>
    <w:rsid w:val="00024D50"/>
    <w:rsid w:val="000359AC"/>
    <w:rsid w:val="0003791F"/>
    <w:rsid w:val="00042EDF"/>
    <w:rsid w:val="00046827"/>
    <w:rsid w:val="00053375"/>
    <w:rsid w:val="00065B99"/>
    <w:rsid w:val="00065CE1"/>
    <w:rsid w:val="000816A6"/>
    <w:rsid w:val="000840F6"/>
    <w:rsid w:val="000847C3"/>
    <w:rsid w:val="000904DD"/>
    <w:rsid w:val="00093EFB"/>
    <w:rsid w:val="00097B0A"/>
    <w:rsid w:val="00097B2E"/>
    <w:rsid w:val="000C1F31"/>
    <w:rsid w:val="000C77ED"/>
    <w:rsid w:val="000D780C"/>
    <w:rsid w:val="000E2DAB"/>
    <w:rsid w:val="000E3A10"/>
    <w:rsid w:val="000F2EB0"/>
    <w:rsid w:val="000F577E"/>
    <w:rsid w:val="0010165D"/>
    <w:rsid w:val="001213E5"/>
    <w:rsid w:val="001217F0"/>
    <w:rsid w:val="00131241"/>
    <w:rsid w:val="00132A95"/>
    <w:rsid w:val="0013519D"/>
    <w:rsid w:val="001373D8"/>
    <w:rsid w:val="00137D1C"/>
    <w:rsid w:val="00140AA0"/>
    <w:rsid w:val="0016630B"/>
    <w:rsid w:val="00174121"/>
    <w:rsid w:val="00177D4F"/>
    <w:rsid w:val="00180A37"/>
    <w:rsid w:val="0018297D"/>
    <w:rsid w:val="001859FB"/>
    <w:rsid w:val="00186279"/>
    <w:rsid w:val="00190F09"/>
    <w:rsid w:val="00192874"/>
    <w:rsid w:val="00192BCC"/>
    <w:rsid w:val="00194CB3"/>
    <w:rsid w:val="00195B7C"/>
    <w:rsid w:val="00196B52"/>
    <w:rsid w:val="001A1794"/>
    <w:rsid w:val="001A2FAB"/>
    <w:rsid w:val="001A4E00"/>
    <w:rsid w:val="001A5154"/>
    <w:rsid w:val="001A6228"/>
    <w:rsid w:val="001A6B72"/>
    <w:rsid w:val="001A799A"/>
    <w:rsid w:val="001B2354"/>
    <w:rsid w:val="001C36B8"/>
    <w:rsid w:val="001C37DC"/>
    <w:rsid w:val="001C411C"/>
    <w:rsid w:val="001D74CB"/>
    <w:rsid w:val="001E323E"/>
    <w:rsid w:val="001E48F3"/>
    <w:rsid w:val="002027F3"/>
    <w:rsid w:val="00214563"/>
    <w:rsid w:val="0021519C"/>
    <w:rsid w:val="0021720F"/>
    <w:rsid w:val="002209B1"/>
    <w:rsid w:val="00225FFE"/>
    <w:rsid w:val="00233A20"/>
    <w:rsid w:val="00234D5E"/>
    <w:rsid w:val="00244369"/>
    <w:rsid w:val="00244AD4"/>
    <w:rsid w:val="00254502"/>
    <w:rsid w:val="00255836"/>
    <w:rsid w:val="00284435"/>
    <w:rsid w:val="00284830"/>
    <w:rsid w:val="002872CC"/>
    <w:rsid w:val="0029321B"/>
    <w:rsid w:val="00294369"/>
    <w:rsid w:val="002A2F49"/>
    <w:rsid w:val="002A44F9"/>
    <w:rsid w:val="002B14C0"/>
    <w:rsid w:val="002B59F8"/>
    <w:rsid w:val="002B6D2B"/>
    <w:rsid w:val="002C6104"/>
    <w:rsid w:val="003000F4"/>
    <w:rsid w:val="003058DD"/>
    <w:rsid w:val="00307BB0"/>
    <w:rsid w:val="00337737"/>
    <w:rsid w:val="00342878"/>
    <w:rsid w:val="00345E84"/>
    <w:rsid w:val="00354189"/>
    <w:rsid w:val="003554CE"/>
    <w:rsid w:val="00357960"/>
    <w:rsid w:val="00357F3F"/>
    <w:rsid w:val="00362837"/>
    <w:rsid w:val="00365283"/>
    <w:rsid w:val="00383292"/>
    <w:rsid w:val="00386999"/>
    <w:rsid w:val="00387D1D"/>
    <w:rsid w:val="003A0211"/>
    <w:rsid w:val="003A4992"/>
    <w:rsid w:val="003B250D"/>
    <w:rsid w:val="003B2B11"/>
    <w:rsid w:val="003B3EA4"/>
    <w:rsid w:val="003B434F"/>
    <w:rsid w:val="003C2F64"/>
    <w:rsid w:val="003C7FFC"/>
    <w:rsid w:val="003D586D"/>
    <w:rsid w:val="003E08B4"/>
    <w:rsid w:val="003E621C"/>
    <w:rsid w:val="003E6FC8"/>
    <w:rsid w:val="003F7223"/>
    <w:rsid w:val="004040BF"/>
    <w:rsid w:val="00417A02"/>
    <w:rsid w:val="00421AFF"/>
    <w:rsid w:val="00431000"/>
    <w:rsid w:val="004326D2"/>
    <w:rsid w:val="00436659"/>
    <w:rsid w:val="00437498"/>
    <w:rsid w:val="00451292"/>
    <w:rsid w:val="00464CB2"/>
    <w:rsid w:val="00471125"/>
    <w:rsid w:val="004712BC"/>
    <w:rsid w:val="00471561"/>
    <w:rsid w:val="0047390E"/>
    <w:rsid w:val="004806AB"/>
    <w:rsid w:val="00482939"/>
    <w:rsid w:val="00484F0A"/>
    <w:rsid w:val="00491448"/>
    <w:rsid w:val="00491639"/>
    <w:rsid w:val="004A4025"/>
    <w:rsid w:val="004A499D"/>
    <w:rsid w:val="004B63BD"/>
    <w:rsid w:val="004C0E91"/>
    <w:rsid w:val="004C1043"/>
    <w:rsid w:val="00507DD5"/>
    <w:rsid w:val="005100FA"/>
    <w:rsid w:val="005113E5"/>
    <w:rsid w:val="00527E9F"/>
    <w:rsid w:val="00531842"/>
    <w:rsid w:val="00533693"/>
    <w:rsid w:val="005338A4"/>
    <w:rsid w:val="00537B32"/>
    <w:rsid w:val="00545312"/>
    <w:rsid w:val="00546638"/>
    <w:rsid w:val="005529BE"/>
    <w:rsid w:val="00564EB9"/>
    <w:rsid w:val="0057316B"/>
    <w:rsid w:val="00573C3F"/>
    <w:rsid w:val="00574122"/>
    <w:rsid w:val="005748EE"/>
    <w:rsid w:val="0057563D"/>
    <w:rsid w:val="00585D29"/>
    <w:rsid w:val="005A0577"/>
    <w:rsid w:val="005A11A2"/>
    <w:rsid w:val="005B1EA1"/>
    <w:rsid w:val="005D721A"/>
    <w:rsid w:val="005F5993"/>
    <w:rsid w:val="005F766F"/>
    <w:rsid w:val="00605749"/>
    <w:rsid w:val="00605C08"/>
    <w:rsid w:val="00621136"/>
    <w:rsid w:val="00624633"/>
    <w:rsid w:val="0063098D"/>
    <w:rsid w:val="00630D69"/>
    <w:rsid w:val="00631B7B"/>
    <w:rsid w:val="00637A0D"/>
    <w:rsid w:val="00644824"/>
    <w:rsid w:val="006463B7"/>
    <w:rsid w:val="00647949"/>
    <w:rsid w:val="006534D9"/>
    <w:rsid w:val="00662906"/>
    <w:rsid w:val="0066731A"/>
    <w:rsid w:val="00667AB0"/>
    <w:rsid w:val="00677629"/>
    <w:rsid w:val="00677B91"/>
    <w:rsid w:val="0068694E"/>
    <w:rsid w:val="00690593"/>
    <w:rsid w:val="0069480A"/>
    <w:rsid w:val="006A1F42"/>
    <w:rsid w:val="006A3BED"/>
    <w:rsid w:val="006B0B81"/>
    <w:rsid w:val="006B0BC4"/>
    <w:rsid w:val="006C3A09"/>
    <w:rsid w:val="006C7C96"/>
    <w:rsid w:val="006E4C9F"/>
    <w:rsid w:val="006E658F"/>
    <w:rsid w:val="006F0F64"/>
    <w:rsid w:val="006F144F"/>
    <w:rsid w:val="006F2436"/>
    <w:rsid w:val="006F5280"/>
    <w:rsid w:val="006F5BA8"/>
    <w:rsid w:val="0070651D"/>
    <w:rsid w:val="0071039F"/>
    <w:rsid w:val="00710966"/>
    <w:rsid w:val="00715565"/>
    <w:rsid w:val="007155AB"/>
    <w:rsid w:val="00733F9D"/>
    <w:rsid w:val="00737051"/>
    <w:rsid w:val="007443BC"/>
    <w:rsid w:val="00755BD9"/>
    <w:rsid w:val="00760C85"/>
    <w:rsid w:val="00761C87"/>
    <w:rsid w:val="007624DD"/>
    <w:rsid w:val="0076778E"/>
    <w:rsid w:val="0077202E"/>
    <w:rsid w:val="00791C4B"/>
    <w:rsid w:val="0079705D"/>
    <w:rsid w:val="007A37DC"/>
    <w:rsid w:val="007A5861"/>
    <w:rsid w:val="007B703A"/>
    <w:rsid w:val="007C7321"/>
    <w:rsid w:val="007D204E"/>
    <w:rsid w:val="007D2D73"/>
    <w:rsid w:val="007D7AC8"/>
    <w:rsid w:val="007E7327"/>
    <w:rsid w:val="007F35AB"/>
    <w:rsid w:val="007F39CA"/>
    <w:rsid w:val="007F442A"/>
    <w:rsid w:val="007F6228"/>
    <w:rsid w:val="00800363"/>
    <w:rsid w:val="0080129C"/>
    <w:rsid w:val="008015B6"/>
    <w:rsid w:val="00801D35"/>
    <w:rsid w:val="0080491B"/>
    <w:rsid w:val="0080534E"/>
    <w:rsid w:val="00815B0D"/>
    <w:rsid w:val="008174C5"/>
    <w:rsid w:val="0082049B"/>
    <w:rsid w:val="00830FF6"/>
    <w:rsid w:val="00842F68"/>
    <w:rsid w:val="00844011"/>
    <w:rsid w:val="00866B51"/>
    <w:rsid w:val="00867B27"/>
    <w:rsid w:val="00881508"/>
    <w:rsid w:val="00881EAB"/>
    <w:rsid w:val="00884177"/>
    <w:rsid w:val="00885301"/>
    <w:rsid w:val="00886D92"/>
    <w:rsid w:val="008C0C9A"/>
    <w:rsid w:val="008C25D5"/>
    <w:rsid w:val="008C45AC"/>
    <w:rsid w:val="008D0312"/>
    <w:rsid w:val="008D56C8"/>
    <w:rsid w:val="008E372F"/>
    <w:rsid w:val="008E5C3E"/>
    <w:rsid w:val="008F3192"/>
    <w:rsid w:val="008F3965"/>
    <w:rsid w:val="008F45EF"/>
    <w:rsid w:val="008F6D11"/>
    <w:rsid w:val="00900AD1"/>
    <w:rsid w:val="0091044E"/>
    <w:rsid w:val="0091106F"/>
    <w:rsid w:val="0091178C"/>
    <w:rsid w:val="00916560"/>
    <w:rsid w:val="0092205A"/>
    <w:rsid w:val="00924EAB"/>
    <w:rsid w:val="0093382E"/>
    <w:rsid w:val="009345A7"/>
    <w:rsid w:val="00934B04"/>
    <w:rsid w:val="00940265"/>
    <w:rsid w:val="00940421"/>
    <w:rsid w:val="0094588A"/>
    <w:rsid w:val="00956108"/>
    <w:rsid w:val="00956942"/>
    <w:rsid w:val="009608C4"/>
    <w:rsid w:val="009671D0"/>
    <w:rsid w:val="009674A0"/>
    <w:rsid w:val="00983123"/>
    <w:rsid w:val="00987131"/>
    <w:rsid w:val="00991A8E"/>
    <w:rsid w:val="009A0C94"/>
    <w:rsid w:val="009A3FE9"/>
    <w:rsid w:val="009A704E"/>
    <w:rsid w:val="009B0306"/>
    <w:rsid w:val="009C16E0"/>
    <w:rsid w:val="009C2673"/>
    <w:rsid w:val="009C643C"/>
    <w:rsid w:val="009E4501"/>
    <w:rsid w:val="009F4B65"/>
    <w:rsid w:val="00A109ED"/>
    <w:rsid w:val="00A10C73"/>
    <w:rsid w:val="00A1147F"/>
    <w:rsid w:val="00A32B1E"/>
    <w:rsid w:val="00A34DA0"/>
    <w:rsid w:val="00A3560C"/>
    <w:rsid w:val="00A37E55"/>
    <w:rsid w:val="00A40B29"/>
    <w:rsid w:val="00A45519"/>
    <w:rsid w:val="00A46B1D"/>
    <w:rsid w:val="00A579FD"/>
    <w:rsid w:val="00A6013D"/>
    <w:rsid w:val="00A64248"/>
    <w:rsid w:val="00A708E2"/>
    <w:rsid w:val="00A80C33"/>
    <w:rsid w:val="00A84A0A"/>
    <w:rsid w:val="00A949B1"/>
    <w:rsid w:val="00A9700A"/>
    <w:rsid w:val="00AB4659"/>
    <w:rsid w:val="00AC0E85"/>
    <w:rsid w:val="00AC2B27"/>
    <w:rsid w:val="00AC33B6"/>
    <w:rsid w:val="00AD47DD"/>
    <w:rsid w:val="00AE4D47"/>
    <w:rsid w:val="00AE6EE5"/>
    <w:rsid w:val="00B11E67"/>
    <w:rsid w:val="00B12192"/>
    <w:rsid w:val="00B17AC7"/>
    <w:rsid w:val="00B33D0E"/>
    <w:rsid w:val="00B33F38"/>
    <w:rsid w:val="00B34603"/>
    <w:rsid w:val="00B41F2F"/>
    <w:rsid w:val="00B44FE5"/>
    <w:rsid w:val="00B50D2A"/>
    <w:rsid w:val="00B51099"/>
    <w:rsid w:val="00B6323B"/>
    <w:rsid w:val="00B633C1"/>
    <w:rsid w:val="00B660FB"/>
    <w:rsid w:val="00B67613"/>
    <w:rsid w:val="00B73EE1"/>
    <w:rsid w:val="00B80166"/>
    <w:rsid w:val="00B84800"/>
    <w:rsid w:val="00B8634C"/>
    <w:rsid w:val="00B945EB"/>
    <w:rsid w:val="00BB05ED"/>
    <w:rsid w:val="00BC489E"/>
    <w:rsid w:val="00BC663E"/>
    <w:rsid w:val="00BD52BE"/>
    <w:rsid w:val="00BD5513"/>
    <w:rsid w:val="00BE1C08"/>
    <w:rsid w:val="00BE49EA"/>
    <w:rsid w:val="00BE5C2F"/>
    <w:rsid w:val="00BF08AE"/>
    <w:rsid w:val="00BF24D1"/>
    <w:rsid w:val="00BF2BBC"/>
    <w:rsid w:val="00BF541D"/>
    <w:rsid w:val="00C01DE1"/>
    <w:rsid w:val="00C21A8A"/>
    <w:rsid w:val="00C23548"/>
    <w:rsid w:val="00C236C3"/>
    <w:rsid w:val="00C237C6"/>
    <w:rsid w:val="00C34D0D"/>
    <w:rsid w:val="00C35C3B"/>
    <w:rsid w:val="00C41648"/>
    <w:rsid w:val="00C435A9"/>
    <w:rsid w:val="00C47BAD"/>
    <w:rsid w:val="00C51C6D"/>
    <w:rsid w:val="00C53D9F"/>
    <w:rsid w:val="00C6737A"/>
    <w:rsid w:val="00C733F7"/>
    <w:rsid w:val="00C7351F"/>
    <w:rsid w:val="00C73919"/>
    <w:rsid w:val="00C7444C"/>
    <w:rsid w:val="00C75F0E"/>
    <w:rsid w:val="00C812E3"/>
    <w:rsid w:val="00C82D31"/>
    <w:rsid w:val="00C87383"/>
    <w:rsid w:val="00C90C13"/>
    <w:rsid w:val="00C92B19"/>
    <w:rsid w:val="00C979E4"/>
    <w:rsid w:val="00CA4C27"/>
    <w:rsid w:val="00CA4CC9"/>
    <w:rsid w:val="00CA6562"/>
    <w:rsid w:val="00CB3572"/>
    <w:rsid w:val="00CB5836"/>
    <w:rsid w:val="00CD39FF"/>
    <w:rsid w:val="00CE4BE5"/>
    <w:rsid w:val="00CF0E77"/>
    <w:rsid w:val="00D03E7D"/>
    <w:rsid w:val="00D05538"/>
    <w:rsid w:val="00D1370E"/>
    <w:rsid w:val="00D16827"/>
    <w:rsid w:val="00D36E40"/>
    <w:rsid w:val="00D46DD7"/>
    <w:rsid w:val="00D52CC7"/>
    <w:rsid w:val="00D544D7"/>
    <w:rsid w:val="00D55855"/>
    <w:rsid w:val="00D65ABC"/>
    <w:rsid w:val="00D75FA7"/>
    <w:rsid w:val="00D76C75"/>
    <w:rsid w:val="00D8055B"/>
    <w:rsid w:val="00D83AAB"/>
    <w:rsid w:val="00D84B6D"/>
    <w:rsid w:val="00D84FB2"/>
    <w:rsid w:val="00DA1D90"/>
    <w:rsid w:val="00DA21B0"/>
    <w:rsid w:val="00DA5495"/>
    <w:rsid w:val="00DA5DE7"/>
    <w:rsid w:val="00DB224C"/>
    <w:rsid w:val="00DB3D03"/>
    <w:rsid w:val="00DB3E05"/>
    <w:rsid w:val="00DB5CA1"/>
    <w:rsid w:val="00DB5DCE"/>
    <w:rsid w:val="00DB74F3"/>
    <w:rsid w:val="00DC075C"/>
    <w:rsid w:val="00DC373A"/>
    <w:rsid w:val="00DC5318"/>
    <w:rsid w:val="00DE6879"/>
    <w:rsid w:val="00DF3856"/>
    <w:rsid w:val="00E107EE"/>
    <w:rsid w:val="00E14DF9"/>
    <w:rsid w:val="00E14FD1"/>
    <w:rsid w:val="00E166F6"/>
    <w:rsid w:val="00E2782C"/>
    <w:rsid w:val="00E31C89"/>
    <w:rsid w:val="00E34890"/>
    <w:rsid w:val="00E34F22"/>
    <w:rsid w:val="00E42F09"/>
    <w:rsid w:val="00E436F8"/>
    <w:rsid w:val="00E46141"/>
    <w:rsid w:val="00E46A43"/>
    <w:rsid w:val="00E574A8"/>
    <w:rsid w:val="00E654E3"/>
    <w:rsid w:val="00E666F8"/>
    <w:rsid w:val="00E778BE"/>
    <w:rsid w:val="00E84E37"/>
    <w:rsid w:val="00E85FE7"/>
    <w:rsid w:val="00E976D2"/>
    <w:rsid w:val="00EA2792"/>
    <w:rsid w:val="00EA52C5"/>
    <w:rsid w:val="00EA6BEF"/>
    <w:rsid w:val="00EB0658"/>
    <w:rsid w:val="00EB5289"/>
    <w:rsid w:val="00EB63CF"/>
    <w:rsid w:val="00EC057B"/>
    <w:rsid w:val="00EC7408"/>
    <w:rsid w:val="00ED0611"/>
    <w:rsid w:val="00ED773C"/>
    <w:rsid w:val="00EE77E4"/>
    <w:rsid w:val="00F02191"/>
    <w:rsid w:val="00F07E69"/>
    <w:rsid w:val="00F150B7"/>
    <w:rsid w:val="00F15382"/>
    <w:rsid w:val="00F17712"/>
    <w:rsid w:val="00F2400D"/>
    <w:rsid w:val="00F27F3C"/>
    <w:rsid w:val="00F3447B"/>
    <w:rsid w:val="00F37E8B"/>
    <w:rsid w:val="00F550AA"/>
    <w:rsid w:val="00F60C8D"/>
    <w:rsid w:val="00F66D4F"/>
    <w:rsid w:val="00F7165F"/>
    <w:rsid w:val="00FA0BB7"/>
    <w:rsid w:val="00FA59E9"/>
    <w:rsid w:val="00FA64C4"/>
    <w:rsid w:val="00FB07AF"/>
    <w:rsid w:val="00FB3A35"/>
    <w:rsid w:val="00FB3F84"/>
    <w:rsid w:val="00FD20A4"/>
    <w:rsid w:val="00FD2F5F"/>
    <w:rsid w:val="00FE1E66"/>
    <w:rsid w:val="00FE411A"/>
    <w:rsid w:val="00FE71AE"/>
    <w:rsid w:val="00FF3FBD"/>
    <w:rsid w:val="00FF4BE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F2EE5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122"/>
    <w:pPr>
      <w:spacing w:after="40"/>
      <w:jc w:val="both"/>
    </w:pPr>
    <w:rPr>
      <w:rFonts w:ascii="Times New Roman" w:hAnsi="Times New Roman"/>
    </w:rPr>
  </w:style>
  <w:style w:type="paragraph" w:styleId="Heading1">
    <w:name w:val="heading 1"/>
    <w:basedOn w:val="Normal"/>
    <w:next w:val="Normal"/>
    <w:link w:val="Heading1Char"/>
    <w:autoRedefine/>
    <w:uiPriority w:val="9"/>
    <w:qFormat/>
    <w:rsid w:val="009345A7"/>
    <w:pPr>
      <w:keepNext/>
      <w:keepLines/>
      <w:spacing w:before="240" w:after="120"/>
      <w:outlineLvl w:val="0"/>
    </w:pPr>
    <w:rPr>
      <w:rFonts w:eastAsiaTheme="majorEastAsia" w:cstheme="majorBidi"/>
      <w:b/>
      <w:color w:val="2F5496" w:themeColor="accent1" w:themeShade="BF"/>
      <w:sz w:val="32"/>
      <w:szCs w:val="50"/>
    </w:rPr>
  </w:style>
  <w:style w:type="paragraph" w:styleId="Heading2">
    <w:name w:val="heading 2"/>
    <w:basedOn w:val="Normal"/>
    <w:next w:val="Normal"/>
    <w:link w:val="Heading2Char"/>
    <w:autoRedefine/>
    <w:uiPriority w:val="9"/>
    <w:unhideWhenUsed/>
    <w:qFormat/>
    <w:rsid w:val="00D84B6D"/>
    <w:pPr>
      <w:keepNext/>
      <w:keepLines/>
      <w:spacing w:before="40" w:after="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unhideWhenUsed/>
    <w:qFormat/>
    <w:rsid w:val="00DB5DCE"/>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DB5DCE"/>
    <w:pPr>
      <w:keepNext/>
      <w:keepLines/>
      <w:spacing w:before="8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B5DCE"/>
    <w:pPr>
      <w:keepNext/>
      <w:keepLines/>
      <w:spacing w:before="8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B5DC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B5DC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B5DC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B5DC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5A7"/>
    <w:rPr>
      <w:rFonts w:ascii="Times New Roman" w:eastAsiaTheme="majorEastAsia" w:hAnsi="Times New Roman" w:cstheme="majorBidi"/>
      <w:b/>
      <w:color w:val="2F5496" w:themeColor="accent1" w:themeShade="BF"/>
      <w:sz w:val="32"/>
      <w:szCs w:val="50"/>
    </w:rPr>
  </w:style>
  <w:style w:type="character" w:customStyle="1" w:styleId="Heading2Char">
    <w:name w:val="Heading 2 Char"/>
    <w:basedOn w:val="DefaultParagraphFont"/>
    <w:link w:val="Heading2"/>
    <w:uiPriority w:val="9"/>
    <w:rsid w:val="00D84B6D"/>
    <w:rPr>
      <w:rFonts w:ascii="Times New Roman" w:eastAsiaTheme="majorEastAsia" w:hAnsi="Times New Roman" w:cstheme="majorBidi"/>
      <w:b/>
      <w:color w:val="2F5496" w:themeColor="accent1" w:themeShade="BF"/>
      <w:sz w:val="28"/>
      <w:szCs w:val="40"/>
    </w:rPr>
  </w:style>
  <w:style w:type="character" w:customStyle="1" w:styleId="Heading3Char">
    <w:name w:val="Heading 3 Char"/>
    <w:basedOn w:val="DefaultParagraphFont"/>
    <w:link w:val="Heading3"/>
    <w:uiPriority w:val="9"/>
    <w:rsid w:val="00DB5DCE"/>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DB5DC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B5DC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B5D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5D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5D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5DCE"/>
    <w:rPr>
      <w:rFonts w:eastAsiaTheme="majorEastAsia" w:cstheme="majorBidi"/>
      <w:color w:val="272727" w:themeColor="text1" w:themeTint="D8"/>
    </w:rPr>
  </w:style>
  <w:style w:type="paragraph" w:styleId="Title">
    <w:name w:val="Title"/>
    <w:basedOn w:val="Normal"/>
    <w:next w:val="Normal"/>
    <w:link w:val="TitleChar"/>
    <w:uiPriority w:val="10"/>
    <w:qFormat/>
    <w:rsid w:val="00DB5DC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B5DCE"/>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DB5DCE"/>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B5DCE"/>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DB5DC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B5DCE"/>
    <w:rPr>
      <w:rFonts w:ascii="Times New Roman" w:hAnsi="Times New Roman"/>
      <w:i/>
      <w:iCs/>
      <w:color w:val="404040" w:themeColor="text1" w:themeTint="BF"/>
    </w:rPr>
  </w:style>
  <w:style w:type="paragraph" w:styleId="ListParagraph">
    <w:name w:val="List Paragraph"/>
    <w:basedOn w:val="Normal"/>
    <w:uiPriority w:val="34"/>
    <w:qFormat/>
    <w:rsid w:val="00DB5DCE"/>
    <w:pPr>
      <w:ind w:left="720"/>
      <w:contextualSpacing/>
    </w:pPr>
  </w:style>
  <w:style w:type="character" w:styleId="IntenseEmphasis">
    <w:name w:val="Intense Emphasis"/>
    <w:basedOn w:val="DefaultParagraphFont"/>
    <w:uiPriority w:val="21"/>
    <w:qFormat/>
    <w:rsid w:val="00DB5DCE"/>
    <w:rPr>
      <w:i/>
      <w:iCs/>
      <w:color w:val="2F5496" w:themeColor="accent1" w:themeShade="BF"/>
    </w:rPr>
  </w:style>
  <w:style w:type="paragraph" w:styleId="IntenseQuote">
    <w:name w:val="Intense Quote"/>
    <w:basedOn w:val="Normal"/>
    <w:next w:val="Normal"/>
    <w:link w:val="IntenseQuoteChar"/>
    <w:uiPriority w:val="30"/>
    <w:qFormat/>
    <w:rsid w:val="00DB5DC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B5DCE"/>
    <w:rPr>
      <w:rFonts w:ascii="Times New Roman" w:hAnsi="Times New Roman"/>
      <w:i/>
      <w:iCs/>
      <w:color w:val="2F5496" w:themeColor="accent1" w:themeShade="BF"/>
    </w:rPr>
  </w:style>
  <w:style w:type="character" w:styleId="IntenseReference">
    <w:name w:val="Intense Reference"/>
    <w:basedOn w:val="DefaultParagraphFont"/>
    <w:uiPriority w:val="32"/>
    <w:qFormat/>
    <w:rsid w:val="00DB5DCE"/>
    <w:rPr>
      <w:b/>
      <w:bCs/>
      <w:smallCaps/>
      <w:color w:val="2F5496" w:themeColor="accent1" w:themeShade="BF"/>
      <w:spacing w:val="5"/>
    </w:rPr>
  </w:style>
  <w:style w:type="paragraph" w:styleId="TOCHeading">
    <w:name w:val="TOC Heading"/>
    <w:basedOn w:val="Heading1"/>
    <w:next w:val="Normal"/>
    <w:uiPriority w:val="39"/>
    <w:unhideWhenUsed/>
    <w:qFormat/>
    <w:rsid w:val="009C643C"/>
    <w:pPr>
      <w:spacing w:after="0" w:line="259" w:lineRule="auto"/>
      <w:jc w:val="left"/>
      <w:outlineLvl w:val="9"/>
    </w:pPr>
    <w:rPr>
      <w:rFonts w:asciiTheme="majorHAnsi" w:hAnsiTheme="majorHAnsi"/>
      <w:b w:val="0"/>
      <w:kern w:val="0"/>
      <w:szCs w:val="32"/>
      <w:lang w:eastAsia="en-GB"/>
      <w14:ligatures w14:val="none"/>
    </w:rPr>
  </w:style>
  <w:style w:type="table" w:styleId="TableGrid">
    <w:name w:val="Table Grid"/>
    <w:basedOn w:val="TableNormal"/>
    <w:uiPriority w:val="39"/>
    <w:rsid w:val="00D46D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1217F0"/>
    <w:pPr>
      <w:spacing w:after="100"/>
    </w:pPr>
  </w:style>
  <w:style w:type="paragraph" w:styleId="TOC2">
    <w:name w:val="toc 2"/>
    <w:basedOn w:val="Normal"/>
    <w:next w:val="Normal"/>
    <w:autoRedefine/>
    <w:uiPriority w:val="39"/>
    <w:unhideWhenUsed/>
    <w:rsid w:val="001217F0"/>
    <w:pPr>
      <w:spacing w:after="100"/>
      <w:ind w:left="240"/>
    </w:pPr>
  </w:style>
  <w:style w:type="paragraph" w:styleId="TOC3">
    <w:name w:val="toc 3"/>
    <w:basedOn w:val="Normal"/>
    <w:next w:val="Normal"/>
    <w:autoRedefine/>
    <w:uiPriority w:val="39"/>
    <w:unhideWhenUsed/>
    <w:rsid w:val="001217F0"/>
    <w:pPr>
      <w:spacing w:after="100"/>
      <w:ind w:left="480"/>
    </w:pPr>
  </w:style>
  <w:style w:type="character" w:styleId="Hyperlink">
    <w:name w:val="Hyperlink"/>
    <w:basedOn w:val="DefaultParagraphFont"/>
    <w:uiPriority w:val="99"/>
    <w:unhideWhenUsed/>
    <w:rsid w:val="001217F0"/>
    <w:rPr>
      <w:color w:val="0563C1" w:themeColor="hyperlink"/>
      <w:u w:val="single"/>
    </w:rPr>
  </w:style>
  <w:style w:type="paragraph" w:styleId="Header">
    <w:name w:val="header"/>
    <w:basedOn w:val="Normal"/>
    <w:link w:val="HeaderChar"/>
    <w:uiPriority w:val="99"/>
    <w:unhideWhenUsed/>
    <w:rsid w:val="00C435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5A9"/>
    <w:rPr>
      <w:rFonts w:ascii="Times New Roman" w:hAnsi="Times New Roman"/>
    </w:rPr>
  </w:style>
  <w:style w:type="paragraph" w:styleId="Footer">
    <w:name w:val="footer"/>
    <w:basedOn w:val="Normal"/>
    <w:link w:val="FooterChar"/>
    <w:uiPriority w:val="99"/>
    <w:unhideWhenUsed/>
    <w:rsid w:val="00C43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5A9"/>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oleObject" Target="embeddings/oleObject1.bin"/><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image" Target="media/image3.emf"/><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Profitability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GPM</c:v>
                </c:pt>
                <c:pt idx="1">
                  <c:v>OPM</c:v>
                </c:pt>
                <c:pt idx="2">
                  <c:v>NPM</c:v>
                </c:pt>
              </c:strCache>
            </c:strRef>
          </c:cat>
          <c:val>
            <c:numRef>
              <c:f>Sheet1!$B$2:$B$4</c:f>
              <c:numCache>
                <c:formatCode>0.00%</c:formatCode>
                <c:ptCount val="3"/>
                <c:pt idx="0">
                  <c:v>0.21959999999999999</c:v>
                </c:pt>
                <c:pt idx="1">
                  <c:v>0.1179</c:v>
                </c:pt>
                <c:pt idx="2">
                  <c:v>0.14580000000000001</c:v>
                </c:pt>
              </c:numCache>
            </c:numRef>
          </c:val>
          <c:extLst>
            <c:ext xmlns:c16="http://schemas.microsoft.com/office/drawing/2014/chart" uri="{C3380CC4-5D6E-409C-BE32-E72D297353CC}">
              <c16:uniqueId val="{00000000-444E-4A8B-9856-BDF7F625DB6F}"/>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GPM</c:v>
                </c:pt>
                <c:pt idx="1">
                  <c:v>OPM</c:v>
                </c:pt>
                <c:pt idx="2">
                  <c:v>NPM</c:v>
                </c:pt>
              </c:strCache>
            </c:strRef>
          </c:cat>
          <c:val>
            <c:numRef>
              <c:f>Sheet1!$C$2:$C$4</c:f>
              <c:numCache>
                <c:formatCode>0.00%</c:formatCode>
                <c:ptCount val="3"/>
                <c:pt idx="0">
                  <c:v>0.22320000000000001</c:v>
                </c:pt>
                <c:pt idx="1">
                  <c:v>0.1537</c:v>
                </c:pt>
                <c:pt idx="2">
                  <c:v>0.13139999999999999</c:v>
                </c:pt>
              </c:numCache>
            </c:numRef>
          </c:val>
          <c:extLst>
            <c:ext xmlns:c16="http://schemas.microsoft.com/office/drawing/2014/chart" uri="{C3380CC4-5D6E-409C-BE32-E72D297353CC}">
              <c16:uniqueId val="{00000001-444E-4A8B-9856-BDF7F625DB6F}"/>
            </c:ext>
          </c:extLst>
        </c:ser>
        <c:dLbls>
          <c:dLblPos val="outEnd"/>
          <c:showLegendKey val="0"/>
          <c:showVal val="1"/>
          <c:showCatName val="0"/>
          <c:showSerName val="0"/>
          <c:showPercent val="0"/>
          <c:showBubbleSize val="0"/>
        </c:dLbls>
        <c:gapWidth val="219"/>
        <c:overlap val="-27"/>
        <c:axId val="1791561152"/>
        <c:axId val="1791561632"/>
      </c:barChart>
      <c:catAx>
        <c:axId val="1791561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1561632"/>
        <c:crosses val="autoZero"/>
        <c:auto val="1"/>
        <c:lblAlgn val="ctr"/>
        <c:lblOffset val="100"/>
        <c:noMultiLvlLbl val="0"/>
      </c:catAx>
      <c:valAx>
        <c:axId val="179156163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1561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Liqudity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Current Ratio</c:v>
                </c:pt>
                <c:pt idx="1">
                  <c:v>Quick Ratio</c:v>
                </c:pt>
              </c:strCache>
            </c:strRef>
          </c:cat>
          <c:val>
            <c:numRef>
              <c:f>Sheet1!$B$2:$B$3</c:f>
              <c:numCache>
                <c:formatCode>General</c:formatCode>
                <c:ptCount val="2"/>
                <c:pt idx="0">
                  <c:v>1.21</c:v>
                </c:pt>
                <c:pt idx="1">
                  <c:v>0.89</c:v>
                </c:pt>
              </c:numCache>
            </c:numRef>
          </c:val>
          <c:extLst>
            <c:ext xmlns:c16="http://schemas.microsoft.com/office/drawing/2014/chart" uri="{C3380CC4-5D6E-409C-BE32-E72D297353CC}">
              <c16:uniqueId val="{00000000-4CD1-4470-83C8-57E06776EA80}"/>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Current Ratio</c:v>
                </c:pt>
                <c:pt idx="1">
                  <c:v>Quick Ratio</c:v>
                </c:pt>
              </c:strCache>
            </c:strRef>
          </c:cat>
          <c:val>
            <c:numRef>
              <c:f>Sheet1!$C$2:$C$3</c:f>
              <c:numCache>
                <c:formatCode>General</c:formatCode>
                <c:ptCount val="2"/>
                <c:pt idx="0">
                  <c:v>1.28</c:v>
                </c:pt>
                <c:pt idx="1">
                  <c:v>0.98</c:v>
                </c:pt>
              </c:numCache>
            </c:numRef>
          </c:val>
          <c:extLst>
            <c:ext xmlns:c16="http://schemas.microsoft.com/office/drawing/2014/chart" uri="{C3380CC4-5D6E-409C-BE32-E72D297353CC}">
              <c16:uniqueId val="{00000001-4CD1-4470-83C8-57E06776EA80}"/>
            </c:ext>
          </c:extLst>
        </c:ser>
        <c:dLbls>
          <c:dLblPos val="outEnd"/>
          <c:showLegendKey val="0"/>
          <c:showVal val="1"/>
          <c:showCatName val="0"/>
          <c:showSerName val="0"/>
          <c:showPercent val="0"/>
          <c:showBubbleSize val="0"/>
        </c:dLbls>
        <c:gapWidth val="219"/>
        <c:overlap val="-27"/>
        <c:axId val="778463711"/>
        <c:axId val="778467071"/>
      </c:barChart>
      <c:catAx>
        <c:axId val="7784637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67071"/>
        <c:crosses val="autoZero"/>
        <c:auto val="1"/>
        <c:lblAlgn val="ctr"/>
        <c:lblOffset val="100"/>
        <c:noMultiLvlLbl val="0"/>
      </c:catAx>
      <c:valAx>
        <c:axId val="7784670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637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Gearing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Debt-to-Equity Ratio</c:v>
                </c:pt>
                <c:pt idx="1">
                  <c:v>Debt-to-Asset Ratio</c:v>
                </c:pt>
              </c:strCache>
            </c:strRef>
          </c:cat>
          <c:val>
            <c:numRef>
              <c:f>Sheet1!$B$2:$B$3</c:f>
              <c:numCache>
                <c:formatCode>0.00%</c:formatCode>
                <c:ptCount val="2"/>
                <c:pt idx="0" formatCode="General">
                  <c:v>-1.59</c:v>
                </c:pt>
                <c:pt idx="1">
                  <c:v>0.18279999999999999</c:v>
                </c:pt>
              </c:numCache>
            </c:numRef>
          </c:val>
          <c:extLst>
            <c:ext xmlns:c16="http://schemas.microsoft.com/office/drawing/2014/chart" uri="{C3380CC4-5D6E-409C-BE32-E72D297353CC}">
              <c16:uniqueId val="{00000000-2B39-45E3-A1C9-73E173685936}"/>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Debt-to-Equity Ratio</c:v>
                </c:pt>
                <c:pt idx="1">
                  <c:v>Debt-to-Asset Ratio</c:v>
                </c:pt>
              </c:strCache>
            </c:strRef>
          </c:cat>
          <c:val>
            <c:numRef>
              <c:f>Sheet1!$C$2:$C$3</c:f>
              <c:numCache>
                <c:formatCode>0.00%</c:formatCode>
                <c:ptCount val="2"/>
                <c:pt idx="0" formatCode="General">
                  <c:v>-5.82</c:v>
                </c:pt>
                <c:pt idx="1">
                  <c:v>0.14380000000000001</c:v>
                </c:pt>
              </c:numCache>
            </c:numRef>
          </c:val>
          <c:extLst>
            <c:ext xmlns:c16="http://schemas.microsoft.com/office/drawing/2014/chart" uri="{C3380CC4-5D6E-409C-BE32-E72D297353CC}">
              <c16:uniqueId val="{00000001-2B39-45E3-A1C9-73E173685936}"/>
            </c:ext>
          </c:extLst>
        </c:ser>
        <c:dLbls>
          <c:dLblPos val="outEnd"/>
          <c:showLegendKey val="0"/>
          <c:showVal val="1"/>
          <c:showCatName val="0"/>
          <c:showSerName val="0"/>
          <c:showPercent val="0"/>
          <c:showBubbleSize val="0"/>
        </c:dLbls>
        <c:gapWidth val="219"/>
        <c:overlap val="-27"/>
        <c:axId val="778468991"/>
        <c:axId val="778469471"/>
      </c:barChart>
      <c:catAx>
        <c:axId val="7784689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69471"/>
        <c:crosses val="autoZero"/>
        <c:auto val="1"/>
        <c:lblAlgn val="ctr"/>
        <c:lblOffset val="100"/>
        <c:noMultiLvlLbl val="0"/>
      </c:catAx>
      <c:valAx>
        <c:axId val="7784694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689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Efficiency</a:t>
            </a:r>
            <a:r>
              <a:rPr lang="en-GB" baseline="0"/>
              <a:t> Ratios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Asset Turnover Ratio</c:v>
                </c:pt>
                <c:pt idx="1">
                  <c:v>Inventory Turnover Ratio</c:v>
                </c:pt>
              </c:strCache>
            </c:strRef>
          </c:cat>
          <c:val>
            <c:numRef>
              <c:f>Sheet1!$B$2:$B$3</c:f>
              <c:numCache>
                <c:formatCode>General</c:formatCode>
                <c:ptCount val="2"/>
                <c:pt idx="0">
                  <c:v>0.52</c:v>
                </c:pt>
                <c:pt idx="1">
                  <c:v>2.68</c:v>
                </c:pt>
              </c:numCache>
            </c:numRef>
          </c:val>
          <c:extLst>
            <c:ext xmlns:c16="http://schemas.microsoft.com/office/drawing/2014/chart" uri="{C3380CC4-5D6E-409C-BE32-E72D297353CC}">
              <c16:uniqueId val="{00000000-C24C-4F8D-B962-025A40A8106C}"/>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Asset Turnover Ratio</c:v>
                </c:pt>
                <c:pt idx="1">
                  <c:v>Inventory Turnover Ratio</c:v>
                </c:pt>
              </c:strCache>
            </c:strRef>
          </c:cat>
          <c:val>
            <c:numRef>
              <c:f>Sheet1!$C$2:$C$3</c:f>
              <c:numCache>
                <c:formatCode>General</c:formatCode>
                <c:ptCount val="2"/>
                <c:pt idx="0">
                  <c:v>0.53</c:v>
                </c:pt>
                <c:pt idx="1">
                  <c:v>2.96</c:v>
                </c:pt>
              </c:numCache>
            </c:numRef>
          </c:val>
          <c:extLst>
            <c:ext xmlns:c16="http://schemas.microsoft.com/office/drawing/2014/chart" uri="{C3380CC4-5D6E-409C-BE32-E72D297353CC}">
              <c16:uniqueId val="{00000001-C24C-4F8D-B962-025A40A8106C}"/>
            </c:ext>
          </c:extLst>
        </c:ser>
        <c:dLbls>
          <c:dLblPos val="outEnd"/>
          <c:showLegendKey val="0"/>
          <c:showVal val="1"/>
          <c:showCatName val="0"/>
          <c:showSerName val="0"/>
          <c:showPercent val="0"/>
          <c:showBubbleSize val="0"/>
        </c:dLbls>
        <c:gapWidth val="219"/>
        <c:overlap val="-27"/>
        <c:axId val="778435391"/>
        <c:axId val="778441631"/>
      </c:barChart>
      <c:catAx>
        <c:axId val="7784353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41631"/>
        <c:crosses val="autoZero"/>
        <c:auto val="1"/>
        <c:lblAlgn val="ctr"/>
        <c:lblOffset val="100"/>
        <c:noMultiLvlLbl val="0"/>
      </c:catAx>
      <c:valAx>
        <c:axId val="7784416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353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Earnings</a:t>
            </a:r>
            <a:r>
              <a:rPr lang="en-GB" baseline="0"/>
              <a:t> per Share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Earnings per Share</c:v>
                </c:pt>
              </c:strCache>
            </c:strRef>
          </c:cat>
          <c:val>
            <c:numRef>
              <c:f>Sheet1!$B$2</c:f>
              <c:numCache>
                <c:formatCode>General</c:formatCode>
                <c:ptCount val="1"/>
                <c:pt idx="0">
                  <c:v>28.85</c:v>
                </c:pt>
              </c:numCache>
            </c:numRef>
          </c:val>
          <c:extLst>
            <c:ext xmlns:c16="http://schemas.microsoft.com/office/drawing/2014/chart" uri="{C3380CC4-5D6E-409C-BE32-E72D297353CC}">
              <c16:uniqueId val="{00000000-CF82-43B5-A39A-8214EBF50487}"/>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Earnings per Share</c:v>
                </c:pt>
              </c:strCache>
            </c:strRef>
          </c:cat>
          <c:val>
            <c:numRef>
              <c:f>Sheet1!$C$2</c:f>
              <c:numCache>
                <c:formatCode>General</c:formatCode>
                <c:ptCount val="1"/>
                <c:pt idx="0">
                  <c:v>30.05</c:v>
                </c:pt>
              </c:numCache>
            </c:numRef>
          </c:val>
          <c:extLst>
            <c:ext xmlns:c16="http://schemas.microsoft.com/office/drawing/2014/chart" uri="{C3380CC4-5D6E-409C-BE32-E72D297353CC}">
              <c16:uniqueId val="{00000001-CF82-43B5-A39A-8214EBF50487}"/>
            </c:ext>
          </c:extLst>
        </c:ser>
        <c:dLbls>
          <c:dLblPos val="outEnd"/>
          <c:showLegendKey val="0"/>
          <c:showVal val="1"/>
          <c:showCatName val="0"/>
          <c:showSerName val="0"/>
          <c:showPercent val="0"/>
          <c:showBubbleSize val="0"/>
        </c:dLbls>
        <c:gapWidth val="219"/>
        <c:overlap val="-27"/>
        <c:axId val="778430591"/>
        <c:axId val="778427711"/>
      </c:barChart>
      <c:catAx>
        <c:axId val="7784305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27711"/>
        <c:crosses val="autoZero"/>
        <c:auto val="1"/>
        <c:lblAlgn val="ctr"/>
        <c:lblOffset val="100"/>
        <c:noMultiLvlLbl val="0"/>
      </c:catAx>
      <c:valAx>
        <c:axId val="778427711"/>
        <c:scaling>
          <c:orientation val="minMax"/>
          <c:max val="33"/>
          <c:min val="2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305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Trend Line of</a:t>
            </a:r>
            <a:r>
              <a:rPr lang="en-GB" baseline="0"/>
              <a:t> Different Aspects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Operating Profit</c:v>
                </c:pt>
              </c:strCache>
            </c:strRef>
          </c:tx>
          <c:spPr>
            <a:ln w="28575" cap="rnd">
              <a:solidFill>
                <a:schemeClr val="accent1"/>
              </a:solidFill>
              <a:round/>
            </a:ln>
            <a:effectLst/>
          </c:spPr>
          <c:marker>
            <c:symbol val="none"/>
          </c:marker>
          <c:dLbls>
            <c:dLbl>
              <c:idx val="0"/>
              <c:layout>
                <c:manualLayout>
                  <c:x val="-3.5509259259259303E-2"/>
                  <c:y val="-0.11306555430571186"/>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C503-4115-9F6F-F811F64292F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Sheet1!$A$2:$A$4</c:f>
              <c:numCache>
                <c:formatCode>General</c:formatCode>
                <c:ptCount val="3"/>
                <c:pt idx="0">
                  <c:v>2022</c:v>
                </c:pt>
                <c:pt idx="1">
                  <c:v>2023</c:v>
                </c:pt>
                <c:pt idx="2">
                  <c:v>2024</c:v>
                </c:pt>
              </c:numCache>
            </c:numRef>
          </c:cat>
          <c:val>
            <c:numRef>
              <c:f>Sheet1!$B$2:$B$4</c:f>
              <c:numCache>
                <c:formatCode>General</c:formatCode>
                <c:ptCount val="3"/>
                <c:pt idx="0">
                  <c:v>837</c:v>
                </c:pt>
                <c:pt idx="1">
                  <c:v>1944</c:v>
                </c:pt>
                <c:pt idx="2">
                  <c:v>2906</c:v>
                </c:pt>
              </c:numCache>
            </c:numRef>
          </c:val>
          <c:smooth val="0"/>
          <c:extLst>
            <c:ext xmlns:c16="http://schemas.microsoft.com/office/drawing/2014/chart" uri="{C3380CC4-5D6E-409C-BE32-E72D297353CC}">
              <c16:uniqueId val="{00000000-C503-4115-9F6F-F811F64292F6}"/>
            </c:ext>
          </c:extLst>
        </c:ser>
        <c:ser>
          <c:idx val="1"/>
          <c:order val="1"/>
          <c:tx>
            <c:strRef>
              <c:f>Sheet1!$C$1</c:f>
              <c:strCache>
                <c:ptCount val="1"/>
                <c:pt idx="0">
                  <c:v>Net Profit</c:v>
                </c:pt>
              </c:strCache>
            </c:strRef>
          </c:tx>
          <c:spPr>
            <a:ln w="28575" cap="rnd">
              <a:solidFill>
                <a:schemeClr val="accent2"/>
              </a:solidFill>
              <a:round/>
            </a:ln>
            <a:effectLst/>
          </c:spPr>
          <c:marker>
            <c:symbol val="none"/>
          </c:marker>
          <c:dLbls>
            <c:dLbl>
              <c:idx val="1"/>
              <c:layout>
                <c:manualLayout>
                  <c:x val="-4.0787037037037122E-2"/>
                  <c:y val="-0.12497031621047369"/>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C503-4115-9F6F-F811F64292F6}"/>
                </c:ext>
              </c:extLst>
            </c:dLbl>
            <c:dLbl>
              <c:idx val="2"/>
              <c:layout>
                <c:manualLayout>
                  <c:x val="-4.0787037037037038E-2"/>
                  <c:y val="-0.13290682414698171"/>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C503-4115-9F6F-F811F64292F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Sheet1!$A$2:$A$4</c:f>
              <c:numCache>
                <c:formatCode>General</c:formatCode>
                <c:ptCount val="3"/>
                <c:pt idx="0">
                  <c:v>2022</c:v>
                </c:pt>
                <c:pt idx="1">
                  <c:v>2023</c:v>
                </c:pt>
                <c:pt idx="2">
                  <c:v>2024</c:v>
                </c:pt>
              </c:numCache>
            </c:numRef>
          </c:cat>
          <c:val>
            <c:numRef>
              <c:f>Sheet1!$C$2:$C$4</c:f>
              <c:numCache>
                <c:formatCode>General</c:formatCode>
                <c:ptCount val="3"/>
                <c:pt idx="0">
                  <c:v>-1274</c:v>
                </c:pt>
                <c:pt idx="1">
                  <c:v>2404</c:v>
                </c:pt>
                <c:pt idx="2">
                  <c:v>2484</c:v>
                </c:pt>
              </c:numCache>
            </c:numRef>
          </c:val>
          <c:smooth val="0"/>
          <c:extLst>
            <c:ext xmlns:c16="http://schemas.microsoft.com/office/drawing/2014/chart" uri="{C3380CC4-5D6E-409C-BE32-E72D297353CC}">
              <c16:uniqueId val="{00000001-C503-4115-9F6F-F811F64292F6}"/>
            </c:ext>
          </c:extLst>
        </c:ser>
        <c:ser>
          <c:idx val="2"/>
          <c:order val="2"/>
          <c:tx>
            <c:strRef>
              <c:f>Sheet1!$D$1</c:f>
              <c:strCache>
                <c:ptCount val="1"/>
                <c:pt idx="0">
                  <c:v>Total Assets</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Sheet1!$A$2:$A$4</c:f>
              <c:numCache>
                <c:formatCode>General</c:formatCode>
                <c:ptCount val="3"/>
                <c:pt idx="0">
                  <c:v>2022</c:v>
                </c:pt>
                <c:pt idx="1">
                  <c:v>2023</c:v>
                </c:pt>
                <c:pt idx="2">
                  <c:v>2024</c:v>
                </c:pt>
              </c:numCache>
            </c:numRef>
          </c:cat>
          <c:val>
            <c:numRef>
              <c:f>Sheet1!$D$2:$D$4</c:f>
              <c:numCache>
                <c:formatCode>General</c:formatCode>
                <c:ptCount val="3"/>
                <c:pt idx="0">
                  <c:v>29450</c:v>
                </c:pt>
                <c:pt idx="1">
                  <c:v>31512</c:v>
                </c:pt>
                <c:pt idx="2">
                  <c:v>35686</c:v>
                </c:pt>
              </c:numCache>
            </c:numRef>
          </c:val>
          <c:smooth val="0"/>
          <c:extLst>
            <c:ext xmlns:c16="http://schemas.microsoft.com/office/drawing/2014/chart" uri="{C3380CC4-5D6E-409C-BE32-E72D297353CC}">
              <c16:uniqueId val="{00000002-C503-4115-9F6F-F811F64292F6}"/>
            </c:ext>
          </c:extLst>
        </c:ser>
        <c:dLbls>
          <c:dLblPos val="t"/>
          <c:showLegendKey val="0"/>
          <c:showVal val="1"/>
          <c:showCatName val="0"/>
          <c:showSerName val="0"/>
          <c:showPercent val="0"/>
          <c:showBubbleSize val="0"/>
        </c:dLbls>
        <c:smooth val="0"/>
        <c:axId val="778472351"/>
        <c:axId val="778456511"/>
      </c:lineChart>
      <c:catAx>
        <c:axId val="7784723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56511"/>
        <c:crosses val="autoZero"/>
        <c:auto val="1"/>
        <c:lblAlgn val="ctr"/>
        <c:lblOffset val="100"/>
        <c:noMultiLvlLbl val="0"/>
      </c:catAx>
      <c:valAx>
        <c:axId val="7784565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4723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846174-CAA7-48FE-8442-396B9AF542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7052</Words>
  <Characters>40201</Characters>
  <Application>Microsoft Office Word</Application>
  <DocSecurity>0</DocSecurity>
  <Lines>335</Lines>
  <Paragraphs>94</Paragraphs>
  <ScaleCrop>false</ScaleCrop>
  <Company/>
  <LinksUpToDate>false</LinksUpToDate>
  <CharactersWithSpaces>47159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2025-12-23T18:54:00Z</dcterms:created>
  <dcterms:modified xsi:type="dcterms:W3CDTF">2026-01-11T18:37:00Z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d61db927-51dc-4180-ab76-2850b1113604</vt:lpwstr>
  </property>
</Properties>
</file>