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D72DF" w14:textId="77777777" w:rsidR="00B14301" w:rsidRPr="00B5758B" w:rsidRDefault="00B14301" w:rsidP="00B14301">
      <w:pPr>
        <w:jc w:val="center"/>
        <w:rPr>
          <w:rFonts w:ascii="Times New Roman" w:hAnsi="Times New Roman" w:cs="Times New Roman"/>
          <w:b/>
          <w:bCs/>
          <w:sz w:val="24"/>
          <w:szCs w:val="24"/>
        </w:rPr>
      </w:pPr>
    </w:p>
    <w:p w14:paraId="2277143C" w14:textId="77777777" w:rsidR="00B14301" w:rsidRPr="00B5758B" w:rsidRDefault="00B14301" w:rsidP="00B14301">
      <w:pPr>
        <w:jc w:val="center"/>
        <w:rPr>
          <w:rFonts w:ascii="Times New Roman" w:hAnsi="Times New Roman" w:cs="Times New Roman"/>
          <w:b/>
          <w:bCs/>
          <w:sz w:val="24"/>
          <w:szCs w:val="24"/>
        </w:rPr>
      </w:pPr>
    </w:p>
    <w:p w14:paraId="138C218C" w14:textId="77777777" w:rsidR="00B14301" w:rsidRPr="00B5758B" w:rsidRDefault="00B14301" w:rsidP="00B14301">
      <w:pPr>
        <w:jc w:val="center"/>
        <w:rPr>
          <w:rFonts w:ascii="Times New Roman" w:hAnsi="Times New Roman" w:cs="Times New Roman"/>
          <w:b/>
          <w:bCs/>
          <w:sz w:val="24"/>
          <w:szCs w:val="24"/>
        </w:rPr>
      </w:pPr>
    </w:p>
    <w:p w14:paraId="645E7EF6" w14:textId="77777777" w:rsidR="00B14301" w:rsidRPr="00B5758B" w:rsidRDefault="00B14301" w:rsidP="00B14301">
      <w:pPr>
        <w:jc w:val="center"/>
        <w:rPr>
          <w:rFonts w:ascii="Times New Roman" w:hAnsi="Times New Roman" w:cs="Times New Roman"/>
          <w:b/>
          <w:bCs/>
          <w:sz w:val="24"/>
          <w:szCs w:val="24"/>
        </w:rPr>
      </w:pPr>
    </w:p>
    <w:p w14:paraId="73E39C21" w14:textId="77777777" w:rsidR="00B14301" w:rsidRPr="00B5758B" w:rsidRDefault="00B14301" w:rsidP="00B5758B">
      <w:pPr>
        <w:ind w:left="360"/>
        <w:jc w:val="both"/>
        <w:rPr>
          <w:rFonts w:ascii="Times New Roman" w:hAnsi="Times New Roman" w:cs="Times New Roman"/>
          <w:b/>
          <w:bCs/>
          <w:sz w:val="32"/>
          <w:szCs w:val="32"/>
        </w:rPr>
      </w:pPr>
    </w:p>
    <w:p w14:paraId="1CB6987F" w14:textId="183993B1" w:rsidR="00B14301" w:rsidRPr="00B5758B" w:rsidRDefault="00B14301" w:rsidP="00B5758B">
      <w:pPr>
        <w:ind w:left="720"/>
        <w:jc w:val="both"/>
        <w:rPr>
          <w:rFonts w:ascii="Times New Roman" w:hAnsi="Times New Roman" w:cs="Times New Roman"/>
          <w:b/>
          <w:bCs/>
          <w:sz w:val="32"/>
          <w:szCs w:val="32"/>
        </w:rPr>
      </w:pPr>
      <w:r w:rsidRPr="00B5758B">
        <w:rPr>
          <w:rFonts w:ascii="Times New Roman" w:hAnsi="Times New Roman" w:cs="Times New Roman"/>
          <w:b/>
          <w:bCs/>
          <w:sz w:val="32"/>
          <w:szCs w:val="32"/>
        </w:rPr>
        <w:t>Programmes: BA International Hotel Management</w:t>
      </w:r>
    </w:p>
    <w:p w14:paraId="24050A78" w14:textId="00346D0C" w:rsidR="00B14301" w:rsidRPr="00B5758B" w:rsidRDefault="00B14301" w:rsidP="00B5758B">
      <w:pPr>
        <w:ind w:left="2880"/>
        <w:jc w:val="both"/>
        <w:rPr>
          <w:rFonts w:ascii="Times New Roman" w:hAnsi="Times New Roman" w:cs="Times New Roman"/>
          <w:b/>
          <w:bCs/>
          <w:sz w:val="32"/>
          <w:szCs w:val="32"/>
        </w:rPr>
      </w:pPr>
      <w:r w:rsidRPr="00B5758B">
        <w:rPr>
          <w:rFonts w:ascii="Times New Roman" w:hAnsi="Times New Roman" w:cs="Times New Roman"/>
          <w:b/>
          <w:bCs/>
          <w:sz w:val="32"/>
          <w:szCs w:val="32"/>
        </w:rPr>
        <w:t>Module: Organisational Consultancy</w:t>
      </w:r>
    </w:p>
    <w:p w14:paraId="1C47E0C8" w14:textId="055FF510" w:rsidR="00B14301" w:rsidRPr="00B5758B" w:rsidRDefault="00B14301" w:rsidP="00B5758B">
      <w:pPr>
        <w:ind w:left="2880"/>
        <w:jc w:val="both"/>
        <w:rPr>
          <w:rFonts w:ascii="Times New Roman" w:hAnsi="Times New Roman" w:cs="Times New Roman"/>
          <w:b/>
          <w:bCs/>
          <w:spacing w:val="-2"/>
          <w:sz w:val="32"/>
          <w:szCs w:val="32"/>
        </w:rPr>
      </w:pPr>
      <w:r w:rsidRPr="00B5758B">
        <w:rPr>
          <w:rFonts w:ascii="Times New Roman" w:hAnsi="Times New Roman" w:cs="Times New Roman"/>
          <w:b/>
          <w:bCs/>
          <w:sz w:val="32"/>
          <w:szCs w:val="32"/>
        </w:rPr>
        <w:t>Module</w:t>
      </w:r>
      <w:r w:rsidRPr="00B5758B">
        <w:rPr>
          <w:rFonts w:ascii="Times New Roman" w:hAnsi="Times New Roman" w:cs="Times New Roman"/>
          <w:b/>
          <w:bCs/>
          <w:spacing w:val="12"/>
          <w:sz w:val="32"/>
          <w:szCs w:val="32"/>
        </w:rPr>
        <w:t xml:space="preserve"> </w:t>
      </w:r>
      <w:r w:rsidRPr="00B5758B">
        <w:rPr>
          <w:rFonts w:ascii="Times New Roman" w:hAnsi="Times New Roman" w:cs="Times New Roman"/>
          <w:b/>
          <w:bCs/>
          <w:spacing w:val="-2"/>
          <w:sz w:val="32"/>
          <w:szCs w:val="32"/>
        </w:rPr>
        <w:t>code: BMIH5006</w:t>
      </w:r>
    </w:p>
    <w:p w14:paraId="7A99E4CB" w14:textId="43028571" w:rsidR="00B14301" w:rsidRPr="00B5758B" w:rsidRDefault="00B14301" w:rsidP="00B5758B">
      <w:pPr>
        <w:ind w:left="2880"/>
        <w:jc w:val="both"/>
        <w:rPr>
          <w:rFonts w:ascii="Times New Roman" w:hAnsi="Times New Roman" w:cs="Times New Roman"/>
          <w:b/>
          <w:bCs/>
          <w:spacing w:val="-2"/>
          <w:sz w:val="32"/>
          <w:szCs w:val="32"/>
        </w:rPr>
      </w:pPr>
      <w:r w:rsidRPr="00B5758B">
        <w:rPr>
          <w:rFonts w:ascii="Times New Roman" w:hAnsi="Times New Roman" w:cs="Times New Roman"/>
          <w:b/>
          <w:bCs/>
          <w:spacing w:val="-2"/>
          <w:sz w:val="32"/>
          <w:szCs w:val="32"/>
        </w:rPr>
        <w:t>Student Name: Flavia Nanu</w:t>
      </w:r>
    </w:p>
    <w:p w14:paraId="7CEB33A8" w14:textId="388861C6" w:rsidR="00B14301" w:rsidRPr="00B5758B" w:rsidRDefault="00B14301" w:rsidP="00B5758B">
      <w:pPr>
        <w:ind w:left="2880"/>
        <w:jc w:val="both"/>
        <w:rPr>
          <w:rFonts w:ascii="Times New Roman" w:hAnsi="Times New Roman" w:cs="Times New Roman"/>
          <w:b/>
          <w:bCs/>
          <w:spacing w:val="-2"/>
          <w:sz w:val="32"/>
          <w:szCs w:val="32"/>
        </w:rPr>
      </w:pPr>
      <w:r w:rsidRPr="00B5758B">
        <w:rPr>
          <w:rFonts w:ascii="Times New Roman" w:hAnsi="Times New Roman" w:cs="Times New Roman"/>
          <w:b/>
          <w:bCs/>
          <w:spacing w:val="-2"/>
          <w:sz w:val="32"/>
          <w:szCs w:val="32"/>
        </w:rPr>
        <w:t>Student Number: 2239004</w:t>
      </w:r>
    </w:p>
    <w:p w14:paraId="6629B43B" w14:textId="3420D4E6" w:rsidR="00B14301" w:rsidRPr="00B5758B" w:rsidRDefault="00B5758B" w:rsidP="00B5758B">
      <w:pPr>
        <w:ind w:left="720"/>
        <w:jc w:val="both"/>
        <w:rPr>
          <w:rFonts w:ascii="Times New Roman" w:hAnsi="Times New Roman" w:cs="Times New Roman"/>
          <w:b/>
          <w:bCs/>
          <w:sz w:val="32"/>
          <w:szCs w:val="32"/>
        </w:rPr>
      </w:pPr>
      <w:r>
        <w:rPr>
          <w:rFonts w:ascii="Times New Roman" w:hAnsi="Times New Roman" w:cs="Times New Roman"/>
          <w:b/>
          <w:bCs/>
          <w:spacing w:val="-2"/>
          <w:sz w:val="32"/>
          <w:szCs w:val="32"/>
        </w:rPr>
        <w:t xml:space="preserve">                            </w:t>
      </w:r>
      <w:r w:rsidR="00B14301" w:rsidRPr="00B5758B">
        <w:rPr>
          <w:rFonts w:ascii="Times New Roman" w:hAnsi="Times New Roman" w:cs="Times New Roman"/>
          <w:b/>
          <w:bCs/>
          <w:spacing w:val="-2"/>
          <w:sz w:val="32"/>
          <w:szCs w:val="32"/>
        </w:rPr>
        <w:t>Lecturer Name: Daniel Payne</w:t>
      </w:r>
    </w:p>
    <w:p w14:paraId="30765002" w14:textId="77777777" w:rsidR="00B14301" w:rsidRPr="00B5758B" w:rsidRDefault="00B14301" w:rsidP="00BD7979">
      <w:pPr>
        <w:rPr>
          <w:rFonts w:ascii="Times New Roman" w:hAnsi="Times New Roman" w:cs="Times New Roman"/>
          <w:b/>
          <w:sz w:val="24"/>
          <w:szCs w:val="24"/>
        </w:rPr>
      </w:pPr>
    </w:p>
    <w:p w14:paraId="744C3AD8" w14:textId="77777777" w:rsidR="00B14301" w:rsidRPr="00B5758B" w:rsidRDefault="00B14301" w:rsidP="00BD7979">
      <w:pPr>
        <w:rPr>
          <w:rFonts w:ascii="Times New Roman" w:hAnsi="Times New Roman" w:cs="Times New Roman"/>
          <w:b/>
          <w:sz w:val="24"/>
          <w:szCs w:val="24"/>
        </w:rPr>
      </w:pPr>
    </w:p>
    <w:p w14:paraId="0F11188C" w14:textId="77777777" w:rsidR="00B14301" w:rsidRPr="00B5758B" w:rsidRDefault="00B14301" w:rsidP="00BD7979">
      <w:pPr>
        <w:rPr>
          <w:rFonts w:ascii="Times New Roman" w:hAnsi="Times New Roman" w:cs="Times New Roman"/>
          <w:b/>
          <w:sz w:val="24"/>
          <w:szCs w:val="24"/>
        </w:rPr>
      </w:pPr>
    </w:p>
    <w:p w14:paraId="53B7C71C" w14:textId="77777777" w:rsidR="00B14301" w:rsidRPr="00B5758B" w:rsidRDefault="00B14301" w:rsidP="00BD7979">
      <w:pPr>
        <w:rPr>
          <w:rFonts w:ascii="Times New Roman" w:hAnsi="Times New Roman" w:cs="Times New Roman"/>
          <w:b/>
          <w:sz w:val="24"/>
          <w:szCs w:val="24"/>
        </w:rPr>
      </w:pPr>
    </w:p>
    <w:p w14:paraId="599EC6E0" w14:textId="77777777" w:rsidR="00B14301" w:rsidRPr="00B5758B" w:rsidRDefault="00B14301" w:rsidP="00BD7979">
      <w:pPr>
        <w:rPr>
          <w:rFonts w:ascii="Times New Roman" w:hAnsi="Times New Roman" w:cs="Times New Roman"/>
          <w:b/>
          <w:sz w:val="24"/>
          <w:szCs w:val="24"/>
        </w:rPr>
      </w:pPr>
    </w:p>
    <w:p w14:paraId="2E130B82" w14:textId="77777777" w:rsidR="00B14301" w:rsidRPr="00B5758B" w:rsidRDefault="00B14301" w:rsidP="00BD7979">
      <w:pPr>
        <w:rPr>
          <w:rFonts w:ascii="Times New Roman" w:hAnsi="Times New Roman" w:cs="Times New Roman"/>
          <w:b/>
          <w:sz w:val="24"/>
          <w:szCs w:val="24"/>
        </w:rPr>
      </w:pPr>
    </w:p>
    <w:p w14:paraId="31AA56EE" w14:textId="77777777" w:rsidR="00B14301" w:rsidRPr="00B5758B" w:rsidRDefault="00B14301" w:rsidP="00BD7979">
      <w:pPr>
        <w:rPr>
          <w:rFonts w:ascii="Times New Roman" w:hAnsi="Times New Roman" w:cs="Times New Roman"/>
          <w:b/>
          <w:sz w:val="24"/>
          <w:szCs w:val="24"/>
        </w:rPr>
      </w:pPr>
    </w:p>
    <w:p w14:paraId="4E84890F" w14:textId="77777777" w:rsidR="00B5758B" w:rsidRPr="00B5758B" w:rsidRDefault="00B5758B" w:rsidP="00B14301">
      <w:pPr>
        <w:rPr>
          <w:rFonts w:ascii="Times New Roman" w:hAnsi="Times New Roman" w:cs="Times New Roman"/>
          <w:b/>
          <w:sz w:val="24"/>
          <w:szCs w:val="24"/>
        </w:rPr>
      </w:pPr>
    </w:p>
    <w:p w14:paraId="6300143E" w14:textId="77777777" w:rsidR="00B5758B" w:rsidRPr="00B5758B" w:rsidRDefault="00B5758B" w:rsidP="00B14301">
      <w:pPr>
        <w:rPr>
          <w:rFonts w:ascii="Times New Roman" w:hAnsi="Times New Roman" w:cs="Times New Roman"/>
          <w:b/>
          <w:sz w:val="24"/>
          <w:szCs w:val="24"/>
        </w:rPr>
      </w:pPr>
    </w:p>
    <w:p w14:paraId="57ED51BE" w14:textId="77777777" w:rsidR="00B5758B" w:rsidRDefault="00B5758B" w:rsidP="00B14301">
      <w:pPr>
        <w:rPr>
          <w:rFonts w:ascii="Times New Roman" w:hAnsi="Times New Roman" w:cs="Times New Roman"/>
          <w:sz w:val="24"/>
          <w:szCs w:val="24"/>
          <w:lang w:val="en-US"/>
        </w:rPr>
      </w:pPr>
    </w:p>
    <w:p w14:paraId="48619440" w14:textId="77777777" w:rsidR="00B5758B" w:rsidRDefault="00B5758B" w:rsidP="00B14301">
      <w:pPr>
        <w:rPr>
          <w:rFonts w:ascii="Times New Roman" w:hAnsi="Times New Roman" w:cs="Times New Roman"/>
          <w:sz w:val="24"/>
          <w:szCs w:val="24"/>
          <w:lang w:val="en-US"/>
        </w:rPr>
      </w:pPr>
    </w:p>
    <w:p w14:paraId="123A80E4" w14:textId="77777777" w:rsidR="00B5758B" w:rsidRDefault="00B5758B" w:rsidP="00B14301">
      <w:pPr>
        <w:rPr>
          <w:rFonts w:ascii="Times New Roman" w:hAnsi="Times New Roman" w:cs="Times New Roman"/>
          <w:sz w:val="24"/>
          <w:szCs w:val="24"/>
          <w:lang w:val="en-US"/>
        </w:rPr>
      </w:pPr>
    </w:p>
    <w:p w14:paraId="73AC4389" w14:textId="77777777" w:rsidR="00B5758B" w:rsidRDefault="00B5758B" w:rsidP="00B14301">
      <w:pPr>
        <w:rPr>
          <w:rFonts w:ascii="Times New Roman" w:hAnsi="Times New Roman" w:cs="Times New Roman"/>
          <w:sz w:val="24"/>
          <w:szCs w:val="24"/>
          <w:lang w:val="en-US"/>
        </w:rPr>
      </w:pPr>
    </w:p>
    <w:p w14:paraId="6B615C60" w14:textId="77777777" w:rsidR="00B5758B" w:rsidRDefault="00B5758B" w:rsidP="00B14301">
      <w:pPr>
        <w:rPr>
          <w:rFonts w:ascii="Times New Roman" w:hAnsi="Times New Roman" w:cs="Times New Roman"/>
          <w:sz w:val="24"/>
          <w:szCs w:val="24"/>
          <w:lang w:val="en-US"/>
        </w:rPr>
      </w:pPr>
    </w:p>
    <w:p w14:paraId="58A7A8DF" w14:textId="77777777" w:rsidR="00B5758B" w:rsidRDefault="00B5758B" w:rsidP="00B14301">
      <w:pPr>
        <w:rPr>
          <w:rFonts w:ascii="Times New Roman" w:hAnsi="Times New Roman" w:cs="Times New Roman"/>
          <w:sz w:val="24"/>
          <w:szCs w:val="24"/>
          <w:lang w:val="en-US"/>
        </w:rPr>
      </w:pPr>
    </w:p>
    <w:p w14:paraId="159F2346" w14:textId="77777777" w:rsidR="00B5758B" w:rsidRDefault="00B5758B" w:rsidP="00B14301">
      <w:pPr>
        <w:rPr>
          <w:rFonts w:ascii="Times New Roman" w:hAnsi="Times New Roman" w:cs="Times New Roman"/>
          <w:sz w:val="24"/>
          <w:szCs w:val="24"/>
          <w:lang w:val="en-US"/>
        </w:rPr>
      </w:pPr>
    </w:p>
    <w:p w14:paraId="5670D22D" w14:textId="77777777" w:rsidR="00B5758B" w:rsidRDefault="00B14301" w:rsidP="00B5758B">
      <w:pPr>
        <w:rPr>
          <w:rFonts w:ascii="Times New Roman" w:hAnsi="Times New Roman" w:cs="Times New Roman"/>
          <w:sz w:val="24"/>
          <w:szCs w:val="24"/>
        </w:rPr>
      </w:pPr>
      <w:r w:rsidRPr="00B5758B">
        <w:rPr>
          <w:rFonts w:ascii="Times New Roman" w:hAnsi="Times New Roman" w:cs="Times New Roman"/>
          <w:sz w:val="24"/>
          <w:szCs w:val="24"/>
          <w:lang w:val="en-US"/>
        </w:rPr>
        <w:t>I confirm that I have not presented any AI generated text as my own work. I confirm I have copies of my drafts, notes, and other resources I used before, and after the use of AI tools which I may be asked to provide in evidence.</w:t>
      </w:r>
    </w:p>
    <w:p w14:paraId="151583CA" w14:textId="3B8AC9E9" w:rsidR="00B5758B" w:rsidRPr="00B5758B" w:rsidRDefault="00B5758B" w:rsidP="00B5758B">
      <w:pPr>
        <w:rPr>
          <w:rFonts w:ascii="Times New Roman" w:hAnsi="Times New Roman" w:cs="Times New Roman"/>
          <w:sz w:val="24"/>
          <w:szCs w:val="24"/>
        </w:rPr>
      </w:pPr>
      <w:r w:rsidRPr="00B5758B">
        <w:rPr>
          <w:rFonts w:ascii="Times New Roman" w:hAnsi="Times New Roman" w:cs="Times New Roman"/>
          <w:b/>
          <w:sz w:val="24"/>
          <w:szCs w:val="24"/>
        </w:rPr>
        <w:lastRenderedPageBreak/>
        <w:t>Table of Contents</w:t>
      </w:r>
    </w:p>
    <w:sdt>
      <w:sdtPr>
        <w:rPr>
          <w:rFonts w:asciiTheme="minorHAnsi" w:eastAsiaTheme="minorHAnsi" w:hAnsiTheme="minorHAnsi" w:cstheme="minorBidi"/>
          <w:color w:val="auto"/>
          <w:sz w:val="22"/>
          <w:szCs w:val="22"/>
          <w:lang w:eastAsia="en-US"/>
        </w:rPr>
        <w:id w:val="569398033"/>
        <w:docPartObj>
          <w:docPartGallery w:val="Table of Contents"/>
          <w:docPartUnique/>
        </w:docPartObj>
      </w:sdtPr>
      <w:sdtContent>
        <w:p w14:paraId="756D9A1F" w14:textId="77777777" w:rsidR="00B5758B" w:rsidRPr="00B5758B" w:rsidRDefault="00B5758B" w:rsidP="00B5758B">
          <w:pPr>
            <w:pStyle w:val="TOC1"/>
            <w:tabs>
              <w:tab w:val="right" w:leader="dot" w:pos="9016"/>
            </w:tabs>
            <w:spacing w:before="100" w:beforeAutospacing="1" w:afterAutospacing="1"/>
            <w:rPr>
              <w:rFonts w:eastAsiaTheme="minorEastAsia"/>
              <w:noProof/>
              <w:color w:val="auto"/>
              <w:kern w:val="2"/>
              <w:lang w:val="en-IN"/>
              <w14:ligatures w14:val="standardContextual"/>
            </w:rPr>
          </w:pPr>
          <w:r w:rsidRPr="00B5758B">
            <w:rPr>
              <w:color w:val="auto"/>
            </w:rPr>
            <w:fldChar w:fldCharType="begin"/>
          </w:r>
          <w:r w:rsidRPr="00B5758B">
            <w:rPr>
              <w:color w:val="auto"/>
            </w:rPr>
            <w:instrText xml:space="preserve"> TOC \h \u \z \t "Heading 1,1,Heading 2,2,Heading 3,3,"</w:instrText>
          </w:r>
          <w:r w:rsidRPr="00B5758B">
            <w:rPr>
              <w:color w:val="auto"/>
            </w:rPr>
            <w:fldChar w:fldCharType="separate"/>
          </w:r>
          <w:hyperlink w:anchor="_Toc200879389" w:history="1">
            <w:r w:rsidRPr="00B5758B">
              <w:rPr>
                <w:rStyle w:val="Hyperlink"/>
                <w:rFonts w:eastAsiaTheme="majorEastAsia"/>
                <w:noProof/>
                <w:color w:val="auto"/>
              </w:rPr>
              <w:t>Introduction</w:t>
            </w:r>
            <w:r w:rsidRPr="00B5758B">
              <w:rPr>
                <w:noProof/>
                <w:webHidden/>
                <w:color w:val="auto"/>
              </w:rPr>
              <w:tab/>
            </w:r>
            <w:r w:rsidRPr="00B5758B">
              <w:rPr>
                <w:noProof/>
                <w:webHidden/>
                <w:color w:val="auto"/>
              </w:rPr>
              <w:fldChar w:fldCharType="begin"/>
            </w:r>
            <w:r w:rsidRPr="00B5758B">
              <w:rPr>
                <w:noProof/>
                <w:webHidden/>
                <w:color w:val="auto"/>
              </w:rPr>
              <w:instrText xml:space="preserve"> PAGEREF _Toc200879389 \h </w:instrText>
            </w:r>
            <w:r w:rsidRPr="00B5758B">
              <w:rPr>
                <w:noProof/>
                <w:webHidden/>
                <w:color w:val="auto"/>
              </w:rPr>
            </w:r>
            <w:r w:rsidRPr="00B5758B">
              <w:rPr>
                <w:noProof/>
                <w:webHidden/>
                <w:color w:val="auto"/>
              </w:rPr>
              <w:fldChar w:fldCharType="separate"/>
            </w:r>
            <w:r w:rsidRPr="00B5758B">
              <w:rPr>
                <w:noProof/>
                <w:webHidden/>
                <w:color w:val="auto"/>
              </w:rPr>
              <w:t>5</w:t>
            </w:r>
            <w:r w:rsidRPr="00B5758B">
              <w:rPr>
                <w:noProof/>
                <w:webHidden/>
                <w:color w:val="auto"/>
              </w:rPr>
              <w:fldChar w:fldCharType="end"/>
            </w:r>
          </w:hyperlink>
        </w:p>
        <w:p w14:paraId="08BE8AE1" w14:textId="77777777" w:rsidR="00B5758B" w:rsidRPr="00B5758B" w:rsidRDefault="00B5758B" w:rsidP="00B5758B">
          <w:pPr>
            <w:pStyle w:val="TOC1"/>
            <w:tabs>
              <w:tab w:val="right" w:leader="dot" w:pos="9016"/>
            </w:tabs>
            <w:spacing w:before="100" w:beforeAutospacing="1" w:afterAutospacing="1"/>
            <w:rPr>
              <w:rFonts w:eastAsiaTheme="minorEastAsia"/>
              <w:noProof/>
              <w:color w:val="auto"/>
              <w:kern w:val="2"/>
              <w:lang w:val="en-IN"/>
              <w14:ligatures w14:val="standardContextual"/>
            </w:rPr>
          </w:pPr>
          <w:hyperlink w:anchor="_Toc200879390" w:history="1">
            <w:r w:rsidRPr="00B5758B">
              <w:rPr>
                <w:rStyle w:val="Hyperlink"/>
                <w:rFonts w:eastAsiaTheme="majorEastAsia"/>
                <w:noProof/>
                <w:color w:val="auto"/>
              </w:rPr>
              <w:t>Analysis</w:t>
            </w:r>
            <w:r w:rsidRPr="00B5758B">
              <w:rPr>
                <w:noProof/>
                <w:webHidden/>
                <w:color w:val="auto"/>
              </w:rPr>
              <w:tab/>
            </w:r>
            <w:r w:rsidRPr="00B5758B">
              <w:rPr>
                <w:noProof/>
                <w:webHidden/>
                <w:color w:val="auto"/>
              </w:rPr>
              <w:fldChar w:fldCharType="begin"/>
            </w:r>
            <w:r w:rsidRPr="00B5758B">
              <w:rPr>
                <w:noProof/>
                <w:webHidden/>
                <w:color w:val="auto"/>
              </w:rPr>
              <w:instrText xml:space="preserve"> PAGEREF _Toc200879390 \h </w:instrText>
            </w:r>
            <w:r w:rsidRPr="00B5758B">
              <w:rPr>
                <w:noProof/>
                <w:webHidden/>
                <w:color w:val="auto"/>
              </w:rPr>
            </w:r>
            <w:r w:rsidRPr="00B5758B">
              <w:rPr>
                <w:noProof/>
                <w:webHidden/>
                <w:color w:val="auto"/>
              </w:rPr>
              <w:fldChar w:fldCharType="separate"/>
            </w:r>
            <w:r w:rsidRPr="00B5758B">
              <w:rPr>
                <w:noProof/>
                <w:webHidden/>
                <w:color w:val="auto"/>
              </w:rPr>
              <w:t>9</w:t>
            </w:r>
            <w:r w:rsidRPr="00B5758B">
              <w:rPr>
                <w:noProof/>
                <w:webHidden/>
                <w:color w:val="auto"/>
              </w:rPr>
              <w:fldChar w:fldCharType="end"/>
            </w:r>
          </w:hyperlink>
        </w:p>
        <w:p w14:paraId="10E297B5" w14:textId="77777777" w:rsidR="00B5758B" w:rsidRPr="00B5758B" w:rsidRDefault="00B5758B" w:rsidP="00B5758B">
          <w:pPr>
            <w:pStyle w:val="TOC2"/>
            <w:tabs>
              <w:tab w:val="right" w:leader="dot" w:pos="9016"/>
            </w:tabs>
            <w:spacing w:before="100" w:beforeAutospacing="1" w:afterAutospacing="1"/>
            <w:rPr>
              <w:noProof/>
              <w:color w:val="auto"/>
            </w:rPr>
          </w:pPr>
          <w:hyperlink w:anchor="_Toc200879391" w:history="1">
            <w:r w:rsidRPr="00B5758B">
              <w:rPr>
                <w:rStyle w:val="Hyperlink"/>
                <w:rFonts w:eastAsiaTheme="majorEastAsia"/>
                <w:noProof/>
                <w:color w:val="auto"/>
              </w:rPr>
              <w:t>Analysis of External Factors through STEEPLE Analysis</w:t>
            </w:r>
            <w:r w:rsidRPr="00B5758B">
              <w:rPr>
                <w:noProof/>
                <w:webHidden/>
                <w:color w:val="auto"/>
              </w:rPr>
              <w:tab/>
            </w:r>
            <w:r w:rsidRPr="00B5758B">
              <w:rPr>
                <w:noProof/>
                <w:webHidden/>
                <w:color w:val="auto"/>
              </w:rPr>
              <w:fldChar w:fldCharType="begin"/>
            </w:r>
            <w:r w:rsidRPr="00B5758B">
              <w:rPr>
                <w:noProof/>
                <w:webHidden/>
                <w:color w:val="auto"/>
              </w:rPr>
              <w:instrText xml:space="preserve"> PAGEREF _Toc200879391 \h </w:instrText>
            </w:r>
            <w:r w:rsidRPr="00B5758B">
              <w:rPr>
                <w:noProof/>
                <w:webHidden/>
                <w:color w:val="auto"/>
              </w:rPr>
            </w:r>
            <w:r w:rsidRPr="00B5758B">
              <w:rPr>
                <w:noProof/>
                <w:webHidden/>
                <w:color w:val="auto"/>
              </w:rPr>
              <w:fldChar w:fldCharType="separate"/>
            </w:r>
            <w:r w:rsidRPr="00B5758B">
              <w:rPr>
                <w:noProof/>
                <w:webHidden/>
                <w:color w:val="auto"/>
              </w:rPr>
              <w:t>9</w:t>
            </w:r>
            <w:r w:rsidRPr="00B5758B">
              <w:rPr>
                <w:noProof/>
                <w:webHidden/>
                <w:color w:val="auto"/>
              </w:rPr>
              <w:fldChar w:fldCharType="end"/>
            </w:r>
          </w:hyperlink>
        </w:p>
        <w:p w14:paraId="5FE2B68C" w14:textId="77777777" w:rsidR="00B5758B" w:rsidRPr="00B5758B" w:rsidRDefault="00B5758B" w:rsidP="00B5758B">
          <w:pPr>
            <w:pStyle w:val="TOC2"/>
            <w:tabs>
              <w:tab w:val="right" w:leader="dot" w:pos="9016"/>
            </w:tabs>
            <w:spacing w:before="100" w:beforeAutospacing="1" w:afterAutospacing="1"/>
            <w:rPr>
              <w:noProof/>
              <w:color w:val="auto"/>
            </w:rPr>
          </w:pPr>
          <w:hyperlink w:anchor="_Toc200879392" w:history="1">
            <w:r w:rsidRPr="00B5758B">
              <w:rPr>
                <w:rStyle w:val="Hyperlink"/>
                <w:rFonts w:eastAsiaTheme="majorEastAsia"/>
                <w:noProof/>
                <w:color w:val="auto"/>
              </w:rPr>
              <w:t>Analysis of Organisational Factors</w:t>
            </w:r>
            <w:r w:rsidRPr="00B5758B">
              <w:rPr>
                <w:noProof/>
                <w:webHidden/>
                <w:color w:val="auto"/>
              </w:rPr>
              <w:tab/>
            </w:r>
            <w:r w:rsidRPr="00B5758B">
              <w:rPr>
                <w:noProof/>
                <w:webHidden/>
                <w:color w:val="auto"/>
              </w:rPr>
              <w:fldChar w:fldCharType="begin"/>
            </w:r>
            <w:r w:rsidRPr="00B5758B">
              <w:rPr>
                <w:noProof/>
                <w:webHidden/>
                <w:color w:val="auto"/>
              </w:rPr>
              <w:instrText xml:space="preserve"> PAGEREF _Toc200879392 \h </w:instrText>
            </w:r>
            <w:r w:rsidRPr="00B5758B">
              <w:rPr>
                <w:noProof/>
                <w:webHidden/>
                <w:color w:val="auto"/>
              </w:rPr>
            </w:r>
            <w:r w:rsidRPr="00B5758B">
              <w:rPr>
                <w:noProof/>
                <w:webHidden/>
                <w:color w:val="auto"/>
              </w:rPr>
              <w:fldChar w:fldCharType="separate"/>
            </w:r>
            <w:r w:rsidRPr="00B5758B">
              <w:rPr>
                <w:noProof/>
                <w:webHidden/>
                <w:color w:val="auto"/>
              </w:rPr>
              <w:t>13</w:t>
            </w:r>
            <w:r w:rsidRPr="00B5758B">
              <w:rPr>
                <w:noProof/>
                <w:webHidden/>
                <w:color w:val="auto"/>
              </w:rPr>
              <w:fldChar w:fldCharType="end"/>
            </w:r>
          </w:hyperlink>
        </w:p>
        <w:p w14:paraId="1781F0C1" w14:textId="77777777" w:rsidR="00B5758B" w:rsidRPr="00B5758B" w:rsidRDefault="00B5758B" w:rsidP="00B5758B">
          <w:pPr>
            <w:pStyle w:val="TOC2"/>
            <w:tabs>
              <w:tab w:val="right" w:leader="dot" w:pos="9016"/>
            </w:tabs>
            <w:spacing w:before="100" w:beforeAutospacing="1" w:afterAutospacing="1"/>
            <w:rPr>
              <w:noProof/>
              <w:color w:val="auto"/>
            </w:rPr>
          </w:pPr>
          <w:hyperlink w:anchor="_Toc200879393" w:history="1">
            <w:r w:rsidRPr="00B5758B">
              <w:rPr>
                <w:rStyle w:val="Hyperlink"/>
                <w:rFonts w:eastAsiaTheme="majorEastAsia"/>
                <w:noProof/>
                <w:color w:val="auto"/>
              </w:rPr>
              <w:t>TOWS Analysis</w:t>
            </w:r>
            <w:r w:rsidRPr="00B5758B">
              <w:rPr>
                <w:noProof/>
                <w:webHidden/>
                <w:color w:val="auto"/>
              </w:rPr>
              <w:tab/>
            </w:r>
            <w:r w:rsidRPr="00B5758B">
              <w:rPr>
                <w:noProof/>
                <w:webHidden/>
                <w:color w:val="auto"/>
              </w:rPr>
              <w:fldChar w:fldCharType="begin"/>
            </w:r>
            <w:r w:rsidRPr="00B5758B">
              <w:rPr>
                <w:noProof/>
                <w:webHidden/>
                <w:color w:val="auto"/>
              </w:rPr>
              <w:instrText xml:space="preserve"> PAGEREF _Toc200879393 \h </w:instrText>
            </w:r>
            <w:r w:rsidRPr="00B5758B">
              <w:rPr>
                <w:noProof/>
                <w:webHidden/>
                <w:color w:val="auto"/>
              </w:rPr>
            </w:r>
            <w:r w:rsidRPr="00B5758B">
              <w:rPr>
                <w:noProof/>
                <w:webHidden/>
                <w:color w:val="auto"/>
              </w:rPr>
              <w:fldChar w:fldCharType="separate"/>
            </w:r>
            <w:r w:rsidRPr="00B5758B">
              <w:rPr>
                <w:noProof/>
                <w:webHidden/>
                <w:color w:val="auto"/>
              </w:rPr>
              <w:t>15</w:t>
            </w:r>
            <w:r w:rsidRPr="00B5758B">
              <w:rPr>
                <w:noProof/>
                <w:webHidden/>
                <w:color w:val="auto"/>
              </w:rPr>
              <w:fldChar w:fldCharType="end"/>
            </w:r>
          </w:hyperlink>
        </w:p>
        <w:p w14:paraId="6EFDD20F" w14:textId="77777777" w:rsidR="00B5758B" w:rsidRPr="00B5758B" w:rsidRDefault="00B5758B" w:rsidP="00B5758B">
          <w:pPr>
            <w:pStyle w:val="TOC1"/>
            <w:tabs>
              <w:tab w:val="right" w:leader="dot" w:pos="9016"/>
            </w:tabs>
            <w:spacing w:before="100" w:beforeAutospacing="1" w:afterAutospacing="1"/>
            <w:rPr>
              <w:rFonts w:eastAsiaTheme="minorEastAsia"/>
              <w:noProof/>
              <w:color w:val="auto"/>
              <w:kern w:val="2"/>
              <w:lang w:val="en-IN"/>
              <w14:ligatures w14:val="standardContextual"/>
            </w:rPr>
          </w:pPr>
          <w:hyperlink w:anchor="_Toc200879394" w:history="1">
            <w:r w:rsidRPr="00B5758B">
              <w:rPr>
                <w:rStyle w:val="Hyperlink"/>
                <w:rFonts w:eastAsiaTheme="majorEastAsia"/>
                <w:noProof/>
                <w:color w:val="auto"/>
              </w:rPr>
              <w:t>Recommendations and Change Management</w:t>
            </w:r>
            <w:r w:rsidRPr="00B5758B">
              <w:rPr>
                <w:noProof/>
                <w:webHidden/>
                <w:color w:val="auto"/>
              </w:rPr>
              <w:tab/>
            </w:r>
            <w:r w:rsidRPr="00B5758B">
              <w:rPr>
                <w:noProof/>
                <w:webHidden/>
                <w:color w:val="auto"/>
              </w:rPr>
              <w:fldChar w:fldCharType="begin"/>
            </w:r>
            <w:r w:rsidRPr="00B5758B">
              <w:rPr>
                <w:noProof/>
                <w:webHidden/>
                <w:color w:val="auto"/>
              </w:rPr>
              <w:instrText xml:space="preserve"> PAGEREF _Toc200879394 \h </w:instrText>
            </w:r>
            <w:r w:rsidRPr="00B5758B">
              <w:rPr>
                <w:noProof/>
                <w:webHidden/>
                <w:color w:val="auto"/>
              </w:rPr>
            </w:r>
            <w:r w:rsidRPr="00B5758B">
              <w:rPr>
                <w:noProof/>
                <w:webHidden/>
                <w:color w:val="auto"/>
              </w:rPr>
              <w:fldChar w:fldCharType="separate"/>
            </w:r>
            <w:r w:rsidRPr="00B5758B">
              <w:rPr>
                <w:noProof/>
                <w:webHidden/>
                <w:color w:val="auto"/>
              </w:rPr>
              <w:t>18</w:t>
            </w:r>
            <w:r w:rsidRPr="00B5758B">
              <w:rPr>
                <w:noProof/>
                <w:webHidden/>
                <w:color w:val="auto"/>
              </w:rPr>
              <w:fldChar w:fldCharType="end"/>
            </w:r>
          </w:hyperlink>
        </w:p>
        <w:p w14:paraId="1A708143" w14:textId="77777777" w:rsidR="00B5758B" w:rsidRPr="00B5758B" w:rsidRDefault="00B5758B" w:rsidP="00B5758B">
          <w:pPr>
            <w:pStyle w:val="TOC3"/>
            <w:tabs>
              <w:tab w:val="right" w:leader="dot" w:pos="9016"/>
            </w:tabs>
            <w:spacing w:before="100" w:beforeAutospacing="1" w:afterAutospacing="1"/>
            <w:rPr>
              <w:rFonts w:eastAsiaTheme="minorEastAsia"/>
              <w:noProof/>
              <w:color w:val="auto"/>
              <w:kern w:val="2"/>
              <w:lang w:val="en-IN"/>
              <w14:ligatures w14:val="standardContextual"/>
            </w:rPr>
          </w:pPr>
          <w:hyperlink w:anchor="_Toc200879395" w:history="1">
            <w:r w:rsidRPr="00B5758B">
              <w:rPr>
                <w:rStyle w:val="Hyperlink"/>
                <w:rFonts w:eastAsiaTheme="majorEastAsia"/>
                <w:noProof/>
                <w:color w:val="auto"/>
              </w:rPr>
              <w:t>Strategies for the measurement of the success rate</w:t>
            </w:r>
            <w:r w:rsidRPr="00B5758B">
              <w:rPr>
                <w:noProof/>
                <w:webHidden/>
                <w:color w:val="auto"/>
              </w:rPr>
              <w:tab/>
            </w:r>
            <w:r w:rsidRPr="00B5758B">
              <w:rPr>
                <w:noProof/>
                <w:webHidden/>
                <w:color w:val="auto"/>
              </w:rPr>
              <w:fldChar w:fldCharType="begin"/>
            </w:r>
            <w:r w:rsidRPr="00B5758B">
              <w:rPr>
                <w:noProof/>
                <w:webHidden/>
                <w:color w:val="auto"/>
              </w:rPr>
              <w:instrText xml:space="preserve"> PAGEREF _Toc200879395 \h </w:instrText>
            </w:r>
            <w:r w:rsidRPr="00B5758B">
              <w:rPr>
                <w:noProof/>
                <w:webHidden/>
                <w:color w:val="auto"/>
              </w:rPr>
            </w:r>
            <w:r w:rsidRPr="00B5758B">
              <w:rPr>
                <w:noProof/>
                <w:webHidden/>
                <w:color w:val="auto"/>
              </w:rPr>
              <w:fldChar w:fldCharType="separate"/>
            </w:r>
            <w:r w:rsidRPr="00B5758B">
              <w:rPr>
                <w:noProof/>
                <w:webHidden/>
                <w:color w:val="auto"/>
              </w:rPr>
              <w:t>24</w:t>
            </w:r>
            <w:r w:rsidRPr="00B5758B">
              <w:rPr>
                <w:noProof/>
                <w:webHidden/>
                <w:color w:val="auto"/>
              </w:rPr>
              <w:fldChar w:fldCharType="end"/>
            </w:r>
          </w:hyperlink>
        </w:p>
        <w:p w14:paraId="691BABE6" w14:textId="77777777" w:rsidR="00B5758B" w:rsidRPr="00B5758B" w:rsidRDefault="00B5758B" w:rsidP="00B5758B">
          <w:pPr>
            <w:pStyle w:val="TOC3"/>
            <w:tabs>
              <w:tab w:val="right" w:leader="dot" w:pos="9016"/>
            </w:tabs>
            <w:spacing w:before="100" w:beforeAutospacing="1" w:afterAutospacing="1"/>
            <w:rPr>
              <w:rFonts w:eastAsiaTheme="minorEastAsia"/>
              <w:noProof/>
              <w:color w:val="auto"/>
              <w:kern w:val="2"/>
              <w:lang w:val="en-IN"/>
              <w14:ligatures w14:val="standardContextual"/>
            </w:rPr>
          </w:pPr>
          <w:hyperlink w:anchor="_Toc200879396" w:history="1">
            <w:r w:rsidRPr="00B5758B">
              <w:rPr>
                <w:rStyle w:val="Hyperlink"/>
                <w:rFonts w:eastAsiaTheme="majorEastAsia"/>
                <w:noProof/>
                <w:color w:val="auto"/>
              </w:rPr>
              <w:t>Benefits to be obtained:</w:t>
            </w:r>
            <w:r w:rsidRPr="00B5758B">
              <w:rPr>
                <w:noProof/>
                <w:webHidden/>
                <w:color w:val="auto"/>
              </w:rPr>
              <w:tab/>
            </w:r>
            <w:r w:rsidRPr="00B5758B">
              <w:rPr>
                <w:noProof/>
                <w:webHidden/>
                <w:color w:val="auto"/>
              </w:rPr>
              <w:fldChar w:fldCharType="begin"/>
            </w:r>
            <w:r w:rsidRPr="00B5758B">
              <w:rPr>
                <w:noProof/>
                <w:webHidden/>
                <w:color w:val="auto"/>
              </w:rPr>
              <w:instrText xml:space="preserve"> PAGEREF _Toc200879396 \h </w:instrText>
            </w:r>
            <w:r w:rsidRPr="00B5758B">
              <w:rPr>
                <w:noProof/>
                <w:webHidden/>
                <w:color w:val="auto"/>
              </w:rPr>
            </w:r>
            <w:r w:rsidRPr="00B5758B">
              <w:rPr>
                <w:noProof/>
                <w:webHidden/>
                <w:color w:val="auto"/>
              </w:rPr>
              <w:fldChar w:fldCharType="separate"/>
            </w:r>
            <w:r w:rsidRPr="00B5758B">
              <w:rPr>
                <w:noProof/>
                <w:webHidden/>
                <w:color w:val="auto"/>
              </w:rPr>
              <w:t>25</w:t>
            </w:r>
            <w:r w:rsidRPr="00B5758B">
              <w:rPr>
                <w:noProof/>
                <w:webHidden/>
                <w:color w:val="auto"/>
              </w:rPr>
              <w:fldChar w:fldCharType="end"/>
            </w:r>
          </w:hyperlink>
        </w:p>
        <w:p w14:paraId="659E781C" w14:textId="77777777" w:rsidR="00B5758B" w:rsidRPr="00B5758B" w:rsidRDefault="00B5758B" w:rsidP="00B5758B">
          <w:pPr>
            <w:pStyle w:val="TOC3"/>
            <w:tabs>
              <w:tab w:val="right" w:leader="dot" w:pos="9016"/>
            </w:tabs>
            <w:spacing w:before="100" w:beforeAutospacing="1" w:afterAutospacing="1"/>
            <w:rPr>
              <w:rFonts w:eastAsiaTheme="minorEastAsia"/>
              <w:noProof/>
              <w:color w:val="auto"/>
              <w:kern w:val="2"/>
              <w:lang w:val="en-IN"/>
              <w14:ligatures w14:val="standardContextual"/>
            </w:rPr>
          </w:pPr>
          <w:hyperlink w:anchor="_Toc200879397" w:history="1">
            <w:r w:rsidRPr="00B5758B">
              <w:rPr>
                <w:rStyle w:val="Hyperlink"/>
                <w:rFonts w:eastAsiaTheme="majorEastAsia"/>
                <w:noProof/>
                <w:color w:val="auto"/>
              </w:rPr>
              <w:t>Costs To be Incurred with the Change</w:t>
            </w:r>
            <w:r w:rsidRPr="00B5758B">
              <w:rPr>
                <w:noProof/>
                <w:webHidden/>
                <w:color w:val="auto"/>
              </w:rPr>
              <w:tab/>
            </w:r>
            <w:r w:rsidRPr="00B5758B">
              <w:rPr>
                <w:noProof/>
                <w:webHidden/>
                <w:color w:val="auto"/>
              </w:rPr>
              <w:fldChar w:fldCharType="begin"/>
            </w:r>
            <w:r w:rsidRPr="00B5758B">
              <w:rPr>
                <w:noProof/>
                <w:webHidden/>
                <w:color w:val="auto"/>
              </w:rPr>
              <w:instrText xml:space="preserve"> PAGEREF _Toc200879397 \h </w:instrText>
            </w:r>
            <w:r w:rsidRPr="00B5758B">
              <w:rPr>
                <w:noProof/>
                <w:webHidden/>
                <w:color w:val="auto"/>
              </w:rPr>
            </w:r>
            <w:r w:rsidRPr="00B5758B">
              <w:rPr>
                <w:noProof/>
                <w:webHidden/>
                <w:color w:val="auto"/>
              </w:rPr>
              <w:fldChar w:fldCharType="separate"/>
            </w:r>
            <w:r w:rsidRPr="00B5758B">
              <w:rPr>
                <w:noProof/>
                <w:webHidden/>
                <w:color w:val="auto"/>
              </w:rPr>
              <w:t>26</w:t>
            </w:r>
            <w:r w:rsidRPr="00B5758B">
              <w:rPr>
                <w:noProof/>
                <w:webHidden/>
                <w:color w:val="auto"/>
              </w:rPr>
              <w:fldChar w:fldCharType="end"/>
            </w:r>
          </w:hyperlink>
        </w:p>
        <w:p w14:paraId="0B72B70C" w14:textId="77777777" w:rsidR="00B5758B" w:rsidRPr="00B5758B" w:rsidRDefault="00B5758B" w:rsidP="00B5758B">
          <w:pPr>
            <w:pStyle w:val="TOC1"/>
            <w:tabs>
              <w:tab w:val="right" w:leader="dot" w:pos="9016"/>
            </w:tabs>
            <w:spacing w:before="100" w:beforeAutospacing="1" w:afterAutospacing="1"/>
            <w:rPr>
              <w:rFonts w:eastAsiaTheme="minorEastAsia"/>
              <w:noProof/>
              <w:color w:val="auto"/>
              <w:kern w:val="2"/>
              <w:lang w:val="en-IN"/>
              <w14:ligatures w14:val="standardContextual"/>
            </w:rPr>
          </w:pPr>
          <w:hyperlink w:anchor="_Toc200879398" w:history="1">
            <w:r w:rsidRPr="00B5758B">
              <w:rPr>
                <w:rStyle w:val="Hyperlink"/>
                <w:rFonts w:eastAsiaTheme="majorEastAsia"/>
                <w:noProof/>
                <w:color w:val="auto"/>
              </w:rPr>
              <w:t>Action Plan</w:t>
            </w:r>
            <w:r w:rsidRPr="00B5758B">
              <w:rPr>
                <w:noProof/>
                <w:webHidden/>
                <w:color w:val="auto"/>
              </w:rPr>
              <w:tab/>
            </w:r>
            <w:r w:rsidRPr="00B5758B">
              <w:rPr>
                <w:noProof/>
                <w:webHidden/>
                <w:color w:val="auto"/>
              </w:rPr>
              <w:fldChar w:fldCharType="begin"/>
            </w:r>
            <w:r w:rsidRPr="00B5758B">
              <w:rPr>
                <w:noProof/>
                <w:webHidden/>
                <w:color w:val="auto"/>
              </w:rPr>
              <w:instrText xml:space="preserve"> PAGEREF _Toc200879398 \h </w:instrText>
            </w:r>
            <w:r w:rsidRPr="00B5758B">
              <w:rPr>
                <w:noProof/>
                <w:webHidden/>
                <w:color w:val="auto"/>
              </w:rPr>
            </w:r>
            <w:r w:rsidRPr="00B5758B">
              <w:rPr>
                <w:noProof/>
                <w:webHidden/>
                <w:color w:val="auto"/>
              </w:rPr>
              <w:fldChar w:fldCharType="separate"/>
            </w:r>
            <w:r w:rsidRPr="00B5758B">
              <w:rPr>
                <w:noProof/>
                <w:webHidden/>
                <w:color w:val="auto"/>
              </w:rPr>
              <w:t>26</w:t>
            </w:r>
            <w:r w:rsidRPr="00B5758B">
              <w:rPr>
                <w:noProof/>
                <w:webHidden/>
                <w:color w:val="auto"/>
              </w:rPr>
              <w:fldChar w:fldCharType="end"/>
            </w:r>
          </w:hyperlink>
        </w:p>
        <w:p w14:paraId="4AE4F7EA" w14:textId="77777777" w:rsidR="00B5758B" w:rsidRPr="00B5758B" w:rsidRDefault="00B5758B" w:rsidP="00B5758B">
          <w:pPr>
            <w:pStyle w:val="TOC1"/>
            <w:tabs>
              <w:tab w:val="right" w:leader="dot" w:pos="9016"/>
            </w:tabs>
            <w:spacing w:before="100" w:beforeAutospacing="1" w:afterAutospacing="1"/>
            <w:rPr>
              <w:rFonts w:eastAsiaTheme="minorEastAsia"/>
              <w:noProof/>
              <w:color w:val="auto"/>
              <w:kern w:val="2"/>
              <w:lang w:val="en-IN"/>
              <w14:ligatures w14:val="standardContextual"/>
            </w:rPr>
          </w:pPr>
          <w:hyperlink w:anchor="_Toc200879399" w:history="1">
            <w:r w:rsidRPr="00B5758B">
              <w:rPr>
                <w:rStyle w:val="Hyperlink"/>
                <w:rFonts w:eastAsiaTheme="majorEastAsia"/>
                <w:noProof/>
                <w:color w:val="auto"/>
              </w:rPr>
              <w:t>Conclusion</w:t>
            </w:r>
            <w:r w:rsidRPr="00B5758B">
              <w:rPr>
                <w:noProof/>
                <w:webHidden/>
                <w:color w:val="auto"/>
              </w:rPr>
              <w:tab/>
            </w:r>
            <w:r w:rsidRPr="00B5758B">
              <w:rPr>
                <w:noProof/>
                <w:webHidden/>
                <w:color w:val="auto"/>
              </w:rPr>
              <w:fldChar w:fldCharType="begin"/>
            </w:r>
            <w:r w:rsidRPr="00B5758B">
              <w:rPr>
                <w:noProof/>
                <w:webHidden/>
                <w:color w:val="auto"/>
              </w:rPr>
              <w:instrText xml:space="preserve"> PAGEREF _Toc200879399 \h </w:instrText>
            </w:r>
            <w:r w:rsidRPr="00B5758B">
              <w:rPr>
                <w:noProof/>
                <w:webHidden/>
                <w:color w:val="auto"/>
              </w:rPr>
            </w:r>
            <w:r w:rsidRPr="00B5758B">
              <w:rPr>
                <w:noProof/>
                <w:webHidden/>
                <w:color w:val="auto"/>
              </w:rPr>
              <w:fldChar w:fldCharType="separate"/>
            </w:r>
            <w:r w:rsidRPr="00B5758B">
              <w:rPr>
                <w:noProof/>
                <w:webHidden/>
                <w:color w:val="auto"/>
              </w:rPr>
              <w:t>29</w:t>
            </w:r>
            <w:r w:rsidRPr="00B5758B">
              <w:rPr>
                <w:noProof/>
                <w:webHidden/>
                <w:color w:val="auto"/>
              </w:rPr>
              <w:fldChar w:fldCharType="end"/>
            </w:r>
          </w:hyperlink>
        </w:p>
        <w:p w14:paraId="4D079A75" w14:textId="77777777" w:rsidR="00B5758B" w:rsidRPr="00B5758B" w:rsidRDefault="00B5758B" w:rsidP="00B5758B">
          <w:pPr>
            <w:pStyle w:val="TOC1"/>
            <w:tabs>
              <w:tab w:val="right" w:leader="dot" w:pos="9016"/>
            </w:tabs>
            <w:spacing w:before="100" w:beforeAutospacing="1" w:afterAutospacing="1"/>
            <w:rPr>
              <w:rFonts w:eastAsiaTheme="minorEastAsia"/>
              <w:noProof/>
              <w:color w:val="auto"/>
              <w:kern w:val="2"/>
              <w:lang w:val="en-IN"/>
              <w14:ligatures w14:val="standardContextual"/>
            </w:rPr>
          </w:pPr>
          <w:hyperlink w:anchor="_Toc200879400" w:history="1">
            <w:r w:rsidRPr="00B5758B">
              <w:rPr>
                <w:rStyle w:val="Hyperlink"/>
                <w:rFonts w:eastAsiaTheme="majorEastAsia"/>
                <w:noProof/>
                <w:color w:val="auto"/>
              </w:rPr>
              <w:t>References</w:t>
            </w:r>
            <w:r w:rsidRPr="00B5758B">
              <w:rPr>
                <w:noProof/>
                <w:webHidden/>
                <w:color w:val="auto"/>
              </w:rPr>
              <w:tab/>
            </w:r>
            <w:r w:rsidRPr="00B5758B">
              <w:rPr>
                <w:noProof/>
                <w:webHidden/>
                <w:color w:val="auto"/>
              </w:rPr>
              <w:fldChar w:fldCharType="begin"/>
            </w:r>
            <w:r w:rsidRPr="00B5758B">
              <w:rPr>
                <w:noProof/>
                <w:webHidden/>
                <w:color w:val="auto"/>
              </w:rPr>
              <w:instrText xml:space="preserve"> PAGEREF _Toc200879400 \h </w:instrText>
            </w:r>
            <w:r w:rsidRPr="00B5758B">
              <w:rPr>
                <w:noProof/>
                <w:webHidden/>
                <w:color w:val="auto"/>
              </w:rPr>
            </w:r>
            <w:r w:rsidRPr="00B5758B">
              <w:rPr>
                <w:noProof/>
                <w:webHidden/>
                <w:color w:val="auto"/>
              </w:rPr>
              <w:fldChar w:fldCharType="separate"/>
            </w:r>
            <w:r w:rsidRPr="00B5758B">
              <w:rPr>
                <w:noProof/>
                <w:webHidden/>
                <w:color w:val="auto"/>
              </w:rPr>
              <w:t>31</w:t>
            </w:r>
            <w:r w:rsidRPr="00B5758B">
              <w:rPr>
                <w:noProof/>
                <w:webHidden/>
                <w:color w:val="auto"/>
              </w:rPr>
              <w:fldChar w:fldCharType="end"/>
            </w:r>
          </w:hyperlink>
        </w:p>
        <w:p w14:paraId="37BD5B2A" w14:textId="77777777" w:rsidR="00B5758B" w:rsidRPr="00B5758B" w:rsidRDefault="00B5758B" w:rsidP="00B5758B">
          <w:pPr>
            <w:widowControl w:val="0"/>
            <w:tabs>
              <w:tab w:val="right" w:leader="dot" w:pos="12000"/>
            </w:tabs>
            <w:spacing w:before="100" w:beforeAutospacing="1" w:after="100" w:afterAutospacing="1"/>
            <w:rPr>
              <w:rFonts w:ascii="Times New Roman" w:hAnsi="Times New Roman" w:cs="Times New Roman"/>
              <w:b/>
              <w:sz w:val="24"/>
              <w:szCs w:val="24"/>
            </w:rPr>
          </w:pPr>
          <w:r w:rsidRPr="00B5758B">
            <w:rPr>
              <w:rFonts w:ascii="Times New Roman" w:hAnsi="Times New Roman" w:cs="Times New Roman"/>
              <w:sz w:val="24"/>
              <w:szCs w:val="24"/>
            </w:rPr>
            <w:fldChar w:fldCharType="end"/>
          </w:r>
        </w:p>
      </w:sdtContent>
    </w:sdt>
    <w:p w14:paraId="765F19DE" w14:textId="77777777" w:rsidR="00B5758B" w:rsidRPr="00B5758B" w:rsidRDefault="00B5758B" w:rsidP="00B5758B">
      <w:pPr>
        <w:spacing w:before="100" w:beforeAutospacing="1" w:after="100" w:afterAutospacing="1"/>
        <w:jc w:val="center"/>
        <w:rPr>
          <w:rFonts w:ascii="Times New Roman" w:hAnsi="Times New Roman" w:cs="Times New Roman"/>
          <w:b/>
          <w:sz w:val="24"/>
          <w:szCs w:val="24"/>
        </w:rPr>
      </w:pPr>
    </w:p>
    <w:p w14:paraId="39706205" w14:textId="77777777" w:rsidR="00B5758B" w:rsidRPr="00B5758B" w:rsidRDefault="00B5758B" w:rsidP="00B5758B">
      <w:pPr>
        <w:spacing w:before="100" w:beforeAutospacing="1" w:after="100" w:afterAutospacing="1"/>
        <w:rPr>
          <w:rFonts w:ascii="Times New Roman" w:hAnsi="Times New Roman" w:cs="Times New Roman"/>
          <w:b/>
          <w:sz w:val="24"/>
          <w:szCs w:val="24"/>
        </w:rPr>
      </w:pPr>
      <w:r w:rsidRPr="00B5758B">
        <w:rPr>
          <w:rFonts w:ascii="Times New Roman" w:hAnsi="Times New Roman" w:cs="Times New Roman"/>
          <w:sz w:val="24"/>
          <w:szCs w:val="24"/>
        </w:rPr>
        <w:br w:type="page"/>
      </w:r>
    </w:p>
    <w:p w14:paraId="276D23C6" w14:textId="77777777" w:rsidR="00B5758B" w:rsidRPr="00B5758B" w:rsidRDefault="00B5758B" w:rsidP="00B5758B">
      <w:pPr>
        <w:spacing w:before="100" w:beforeAutospacing="1" w:after="100" w:afterAutospacing="1"/>
        <w:rPr>
          <w:rFonts w:ascii="Times New Roman" w:hAnsi="Times New Roman" w:cs="Times New Roman"/>
          <w:b/>
          <w:sz w:val="24"/>
          <w:szCs w:val="24"/>
        </w:rPr>
      </w:pPr>
      <w:r w:rsidRPr="00B5758B">
        <w:rPr>
          <w:rFonts w:ascii="Times New Roman" w:hAnsi="Times New Roman" w:cs="Times New Roman"/>
          <w:b/>
          <w:sz w:val="24"/>
          <w:szCs w:val="24"/>
        </w:rPr>
        <w:lastRenderedPageBreak/>
        <w:t>Executive Summary</w:t>
      </w:r>
    </w:p>
    <w:p w14:paraId="2102211F"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Introduction: Mandarin Oriental, Miami, a top waterfront hotel famous for its high-end service and the very famous Brickell Key address, is now going through a critical phase of transition characterised by extensive property closures and scheduled redevelopment. These developments have not only resulted in the temporary suspension of operations but also employee dismissals, affecting continuity of service, brand reputation, and stakeholder trust. This </w:t>
      </w:r>
      <w:proofErr w:type="spellStart"/>
      <w:r w:rsidRPr="00B5758B">
        <w:rPr>
          <w:rFonts w:ascii="Times New Roman" w:hAnsi="Times New Roman" w:cs="Times New Roman"/>
          <w:sz w:val="24"/>
          <w:szCs w:val="24"/>
        </w:rPr>
        <w:t>Nexora</w:t>
      </w:r>
      <w:proofErr w:type="spellEnd"/>
      <w:r w:rsidRPr="00B5758B">
        <w:rPr>
          <w:rFonts w:ascii="Times New Roman" w:hAnsi="Times New Roman" w:cs="Times New Roman"/>
          <w:sz w:val="24"/>
          <w:szCs w:val="24"/>
        </w:rPr>
        <w:t xml:space="preserve"> Consulting Group consultancy report gives a holistic, strategic answer to these challenges. </w:t>
      </w:r>
    </w:p>
    <w:p w14:paraId="69BD72F5" w14:textId="308F468D"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Analysis: Using a blend of internal analysis tools like SWOT and external environment tools like STEEPLED and TOWS Matrix, the report gives a future-oriented roadmap that focuses on recovery and sustainable repositioning of the firm. A STEEPLE analysis was employed to assess the external environment, which picked up on robust social changes towards wellness and green travel, economic tensions of inflation, changing technological requirements of digital guest interaction, and regulatory issues of redevelopment labour laws. These external factors highlight the need to future-proof the hotel both infrastructurally, operational robustness, and ethical leadership. Internally, a SWOT framework was also used to analyse the strengths of the hotel now and aspirations in the future. Even after the closure, the company still has a globally recognised brand, capital access, and upscale customer base. These are assets that can be used to take advantage of new opportunities, like implementing green building design and entering strategic partnerships with local partners. The aspirations of the hotel to be a flagship for sustainable hotels in Miami are realisable through defined goals, good leadership, and collaboration with stakeholders. Based on SWOT, a TOWS matrix was used to translate the findings of internal and external frameworks into vital strategies. For instance, it was suggested to collaborate with local institutions to upskill employees. At the same time, it was also recommended to utilise Mandarin Oriental's strong loyalty schemes and brand recognition to hold on to customers through rewards at sister hotels. </w:t>
      </w:r>
      <w:r w:rsidRPr="00B5758B">
        <w:rPr>
          <w:rFonts w:ascii="Times New Roman" w:hAnsi="Times New Roman" w:cs="Times New Roman"/>
          <w:sz w:val="24"/>
          <w:szCs w:val="24"/>
          <w:highlight w:val="white"/>
        </w:rPr>
        <w:t xml:space="preserve">Finally, the Weaknesses-Threats strategies are damage control and risk reduction. The concurrent issues of property closure and worker layoffs can diminish investor confidence and operational momentum. To offset this, rehiring programs can be considered. This can provide interim profits while also keeping the property current in Miami's hospitality market. Further, a clear communication plan among stakeholders must be initiated to keep the investors, staff, media, and visitors posted about progress, anticipated timelines, and the benefit proposition of redevelopment. Town hall meetings, update newsletters, and participative microsites can help to control expectations and minimise disinformation. </w:t>
      </w:r>
    </w:p>
    <w:p w14:paraId="23F012E6" w14:textId="21DB47BD"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From the ongoing problem that Mandarin has recently encountered with the decision of the layoffs it has led to questions about the very performance of the management and the decision-making framework. However, in the case of Mandarin, it must impact the employees psychologically and even professionally. Every employer is accountable for their actions, and hence, the management does need to act on an immediate basis before the two-tower residence is developed. The first recommendation pointed to the use of Six Sigma for identifying the issue and then developing our strategy or decision that could be taken. For example, with the feedback from the employees, management would be able to know, like how they could help the organisation if they are reallocated or what impact the reallocation could cause if integrated. Secondly, the recommendation stated the Lewin Change </w:t>
      </w:r>
      <w:r w:rsidRPr="00B5758B">
        <w:rPr>
          <w:rFonts w:ascii="Times New Roman" w:hAnsi="Times New Roman" w:cs="Times New Roman"/>
          <w:sz w:val="24"/>
          <w:szCs w:val="24"/>
        </w:rPr>
        <w:lastRenderedPageBreak/>
        <w:t xml:space="preserve">Management model for implementing the change, where the plan would be to train the employees based on the services that are to be offered to the 228 properties. </w:t>
      </w:r>
    </w:p>
    <w:p w14:paraId="4C11B8A0"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Recommendations: Essentially, Mandarin is suggested to take the approach of reallocation of the employees to different roles in the new residence rather than laying them off. It would not only help the employees to sustain in the organisation but also meet the increased needs of the customers when they visit the new residence. The Human manager would incur additional costs when they will be hiring new employees for the residence, hence the cost could be accommodated with the training of the existing employees. Thereby, Mandarin is thirdly recommended to make use of the Star model to bring a change in the framework. It does point to how Mandarin, with the new reallocation of the staff, could change the structure and enhance the organisational competitiveness. With the changes to be incurred in Mandarin, the structural change does count as a part of the non-financial aspects. However, certain costs need to be considered that will be required for the change to be implemented effectively. The strategic actions would demand Mandarin to commence with an action plan that would frame the budget to be required along with the time frame, thus adding to the specificity of the changes to be accommodated. Evidenced by different research works, it is found that human resource managers do have the strategic role of understanding the requirements of organisations and implementing the changes. With the changes, Mandarin could focus on future-oriented demands, employee satisfaction and social responsibility towards employees to be carried out as well. </w:t>
      </w:r>
    </w:p>
    <w:p w14:paraId="5EE4BF5E"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bookmarkStart w:id="0" w:name="_Toc200879389"/>
      <w:r w:rsidRPr="00B5758B">
        <w:rPr>
          <w:rFonts w:ascii="Times New Roman" w:hAnsi="Times New Roman" w:cs="Times New Roman"/>
          <w:color w:val="auto"/>
          <w:sz w:val="24"/>
          <w:szCs w:val="24"/>
        </w:rPr>
        <w:t>Introduction</w:t>
      </w:r>
      <w:bookmarkEnd w:id="0"/>
    </w:p>
    <w:p w14:paraId="088E72E9" w14:textId="77777777" w:rsidR="00B5758B" w:rsidRPr="00B5758B" w:rsidRDefault="00B5758B" w:rsidP="00B5758B">
      <w:pPr>
        <w:spacing w:before="100" w:beforeAutospacing="1" w:after="100" w:afterAutospacing="1"/>
        <w:rPr>
          <w:rFonts w:ascii="Times New Roman" w:hAnsi="Times New Roman" w:cs="Times New Roman"/>
          <w:b/>
          <w:sz w:val="24"/>
          <w:szCs w:val="24"/>
        </w:rPr>
      </w:pPr>
      <w:r w:rsidRPr="00B5758B">
        <w:rPr>
          <w:rFonts w:ascii="Times New Roman" w:hAnsi="Times New Roman" w:cs="Times New Roman"/>
          <w:b/>
          <w:sz w:val="24"/>
          <w:szCs w:val="24"/>
        </w:rPr>
        <w:t>Issue</w:t>
      </w:r>
    </w:p>
    <w:p w14:paraId="5BDB0E7D"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This consultancy report has been commissioned by the very renowned Mandarin Oriental Hotel Group to investigate and address the ongoing organisational issue of </w:t>
      </w:r>
      <w:r w:rsidRPr="00B5758B">
        <w:rPr>
          <w:rFonts w:ascii="Times New Roman" w:hAnsi="Times New Roman" w:cs="Times New Roman"/>
          <w:bCs/>
          <w:sz w:val="24"/>
          <w:szCs w:val="24"/>
        </w:rPr>
        <w:t>major property closures and development</w:t>
      </w:r>
      <w:r w:rsidRPr="00B5758B">
        <w:rPr>
          <w:rFonts w:ascii="Times New Roman" w:hAnsi="Times New Roman" w:cs="Times New Roman"/>
          <w:b/>
          <w:sz w:val="24"/>
          <w:szCs w:val="24"/>
        </w:rPr>
        <w:t xml:space="preserve">, </w:t>
      </w:r>
      <w:r w:rsidRPr="00B5758B">
        <w:rPr>
          <w:rFonts w:ascii="Times New Roman" w:hAnsi="Times New Roman" w:cs="Times New Roman"/>
          <w:sz w:val="24"/>
          <w:szCs w:val="24"/>
        </w:rPr>
        <w:t xml:space="preserve">which might lead to massive layoffs in Miami. Mateer (2025) depicted that Mandarin Oriental in Miami will close its doors on May 31, 2025, as it will be demolished and redeveloped. Further, due to this </w:t>
      </w:r>
      <w:proofErr w:type="gramStart"/>
      <w:r w:rsidRPr="00B5758B">
        <w:rPr>
          <w:rFonts w:ascii="Times New Roman" w:hAnsi="Times New Roman" w:cs="Times New Roman"/>
          <w:sz w:val="24"/>
          <w:szCs w:val="24"/>
        </w:rPr>
        <w:t>particular issue</w:t>
      </w:r>
      <w:proofErr w:type="gramEnd"/>
      <w:r w:rsidRPr="00B5758B">
        <w:rPr>
          <w:rFonts w:ascii="Times New Roman" w:hAnsi="Times New Roman" w:cs="Times New Roman"/>
          <w:sz w:val="24"/>
          <w:szCs w:val="24"/>
        </w:rPr>
        <w:t>, 430 employees will be laid off, which would include everyone from the servers and room attendants to the directors of finance and sales (</w:t>
      </w:r>
      <w:proofErr w:type="spellStart"/>
      <w:r w:rsidRPr="00B5758B">
        <w:rPr>
          <w:rFonts w:ascii="Times New Roman" w:hAnsi="Times New Roman" w:cs="Times New Roman"/>
          <w:sz w:val="24"/>
          <w:szCs w:val="24"/>
        </w:rPr>
        <w:t>NewsBreak</w:t>
      </w:r>
      <w:proofErr w:type="spellEnd"/>
      <w:r w:rsidRPr="00B5758B">
        <w:rPr>
          <w:rFonts w:ascii="Times New Roman" w:hAnsi="Times New Roman" w:cs="Times New Roman"/>
          <w:sz w:val="24"/>
          <w:szCs w:val="24"/>
        </w:rPr>
        <w:t xml:space="preserve">, 2024; </w:t>
      </w:r>
      <w:proofErr w:type="spellStart"/>
      <w:r w:rsidRPr="00B5758B">
        <w:rPr>
          <w:rFonts w:ascii="Times New Roman" w:hAnsi="Times New Roman" w:cs="Times New Roman"/>
          <w:sz w:val="24"/>
          <w:szCs w:val="24"/>
        </w:rPr>
        <w:t>Connectcre</w:t>
      </w:r>
      <w:proofErr w:type="spellEnd"/>
      <w:r w:rsidRPr="00B5758B">
        <w:rPr>
          <w:rFonts w:ascii="Times New Roman" w:hAnsi="Times New Roman" w:cs="Times New Roman"/>
          <w:sz w:val="24"/>
          <w:szCs w:val="24"/>
        </w:rPr>
        <w:t xml:space="preserve">, 2025). While these efforts are geared to navigate through the future competencies, the transition period represents different complications for the company stakeholders. This issue is highly problematic for the Hotel because it would threaten short-term service quality, operational stability, and brand reputation. Hence, this report hinges on exploring the root causes of this problem while assessing all its implications for improved sustainability in future. </w:t>
      </w:r>
    </w:p>
    <w:p w14:paraId="7DC7B3F0"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noProof/>
          <w:sz w:val="24"/>
          <w:szCs w:val="24"/>
        </w:rPr>
        <w:lastRenderedPageBreak/>
        <w:drawing>
          <wp:inline distT="114300" distB="114300" distL="114300" distR="114300" wp14:anchorId="3D783547" wp14:editId="46C1E553">
            <wp:extent cx="4754543" cy="3167063"/>
            <wp:effectExtent l="0" t="0" r="0" b="0"/>
            <wp:docPr id="1998503021" name="image5.png" descr="A bridge over water with buildings and trees&#10;&#10;AI-generated content may be incorrect."/>
            <wp:cNvGraphicFramePr/>
            <a:graphic xmlns:a="http://schemas.openxmlformats.org/drawingml/2006/main">
              <a:graphicData uri="http://schemas.openxmlformats.org/drawingml/2006/picture">
                <pic:pic xmlns:pic="http://schemas.openxmlformats.org/drawingml/2006/picture">
                  <pic:nvPicPr>
                    <pic:cNvPr id="1998503021" name="image5.png" descr="A bridge over water with buildings and trees&#10;&#10;AI-generated content may be incorrect."/>
                    <pic:cNvPicPr preferRelativeResize="0"/>
                  </pic:nvPicPr>
                  <pic:blipFill>
                    <a:blip r:embed="rId6"/>
                    <a:srcRect/>
                    <a:stretch>
                      <a:fillRect/>
                    </a:stretch>
                  </pic:blipFill>
                  <pic:spPr>
                    <a:xfrm>
                      <a:off x="0" y="0"/>
                      <a:ext cx="4754543" cy="3167063"/>
                    </a:xfrm>
                    <a:prstGeom prst="rect">
                      <a:avLst/>
                    </a:prstGeom>
                    <a:ln/>
                  </pic:spPr>
                </pic:pic>
              </a:graphicData>
            </a:graphic>
          </wp:inline>
        </w:drawing>
      </w:r>
    </w:p>
    <w:p w14:paraId="714EF8EB"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b/>
          <w:sz w:val="24"/>
          <w:szCs w:val="24"/>
        </w:rPr>
        <w:t>Figure 1: The Mandarin Oriental Hotel at Brickell Key in Miami</w:t>
      </w:r>
    </w:p>
    <w:p w14:paraId="7DB03D96"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sz w:val="24"/>
          <w:szCs w:val="24"/>
        </w:rPr>
        <w:t>(Source: Andino, 2025)</w:t>
      </w:r>
    </w:p>
    <w:p w14:paraId="6D37AB2F" w14:textId="77777777" w:rsidR="00B5758B" w:rsidRPr="00B5758B" w:rsidRDefault="00B5758B" w:rsidP="00B5758B">
      <w:pPr>
        <w:spacing w:before="100" w:beforeAutospacing="1" w:after="100" w:afterAutospacing="1"/>
        <w:rPr>
          <w:rFonts w:ascii="Times New Roman" w:hAnsi="Times New Roman" w:cs="Times New Roman"/>
          <w:b/>
          <w:sz w:val="24"/>
          <w:szCs w:val="24"/>
        </w:rPr>
      </w:pPr>
    </w:p>
    <w:p w14:paraId="0BAF287B" w14:textId="77777777" w:rsidR="00B5758B" w:rsidRPr="00B5758B" w:rsidRDefault="00B5758B" w:rsidP="00B5758B">
      <w:pPr>
        <w:spacing w:before="100" w:beforeAutospacing="1" w:after="100" w:afterAutospacing="1"/>
        <w:rPr>
          <w:rFonts w:ascii="Times New Roman" w:hAnsi="Times New Roman" w:cs="Times New Roman"/>
          <w:b/>
          <w:sz w:val="24"/>
          <w:szCs w:val="24"/>
        </w:rPr>
      </w:pPr>
      <w:r w:rsidRPr="00B5758B">
        <w:rPr>
          <w:rFonts w:ascii="Times New Roman" w:hAnsi="Times New Roman" w:cs="Times New Roman"/>
          <w:b/>
          <w:sz w:val="24"/>
          <w:szCs w:val="24"/>
        </w:rPr>
        <w:t xml:space="preserve">Company Background </w:t>
      </w:r>
    </w:p>
    <w:p w14:paraId="59B0BAA4"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The Mandarin Oriental Hotel Group International Limited is a renowned management and hospitality group that offers luxury accommodation in the form of residences, resorts and hotels (Mandarin Oriental, 2025). The hotel group has 43 properties globally. </w:t>
      </w:r>
    </w:p>
    <w:p w14:paraId="6BF51C1D"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noProof/>
          <w:sz w:val="24"/>
          <w:szCs w:val="24"/>
        </w:rPr>
        <w:drawing>
          <wp:inline distT="114300" distB="114300" distL="114300" distR="114300" wp14:anchorId="7C3144DB" wp14:editId="17877A8B">
            <wp:extent cx="2409825" cy="1895475"/>
            <wp:effectExtent l="0" t="0" r="0" b="0"/>
            <wp:docPr id="1998503017" name="image3.png" descr="A logo of a hotel&#10;&#10;AI-generated content may be incorrect."/>
            <wp:cNvGraphicFramePr/>
            <a:graphic xmlns:a="http://schemas.openxmlformats.org/drawingml/2006/main">
              <a:graphicData uri="http://schemas.openxmlformats.org/drawingml/2006/picture">
                <pic:pic xmlns:pic="http://schemas.openxmlformats.org/drawingml/2006/picture">
                  <pic:nvPicPr>
                    <pic:cNvPr id="1998503017" name="image3.png" descr="A logo of a hotel&#10;&#10;AI-generated content may be incorrect."/>
                    <pic:cNvPicPr preferRelativeResize="0"/>
                  </pic:nvPicPr>
                  <pic:blipFill>
                    <a:blip r:embed="rId7"/>
                    <a:srcRect/>
                    <a:stretch>
                      <a:fillRect/>
                    </a:stretch>
                  </pic:blipFill>
                  <pic:spPr>
                    <a:xfrm>
                      <a:off x="0" y="0"/>
                      <a:ext cx="2409825" cy="1895475"/>
                    </a:xfrm>
                    <a:prstGeom prst="rect">
                      <a:avLst/>
                    </a:prstGeom>
                    <a:ln/>
                  </pic:spPr>
                </pic:pic>
              </a:graphicData>
            </a:graphic>
          </wp:inline>
        </w:drawing>
      </w:r>
    </w:p>
    <w:p w14:paraId="35446C03"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b/>
          <w:sz w:val="24"/>
          <w:szCs w:val="24"/>
        </w:rPr>
        <w:t xml:space="preserve">Figure 2: Company Logo </w:t>
      </w:r>
    </w:p>
    <w:p w14:paraId="1CF08316"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sz w:val="24"/>
          <w:szCs w:val="24"/>
        </w:rPr>
        <w:t>(Source: Mandarin Oriental, 2025)</w:t>
      </w:r>
    </w:p>
    <w:p w14:paraId="51E1AE38"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This Hotel group is driven by a passion for providing exceptional everyday services to its clients. This Hotel group works with a mission to craft enriching experiences that can </w:t>
      </w:r>
      <w:r w:rsidRPr="00B5758B">
        <w:rPr>
          <w:rFonts w:ascii="Times New Roman" w:hAnsi="Times New Roman" w:cs="Times New Roman"/>
          <w:sz w:val="24"/>
          <w:szCs w:val="24"/>
        </w:rPr>
        <w:lastRenderedPageBreak/>
        <w:t xml:space="preserve">transform the ordinary to the exceptional for its guests. Furthermore, this organisation, founded by Atkins Dyer and William West in 1963, seeks to delight its colleagues and customers by exceeding their expectations and surprising them with great services through continuous improvement. </w:t>
      </w:r>
    </w:p>
    <w:p w14:paraId="59E58245"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One of these properties of this hotel group is the Mandarin Oriental, Miami, which started in 2000 and is a five-star hotel located on the Brickell Key, which is a small island adjacent to Miami (MO Miami, 2025). This hotel has over 326 suites and hotel rooms, along with a five-star spa centre and restaurant. </w:t>
      </w:r>
    </w:p>
    <w:p w14:paraId="54C3686F"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noProof/>
          <w:sz w:val="24"/>
          <w:szCs w:val="24"/>
        </w:rPr>
        <w:drawing>
          <wp:inline distT="114300" distB="114300" distL="114300" distR="114300" wp14:anchorId="672A2AD4" wp14:editId="4374F4B9">
            <wp:extent cx="3995738" cy="2659542"/>
            <wp:effectExtent l="0" t="0" r="0" b="0"/>
            <wp:docPr id="1998503020" name="image4.png" descr="A room with a television and a couch&#10;&#10;AI-generated content may be incorrect."/>
            <wp:cNvGraphicFramePr/>
            <a:graphic xmlns:a="http://schemas.openxmlformats.org/drawingml/2006/main">
              <a:graphicData uri="http://schemas.openxmlformats.org/drawingml/2006/picture">
                <pic:pic xmlns:pic="http://schemas.openxmlformats.org/drawingml/2006/picture">
                  <pic:nvPicPr>
                    <pic:cNvPr id="1998503020" name="image4.png" descr="A room with a television and a couch&#10;&#10;AI-generated content may be incorrect."/>
                    <pic:cNvPicPr preferRelativeResize="0"/>
                  </pic:nvPicPr>
                  <pic:blipFill>
                    <a:blip r:embed="rId8"/>
                    <a:srcRect/>
                    <a:stretch>
                      <a:fillRect/>
                    </a:stretch>
                  </pic:blipFill>
                  <pic:spPr>
                    <a:xfrm>
                      <a:off x="0" y="0"/>
                      <a:ext cx="3995738" cy="2659542"/>
                    </a:xfrm>
                    <a:prstGeom prst="rect">
                      <a:avLst/>
                    </a:prstGeom>
                    <a:ln/>
                  </pic:spPr>
                </pic:pic>
              </a:graphicData>
            </a:graphic>
          </wp:inline>
        </w:drawing>
      </w:r>
      <w:r w:rsidRPr="00B5758B">
        <w:rPr>
          <w:rFonts w:ascii="Times New Roman" w:hAnsi="Times New Roman" w:cs="Times New Roman"/>
          <w:sz w:val="24"/>
          <w:szCs w:val="24"/>
        </w:rPr>
        <w:t xml:space="preserve">  </w:t>
      </w:r>
    </w:p>
    <w:p w14:paraId="678A3C38"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b/>
          <w:sz w:val="24"/>
          <w:szCs w:val="24"/>
        </w:rPr>
        <w:t xml:space="preserve">Figure 3: Hotel Rooms of Mandarin Oriental, Miami </w:t>
      </w:r>
    </w:p>
    <w:p w14:paraId="3D351EA4"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sz w:val="24"/>
          <w:szCs w:val="24"/>
        </w:rPr>
        <w:t>(Source: MOM Gallery, 2025)</w:t>
      </w:r>
    </w:p>
    <w:p w14:paraId="39E53B71"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However, as of 2024-2025, this hotel in Miami has entered a phase where it will be demolished permanently and developed to expand its offering. This imposes a significant threat in terms of employee morale and satisfaction, alongside financial performance.</w:t>
      </w:r>
    </w:p>
    <w:p w14:paraId="2A262AEE" w14:textId="77777777" w:rsidR="00B5758B" w:rsidRPr="00B5758B" w:rsidRDefault="00B5758B" w:rsidP="00B5758B">
      <w:pPr>
        <w:spacing w:before="100" w:beforeAutospacing="1" w:after="100" w:afterAutospacing="1"/>
        <w:rPr>
          <w:rFonts w:ascii="Times New Roman" w:hAnsi="Times New Roman" w:cs="Times New Roman"/>
          <w:b/>
          <w:sz w:val="24"/>
          <w:szCs w:val="24"/>
        </w:rPr>
      </w:pPr>
      <w:r w:rsidRPr="00B5758B">
        <w:rPr>
          <w:rFonts w:ascii="Times New Roman" w:hAnsi="Times New Roman" w:cs="Times New Roman"/>
          <w:b/>
          <w:sz w:val="24"/>
          <w:szCs w:val="24"/>
        </w:rPr>
        <w:t xml:space="preserve">Background on the Consultancy Firm </w:t>
      </w:r>
    </w:p>
    <w:p w14:paraId="1549ADE0"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t>Nexora</w:t>
      </w:r>
      <w:proofErr w:type="spellEnd"/>
      <w:r w:rsidRPr="00B5758B">
        <w:rPr>
          <w:rFonts w:ascii="Times New Roman" w:hAnsi="Times New Roman" w:cs="Times New Roman"/>
          <w:sz w:val="24"/>
          <w:szCs w:val="24"/>
        </w:rPr>
        <w:t xml:space="preserve"> Consulting Group is a UK-based firm specialising in chain management development planning. This company was founded in 2013 and has developed a great reputation for guiding luxury resorts and hotels through complicated transformations involving service reconfiguration and renovations. </w:t>
      </w:r>
    </w:p>
    <w:p w14:paraId="46A033CE"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Having supported luxury redevelopment projects for leading brands such as Accor, Marriott hotels, and more, </w:t>
      </w:r>
      <w:proofErr w:type="spellStart"/>
      <w:r w:rsidRPr="00B5758B">
        <w:rPr>
          <w:rFonts w:ascii="Times New Roman" w:hAnsi="Times New Roman" w:cs="Times New Roman"/>
          <w:sz w:val="24"/>
          <w:szCs w:val="24"/>
        </w:rPr>
        <w:t>Nexora</w:t>
      </w:r>
      <w:proofErr w:type="spellEnd"/>
      <w:r w:rsidRPr="00B5758B">
        <w:rPr>
          <w:rFonts w:ascii="Times New Roman" w:hAnsi="Times New Roman" w:cs="Times New Roman"/>
          <w:sz w:val="24"/>
          <w:szCs w:val="24"/>
        </w:rPr>
        <w:t xml:space="preserve"> Consulting Group is uniquely positioned to support Mandarin Oriental, Miami in navigating through the challenges of property closures and employee layoffs. </w:t>
      </w:r>
    </w:p>
    <w:p w14:paraId="1AC44719" w14:textId="77777777" w:rsidR="00B5758B" w:rsidRDefault="00B5758B" w:rsidP="00B5758B">
      <w:pPr>
        <w:spacing w:before="100" w:beforeAutospacing="1" w:after="100" w:afterAutospacing="1"/>
        <w:rPr>
          <w:rFonts w:ascii="Times New Roman" w:hAnsi="Times New Roman" w:cs="Times New Roman"/>
          <w:b/>
          <w:sz w:val="24"/>
          <w:szCs w:val="24"/>
        </w:rPr>
      </w:pPr>
    </w:p>
    <w:p w14:paraId="46BC668D" w14:textId="77777777" w:rsidR="00B5758B" w:rsidRDefault="00B5758B" w:rsidP="00B5758B">
      <w:pPr>
        <w:spacing w:before="100" w:beforeAutospacing="1" w:after="100" w:afterAutospacing="1"/>
        <w:rPr>
          <w:rFonts w:ascii="Times New Roman" w:hAnsi="Times New Roman" w:cs="Times New Roman"/>
          <w:b/>
          <w:sz w:val="24"/>
          <w:szCs w:val="24"/>
        </w:rPr>
      </w:pPr>
    </w:p>
    <w:p w14:paraId="0AF03FFA" w14:textId="76E83EC1" w:rsidR="00B5758B" w:rsidRPr="00B5758B" w:rsidRDefault="00B5758B" w:rsidP="00B5758B">
      <w:pPr>
        <w:spacing w:before="100" w:beforeAutospacing="1" w:after="100" w:afterAutospacing="1"/>
        <w:rPr>
          <w:rFonts w:ascii="Times New Roman" w:hAnsi="Times New Roman" w:cs="Times New Roman"/>
          <w:b/>
          <w:sz w:val="24"/>
          <w:szCs w:val="24"/>
        </w:rPr>
      </w:pPr>
      <w:r w:rsidRPr="00B5758B">
        <w:rPr>
          <w:rFonts w:ascii="Times New Roman" w:hAnsi="Times New Roman" w:cs="Times New Roman"/>
          <w:b/>
          <w:sz w:val="24"/>
          <w:szCs w:val="24"/>
        </w:rPr>
        <w:t xml:space="preserve">Structure of Report </w:t>
      </w:r>
    </w:p>
    <w:p w14:paraId="3DD32101" w14:textId="77777777" w:rsidR="00B5758B" w:rsidRPr="00B5758B" w:rsidRDefault="00B5758B" w:rsidP="00B5758B">
      <w:pPr>
        <w:spacing w:before="100" w:beforeAutospacing="1" w:after="100" w:afterAutospacing="1"/>
        <w:rPr>
          <w:rFonts w:ascii="Times New Roman" w:hAnsi="Times New Roman" w:cs="Times New Roman"/>
          <w:b/>
          <w:sz w:val="24"/>
          <w:szCs w:val="24"/>
        </w:rPr>
      </w:pPr>
      <w:r w:rsidRPr="00B5758B">
        <w:rPr>
          <w:rFonts w:ascii="Times New Roman" w:hAnsi="Times New Roman" w:cs="Times New Roman"/>
          <w:sz w:val="24"/>
          <w:szCs w:val="24"/>
        </w:rPr>
        <w:t xml:space="preserve">The current report focuses on analysing the problem faced by Mandarin Oriental, Miami, using several theoretical frameworks through the Six Sigma method. A STEEPLED (Social, Technological, Economic, Environmental, Political, Legal, Ethical and Demographic) analysis will be carried out for understanding the external factors associated with this issue. Further, a SOAR (Strengths, Opportunities, Aspirations, Results) analysis will also be carried out for identifying the internal capabilities of the organisation along with the areas of improvement. Lastly, a TOWS analysis (Threats, Opportunities, Weaknesses, Strengths) will also be conducted to understand the possible future strategies for mitigating the current issues being faced. Lastly, an action plan will be curated for the organisation to understand how the recommended change management strategies would be incorporated. </w:t>
      </w:r>
    </w:p>
    <w:p w14:paraId="67A5EC44" w14:textId="77777777" w:rsidR="00B5758B" w:rsidRPr="00B5758B" w:rsidRDefault="00B5758B" w:rsidP="00B5758B">
      <w:pPr>
        <w:spacing w:before="100" w:beforeAutospacing="1" w:after="100" w:afterAutospacing="1"/>
        <w:rPr>
          <w:rFonts w:ascii="Times New Roman" w:hAnsi="Times New Roman" w:cs="Times New Roman"/>
          <w:sz w:val="24"/>
          <w:szCs w:val="24"/>
        </w:rPr>
      </w:pPr>
    </w:p>
    <w:p w14:paraId="6365E2CA"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bookmarkStart w:id="1" w:name="_Toc200879390"/>
      <w:r w:rsidRPr="00B5758B">
        <w:rPr>
          <w:rFonts w:ascii="Times New Roman" w:hAnsi="Times New Roman" w:cs="Times New Roman"/>
          <w:color w:val="auto"/>
          <w:sz w:val="24"/>
          <w:szCs w:val="24"/>
        </w:rPr>
        <w:t>Analysis</w:t>
      </w:r>
      <w:bookmarkEnd w:id="1"/>
    </w:p>
    <w:p w14:paraId="56BA4369" w14:textId="77777777" w:rsidR="00B5758B" w:rsidRPr="00B5758B" w:rsidRDefault="00B5758B" w:rsidP="00B5758B">
      <w:pPr>
        <w:pStyle w:val="Heading2"/>
        <w:spacing w:before="100" w:beforeAutospacing="1" w:after="100" w:afterAutospacing="1"/>
        <w:rPr>
          <w:rFonts w:ascii="Times New Roman" w:eastAsia="Arial" w:hAnsi="Times New Roman" w:cs="Times New Roman"/>
          <w:b/>
          <w:color w:val="auto"/>
          <w:sz w:val="24"/>
          <w:szCs w:val="24"/>
        </w:rPr>
      </w:pPr>
      <w:bookmarkStart w:id="2" w:name="_Toc200879391"/>
      <w:r w:rsidRPr="00B5758B">
        <w:rPr>
          <w:rFonts w:ascii="Times New Roman" w:hAnsi="Times New Roman" w:cs="Times New Roman"/>
          <w:color w:val="auto"/>
          <w:sz w:val="24"/>
          <w:szCs w:val="24"/>
        </w:rPr>
        <w:t>Analysis of External Factors through STEEPLE Analysis</w:t>
      </w:r>
      <w:bookmarkEnd w:id="2"/>
      <w:r w:rsidRPr="00B5758B">
        <w:rPr>
          <w:rFonts w:ascii="Times New Roman" w:hAnsi="Times New Roman" w:cs="Times New Roman"/>
          <w:color w:val="auto"/>
          <w:sz w:val="24"/>
          <w:szCs w:val="24"/>
        </w:rPr>
        <w:t xml:space="preserve">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58"/>
        <w:gridCol w:w="2504"/>
        <w:gridCol w:w="4744"/>
      </w:tblGrid>
      <w:tr w:rsidR="00B5758B" w:rsidRPr="00B5758B" w14:paraId="7C755F6A" w14:textId="77777777" w:rsidTr="00F7641C">
        <w:tc>
          <w:tcPr>
            <w:tcW w:w="976" w:type="pct"/>
            <w:shd w:val="clear" w:color="auto" w:fill="6D9EEB"/>
            <w:tcMar>
              <w:top w:w="100" w:type="dxa"/>
              <w:left w:w="100" w:type="dxa"/>
              <w:bottom w:w="100" w:type="dxa"/>
              <w:right w:w="100" w:type="dxa"/>
            </w:tcMar>
          </w:tcPr>
          <w:p w14:paraId="42B8FFCA"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 xml:space="preserve">External Factors </w:t>
            </w:r>
          </w:p>
        </w:tc>
        <w:tc>
          <w:tcPr>
            <w:tcW w:w="1390" w:type="pct"/>
            <w:shd w:val="clear" w:color="auto" w:fill="6D9EEB"/>
            <w:tcMar>
              <w:top w:w="100" w:type="dxa"/>
              <w:left w:w="100" w:type="dxa"/>
              <w:bottom w:w="100" w:type="dxa"/>
              <w:right w:w="100" w:type="dxa"/>
            </w:tcMar>
          </w:tcPr>
          <w:p w14:paraId="4E39D0C2"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 xml:space="preserve">Influential Factors </w:t>
            </w:r>
          </w:p>
        </w:tc>
        <w:tc>
          <w:tcPr>
            <w:tcW w:w="2634" w:type="pct"/>
            <w:shd w:val="clear" w:color="auto" w:fill="6D9EEB"/>
            <w:tcMar>
              <w:top w:w="100" w:type="dxa"/>
              <w:left w:w="100" w:type="dxa"/>
              <w:bottom w:w="100" w:type="dxa"/>
              <w:right w:w="100" w:type="dxa"/>
            </w:tcMar>
          </w:tcPr>
          <w:p w14:paraId="1B0A7D4B"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 xml:space="preserve">Impact on Hotels and Hospitality </w:t>
            </w:r>
          </w:p>
        </w:tc>
      </w:tr>
      <w:tr w:rsidR="00B5758B" w:rsidRPr="00B5758B" w14:paraId="2943A992" w14:textId="77777777" w:rsidTr="00F7641C">
        <w:tc>
          <w:tcPr>
            <w:tcW w:w="976" w:type="pct"/>
            <w:shd w:val="clear" w:color="auto" w:fill="9FC5E8"/>
            <w:tcMar>
              <w:top w:w="100" w:type="dxa"/>
              <w:left w:w="100" w:type="dxa"/>
              <w:bottom w:w="100" w:type="dxa"/>
              <w:right w:w="100" w:type="dxa"/>
            </w:tcMar>
          </w:tcPr>
          <w:p w14:paraId="3DDA560D"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 xml:space="preserve">Social </w:t>
            </w:r>
          </w:p>
        </w:tc>
        <w:tc>
          <w:tcPr>
            <w:tcW w:w="1390" w:type="pct"/>
            <w:shd w:val="clear" w:color="auto" w:fill="CFE2F3"/>
            <w:tcMar>
              <w:top w:w="100" w:type="dxa"/>
              <w:left w:w="100" w:type="dxa"/>
              <w:bottom w:w="100" w:type="dxa"/>
              <w:right w:w="100" w:type="dxa"/>
            </w:tcMar>
          </w:tcPr>
          <w:p w14:paraId="7C2403F7"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Preferential shift towards sustainable luxury, wellness, and travel. </w:t>
            </w:r>
          </w:p>
          <w:p w14:paraId="0CB9135E"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p>
          <w:p w14:paraId="3328C1B5"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Increased expectations for personalised hotel services.</w:t>
            </w:r>
          </w:p>
        </w:tc>
        <w:tc>
          <w:tcPr>
            <w:tcW w:w="2634" w:type="pct"/>
            <w:shd w:val="clear" w:color="auto" w:fill="CFE2F3"/>
            <w:tcMar>
              <w:top w:w="100" w:type="dxa"/>
              <w:left w:w="100" w:type="dxa"/>
              <w:bottom w:w="100" w:type="dxa"/>
              <w:right w:w="100" w:type="dxa"/>
            </w:tcMar>
          </w:tcPr>
          <w:p w14:paraId="3D9C1E50"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Forbes (2024) mentioned that over 81% of the customers in the US referred to personalised experiences from a company. Moreover, customers today want to shift towards a sustainable travel experience (Hussain, 2021; Holmes, Dodds and </w:t>
            </w:r>
            <w:proofErr w:type="spellStart"/>
            <w:r w:rsidRPr="00B5758B">
              <w:rPr>
                <w:rFonts w:ascii="Times New Roman" w:hAnsi="Times New Roman" w:cs="Times New Roman"/>
                <w:sz w:val="24"/>
                <w:szCs w:val="24"/>
              </w:rPr>
              <w:t>Frochot</w:t>
            </w:r>
            <w:proofErr w:type="spellEnd"/>
            <w:r w:rsidRPr="00B5758B">
              <w:rPr>
                <w:rFonts w:ascii="Times New Roman" w:hAnsi="Times New Roman" w:cs="Times New Roman"/>
                <w:sz w:val="24"/>
                <w:szCs w:val="24"/>
              </w:rPr>
              <w:t xml:space="preserve">, 2021). Moreover, it has also been understood that this closure is done to make way for the new residences at the Mandarin Oriental (Nunez, 2024). However, the permanent demolition and closure of Mandarin Oriental, Miami can diminish the luxury experiences of the organisation and can result in reputation damage. This might also frustrate its long-term guests who always come to the hotel while encouraging them to migrate to other competitor hotels of Mandarin Oriental in Miami, US. Behind any hotel, the impression and the relationship of the customers are closely linked. Certainly, with the decision to lay off around 430 employees, it heavily impacted society and even the scope for </w:t>
            </w:r>
            <w:r w:rsidRPr="00B5758B">
              <w:rPr>
                <w:rFonts w:ascii="Times New Roman" w:hAnsi="Times New Roman" w:cs="Times New Roman"/>
                <w:sz w:val="24"/>
                <w:szCs w:val="24"/>
              </w:rPr>
              <w:lastRenderedPageBreak/>
              <w:t xml:space="preserve">employment. Undoubtedly, the Hotel had historic significance by standing for many years, thus the demolition did impact the cultural identity too. </w:t>
            </w:r>
          </w:p>
        </w:tc>
      </w:tr>
      <w:tr w:rsidR="00B5758B" w:rsidRPr="00B5758B" w14:paraId="20B6E1DD" w14:textId="77777777" w:rsidTr="00F7641C">
        <w:tc>
          <w:tcPr>
            <w:tcW w:w="976" w:type="pct"/>
            <w:shd w:val="clear" w:color="auto" w:fill="9FC5E8"/>
            <w:tcMar>
              <w:top w:w="100" w:type="dxa"/>
              <w:left w:w="100" w:type="dxa"/>
              <w:bottom w:w="100" w:type="dxa"/>
              <w:right w:w="100" w:type="dxa"/>
            </w:tcMar>
          </w:tcPr>
          <w:p w14:paraId="23CD1CF5"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lastRenderedPageBreak/>
              <w:t xml:space="preserve">Technological </w:t>
            </w:r>
          </w:p>
        </w:tc>
        <w:tc>
          <w:tcPr>
            <w:tcW w:w="1390" w:type="pct"/>
            <w:shd w:val="clear" w:color="auto" w:fill="CFE2F3"/>
            <w:tcMar>
              <w:top w:w="100" w:type="dxa"/>
              <w:left w:w="100" w:type="dxa"/>
              <w:bottom w:w="100" w:type="dxa"/>
              <w:right w:w="100" w:type="dxa"/>
            </w:tcMar>
          </w:tcPr>
          <w:p w14:paraId="0EDCB175"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Incorporation of smart hotel technologies.</w:t>
            </w:r>
          </w:p>
          <w:p w14:paraId="43908FCC"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p>
          <w:p w14:paraId="1BE96B17"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Utilisation of Artificial Intelligence (AI) in guest engagement and operations.</w:t>
            </w:r>
          </w:p>
        </w:tc>
        <w:tc>
          <w:tcPr>
            <w:tcW w:w="2634" w:type="pct"/>
            <w:shd w:val="clear" w:color="auto" w:fill="CFE2F3"/>
            <w:tcMar>
              <w:top w:w="100" w:type="dxa"/>
              <w:left w:w="100" w:type="dxa"/>
              <w:bottom w:w="100" w:type="dxa"/>
              <w:right w:w="100" w:type="dxa"/>
            </w:tcMar>
          </w:tcPr>
          <w:p w14:paraId="64BE0CFF"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Redevelopment of Mandarin Oriental, Miami might have a chance to overhaul the technological infrastructure of the hotel. However, failing to implement modern technological systems such as AI can make the property obsolete again. Amaro, Caldeira and Seabra (2025) mentioned that customers do not prefer hotels that do not provide transformative experiences. Moreover, the permanent closure of this hotel can also reduce opportunities for the laid-off employees to upskill themselves. Hence, this can cause a significant gap in the Miami workforce. </w:t>
            </w:r>
          </w:p>
          <w:p w14:paraId="6A0582F4"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Reskilling of the employees with advanced mechanisms and the demands of the customers are the new needs of Mandarin Oriental to be accommodated. For the new hotel, there will be a requirement of skills to perform with competency, but at the same time, it will incur costs with the addition of new plans. </w:t>
            </w:r>
          </w:p>
          <w:p w14:paraId="707DAF31"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p>
        </w:tc>
      </w:tr>
      <w:tr w:rsidR="00B5758B" w:rsidRPr="00B5758B" w14:paraId="00AE3B27" w14:textId="77777777" w:rsidTr="00F7641C">
        <w:tc>
          <w:tcPr>
            <w:tcW w:w="976" w:type="pct"/>
            <w:shd w:val="clear" w:color="auto" w:fill="9FC5E8"/>
            <w:tcMar>
              <w:top w:w="100" w:type="dxa"/>
              <w:left w:w="100" w:type="dxa"/>
              <w:bottom w:w="100" w:type="dxa"/>
              <w:right w:w="100" w:type="dxa"/>
            </w:tcMar>
          </w:tcPr>
          <w:p w14:paraId="2303A6E4"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 xml:space="preserve">Economic </w:t>
            </w:r>
          </w:p>
        </w:tc>
        <w:tc>
          <w:tcPr>
            <w:tcW w:w="1390" w:type="pct"/>
            <w:shd w:val="clear" w:color="auto" w:fill="CFE2F3"/>
            <w:tcMar>
              <w:top w:w="100" w:type="dxa"/>
              <w:left w:w="100" w:type="dxa"/>
              <w:bottom w:w="100" w:type="dxa"/>
              <w:right w:w="100" w:type="dxa"/>
            </w:tcMar>
          </w:tcPr>
          <w:p w14:paraId="5E2636DE"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Economic downturns </w:t>
            </w:r>
          </w:p>
          <w:p w14:paraId="7B13CBC5"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Rising unemployment.</w:t>
            </w:r>
          </w:p>
        </w:tc>
        <w:tc>
          <w:tcPr>
            <w:tcW w:w="2634" w:type="pct"/>
            <w:shd w:val="clear" w:color="auto" w:fill="CFE2F3"/>
            <w:tcMar>
              <w:top w:w="100" w:type="dxa"/>
              <w:left w:w="100" w:type="dxa"/>
              <w:bottom w:w="100" w:type="dxa"/>
              <w:right w:w="100" w:type="dxa"/>
            </w:tcMar>
          </w:tcPr>
          <w:p w14:paraId="417D3EB3"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Redevelopment of the hotel can result in prolonged closures and overruns. Since Sherman (2025) mentioned that the U.S. economic rank in the first three months of 2025, there is a 0.3% sharp economic drop from the previous year. This might highly impact the hotel and hospitality sector because the closure would result in job losses for over 430 employees, which can create local economic instability while eroding employee loyalty and trust within the organisation. This can create a significant talent vacuum in Miami.</w:t>
            </w:r>
          </w:p>
          <w:p w14:paraId="7CDB35DC"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The laying off the employees will impact the economic condition of the firms, where the loss of productivity is a major concern. </w:t>
            </w:r>
            <w:r w:rsidRPr="00B5758B">
              <w:rPr>
                <w:rFonts w:ascii="Times New Roman" w:hAnsi="Times New Roman" w:cs="Times New Roman"/>
                <w:sz w:val="24"/>
                <w:szCs w:val="24"/>
              </w:rPr>
              <w:lastRenderedPageBreak/>
              <w:t xml:space="preserve">According to this Hotel, it </w:t>
            </w:r>
            <w:proofErr w:type="gramStart"/>
            <w:r w:rsidRPr="00B5758B">
              <w:rPr>
                <w:rFonts w:ascii="Times New Roman" w:hAnsi="Times New Roman" w:cs="Times New Roman"/>
                <w:sz w:val="24"/>
                <w:szCs w:val="24"/>
              </w:rPr>
              <w:t>opened up</w:t>
            </w:r>
            <w:proofErr w:type="gramEnd"/>
            <w:r w:rsidRPr="00B5758B">
              <w:rPr>
                <w:rFonts w:ascii="Times New Roman" w:hAnsi="Times New Roman" w:cs="Times New Roman"/>
                <w:sz w:val="24"/>
                <w:szCs w:val="24"/>
              </w:rPr>
              <w:t xml:space="preserve"> in 2000, where it offered around 326 rooms with an exotic view of the bay and the Miami skyline (</w:t>
            </w:r>
            <w:r w:rsidRPr="00B5758B">
              <w:rPr>
                <w:rFonts w:ascii="Times New Roman" w:hAnsi="Times New Roman" w:cs="Times New Roman"/>
                <w:sz w:val="24"/>
                <w:szCs w:val="24"/>
                <w:lang w:val="en-IN"/>
              </w:rPr>
              <w:t>Caswell, 2024</w:t>
            </w:r>
            <w:r w:rsidRPr="00B5758B">
              <w:rPr>
                <w:rFonts w:ascii="Times New Roman" w:hAnsi="Times New Roman" w:cs="Times New Roman"/>
                <w:sz w:val="24"/>
                <w:szCs w:val="24"/>
              </w:rPr>
              <w:t xml:space="preserve">). Though the new development will incur the attraction of customers yet how much it will be effective is the main question. </w:t>
            </w:r>
          </w:p>
        </w:tc>
      </w:tr>
      <w:tr w:rsidR="00B5758B" w:rsidRPr="00B5758B" w14:paraId="7D795560" w14:textId="77777777" w:rsidTr="00F7641C">
        <w:tc>
          <w:tcPr>
            <w:tcW w:w="976" w:type="pct"/>
            <w:shd w:val="clear" w:color="auto" w:fill="9FC5E8"/>
            <w:tcMar>
              <w:top w:w="100" w:type="dxa"/>
              <w:left w:w="100" w:type="dxa"/>
              <w:bottom w:w="100" w:type="dxa"/>
              <w:right w:w="100" w:type="dxa"/>
            </w:tcMar>
          </w:tcPr>
          <w:p w14:paraId="371FEEF5"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lastRenderedPageBreak/>
              <w:t>Environmental</w:t>
            </w:r>
          </w:p>
        </w:tc>
        <w:tc>
          <w:tcPr>
            <w:tcW w:w="1390" w:type="pct"/>
            <w:shd w:val="clear" w:color="auto" w:fill="CFE2F3"/>
            <w:tcMar>
              <w:top w:w="100" w:type="dxa"/>
              <w:left w:w="100" w:type="dxa"/>
              <w:bottom w:w="100" w:type="dxa"/>
              <w:right w:w="100" w:type="dxa"/>
            </w:tcMar>
          </w:tcPr>
          <w:p w14:paraId="5F1EF1CA"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Regulatory pressures for sustainable development. </w:t>
            </w:r>
          </w:p>
          <w:p w14:paraId="412EADF2"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p>
          <w:p w14:paraId="36D3F568"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Investor and guest expectations for sustainability.</w:t>
            </w:r>
          </w:p>
        </w:tc>
        <w:tc>
          <w:tcPr>
            <w:tcW w:w="2634" w:type="pct"/>
            <w:shd w:val="clear" w:color="auto" w:fill="CFE2F3"/>
            <w:tcMar>
              <w:top w:w="100" w:type="dxa"/>
              <w:left w:w="100" w:type="dxa"/>
              <w:bottom w:w="100" w:type="dxa"/>
              <w:right w:w="100" w:type="dxa"/>
            </w:tcMar>
          </w:tcPr>
          <w:p w14:paraId="7C7A5E1C"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There has been significant pressure in terms of sustainability and green innovation in the hospitality sector (Shui </w:t>
            </w:r>
            <w:r w:rsidRPr="00B5758B">
              <w:rPr>
                <w:rFonts w:ascii="Times New Roman" w:hAnsi="Times New Roman" w:cs="Times New Roman"/>
                <w:i/>
                <w:sz w:val="24"/>
                <w:szCs w:val="24"/>
              </w:rPr>
              <w:t xml:space="preserve">et al., </w:t>
            </w:r>
            <w:r w:rsidRPr="00B5758B">
              <w:rPr>
                <w:rFonts w:ascii="Times New Roman" w:hAnsi="Times New Roman" w:cs="Times New Roman"/>
                <w:sz w:val="24"/>
                <w:szCs w:val="24"/>
              </w:rPr>
              <w:t xml:space="preserve">2025; </w:t>
            </w:r>
            <w:proofErr w:type="spellStart"/>
            <w:r w:rsidRPr="00B5758B">
              <w:rPr>
                <w:rFonts w:ascii="Times New Roman" w:hAnsi="Times New Roman" w:cs="Times New Roman"/>
                <w:sz w:val="24"/>
                <w:szCs w:val="24"/>
              </w:rPr>
              <w:t>Fatoki</w:t>
            </w:r>
            <w:proofErr w:type="spellEnd"/>
            <w:r w:rsidRPr="00B5758B">
              <w:rPr>
                <w:rFonts w:ascii="Times New Roman" w:hAnsi="Times New Roman" w:cs="Times New Roman"/>
                <w:sz w:val="24"/>
                <w:szCs w:val="24"/>
              </w:rPr>
              <w:t>, 2021). However, failure to comply with these regulations may result in a reputational risk for hotels and the hospitality sector while leading to regulatory penalties as well. Additionally, the redevelopment and demolition of hotels like Mandarin Oriental, Miami can result in a lack of job stability, which can drive away skilled talent, making rehiring difficult. With the redevelopment of the new structure, it is evident that a new renaissance is on the way, where the management has been promising to redefine luxury and it is embedded in the urban landscape (</w:t>
            </w:r>
            <w:r w:rsidRPr="00B5758B">
              <w:rPr>
                <w:rFonts w:ascii="Times New Roman" w:hAnsi="Times New Roman" w:cs="Times New Roman"/>
                <w:sz w:val="24"/>
                <w:szCs w:val="24"/>
                <w:lang w:val="en-IN"/>
              </w:rPr>
              <w:t>Alvarez, 2024</w:t>
            </w:r>
            <w:r w:rsidRPr="00B5758B">
              <w:rPr>
                <w:rFonts w:ascii="Times New Roman" w:hAnsi="Times New Roman" w:cs="Times New Roman"/>
                <w:sz w:val="24"/>
                <w:szCs w:val="24"/>
              </w:rPr>
              <w:t xml:space="preserve">). A holistic experience is expected to be offered; however, it can impact the environmental terms like pollution to the community, the destruction of habitats. </w:t>
            </w:r>
          </w:p>
        </w:tc>
      </w:tr>
      <w:tr w:rsidR="00B5758B" w:rsidRPr="00B5758B" w14:paraId="0223BDB9" w14:textId="77777777" w:rsidTr="00F7641C">
        <w:tc>
          <w:tcPr>
            <w:tcW w:w="976" w:type="pct"/>
            <w:shd w:val="clear" w:color="auto" w:fill="9FC5E8"/>
            <w:tcMar>
              <w:top w:w="100" w:type="dxa"/>
              <w:left w:w="100" w:type="dxa"/>
              <w:bottom w:w="100" w:type="dxa"/>
              <w:right w:w="100" w:type="dxa"/>
            </w:tcMar>
          </w:tcPr>
          <w:p w14:paraId="32CD31CC"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 xml:space="preserve">Political </w:t>
            </w:r>
          </w:p>
        </w:tc>
        <w:tc>
          <w:tcPr>
            <w:tcW w:w="1390" w:type="pct"/>
            <w:shd w:val="clear" w:color="auto" w:fill="CFE2F3"/>
            <w:tcMar>
              <w:top w:w="100" w:type="dxa"/>
              <w:left w:w="100" w:type="dxa"/>
              <w:bottom w:w="100" w:type="dxa"/>
              <w:right w:w="100" w:type="dxa"/>
            </w:tcMar>
          </w:tcPr>
          <w:p w14:paraId="04FC2492"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Labour laws and union pressures.</w:t>
            </w:r>
          </w:p>
          <w:p w14:paraId="5813B720"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p>
          <w:p w14:paraId="07652869"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Political support for employment</w:t>
            </w:r>
          </w:p>
        </w:tc>
        <w:tc>
          <w:tcPr>
            <w:tcW w:w="2634" w:type="pct"/>
            <w:shd w:val="clear" w:color="auto" w:fill="CFE2F3"/>
            <w:tcMar>
              <w:top w:w="100" w:type="dxa"/>
              <w:left w:w="100" w:type="dxa"/>
              <w:bottom w:w="100" w:type="dxa"/>
              <w:right w:w="100" w:type="dxa"/>
            </w:tcMar>
          </w:tcPr>
          <w:p w14:paraId="4ECBF931"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Layoffs due to demolition might attract the attention of the union and labour laws. This can result in increased criticism and protest. Moreover, Ullah </w:t>
            </w:r>
            <w:r w:rsidRPr="00B5758B">
              <w:rPr>
                <w:rFonts w:ascii="Times New Roman" w:hAnsi="Times New Roman" w:cs="Times New Roman"/>
                <w:i/>
                <w:sz w:val="24"/>
                <w:szCs w:val="24"/>
              </w:rPr>
              <w:t xml:space="preserve">et al. </w:t>
            </w:r>
            <w:r w:rsidRPr="00B5758B">
              <w:rPr>
                <w:rFonts w:ascii="Times New Roman" w:hAnsi="Times New Roman" w:cs="Times New Roman"/>
                <w:sz w:val="24"/>
                <w:szCs w:val="24"/>
              </w:rPr>
              <w:t>(2024) highlighted that Union protests can result in political delays of developmental projects. This can again worsen the situation and again result in job insecurity and profit loss. Hence, this can very negatively impact the hotel and hospitality industry.</w:t>
            </w:r>
          </w:p>
        </w:tc>
      </w:tr>
      <w:tr w:rsidR="00B5758B" w:rsidRPr="00B5758B" w14:paraId="47AF2673" w14:textId="77777777" w:rsidTr="00F7641C">
        <w:tc>
          <w:tcPr>
            <w:tcW w:w="976" w:type="pct"/>
            <w:shd w:val="clear" w:color="auto" w:fill="9FC5E8"/>
            <w:tcMar>
              <w:top w:w="100" w:type="dxa"/>
              <w:left w:w="100" w:type="dxa"/>
              <w:bottom w:w="100" w:type="dxa"/>
              <w:right w:w="100" w:type="dxa"/>
            </w:tcMar>
          </w:tcPr>
          <w:p w14:paraId="30320B6B"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 xml:space="preserve">Legal </w:t>
            </w:r>
          </w:p>
        </w:tc>
        <w:tc>
          <w:tcPr>
            <w:tcW w:w="1390" w:type="pct"/>
            <w:shd w:val="clear" w:color="auto" w:fill="CFE2F3"/>
            <w:tcMar>
              <w:top w:w="100" w:type="dxa"/>
              <w:left w:w="100" w:type="dxa"/>
              <w:bottom w:w="100" w:type="dxa"/>
              <w:right w:w="100" w:type="dxa"/>
            </w:tcMar>
          </w:tcPr>
          <w:p w14:paraId="0AECDDF8"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Compliance with local and national labour laws during layoffs. </w:t>
            </w:r>
          </w:p>
          <w:p w14:paraId="3C0C3242"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Employment contract regulations.</w:t>
            </w:r>
          </w:p>
        </w:tc>
        <w:tc>
          <w:tcPr>
            <w:tcW w:w="2634" w:type="pct"/>
            <w:shd w:val="clear" w:color="auto" w:fill="CFE2F3"/>
            <w:tcMar>
              <w:top w:w="100" w:type="dxa"/>
              <w:left w:w="100" w:type="dxa"/>
              <w:bottom w:w="100" w:type="dxa"/>
              <w:right w:w="100" w:type="dxa"/>
            </w:tcMar>
          </w:tcPr>
          <w:p w14:paraId="3AF0EC89"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U.S. DEPARTMENT OF LABOR (2024) mentioned the WARN Act in the US, which highlights that advance notice is provided to employees in case of mass layoffs. Thus, hotels like Mandarin Oriental, Miami need to comply with this law and inform their employees about the layout decision. A non-compliance can result in strict penalties and </w:t>
            </w:r>
            <w:r w:rsidRPr="00B5758B">
              <w:rPr>
                <w:rFonts w:ascii="Times New Roman" w:hAnsi="Times New Roman" w:cs="Times New Roman"/>
                <w:sz w:val="24"/>
                <w:szCs w:val="24"/>
              </w:rPr>
              <w:lastRenderedPageBreak/>
              <w:t xml:space="preserve">lawsuits. Moreover, if this compliance is not followed, the laid-off employees can raise wrongful dismissal claims against the organisation, which can also hamper the overall reputation. </w:t>
            </w:r>
          </w:p>
        </w:tc>
      </w:tr>
      <w:tr w:rsidR="00B5758B" w:rsidRPr="00B5758B" w14:paraId="6F63C562" w14:textId="77777777" w:rsidTr="00F7641C">
        <w:tc>
          <w:tcPr>
            <w:tcW w:w="976" w:type="pct"/>
            <w:shd w:val="clear" w:color="auto" w:fill="9FC5E8"/>
            <w:tcMar>
              <w:top w:w="100" w:type="dxa"/>
              <w:left w:w="100" w:type="dxa"/>
              <w:bottom w:w="100" w:type="dxa"/>
              <w:right w:w="100" w:type="dxa"/>
            </w:tcMar>
          </w:tcPr>
          <w:p w14:paraId="2562EC16"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lastRenderedPageBreak/>
              <w:t xml:space="preserve">Ethical </w:t>
            </w:r>
          </w:p>
        </w:tc>
        <w:tc>
          <w:tcPr>
            <w:tcW w:w="1390" w:type="pct"/>
            <w:shd w:val="clear" w:color="auto" w:fill="CFE2F3"/>
            <w:tcMar>
              <w:top w:w="100" w:type="dxa"/>
              <w:left w:w="100" w:type="dxa"/>
              <w:bottom w:w="100" w:type="dxa"/>
              <w:right w:w="100" w:type="dxa"/>
            </w:tcMar>
          </w:tcPr>
          <w:p w14:paraId="5F07C774"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Fair labour practices. </w:t>
            </w:r>
          </w:p>
          <w:p w14:paraId="487BA793"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Brand reputation is associated with employee welfare.</w:t>
            </w:r>
          </w:p>
        </w:tc>
        <w:tc>
          <w:tcPr>
            <w:tcW w:w="2634" w:type="pct"/>
            <w:shd w:val="clear" w:color="auto" w:fill="CFE2F3"/>
            <w:tcMar>
              <w:top w:w="100" w:type="dxa"/>
              <w:left w:w="100" w:type="dxa"/>
              <w:bottom w:w="100" w:type="dxa"/>
              <w:right w:w="100" w:type="dxa"/>
            </w:tcMar>
          </w:tcPr>
          <w:p w14:paraId="4AD88499"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It has been found that over 430 employees are being laid off due to the demolition of Mandarin Oriental, Miami (TNM, 2025). However, a failure to provide employment opportunities or mental health and well-being support to these employees can tarnish the brand reputation of Mandarin Oriental as a premium employer. Moreover, the guests and investors can also be disappointed, which can trigger backlash on various review platforms. Therefore, this unethical handling of workforce transition can deter trust. According to Koivunen </w:t>
            </w:r>
            <w:r w:rsidRPr="00B5758B">
              <w:rPr>
                <w:rFonts w:ascii="Times New Roman" w:hAnsi="Times New Roman" w:cs="Times New Roman"/>
                <w:i/>
                <w:iCs/>
                <w:sz w:val="24"/>
                <w:szCs w:val="24"/>
              </w:rPr>
              <w:t>et al.</w:t>
            </w:r>
            <w:r w:rsidRPr="00B5758B">
              <w:rPr>
                <w:rFonts w:ascii="Times New Roman" w:hAnsi="Times New Roman" w:cs="Times New Roman"/>
                <w:sz w:val="24"/>
                <w:szCs w:val="24"/>
              </w:rPr>
              <w:t xml:space="preserve"> (2024), the management of employees and downsizing them is a part of unethical practice and leads to a breach of contract as well.  The faith of the employees is compromised and hurt to some extent by the decisions of the management. </w:t>
            </w:r>
          </w:p>
        </w:tc>
      </w:tr>
      <w:tr w:rsidR="00B5758B" w:rsidRPr="00B5758B" w14:paraId="2A28DAC0" w14:textId="77777777" w:rsidTr="00F7641C">
        <w:tc>
          <w:tcPr>
            <w:tcW w:w="976" w:type="pct"/>
            <w:shd w:val="clear" w:color="auto" w:fill="9FC5E8"/>
            <w:tcMar>
              <w:top w:w="100" w:type="dxa"/>
              <w:left w:w="100" w:type="dxa"/>
              <w:bottom w:w="100" w:type="dxa"/>
              <w:right w:w="100" w:type="dxa"/>
            </w:tcMar>
          </w:tcPr>
          <w:p w14:paraId="61983EB4"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 xml:space="preserve">Demographic </w:t>
            </w:r>
          </w:p>
        </w:tc>
        <w:tc>
          <w:tcPr>
            <w:tcW w:w="1390" w:type="pct"/>
            <w:shd w:val="clear" w:color="auto" w:fill="CFE2F3"/>
            <w:tcMar>
              <w:top w:w="100" w:type="dxa"/>
              <w:left w:w="100" w:type="dxa"/>
              <w:bottom w:w="100" w:type="dxa"/>
              <w:right w:w="100" w:type="dxa"/>
            </w:tcMar>
          </w:tcPr>
          <w:p w14:paraId="28AA7435"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Need for a diverse workforce.</w:t>
            </w:r>
          </w:p>
          <w:p w14:paraId="2E38CF8D"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p>
        </w:tc>
        <w:tc>
          <w:tcPr>
            <w:tcW w:w="2634" w:type="pct"/>
            <w:shd w:val="clear" w:color="auto" w:fill="CFE2F3"/>
            <w:tcMar>
              <w:top w:w="100" w:type="dxa"/>
              <w:left w:w="100" w:type="dxa"/>
              <w:bottom w:w="100" w:type="dxa"/>
              <w:right w:w="100" w:type="dxa"/>
            </w:tcMar>
          </w:tcPr>
          <w:p w14:paraId="547F13D6"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Redevelopment provides a significant chance for Mandarin Oriental, Miami, to have a diverse workforce. However, mass layoffs due to demolition can result and decreased team diversity and innovative knowledge, which can result in a significant gap for the firm. With the redevelopment, if new employees are hired, it would be time-consuming to train them and involve them in the </w:t>
            </w:r>
            <w:proofErr w:type="gramStart"/>
            <w:r w:rsidRPr="00B5758B">
              <w:rPr>
                <w:rFonts w:ascii="Times New Roman" w:hAnsi="Times New Roman" w:cs="Times New Roman"/>
                <w:sz w:val="24"/>
                <w:szCs w:val="24"/>
              </w:rPr>
              <w:t>fast decision-making</w:t>
            </w:r>
            <w:proofErr w:type="gramEnd"/>
            <w:r w:rsidRPr="00B5758B">
              <w:rPr>
                <w:rFonts w:ascii="Times New Roman" w:hAnsi="Times New Roman" w:cs="Times New Roman"/>
                <w:sz w:val="24"/>
                <w:szCs w:val="24"/>
              </w:rPr>
              <w:t xml:space="preserve"> process. </w:t>
            </w:r>
          </w:p>
        </w:tc>
      </w:tr>
    </w:tbl>
    <w:p w14:paraId="7C5CC1B3" w14:textId="77777777" w:rsidR="00B5758B" w:rsidRPr="00B5758B" w:rsidRDefault="00B5758B" w:rsidP="00B5758B">
      <w:pPr>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 xml:space="preserve">Table 1: STEEPLED Analysis </w:t>
      </w:r>
    </w:p>
    <w:p w14:paraId="0D7FFAF3"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sz w:val="24"/>
          <w:szCs w:val="24"/>
        </w:rPr>
        <w:t>(Source: self-made)</w:t>
      </w:r>
    </w:p>
    <w:p w14:paraId="01CAE6C4"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The above analysis summarises that the property closure and redevelopment of Mandarin Oriental, Miami is deeply influenced by external factors, and the additional burden of employee layoffs has further intensified this issue. Hence, the hotel’s recovery highly depends upon how ethically and proactively it navigates through the external pressures.</w:t>
      </w:r>
    </w:p>
    <w:p w14:paraId="6003A04D" w14:textId="77777777" w:rsidR="00B5758B" w:rsidRPr="00B5758B" w:rsidRDefault="00B5758B" w:rsidP="00B5758B">
      <w:pPr>
        <w:pStyle w:val="Heading2"/>
        <w:spacing w:before="100" w:beforeAutospacing="1" w:after="100" w:afterAutospacing="1"/>
        <w:rPr>
          <w:rFonts w:ascii="Times New Roman" w:eastAsia="Arial" w:hAnsi="Times New Roman" w:cs="Times New Roman"/>
          <w:b/>
          <w:color w:val="auto"/>
          <w:sz w:val="24"/>
          <w:szCs w:val="24"/>
        </w:rPr>
      </w:pPr>
      <w:bookmarkStart w:id="3" w:name="_Toc200879392"/>
      <w:r w:rsidRPr="00B5758B">
        <w:rPr>
          <w:rFonts w:ascii="Times New Roman" w:hAnsi="Times New Roman" w:cs="Times New Roman"/>
          <w:color w:val="auto"/>
          <w:sz w:val="24"/>
          <w:szCs w:val="24"/>
        </w:rPr>
        <w:lastRenderedPageBreak/>
        <w:t>Analysis of Organisational Factors</w:t>
      </w:r>
      <w:bookmarkEnd w:id="3"/>
      <w:r w:rsidRPr="00B5758B">
        <w:rPr>
          <w:rFonts w:ascii="Times New Roman" w:hAnsi="Times New Roman" w:cs="Times New Roman"/>
          <w:color w:val="auto"/>
          <w:sz w:val="24"/>
          <w:szCs w:val="24"/>
        </w:rPr>
        <w:t xml:space="preserve"> </w:t>
      </w:r>
    </w:p>
    <w:p w14:paraId="0629A589"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A SOAR analysis is a strategic tool that analyses the different organisational factors while creating a vision for the future by combining data on how the company currently performs. As Whittington </w:t>
      </w:r>
      <w:r w:rsidRPr="00B5758B">
        <w:rPr>
          <w:rFonts w:ascii="Times New Roman" w:hAnsi="Times New Roman" w:cs="Times New Roman"/>
          <w:i/>
          <w:sz w:val="24"/>
          <w:szCs w:val="24"/>
        </w:rPr>
        <w:t xml:space="preserve">et al. </w:t>
      </w:r>
      <w:r w:rsidRPr="00B5758B">
        <w:rPr>
          <w:rFonts w:ascii="Times New Roman" w:hAnsi="Times New Roman" w:cs="Times New Roman"/>
          <w:sz w:val="24"/>
          <w:szCs w:val="24"/>
        </w:rPr>
        <w:t xml:space="preserve">(2020) and Marais and Schutte (2024) stipulate, organisational purpose is the main reason why a company exists. Hence, this purpose can be understood by how the company has been performing currently by understanding current trends, possible opportunities, future aspirations, and measurable results. In this regard, the SOAR analysis has been presented below. </w:t>
      </w:r>
    </w:p>
    <w:tbl>
      <w:tblPr>
        <w:tblStyle w:val="TableGrid"/>
        <w:tblW w:w="0" w:type="auto"/>
        <w:shd w:val="clear" w:color="auto" w:fill="8DD873" w:themeFill="accent6" w:themeFillTint="99"/>
        <w:tblLook w:val="04A0" w:firstRow="1" w:lastRow="0" w:firstColumn="1" w:lastColumn="0" w:noHBand="0" w:noVBand="1"/>
      </w:tblPr>
      <w:tblGrid>
        <w:gridCol w:w="4508"/>
        <w:gridCol w:w="4508"/>
      </w:tblGrid>
      <w:tr w:rsidR="00B5758B" w:rsidRPr="00B5758B" w14:paraId="26B37E39" w14:textId="77777777" w:rsidTr="00F7641C">
        <w:tc>
          <w:tcPr>
            <w:tcW w:w="4508" w:type="dxa"/>
            <w:shd w:val="clear" w:color="auto" w:fill="8DD873" w:themeFill="accent6" w:themeFillTint="99"/>
          </w:tcPr>
          <w:p w14:paraId="06C0310B" w14:textId="77777777" w:rsidR="00B5758B" w:rsidRPr="00B5758B" w:rsidRDefault="00B5758B" w:rsidP="00F7641C">
            <w:pPr>
              <w:spacing w:before="100" w:beforeAutospacing="1" w:after="100" w:afterAutospacing="1" w:line="360" w:lineRule="auto"/>
              <w:jc w:val="center"/>
              <w:rPr>
                <w:b/>
                <w:bCs/>
              </w:rPr>
            </w:pPr>
            <w:r w:rsidRPr="00B5758B">
              <w:rPr>
                <w:b/>
                <w:bCs/>
              </w:rPr>
              <w:t>Strengths (S)</w:t>
            </w:r>
          </w:p>
          <w:p w14:paraId="16263649" w14:textId="77777777" w:rsidR="00B5758B" w:rsidRPr="00B5758B" w:rsidRDefault="00B5758B" w:rsidP="00B5758B">
            <w:pPr>
              <w:pStyle w:val="ListParagraph"/>
              <w:numPr>
                <w:ilvl w:val="0"/>
                <w:numId w:val="15"/>
              </w:numPr>
              <w:spacing w:before="100" w:beforeAutospacing="1" w:after="100" w:afterAutospacing="1" w:line="360" w:lineRule="auto"/>
            </w:pPr>
            <w:r w:rsidRPr="00B5758B">
              <w:t>Mandarin Oriental, Miami has a global brand prestige and is known for providing a premium quality of hospitality (MO Miami, 2025).</w:t>
            </w:r>
          </w:p>
          <w:p w14:paraId="52FD4657" w14:textId="77777777" w:rsidR="00B5758B" w:rsidRPr="00B5758B" w:rsidRDefault="00B5758B" w:rsidP="00B5758B">
            <w:pPr>
              <w:pStyle w:val="ListParagraph"/>
              <w:numPr>
                <w:ilvl w:val="0"/>
                <w:numId w:val="15"/>
              </w:numPr>
              <w:spacing w:before="100" w:beforeAutospacing="1" w:after="100" w:afterAutospacing="1" w:line="360" w:lineRule="auto"/>
            </w:pPr>
            <w:r w:rsidRPr="00B5758B">
              <w:t xml:space="preserve">The hotel group has had a loyal customer base since 1963. </w:t>
            </w:r>
          </w:p>
          <w:p w14:paraId="59805DCE" w14:textId="77777777" w:rsidR="00B5758B" w:rsidRPr="00B5758B" w:rsidRDefault="00B5758B" w:rsidP="00B5758B">
            <w:pPr>
              <w:pStyle w:val="ListParagraph"/>
              <w:numPr>
                <w:ilvl w:val="0"/>
                <w:numId w:val="15"/>
              </w:numPr>
              <w:spacing w:before="100" w:beforeAutospacing="1" w:after="100" w:afterAutospacing="1" w:line="360" w:lineRule="auto"/>
            </w:pPr>
            <w:r w:rsidRPr="00B5758B">
              <w:t xml:space="preserve">A resilient financial backing from Jardine Matheson Holdings results in a capital-intensive redevelopment process for Mandarin Oriental, Miami. Buttrick (2009) also opined that finances are very important for a project. Thus, this backing can be helpful in future projects of the firm. </w:t>
            </w:r>
          </w:p>
          <w:p w14:paraId="2C9B9EC0" w14:textId="77777777" w:rsidR="00B5758B" w:rsidRPr="00B5758B" w:rsidRDefault="00B5758B" w:rsidP="00F7641C">
            <w:pPr>
              <w:spacing w:before="100" w:beforeAutospacing="1" w:after="100" w:afterAutospacing="1" w:line="360" w:lineRule="auto"/>
            </w:pPr>
          </w:p>
        </w:tc>
        <w:tc>
          <w:tcPr>
            <w:tcW w:w="4508" w:type="dxa"/>
            <w:shd w:val="clear" w:color="auto" w:fill="8DD873" w:themeFill="accent6" w:themeFillTint="99"/>
          </w:tcPr>
          <w:p w14:paraId="6925E957" w14:textId="77777777" w:rsidR="00B5758B" w:rsidRPr="00B5758B" w:rsidRDefault="00B5758B" w:rsidP="00F7641C">
            <w:pPr>
              <w:spacing w:before="100" w:beforeAutospacing="1" w:after="100" w:afterAutospacing="1" w:line="360" w:lineRule="auto"/>
              <w:jc w:val="center"/>
              <w:rPr>
                <w:b/>
                <w:bCs/>
              </w:rPr>
            </w:pPr>
            <w:r w:rsidRPr="00B5758B">
              <w:rPr>
                <w:b/>
                <w:bCs/>
              </w:rPr>
              <w:t>Weaknesses (W)</w:t>
            </w:r>
          </w:p>
          <w:p w14:paraId="6E759448" w14:textId="77777777" w:rsidR="00B5758B" w:rsidRPr="00B5758B" w:rsidRDefault="00B5758B" w:rsidP="00B5758B">
            <w:pPr>
              <w:pStyle w:val="ListParagraph"/>
              <w:numPr>
                <w:ilvl w:val="0"/>
                <w:numId w:val="17"/>
              </w:numPr>
              <w:spacing w:before="100" w:beforeAutospacing="1" w:after="100" w:afterAutospacing="1" w:line="360" w:lineRule="auto"/>
            </w:pPr>
            <w:r w:rsidRPr="00B5758B">
              <w:t>Demolition will impact the nearby communities</w:t>
            </w:r>
          </w:p>
          <w:p w14:paraId="2FC67AA7" w14:textId="77777777" w:rsidR="00B5758B" w:rsidRPr="00B5758B" w:rsidRDefault="00B5758B" w:rsidP="00B5758B">
            <w:pPr>
              <w:pStyle w:val="ListParagraph"/>
              <w:numPr>
                <w:ilvl w:val="0"/>
                <w:numId w:val="17"/>
              </w:numPr>
              <w:spacing w:before="100" w:beforeAutospacing="1" w:after="100" w:afterAutospacing="1" w:line="360" w:lineRule="auto"/>
            </w:pPr>
            <w:r w:rsidRPr="00B5758B">
              <w:t>The delays can be evidenced by the regulations to be abided by</w:t>
            </w:r>
          </w:p>
          <w:p w14:paraId="6C5C331B" w14:textId="77777777" w:rsidR="00B5758B" w:rsidRPr="00B5758B" w:rsidRDefault="00B5758B" w:rsidP="00B5758B">
            <w:pPr>
              <w:pStyle w:val="ListParagraph"/>
              <w:numPr>
                <w:ilvl w:val="0"/>
                <w:numId w:val="17"/>
              </w:numPr>
              <w:spacing w:before="100" w:beforeAutospacing="1" w:after="100" w:afterAutospacing="1" w:line="360" w:lineRule="auto"/>
            </w:pPr>
            <w:r w:rsidRPr="00B5758B">
              <w:t>Negative impression due to the layoff of the employees</w:t>
            </w:r>
          </w:p>
          <w:p w14:paraId="282175DE" w14:textId="77777777" w:rsidR="00B5758B" w:rsidRPr="00B5758B" w:rsidRDefault="00B5758B" w:rsidP="00B5758B">
            <w:pPr>
              <w:pStyle w:val="ListParagraph"/>
              <w:numPr>
                <w:ilvl w:val="0"/>
                <w:numId w:val="17"/>
              </w:numPr>
              <w:spacing w:before="100" w:beforeAutospacing="1" w:after="100" w:afterAutospacing="1" w:line="360" w:lineRule="auto"/>
            </w:pPr>
            <w:r w:rsidRPr="00B5758B">
              <w:t xml:space="preserve">Restructuring </w:t>
            </w:r>
            <w:proofErr w:type="gramStart"/>
            <w:r w:rsidRPr="00B5758B">
              <w:t>at the moment</w:t>
            </w:r>
            <w:proofErr w:type="gramEnd"/>
            <w:r w:rsidRPr="00B5758B">
              <w:t xml:space="preserve"> may cause the loss of customers' trust</w:t>
            </w:r>
          </w:p>
        </w:tc>
      </w:tr>
      <w:tr w:rsidR="00B5758B" w:rsidRPr="00B5758B" w14:paraId="22AA3852" w14:textId="77777777" w:rsidTr="00F7641C">
        <w:tc>
          <w:tcPr>
            <w:tcW w:w="4508" w:type="dxa"/>
            <w:shd w:val="clear" w:color="auto" w:fill="8DD873" w:themeFill="accent6" w:themeFillTint="99"/>
          </w:tcPr>
          <w:p w14:paraId="4EFE0981" w14:textId="77777777" w:rsidR="00B5758B" w:rsidRPr="00B5758B" w:rsidRDefault="00B5758B" w:rsidP="00F7641C">
            <w:pPr>
              <w:spacing w:before="100" w:beforeAutospacing="1" w:after="100" w:afterAutospacing="1" w:line="360" w:lineRule="auto"/>
              <w:jc w:val="center"/>
              <w:rPr>
                <w:b/>
                <w:bCs/>
              </w:rPr>
            </w:pPr>
            <w:r w:rsidRPr="00B5758B">
              <w:rPr>
                <w:b/>
                <w:bCs/>
              </w:rPr>
              <w:t>Opportunities (O)</w:t>
            </w:r>
          </w:p>
          <w:p w14:paraId="02BF6791" w14:textId="77777777" w:rsidR="00B5758B" w:rsidRPr="00B5758B" w:rsidRDefault="00B5758B" w:rsidP="00B5758B">
            <w:pPr>
              <w:pStyle w:val="ListParagraph"/>
              <w:numPr>
                <w:ilvl w:val="0"/>
                <w:numId w:val="16"/>
              </w:numPr>
              <w:spacing w:before="100" w:beforeAutospacing="1" w:after="100" w:afterAutospacing="1" w:line="360" w:lineRule="auto"/>
            </w:pPr>
            <w:r w:rsidRPr="00B5758B">
              <w:t>Mandarin Oriental, Miami can currently provide staff redeployment opportunities to the employees who have been laid off. This will help in maintaining talented pools.</w:t>
            </w:r>
          </w:p>
          <w:p w14:paraId="03F4E704" w14:textId="77777777" w:rsidR="00B5758B" w:rsidRPr="00B5758B" w:rsidRDefault="00B5758B" w:rsidP="00B5758B">
            <w:pPr>
              <w:pStyle w:val="ListParagraph"/>
              <w:numPr>
                <w:ilvl w:val="0"/>
                <w:numId w:val="16"/>
              </w:numPr>
              <w:spacing w:before="100" w:beforeAutospacing="1" w:after="100" w:afterAutospacing="1" w:line="360" w:lineRule="auto"/>
            </w:pPr>
            <w:r w:rsidRPr="00B5758B">
              <w:t xml:space="preserve">The hotel can partner with local institutions where the workforce can </w:t>
            </w:r>
            <w:r w:rsidRPr="00B5758B">
              <w:lastRenderedPageBreak/>
              <w:t xml:space="preserve">be developed during the downtime. Muchiri (2022) and Jaiswal, Arun and Varma (2023) mentioned that upskilling reinforces the employees while equipping them with motivation. This workforce development can help in having a highly efficient pool of employees. </w:t>
            </w:r>
          </w:p>
        </w:tc>
        <w:tc>
          <w:tcPr>
            <w:tcW w:w="4508" w:type="dxa"/>
            <w:shd w:val="clear" w:color="auto" w:fill="8DD873" w:themeFill="accent6" w:themeFillTint="99"/>
          </w:tcPr>
          <w:p w14:paraId="654F46EA" w14:textId="77777777" w:rsidR="00B5758B" w:rsidRPr="00B5758B" w:rsidRDefault="00B5758B" w:rsidP="00F7641C">
            <w:pPr>
              <w:spacing w:before="100" w:beforeAutospacing="1" w:after="100" w:afterAutospacing="1" w:line="360" w:lineRule="auto"/>
              <w:jc w:val="center"/>
              <w:rPr>
                <w:b/>
                <w:bCs/>
              </w:rPr>
            </w:pPr>
            <w:r w:rsidRPr="00B5758B">
              <w:rPr>
                <w:b/>
                <w:bCs/>
              </w:rPr>
              <w:lastRenderedPageBreak/>
              <w:t>Threats (T)</w:t>
            </w:r>
          </w:p>
          <w:p w14:paraId="2D607443" w14:textId="77777777" w:rsidR="00B5758B" w:rsidRPr="00B5758B" w:rsidRDefault="00B5758B" w:rsidP="00B5758B">
            <w:pPr>
              <w:pStyle w:val="ListParagraph"/>
              <w:numPr>
                <w:ilvl w:val="0"/>
                <w:numId w:val="18"/>
              </w:numPr>
              <w:spacing w:before="100" w:beforeAutospacing="1" w:after="100" w:afterAutospacing="1" w:line="360" w:lineRule="auto"/>
            </w:pPr>
            <w:r w:rsidRPr="00B5758B">
              <w:t xml:space="preserve">Rise of the competitors with the redevelopment </w:t>
            </w:r>
          </w:p>
          <w:p w14:paraId="68590328" w14:textId="77777777" w:rsidR="00B5758B" w:rsidRPr="00B5758B" w:rsidRDefault="00B5758B" w:rsidP="00B5758B">
            <w:pPr>
              <w:pStyle w:val="ListParagraph"/>
              <w:numPr>
                <w:ilvl w:val="0"/>
                <w:numId w:val="18"/>
              </w:numPr>
              <w:spacing w:before="100" w:beforeAutospacing="1" w:after="100" w:afterAutospacing="1" w:line="360" w:lineRule="auto"/>
            </w:pPr>
            <w:r w:rsidRPr="00B5758B">
              <w:t>The lack of adequate skills for the performances in the new structure, and unknown to the unknown culture preserved for years</w:t>
            </w:r>
          </w:p>
          <w:p w14:paraId="39DB070C" w14:textId="77777777" w:rsidR="00B5758B" w:rsidRPr="00B5758B" w:rsidRDefault="00B5758B" w:rsidP="00B5758B">
            <w:pPr>
              <w:pStyle w:val="ListParagraph"/>
              <w:numPr>
                <w:ilvl w:val="0"/>
                <w:numId w:val="18"/>
              </w:numPr>
              <w:spacing w:before="100" w:beforeAutospacing="1" w:after="100" w:afterAutospacing="1" w:line="360" w:lineRule="auto"/>
            </w:pPr>
            <w:r w:rsidRPr="00B5758B">
              <w:lastRenderedPageBreak/>
              <w:t xml:space="preserve">Laying off can cause regulatory issues, being faced and criticised for breaking the employment contract. </w:t>
            </w:r>
          </w:p>
        </w:tc>
      </w:tr>
    </w:tbl>
    <w:p w14:paraId="773F56E9"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b/>
          <w:sz w:val="24"/>
          <w:szCs w:val="24"/>
        </w:rPr>
        <w:lastRenderedPageBreak/>
        <w:t>Table 2: The SWOT Analysis</w:t>
      </w:r>
    </w:p>
    <w:p w14:paraId="53F62087"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sz w:val="24"/>
          <w:szCs w:val="24"/>
        </w:rPr>
        <w:t>(Source: self-made)</w:t>
      </w:r>
    </w:p>
    <w:p w14:paraId="244ACCDC"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The above SWOT analysis highlights that Mandarin Oriental, Miami has a significant advantage associated with its brand prestige, deep corporate backing and a premium customer base. However, there are numerous opportunities related as well that can help the organisation to differentiate itself. For instance, the organisation can partner with local businesses to upskill and reinforce its employees so that they can be rehired and diversity can be maintained. Lastly, the success of the organisation will still depend upon how the different outcomes are managed and measured. Thus, for this, staff well-being and guest satisfaction shall be determined as this can solidify stakeholder trust in the long run. It is identified that Mandarin with the decision to lay off such </w:t>
      </w:r>
      <w:proofErr w:type="gramStart"/>
      <w:r w:rsidRPr="00B5758B">
        <w:rPr>
          <w:rFonts w:ascii="Times New Roman" w:hAnsi="Times New Roman" w:cs="Times New Roman"/>
          <w:sz w:val="24"/>
          <w:szCs w:val="24"/>
        </w:rPr>
        <w:t>a large number of</w:t>
      </w:r>
      <w:proofErr w:type="gramEnd"/>
      <w:r w:rsidRPr="00B5758B">
        <w:rPr>
          <w:rFonts w:ascii="Times New Roman" w:hAnsi="Times New Roman" w:cs="Times New Roman"/>
          <w:sz w:val="24"/>
          <w:szCs w:val="24"/>
        </w:rPr>
        <w:t xml:space="preserve"> 430 staff can cause a huge impact on the legal and ethical issues. Apparently, with the demolition, both opportunities and threats exist, and it is in the hands of the management to shape the decisions. Mandarin with the redevelopment did tend to redefine luxury, which is one of the crucial and significant angles for economic growth with attracting tourists with new sites and vision (</w:t>
      </w:r>
      <w:proofErr w:type="spellStart"/>
      <w:r w:rsidRPr="00B5758B">
        <w:rPr>
          <w:rFonts w:ascii="Times New Roman" w:hAnsi="Times New Roman" w:cs="Times New Roman"/>
          <w:sz w:val="24"/>
          <w:szCs w:val="24"/>
          <w:lang w:val="en-IN"/>
        </w:rPr>
        <w:t>Sreeharsha</w:t>
      </w:r>
      <w:proofErr w:type="spellEnd"/>
      <w:r w:rsidRPr="00B5758B">
        <w:rPr>
          <w:rFonts w:ascii="Times New Roman" w:hAnsi="Times New Roman" w:cs="Times New Roman"/>
          <w:sz w:val="24"/>
          <w:szCs w:val="24"/>
          <w:lang w:val="en-IN"/>
        </w:rPr>
        <w:t>, 2025</w:t>
      </w:r>
      <w:r w:rsidRPr="00B5758B">
        <w:rPr>
          <w:rFonts w:ascii="Times New Roman" w:hAnsi="Times New Roman" w:cs="Times New Roman"/>
          <w:sz w:val="24"/>
          <w:szCs w:val="24"/>
        </w:rPr>
        <w:t xml:space="preserve">). However, laying off employees was a poor decision, which added to the weakness of the hotel as it demotivated the employees and raised questions about the social impacts. </w:t>
      </w:r>
    </w:p>
    <w:p w14:paraId="64A1EA63" w14:textId="77777777" w:rsidR="00B5758B" w:rsidRPr="00B5758B" w:rsidRDefault="00B5758B" w:rsidP="00B5758B">
      <w:pPr>
        <w:pStyle w:val="Heading2"/>
        <w:spacing w:before="100" w:beforeAutospacing="1" w:after="100" w:afterAutospacing="1"/>
        <w:rPr>
          <w:rFonts w:ascii="Times New Roman" w:eastAsia="Arial" w:hAnsi="Times New Roman" w:cs="Times New Roman"/>
          <w:b/>
          <w:color w:val="auto"/>
          <w:sz w:val="24"/>
          <w:szCs w:val="24"/>
        </w:rPr>
      </w:pPr>
      <w:bookmarkStart w:id="4" w:name="_Toc200879393"/>
      <w:r w:rsidRPr="00B5758B">
        <w:rPr>
          <w:rFonts w:ascii="Times New Roman" w:hAnsi="Times New Roman" w:cs="Times New Roman"/>
          <w:color w:val="auto"/>
          <w:sz w:val="24"/>
          <w:szCs w:val="24"/>
        </w:rPr>
        <w:t>TOWS Analysis</w:t>
      </w:r>
      <w:bookmarkEnd w:id="4"/>
      <w:r w:rsidRPr="00B5758B">
        <w:rPr>
          <w:rFonts w:ascii="Times New Roman" w:hAnsi="Times New Roman" w:cs="Times New Roman"/>
          <w:color w:val="auto"/>
          <w:sz w:val="24"/>
          <w:szCs w:val="24"/>
        </w:rPr>
        <w:t xml:space="preserve">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040"/>
        <w:gridCol w:w="2347"/>
        <w:gridCol w:w="2876"/>
        <w:gridCol w:w="2743"/>
      </w:tblGrid>
      <w:tr w:rsidR="00B5758B" w:rsidRPr="00B5758B" w14:paraId="26CB044B" w14:textId="77777777" w:rsidTr="00F7641C">
        <w:trPr>
          <w:trHeight w:val="440"/>
        </w:trPr>
        <w:tc>
          <w:tcPr>
            <w:tcW w:w="629" w:type="pct"/>
            <w:vMerge w:val="restart"/>
            <w:shd w:val="clear" w:color="auto" w:fill="D9D2E9"/>
            <w:tcMar>
              <w:top w:w="100" w:type="dxa"/>
              <w:left w:w="100" w:type="dxa"/>
              <w:bottom w:w="100" w:type="dxa"/>
              <w:right w:w="100" w:type="dxa"/>
            </w:tcMar>
          </w:tcPr>
          <w:p w14:paraId="32A9C955"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Internal Factors</w:t>
            </w:r>
          </w:p>
        </w:tc>
        <w:tc>
          <w:tcPr>
            <w:tcW w:w="1071" w:type="pct"/>
            <w:vMerge w:val="restart"/>
            <w:shd w:val="clear" w:color="auto" w:fill="D9D2E9"/>
            <w:tcMar>
              <w:top w:w="100" w:type="dxa"/>
              <w:left w:w="100" w:type="dxa"/>
              <w:bottom w:w="100" w:type="dxa"/>
              <w:right w:w="100" w:type="dxa"/>
            </w:tcMar>
          </w:tcPr>
          <w:p w14:paraId="369D94E6"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TOWS Matrix</w:t>
            </w:r>
          </w:p>
        </w:tc>
        <w:tc>
          <w:tcPr>
            <w:tcW w:w="3300" w:type="pct"/>
            <w:gridSpan w:val="2"/>
            <w:shd w:val="clear" w:color="auto" w:fill="D9D2E9"/>
            <w:tcMar>
              <w:top w:w="100" w:type="dxa"/>
              <w:left w:w="100" w:type="dxa"/>
              <w:bottom w:w="100" w:type="dxa"/>
              <w:right w:w="100" w:type="dxa"/>
            </w:tcMar>
          </w:tcPr>
          <w:p w14:paraId="56661F48"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External Factors</w:t>
            </w:r>
          </w:p>
        </w:tc>
      </w:tr>
      <w:tr w:rsidR="00B5758B" w:rsidRPr="00B5758B" w14:paraId="3FC18DB7" w14:textId="77777777" w:rsidTr="00F7641C">
        <w:trPr>
          <w:trHeight w:val="278"/>
        </w:trPr>
        <w:tc>
          <w:tcPr>
            <w:tcW w:w="629" w:type="pct"/>
            <w:vMerge/>
            <w:shd w:val="clear" w:color="auto" w:fill="D9D2E9"/>
            <w:tcMar>
              <w:top w:w="100" w:type="dxa"/>
              <w:left w:w="100" w:type="dxa"/>
              <w:bottom w:w="100" w:type="dxa"/>
              <w:right w:w="100" w:type="dxa"/>
            </w:tcMar>
          </w:tcPr>
          <w:p w14:paraId="557083BE" w14:textId="77777777" w:rsidR="00B5758B" w:rsidRPr="00B5758B" w:rsidRDefault="00B5758B" w:rsidP="00F7641C">
            <w:pPr>
              <w:widowControl w:val="0"/>
              <w:spacing w:before="100" w:beforeAutospacing="1" w:after="100" w:afterAutospacing="1"/>
              <w:rPr>
                <w:rFonts w:ascii="Times New Roman" w:eastAsia="Arial" w:hAnsi="Times New Roman" w:cs="Times New Roman"/>
                <w:sz w:val="24"/>
                <w:szCs w:val="24"/>
              </w:rPr>
            </w:pPr>
          </w:p>
        </w:tc>
        <w:tc>
          <w:tcPr>
            <w:tcW w:w="1071" w:type="pct"/>
            <w:vMerge/>
            <w:shd w:val="clear" w:color="auto" w:fill="D9D2E9"/>
            <w:tcMar>
              <w:top w:w="100" w:type="dxa"/>
              <w:left w:w="100" w:type="dxa"/>
              <w:bottom w:w="100" w:type="dxa"/>
              <w:right w:w="100" w:type="dxa"/>
            </w:tcMar>
          </w:tcPr>
          <w:p w14:paraId="587AE956" w14:textId="77777777" w:rsidR="00B5758B" w:rsidRPr="00B5758B" w:rsidRDefault="00B5758B" w:rsidP="00F7641C">
            <w:pPr>
              <w:widowControl w:val="0"/>
              <w:spacing w:before="100" w:beforeAutospacing="1" w:after="100" w:afterAutospacing="1"/>
              <w:rPr>
                <w:rFonts w:ascii="Times New Roman" w:eastAsia="Arial" w:hAnsi="Times New Roman" w:cs="Times New Roman"/>
                <w:sz w:val="24"/>
                <w:szCs w:val="24"/>
              </w:rPr>
            </w:pPr>
          </w:p>
        </w:tc>
        <w:tc>
          <w:tcPr>
            <w:tcW w:w="1700" w:type="pct"/>
            <w:shd w:val="clear" w:color="auto" w:fill="CFE2F3"/>
            <w:tcMar>
              <w:top w:w="100" w:type="dxa"/>
              <w:left w:w="100" w:type="dxa"/>
              <w:bottom w:w="100" w:type="dxa"/>
              <w:right w:w="100" w:type="dxa"/>
            </w:tcMar>
          </w:tcPr>
          <w:p w14:paraId="7E5675DC"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 xml:space="preserve">Opportunities (External) </w:t>
            </w:r>
          </w:p>
          <w:p w14:paraId="55F46F28" w14:textId="77777777" w:rsidR="00B5758B" w:rsidRPr="00B5758B" w:rsidRDefault="00B5758B" w:rsidP="00B5758B">
            <w:pPr>
              <w:widowControl w:val="0"/>
              <w:numPr>
                <w:ilvl w:val="0"/>
                <w:numId w:val="5"/>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Potential to create jobs and organisational goodwill </w:t>
            </w:r>
          </w:p>
          <w:p w14:paraId="1D5943A6" w14:textId="77777777" w:rsidR="00B5758B" w:rsidRPr="00B5758B" w:rsidRDefault="00B5758B" w:rsidP="00B5758B">
            <w:pPr>
              <w:widowControl w:val="0"/>
              <w:numPr>
                <w:ilvl w:val="0"/>
                <w:numId w:val="5"/>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Green incentives </w:t>
            </w:r>
            <w:r w:rsidRPr="00B5758B">
              <w:rPr>
                <w:rFonts w:ascii="Times New Roman" w:hAnsi="Times New Roman" w:cs="Times New Roman"/>
                <w:sz w:val="24"/>
                <w:szCs w:val="24"/>
              </w:rPr>
              <w:lastRenderedPageBreak/>
              <w:t>and government grants for Eco-friendly buildings</w:t>
            </w:r>
          </w:p>
        </w:tc>
        <w:tc>
          <w:tcPr>
            <w:tcW w:w="1600" w:type="pct"/>
            <w:shd w:val="clear" w:color="auto" w:fill="CFE2F3"/>
            <w:tcMar>
              <w:top w:w="100" w:type="dxa"/>
              <w:left w:w="100" w:type="dxa"/>
              <w:bottom w:w="100" w:type="dxa"/>
              <w:right w:w="100" w:type="dxa"/>
            </w:tcMar>
          </w:tcPr>
          <w:p w14:paraId="04850349"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lastRenderedPageBreak/>
              <w:t>Threats</w:t>
            </w:r>
          </w:p>
          <w:p w14:paraId="7DDBC209"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(External)</w:t>
            </w:r>
          </w:p>
          <w:p w14:paraId="72AFCE26" w14:textId="77777777" w:rsidR="00B5758B" w:rsidRPr="00B5758B" w:rsidRDefault="00B5758B" w:rsidP="00B5758B">
            <w:pPr>
              <w:widowControl w:val="0"/>
              <w:numPr>
                <w:ilvl w:val="0"/>
                <w:numId w:val="6"/>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Regulatory delays </w:t>
            </w:r>
          </w:p>
          <w:p w14:paraId="5D8483CF" w14:textId="77777777" w:rsidR="00B5758B" w:rsidRPr="00B5758B" w:rsidRDefault="00B5758B" w:rsidP="00B5758B">
            <w:pPr>
              <w:widowControl w:val="0"/>
              <w:numPr>
                <w:ilvl w:val="0"/>
                <w:numId w:val="6"/>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Loss of customer loyalty and market </w:t>
            </w:r>
            <w:r w:rsidRPr="00B5758B">
              <w:rPr>
                <w:rFonts w:ascii="Times New Roman" w:hAnsi="Times New Roman" w:cs="Times New Roman"/>
                <w:sz w:val="24"/>
                <w:szCs w:val="24"/>
              </w:rPr>
              <w:lastRenderedPageBreak/>
              <w:t>share during economic downtimes</w:t>
            </w:r>
          </w:p>
        </w:tc>
      </w:tr>
      <w:tr w:rsidR="00B5758B" w:rsidRPr="00B5758B" w14:paraId="1AD3E1DA" w14:textId="77777777" w:rsidTr="00F7641C">
        <w:trPr>
          <w:trHeight w:val="420"/>
        </w:trPr>
        <w:tc>
          <w:tcPr>
            <w:tcW w:w="629" w:type="pct"/>
            <w:vMerge/>
            <w:shd w:val="clear" w:color="auto" w:fill="D9D2E9"/>
            <w:tcMar>
              <w:top w:w="100" w:type="dxa"/>
              <w:left w:w="100" w:type="dxa"/>
              <w:bottom w:w="100" w:type="dxa"/>
              <w:right w:w="100" w:type="dxa"/>
            </w:tcMar>
          </w:tcPr>
          <w:p w14:paraId="7F66866F" w14:textId="77777777" w:rsidR="00B5758B" w:rsidRPr="00B5758B" w:rsidRDefault="00B5758B" w:rsidP="00F7641C">
            <w:pPr>
              <w:widowControl w:val="0"/>
              <w:spacing w:before="100" w:beforeAutospacing="1" w:after="100" w:afterAutospacing="1"/>
              <w:rPr>
                <w:rFonts w:ascii="Times New Roman" w:eastAsia="Arial" w:hAnsi="Times New Roman" w:cs="Times New Roman"/>
                <w:sz w:val="24"/>
                <w:szCs w:val="24"/>
              </w:rPr>
            </w:pPr>
          </w:p>
        </w:tc>
        <w:tc>
          <w:tcPr>
            <w:tcW w:w="1071" w:type="pct"/>
            <w:shd w:val="clear" w:color="auto" w:fill="CFE2F3"/>
            <w:tcMar>
              <w:top w:w="100" w:type="dxa"/>
              <w:left w:w="100" w:type="dxa"/>
              <w:bottom w:w="100" w:type="dxa"/>
              <w:right w:w="100" w:type="dxa"/>
            </w:tcMar>
          </w:tcPr>
          <w:p w14:paraId="1B40522D"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Strengths (Internal)</w:t>
            </w:r>
          </w:p>
          <w:p w14:paraId="0D9D59F3"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p>
          <w:p w14:paraId="68906B55" w14:textId="77777777" w:rsidR="00B5758B" w:rsidRPr="00B5758B" w:rsidRDefault="00B5758B" w:rsidP="00B5758B">
            <w:pPr>
              <w:widowControl w:val="0"/>
              <w:numPr>
                <w:ilvl w:val="0"/>
                <w:numId w:val="7"/>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Global brand reputation </w:t>
            </w:r>
          </w:p>
          <w:p w14:paraId="07729498" w14:textId="77777777" w:rsidR="00B5758B" w:rsidRPr="00B5758B" w:rsidRDefault="00B5758B" w:rsidP="00B5758B">
            <w:pPr>
              <w:widowControl w:val="0"/>
              <w:numPr>
                <w:ilvl w:val="0"/>
                <w:numId w:val="7"/>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Prime location in Brickell Key </w:t>
            </w:r>
          </w:p>
          <w:p w14:paraId="51BB303C" w14:textId="77777777" w:rsidR="00B5758B" w:rsidRPr="00B5758B" w:rsidRDefault="00B5758B" w:rsidP="00B5758B">
            <w:pPr>
              <w:widowControl w:val="0"/>
              <w:numPr>
                <w:ilvl w:val="0"/>
                <w:numId w:val="7"/>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Financial backing and capacity for redevelopment </w:t>
            </w:r>
          </w:p>
        </w:tc>
        <w:tc>
          <w:tcPr>
            <w:tcW w:w="1700" w:type="pct"/>
            <w:shd w:val="clear" w:color="auto" w:fill="auto"/>
            <w:tcMar>
              <w:top w:w="100" w:type="dxa"/>
              <w:left w:w="100" w:type="dxa"/>
              <w:bottom w:w="100" w:type="dxa"/>
              <w:right w:w="100" w:type="dxa"/>
            </w:tcMar>
          </w:tcPr>
          <w:p w14:paraId="15363D4C"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S/O</w:t>
            </w:r>
          </w:p>
          <w:p w14:paraId="5CDA5BBB" w14:textId="77777777" w:rsidR="00B5758B" w:rsidRPr="00B5758B" w:rsidRDefault="00B5758B" w:rsidP="00B5758B">
            <w:pPr>
              <w:widowControl w:val="0"/>
              <w:numPr>
                <w:ilvl w:val="0"/>
                <w:numId w:val="8"/>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Leverage Mandarin Oriental’s brand reputation to relaunch the hotel and create jobs by rehiring individuals and creating job opportunities. Weibel, </w:t>
            </w:r>
            <w:proofErr w:type="spellStart"/>
            <w:r w:rsidRPr="00B5758B">
              <w:rPr>
                <w:rFonts w:ascii="Times New Roman" w:hAnsi="Times New Roman" w:cs="Times New Roman"/>
                <w:sz w:val="24"/>
                <w:szCs w:val="24"/>
              </w:rPr>
              <w:t>Schafheitle</w:t>
            </w:r>
            <w:proofErr w:type="spellEnd"/>
            <w:r w:rsidRPr="00B5758B">
              <w:rPr>
                <w:rFonts w:ascii="Times New Roman" w:hAnsi="Times New Roman" w:cs="Times New Roman"/>
                <w:sz w:val="24"/>
                <w:szCs w:val="24"/>
              </w:rPr>
              <w:t xml:space="preserve"> and Van der Werff (2023) and Yadav and Rajak (2022) mentioned that the creation of job opportunities can result in increased organisational goodwill. </w:t>
            </w:r>
          </w:p>
          <w:p w14:paraId="3FFE0DF1" w14:textId="77777777" w:rsidR="00B5758B" w:rsidRPr="00B5758B" w:rsidRDefault="00B5758B" w:rsidP="00B5758B">
            <w:pPr>
              <w:widowControl w:val="0"/>
              <w:numPr>
                <w:ilvl w:val="0"/>
                <w:numId w:val="8"/>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With great financial backing, applying for Government grants, such as for solar panels and a green rooftop, can be beneficial. </w:t>
            </w:r>
          </w:p>
        </w:tc>
        <w:tc>
          <w:tcPr>
            <w:tcW w:w="1600" w:type="pct"/>
            <w:shd w:val="clear" w:color="auto" w:fill="auto"/>
            <w:tcMar>
              <w:top w:w="100" w:type="dxa"/>
              <w:left w:w="100" w:type="dxa"/>
              <w:bottom w:w="100" w:type="dxa"/>
              <w:right w:w="100" w:type="dxa"/>
            </w:tcMar>
          </w:tcPr>
          <w:p w14:paraId="1069BDCE"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S/T</w:t>
            </w:r>
          </w:p>
          <w:p w14:paraId="43A346DA" w14:textId="77777777" w:rsidR="00B5758B" w:rsidRPr="00B5758B" w:rsidRDefault="00B5758B" w:rsidP="00B5758B">
            <w:pPr>
              <w:widowControl w:val="0"/>
              <w:numPr>
                <w:ilvl w:val="0"/>
                <w:numId w:val="9"/>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Leveraging the brand name to offer loyalty upgrades and exclusive booking privileges to guests who wait through closures. This would help in preserving important clients. </w:t>
            </w:r>
            <w:proofErr w:type="spellStart"/>
            <w:r w:rsidRPr="00B5758B">
              <w:rPr>
                <w:rFonts w:ascii="Times New Roman" w:hAnsi="Times New Roman" w:cs="Times New Roman"/>
                <w:sz w:val="24"/>
                <w:szCs w:val="24"/>
              </w:rPr>
              <w:t>Bardukova</w:t>
            </w:r>
            <w:proofErr w:type="spellEnd"/>
            <w:r w:rsidRPr="00B5758B">
              <w:rPr>
                <w:rFonts w:ascii="Times New Roman" w:hAnsi="Times New Roman" w:cs="Times New Roman"/>
                <w:sz w:val="24"/>
                <w:szCs w:val="24"/>
              </w:rPr>
              <w:t xml:space="preserve"> (2023) mentioned that providing loyalty upgrades can help retain customers within the hospitality sector.</w:t>
            </w:r>
          </w:p>
          <w:p w14:paraId="69E1E9D1" w14:textId="77777777" w:rsidR="00B5758B" w:rsidRPr="00B5758B" w:rsidRDefault="00B5758B" w:rsidP="00B5758B">
            <w:pPr>
              <w:widowControl w:val="0"/>
              <w:numPr>
                <w:ilvl w:val="0"/>
                <w:numId w:val="9"/>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Using government incentives and opting for green initiatives can help in combating regulatory pressures and delays from the government due to </w:t>
            </w:r>
            <w:r w:rsidRPr="00B5758B">
              <w:rPr>
                <w:rFonts w:ascii="Times New Roman" w:hAnsi="Times New Roman" w:cs="Times New Roman"/>
                <w:sz w:val="24"/>
                <w:szCs w:val="24"/>
              </w:rPr>
              <w:lastRenderedPageBreak/>
              <w:t xml:space="preserve">compliance with green initiatives. </w:t>
            </w:r>
          </w:p>
        </w:tc>
      </w:tr>
      <w:tr w:rsidR="00B5758B" w:rsidRPr="00B5758B" w14:paraId="73FE43E7" w14:textId="77777777" w:rsidTr="00F7641C">
        <w:trPr>
          <w:trHeight w:val="420"/>
        </w:trPr>
        <w:tc>
          <w:tcPr>
            <w:tcW w:w="629" w:type="pct"/>
            <w:vMerge/>
            <w:shd w:val="clear" w:color="auto" w:fill="D9D2E9"/>
            <w:tcMar>
              <w:top w:w="100" w:type="dxa"/>
              <w:left w:w="100" w:type="dxa"/>
              <w:bottom w:w="100" w:type="dxa"/>
              <w:right w:w="100" w:type="dxa"/>
            </w:tcMar>
          </w:tcPr>
          <w:p w14:paraId="4D8C2363" w14:textId="77777777" w:rsidR="00B5758B" w:rsidRPr="00B5758B" w:rsidRDefault="00B5758B" w:rsidP="00F7641C">
            <w:pPr>
              <w:widowControl w:val="0"/>
              <w:spacing w:before="100" w:beforeAutospacing="1" w:after="100" w:afterAutospacing="1"/>
              <w:rPr>
                <w:rFonts w:ascii="Times New Roman" w:eastAsia="Arial" w:hAnsi="Times New Roman" w:cs="Times New Roman"/>
                <w:sz w:val="24"/>
                <w:szCs w:val="24"/>
              </w:rPr>
            </w:pPr>
          </w:p>
        </w:tc>
        <w:tc>
          <w:tcPr>
            <w:tcW w:w="1071" w:type="pct"/>
            <w:shd w:val="clear" w:color="auto" w:fill="CFE2F3"/>
            <w:tcMar>
              <w:top w:w="100" w:type="dxa"/>
              <w:left w:w="100" w:type="dxa"/>
              <w:bottom w:w="100" w:type="dxa"/>
              <w:right w:w="100" w:type="dxa"/>
            </w:tcMar>
          </w:tcPr>
          <w:p w14:paraId="143679D7"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Weaknesses (Internal)</w:t>
            </w:r>
          </w:p>
          <w:p w14:paraId="08ECDDAA"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p>
          <w:p w14:paraId="02006AD9" w14:textId="77777777" w:rsidR="00B5758B" w:rsidRPr="00B5758B" w:rsidRDefault="00B5758B" w:rsidP="00B5758B">
            <w:pPr>
              <w:widowControl w:val="0"/>
              <w:numPr>
                <w:ilvl w:val="0"/>
                <w:numId w:val="10"/>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Layoffs can hamper public image and staff morale</w:t>
            </w:r>
          </w:p>
          <w:p w14:paraId="650FC120" w14:textId="77777777" w:rsidR="00B5758B" w:rsidRPr="00B5758B" w:rsidRDefault="00B5758B" w:rsidP="00B5758B">
            <w:pPr>
              <w:widowControl w:val="0"/>
              <w:numPr>
                <w:ilvl w:val="0"/>
                <w:numId w:val="10"/>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Risk of losing trained staff members</w:t>
            </w:r>
          </w:p>
          <w:p w14:paraId="2870CE9B" w14:textId="77777777" w:rsidR="00B5758B" w:rsidRPr="00B5758B" w:rsidRDefault="00B5758B" w:rsidP="00B5758B">
            <w:pPr>
              <w:widowControl w:val="0"/>
              <w:numPr>
                <w:ilvl w:val="0"/>
                <w:numId w:val="10"/>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Temporary revenue loss</w:t>
            </w:r>
          </w:p>
        </w:tc>
        <w:tc>
          <w:tcPr>
            <w:tcW w:w="1700" w:type="pct"/>
            <w:shd w:val="clear" w:color="auto" w:fill="auto"/>
            <w:tcMar>
              <w:top w:w="100" w:type="dxa"/>
              <w:left w:w="100" w:type="dxa"/>
              <w:bottom w:w="100" w:type="dxa"/>
              <w:right w:w="100" w:type="dxa"/>
            </w:tcMar>
          </w:tcPr>
          <w:p w14:paraId="0AB2E2F5"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W/O</w:t>
            </w:r>
          </w:p>
          <w:p w14:paraId="0BB991E5" w14:textId="77777777" w:rsidR="00B5758B" w:rsidRPr="00B5758B" w:rsidRDefault="00B5758B" w:rsidP="00F7641C">
            <w:pPr>
              <w:widowControl w:val="0"/>
              <w:spacing w:before="100" w:beforeAutospacing="1" w:after="100" w:afterAutospacing="1"/>
              <w:rPr>
                <w:rFonts w:ascii="Times New Roman" w:hAnsi="Times New Roman" w:cs="Times New Roman"/>
                <w:sz w:val="24"/>
                <w:szCs w:val="24"/>
              </w:rPr>
            </w:pPr>
          </w:p>
          <w:p w14:paraId="691EBD34" w14:textId="77777777" w:rsidR="00B5758B" w:rsidRPr="00B5758B" w:rsidRDefault="00B5758B" w:rsidP="00B5758B">
            <w:pPr>
              <w:widowControl w:val="0"/>
              <w:numPr>
                <w:ilvl w:val="0"/>
                <w:numId w:val="11"/>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Mitigating negative layoff scrutiny by providing a guaranteed rehiring program for the affected employees. </w:t>
            </w:r>
            <w:proofErr w:type="spellStart"/>
            <w:r w:rsidRPr="00B5758B">
              <w:rPr>
                <w:rFonts w:ascii="Times New Roman" w:hAnsi="Times New Roman" w:cs="Times New Roman"/>
                <w:sz w:val="24"/>
                <w:szCs w:val="24"/>
              </w:rPr>
              <w:t>Dachner</w:t>
            </w:r>
            <w:proofErr w:type="spellEnd"/>
            <w:r w:rsidRPr="00B5758B">
              <w:rPr>
                <w:rFonts w:ascii="Times New Roman" w:hAnsi="Times New Roman" w:cs="Times New Roman"/>
                <w:sz w:val="24"/>
                <w:szCs w:val="24"/>
              </w:rPr>
              <w:t xml:space="preserve"> and Makarius (2022) mentioned that rehiring programs aid in improving community goodwill. </w:t>
            </w:r>
          </w:p>
          <w:p w14:paraId="5B4D6AE0" w14:textId="77777777" w:rsidR="00B5758B" w:rsidRPr="00B5758B" w:rsidRDefault="00B5758B" w:rsidP="00B5758B">
            <w:pPr>
              <w:widowControl w:val="0"/>
              <w:numPr>
                <w:ilvl w:val="0"/>
                <w:numId w:val="11"/>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Temporary revenue loss can be mitigated by leveraging government grants and initiatives to implement green solutions. </w:t>
            </w:r>
          </w:p>
        </w:tc>
        <w:tc>
          <w:tcPr>
            <w:tcW w:w="1600" w:type="pct"/>
            <w:shd w:val="clear" w:color="auto" w:fill="auto"/>
            <w:tcMar>
              <w:top w:w="100" w:type="dxa"/>
              <w:left w:w="100" w:type="dxa"/>
              <w:bottom w:w="100" w:type="dxa"/>
              <w:right w:w="100" w:type="dxa"/>
            </w:tcMar>
          </w:tcPr>
          <w:p w14:paraId="4409FE4C" w14:textId="77777777" w:rsidR="00B5758B" w:rsidRPr="00B5758B" w:rsidRDefault="00B5758B" w:rsidP="00F7641C">
            <w:pPr>
              <w:widowControl w:val="0"/>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W/T</w:t>
            </w:r>
          </w:p>
          <w:p w14:paraId="4E6D8B2A" w14:textId="77777777" w:rsidR="00B5758B" w:rsidRPr="00B5758B" w:rsidRDefault="00B5758B" w:rsidP="00B5758B">
            <w:pPr>
              <w:widowControl w:val="0"/>
              <w:numPr>
                <w:ilvl w:val="0"/>
                <w:numId w:val="12"/>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For mitigating the issue of layoffs and regulatory delays, it is very important for organisations like Mandarin Oriental, Miami, to come up with strategies such as rehiring and employee well-being programs. This can help them get rid of government delays and unnecessary layoff hassle, which could result in losing trained employees.</w:t>
            </w:r>
          </w:p>
          <w:p w14:paraId="5B80B721" w14:textId="77777777" w:rsidR="00B5758B" w:rsidRPr="00B5758B" w:rsidRDefault="00B5758B" w:rsidP="00B5758B">
            <w:pPr>
              <w:widowControl w:val="0"/>
              <w:numPr>
                <w:ilvl w:val="0"/>
                <w:numId w:val="12"/>
              </w:numPr>
              <w:spacing w:before="100" w:beforeAutospacing="1" w:after="100" w:afterAutospacing="1" w:line="360" w:lineRule="auto"/>
              <w:jc w:val="both"/>
              <w:rPr>
                <w:rFonts w:ascii="Times New Roman" w:hAnsi="Times New Roman" w:cs="Times New Roman"/>
                <w:sz w:val="24"/>
                <w:szCs w:val="24"/>
              </w:rPr>
            </w:pPr>
            <w:r w:rsidRPr="00B5758B">
              <w:rPr>
                <w:rFonts w:ascii="Times New Roman" w:hAnsi="Times New Roman" w:cs="Times New Roman"/>
                <w:sz w:val="24"/>
                <w:szCs w:val="24"/>
              </w:rPr>
              <w:t xml:space="preserve">To tackle temporary revenue loss and customer loyalty, offering cross-hotel loyalty privileges at other Mandarin Oriental </w:t>
            </w:r>
            <w:r w:rsidRPr="00B5758B">
              <w:rPr>
                <w:rFonts w:ascii="Times New Roman" w:hAnsi="Times New Roman" w:cs="Times New Roman"/>
                <w:sz w:val="24"/>
                <w:szCs w:val="24"/>
              </w:rPr>
              <w:lastRenderedPageBreak/>
              <w:t>destinations can be a significant strategy.</w:t>
            </w:r>
          </w:p>
        </w:tc>
      </w:tr>
    </w:tbl>
    <w:p w14:paraId="7C7FE9BA"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b/>
          <w:sz w:val="24"/>
          <w:szCs w:val="24"/>
        </w:rPr>
        <w:lastRenderedPageBreak/>
        <w:t xml:space="preserve">Table 3: TOWS Analysis </w:t>
      </w:r>
    </w:p>
    <w:p w14:paraId="52368BAA"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sz w:val="24"/>
          <w:szCs w:val="24"/>
        </w:rPr>
        <w:t>(Source: self-made)</w:t>
      </w:r>
    </w:p>
    <w:p w14:paraId="1198E5C8"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Overall, from the above analysis, it can be stated that the global brand reputation of the organisation and the efficient financial backing of the firm can be extremely helpful for networking opportunities, such as keeping customers connected during the closure and catering to the increased demand for sustainable hospitality. Further, the strengths of the company are also designed to defend it against various damages in the hospitality market, such as brand image deterioration. Thus, to mitigate it, the organisation can retain customers with cross-property benefits. Overall, the TOWS matrix has demonstrated that while the closure and layoffs have been disruptive for Mandarin Oriental, Miami, it also presents a great opportunity for the firm to reinvent itself in the global hospitality landscape while addressing different vulnerabilities with resilience. This can further help the organisation to emerge more competitive and stronger.</w:t>
      </w:r>
    </w:p>
    <w:p w14:paraId="31B3E826"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bookmarkStart w:id="5" w:name="_Toc200879394"/>
      <w:r w:rsidRPr="00B5758B">
        <w:rPr>
          <w:rFonts w:ascii="Times New Roman" w:hAnsi="Times New Roman" w:cs="Times New Roman"/>
          <w:color w:val="auto"/>
          <w:sz w:val="24"/>
          <w:szCs w:val="24"/>
        </w:rPr>
        <w:t>Recommendations and Change Management</w:t>
      </w:r>
      <w:bookmarkEnd w:id="5"/>
    </w:p>
    <w:p w14:paraId="5DDDC003" w14:textId="77777777" w:rsidR="00B5758B" w:rsidRPr="00B5758B" w:rsidRDefault="00B5758B" w:rsidP="00B5758B">
      <w:pPr>
        <w:spacing w:before="100" w:beforeAutospacing="1" w:after="100" w:afterAutospacing="1"/>
        <w:rPr>
          <w:rFonts w:ascii="Times New Roman" w:hAnsi="Times New Roman" w:cs="Times New Roman"/>
          <w:b/>
          <w:sz w:val="24"/>
          <w:szCs w:val="24"/>
        </w:rPr>
      </w:pPr>
      <w:r w:rsidRPr="00B5758B">
        <w:rPr>
          <w:rFonts w:ascii="Times New Roman" w:hAnsi="Times New Roman" w:cs="Times New Roman"/>
          <w:b/>
          <w:sz w:val="24"/>
          <w:szCs w:val="24"/>
        </w:rPr>
        <w:t>Recommendation 1: Integration of Six Sigma for the improvement in the service quality and focus on employee productivity</w:t>
      </w:r>
    </w:p>
    <w:p w14:paraId="1F1C1480"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The Six Sigma method implies appearing in a cyclic form, focusing on stages, namely Define, Measure, Analyse, Improve and Control (Mesut and GÜLMEZ, 2020). Through the integration of the model, not only is performance improvement or enhancement of services looked at, but even with the definition of the problem, the accuracy is generated on resolving the issue (Huang </w:t>
      </w:r>
      <w:r w:rsidRPr="00B5758B">
        <w:rPr>
          <w:rFonts w:ascii="Times New Roman" w:hAnsi="Times New Roman" w:cs="Times New Roman"/>
          <w:i/>
          <w:sz w:val="24"/>
          <w:szCs w:val="24"/>
        </w:rPr>
        <w:t>et al.,</w:t>
      </w:r>
      <w:r w:rsidRPr="00B5758B">
        <w:rPr>
          <w:rFonts w:ascii="Times New Roman" w:hAnsi="Times New Roman" w:cs="Times New Roman"/>
          <w:sz w:val="24"/>
          <w:szCs w:val="24"/>
        </w:rPr>
        <w:t xml:space="preserve"> 2023). </w:t>
      </w:r>
    </w:p>
    <w:p w14:paraId="134B2B13" w14:textId="5DB034E3" w:rsidR="00B5758B" w:rsidRPr="00B5758B" w:rsidRDefault="00322F19" w:rsidP="00B5758B">
      <w:pPr>
        <w:spacing w:before="100" w:beforeAutospacing="1" w:after="100" w:afterAutospacing="1"/>
        <w:jc w:val="center"/>
        <w:rPr>
          <w:rFonts w:ascii="Times New Roman" w:hAnsi="Times New Roman" w:cs="Times New Roman"/>
          <w:sz w:val="24"/>
          <w:szCs w:val="24"/>
        </w:rPr>
      </w:pPr>
      <w:r w:rsidRPr="00690499">
        <w:rPr>
          <w:rFonts w:ascii="Times New Roman" w:hAnsi="Times New Roman" w:cs="Times New Roman"/>
          <w:noProof/>
          <w:sz w:val="24"/>
          <w:szCs w:val="24"/>
        </w:rPr>
        <w:lastRenderedPageBreak/>
        <w:drawing>
          <wp:inline distT="0" distB="0" distL="0" distR="0" wp14:anchorId="4BE9DEED" wp14:editId="661A0A9A">
            <wp:extent cx="5502117" cy="3665538"/>
            <wp:effectExtent l="171450" t="171450" r="175260" b="201930"/>
            <wp:docPr id="22617500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175008" name="Picture 1" descr="A diagram of a diagram&#10;&#10;AI-generated content may be incorrect."/>
                    <pic:cNvPicPr/>
                  </pic:nvPicPr>
                  <pic:blipFill>
                    <a:blip r:embed="rId9">
                      <a:duotone>
                        <a:prstClr val="black"/>
                        <a:schemeClr val="tx2">
                          <a:tint val="45000"/>
                          <a:satMod val="400000"/>
                        </a:schemeClr>
                      </a:duotone>
                    </a:blip>
                    <a:stretch>
                      <a:fillRect/>
                    </a:stretch>
                  </pic:blipFill>
                  <pic:spPr>
                    <a:xfrm>
                      <a:off x="0" y="0"/>
                      <a:ext cx="5502117" cy="366553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5C030B3" w14:textId="77777777" w:rsidR="00B5758B" w:rsidRPr="00B5758B" w:rsidRDefault="00B5758B" w:rsidP="00B5758B">
      <w:pPr>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Figure 5: Six Sigma method and change management</w:t>
      </w:r>
    </w:p>
    <w:p w14:paraId="791910BA"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sz w:val="24"/>
          <w:szCs w:val="24"/>
        </w:rPr>
        <w:t>(Source: Learner)</w:t>
      </w:r>
    </w:p>
    <w:p w14:paraId="51A39745"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Thus, Six Sigma in the case of Mandarin could contribute to reshaping the decision of laying off and focusing on the construction of a new tower for customer satisfaction, too. </w:t>
      </w:r>
    </w:p>
    <w:p w14:paraId="0BEF1AE5"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i/>
          <w:sz w:val="24"/>
          <w:szCs w:val="24"/>
          <w:u w:val="single"/>
        </w:rPr>
        <w:t>Define:</w:t>
      </w:r>
      <w:r w:rsidRPr="00B5758B">
        <w:rPr>
          <w:rFonts w:ascii="Times New Roman" w:hAnsi="Times New Roman" w:cs="Times New Roman"/>
          <w:sz w:val="24"/>
          <w:szCs w:val="24"/>
        </w:rPr>
        <w:t xml:space="preserve"> The issue does point to the cutting </w:t>
      </w:r>
      <w:proofErr w:type="gramStart"/>
      <w:r w:rsidRPr="00B5758B">
        <w:rPr>
          <w:rFonts w:ascii="Times New Roman" w:hAnsi="Times New Roman" w:cs="Times New Roman"/>
          <w:sz w:val="24"/>
          <w:szCs w:val="24"/>
        </w:rPr>
        <w:t>off of</w:t>
      </w:r>
      <w:proofErr w:type="gramEnd"/>
      <w:r w:rsidRPr="00B5758B">
        <w:rPr>
          <w:rFonts w:ascii="Times New Roman" w:hAnsi="Times New Roman" w:cs="Times New Roman"/>
          <w:sz w:val="24"/>
          <w:szCs w:val="24"/>
        </w:rPr>
        <w:t xml:space="preserve"> the employees around 450, which is comparatively much bigger and can impact the ongoing organisational operation. Mandarin has been known for the prestigious performances that it has been serving; however, with the current issue, the productivity is undoubtedly to be impacted. </w:t>
      </w:r>
    </w:p>
    <w:p w14:paraId="6EE77B16"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i/>
          <w:sz w:val="24"/>
          <w:szCs w:val="24"/>
          <w:u w:val="single"/>
        </w:rPr>
        <w:t>Measure:</w:t>
      </w:r>
      <w:r w:rsidRPr="00B5758B">
        <w:rPr>
          <w:rFonts w:ascii="Times New Roman" w:hAnsi="Times New Roman" w:cs="Times New Roman"/>
          <w:sz w:val="24"/>
          <w:szCs w:val="24"/>
        </w:rPr>
        <w:t xml:space="preserve"> Mandarin could survey the employees, where their opinions could be listened to and even how they would perform if they were given new roles. Here, the human resource management can incorporate the measure of collecting feedback from the employees and know their feedback about the new establishments. Moreover, their skills and talents could be assessed too, which will give an overview of whether the employees are efficient in performing contemporary tasks or not and proceed with additional requirements (</w:t>
      </w:r>
      <w:proofErr w:type="spellStart"/>
      <w:r w:rsidRPr="00B5758B">
        <w:rPr>
          <w:rFonts w:ascii="Times New Roman" w:hAnsi="Times New Roman" w:cs="Times New Roman"/>
          <w:sz w:val="24"/>
          <w:szCs w:val="24"/>
        </w:rPr>
        <w:t>Trubetskaya</w:t>
      </w:r>
      <w:proofErr w:type="spellEnd"/>
      <w:r w:rsidRPr="00B5758B">
        <w:rPr>
          <w:rFonts w:ascii="Times New Roman" w:hAnsi="Times New Roman" w:cs="Times New Roman"/>
          <w:sz w:val="24"/>
          <w:szCs w:val="24"/>
        </w:rPr>
        <w:t xml:space="preserve"> and Mullers, 2021). </w:t>
      </w:r>
    </w:p>
    <w:p w14:paraId="4169E82A"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i/>
          <w:sz w:val="24"/>
          <w:szCs w:val="24"/>
          <w:u w:val="single"/>
        </w:rPr>
        <w:t>Analyse</w:t>
      </w:r>
      <w:r w:rsidRPr="00B5758B">
        <w:rPr>
          <w:rFonts w:ascii="Times New Roman" w:hAnsi="Times New Roman" w:cs="Times New Roman"/>
          <w:i/>
          <w:sz w:val="24"/>
          <w:szCs w:val="24"/>
        </w:rPr>
        <w:t>:</w:t>
      </w:r>
      <w:r w:rsidRPr="00B5758B">
        <w:rPr>
          <w:rFonts w:ascii="Times New Roman" w:hAnsi="Times New Roman" w:cs="Times New Roman"/>
          <w:sz w:val="24"/>
          <w:szCs w:val="24"/>
        </w:rPr>
        <w:t xml:space="preserve"> The Root Cause Analysis technique here is applicable, which would help to know that laying off the employees is not the right decision. The managers can look at the current needs of the employees and replace their positions in the new structure, refurbishing competitiveness. </w:t>
      </w:r>
    </w:p>
    <w:p w14:paraId="16FC5FC3"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noProof/>
          <w:sz w:val="24"/>
          <w:szCs w:val="24"/>
        </w:rPr>
        <w:lastRenderedPageBreak/>
        <w:drawing>
          <wp:inline distT="0" distB="0" distL="0" distR="0" wp14:anchorId="39F3B577" wp14:editId="211F52DF">
            <wp:extent cx="5731510" cy="5283200"/>
            <wp:effectExtent l="0" t="0" r="2540" b="0"/>
            <wp:docPr id="1167200571"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200571" name="Picture 1" descr="A diagram of a company&#10;&#10;AI-generated content may be incorrect."/>
                    <pic:cNvPicPr/>
                  </pic:nvPicPr>
                  <pic:blipFill>
                    <a:blip r:embed="rId10">
                      <a:duotone>
                        <a:schemeClr val="accent1">
                          <a:shade val="45000"/>
                          <a:satMod val="135000"/>
                        </a:schemeClr>
                        <a:prstClr val="white"/>
                      </a:duotone>
                    </a:blip>
                    <a:stretch>
                      <a:fillRect/>
                    </a:stretch>
                  </pic:blipFill>
                  <pic:spPr>
                    <a:xfrm>
                      <a:off x="0" y="0"/>
                      <a:ext cx="5731510" cy="5283200"/>
                    </a:xfrm>
                    <a:prstGeom prst="rect">
                      <a:avLst/>
                    </a:prstGeom>
                  </pic:spPr>
                </pic:pic>
              </a:graphicData>
            </a:graphic>
          </wp:inline>
        </w:drawing>
      </w:r>
    </w:p>
    <w:p w14:paraId="6AF280C6" w14:textId="77777777" w:rsidR="00B5758B" w:rsidRPr="00B5758B" w:rsidRDefault="00B5758B" w:rsidP="00B5758B">
      <w:pPr>
        <w:spacing w:before="100" w:beforeAutospacing="1" w:after="100" w:afterAutospacing="1"/>
        <w:jc w:val="center"/>
        <w:rPr>
          <w:rFonts w:ascii="Times New Roman" w:hAnsi="Times New Roman" w:cs="Times New Roman"/>
          <w:b/>
          <w:bCs/>
          <w:sz w:val="24"/>
          <w:szCs w:val="24"/>
        </w:rPr>
      </w:pPr>
      <w:r w:rsidRPr="00B5758B">
        <w:rPr>
          <w:rFonts w:ascii="Times New Roman" w:hAnsi="Times New Roman" w:cs="Times New Roman"/>
          <w:b/>
          <w:bCs/>
          <w:sz w:val="24"/>
          <w:szCs w:val="24"/>
        </w:rPr>
        <w:t>Figure 6: Fish Bone Diagram</w:t>
      </w:r>
    </w:p>
    <w:p w14:paraId="744309F6"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sz w:val="24"/>
          <w:szCs w:val="24"/>
        </w:rPr>
        <w:t>(Source: Learner)</w:t>
      </w:r>
    </w:p>
    <w:p w14:paraId="4AE22112"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From the presentation of the analysis, the causes are evidenced, like social, legal, ethical and business environment factors that have resulted in the redevelopment to be questioned. In the social context, the laying off the employees leads to social impacts, where demotivation of employees comes in the first place and even lack of community engagement. The demolition certainly impacted the ecosystem too and even the nearby areas have been impacted with pollution. In the context of business environment, Mandarin had thought of creating and redefining luxury but on the other hand, internally it did question on the decision-making process of the management and the unethical chaos of the HR policies. </w:t>
      </w:r>
    </w:p>
    <w:p w14:paraId="601B8F5F"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i/>
          <w:sz w:val="24"/>
          <w:szCs w:val="24"/>
          <w:u w:val="single"/>
        </w:rPr>
        <w:t>Improve</w:t>
      </w:r>
      <w:r w:rsidRPr="00B5758B">
        <w:rPr>
          <w:rFonts w:ascii="Times New Roman" w:hAnsi="Times New Roman" w:cs="Times New Roman"/>
          <w:sz w:val="24"/>
          <w:szCs w:val="24"/>
        </w:rPr>
        <w:t xml:space="preserve">: For the improvement, the managers can focus on feedback and review the diverse opinions that the employees have generated. </w:t>
      </w:r>
    </w:p>
    <w:p w14:paraId="1C581591"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i/>
          <w:sz w:val="24"/>
          <w:szCs w:val="24"/>
          <w:u w:val="single"/>
        </w:rPr>
        <w:lastRenderedPageBreak/>
        <w:t>Control:</w:t>
      </w:r>
      <w:r w:rsidRPr="00B5758B">
        <w:rPr>
          <w:rFonts w:ascii="Times New Roman" w:hAnsi="Times New Roman" w:cs="Times New Roman"/>
          <w:sz w:val="24"/>
          <w:szCs w:val="24"/>
        </w:rPr>
        <w:t xml:space="preserve"> For the control of the action to be taken, which involves conducting feedback from the employees in Mandarin and replacing them in the new establishments, the change management strategy would be successful. </w:t>
      </w:r>
    </w:p>
    <w:p w14:paraId="7A401E49" w14:textId="77777777" w:rsidR="00B5758B" w:rsidRPr="00B5758B" w:rsidRDefault="00B5758B" w:rsidP="00B5758B">
      <w:pPr>
        <w:spacing w:before="100" w:beforeAutospacing="1" w:after="100" w:afterAutospacing="1"/>
        <w:rPr>
          <w:rFonts w:ascii="Times New Roman" w:hAnsi="Times New Roman" w:cs="Times New Roman"/>
          <w:b/>
          <w:sz w:val="24"/>
          <w:szCs w:val="24"/>
        </w:rPr>
      </w:pPr>
      <w:r w:rsidRPr="00B5758B">
        <w:rPr>
          <w:rFonts w:ascii="Times New Roman" w:hAnsi="Times New Roman" w:cs="Times New Roman"/>
          <w:b/>
          <w:sz w:val="24"/>
          <w:szCs w:val="24"/>
        </w:rPr>
        <w:t>Recommendation 2: The application of change Management Strategy for new infrastructural decisions to be boosted with employee engagement</w:t>
      </w:r>
    </w:p>
    <w:p w14:paraId="08D6C2B8"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The current as has been identified for the laying off the employees around 450 employees to make room for the construction of a two-tower hotel and residence complex. In the study of Mujtaba and </w:t>
      </w:r>
      <w:proofErr w:type="spellStart"/>
      <w:r w:rsidRPr="00B5758B">
        <w:rPr>
          <w:rFonts w:ascii="Times New Roman" w:hAnsi="Times New Roman" w:cs="Times New Roman"/>
          <w:sz w:val="24"/>
          <w:szCs w:val="24"/>
        </w:rPr>
        <w:t>Senathip</w:t>
      </w:r>
      <w:proofErr w:type="spellEnd"/>
      <w:r w:rsidRPr="00B5758B">
        <w:rPr>
          <w:rFonts w:ascii="Times New Roman" w:hAnsi="Times New Roman" w:cs="Times New Roman"/>
          <w:sz w:val="24"/>
          <w:szCs w:val="24"/>
        </w:rPr>
        <w:t xml:space="preserve"> (2020), the authors argued that with the decision of layoffs, companies do sometimes create the opportunity for saving costs. However, Ampong </w:t>
      </w:r>
      <w:r w:rsidRPr="00B5758B">
        <w:rPr>
          <w:rFonts w:ascii="Times New Roman" w:hAnsi="Times New Roman" w:cs="Times New Roman"/>
          <w:i/>
          <w:sz w:val="24"/>
          <w:szCs w:val="24"/>
        </w:rPr>
        <w:t xml:space="preserve">et al. </w:t>
      </w:r>
      <w:r w:rsidRPr="00B5758B">
        <w:rPr>
          <w:rFonts w:ascii="Times New Roman" w:hAnsi="Times New Roman" w:cs="Times New Roman"/>
          <w:iCs/>
          <w:sz w:val="24"/>
          <w:szCs w:val="24"/>
        </w:rPr>
        <w:t>(2</w:t>
      </w:r>
      <w:r w:rsidRPr="00B5758B">
        <w:rPr>
          <w:rFonts w:ascii="Times New Roman" w:hAnsi="Times New Roman" w:cs="Times New Roman"/>
          <w:sz w:val="24"/>
          <w:szCs w:val="24"/>
        </w:rPr>
        <w:t xml:space="preserve">025) contrastingly identified the negative impacts that are associated with the cutting </w:t>
      </w:r>
      <w:proofErr w:type="gramStart"/>
      <w:r w:rsidRPr="00B5758B">
        <w:rPr>
          <w:rFonts w:ascii="Times New Roman" w:hAnsi="Times New Roman" w:cs="Times New Roman"/>
          <w:sz w:val="24"/>
          <w:szCs w:val="24"/>
        </w:rPr>
        <w:t>off of</w:t>
      </w:r>
      <w:proofErr w:type="gramEnd"/>
      <w:r w:rsidRPr="00B5758B">
        <w:rPr>
          <w:rFonts w:ascii="Times New Roman" w:hAnsi="Times New Roman" w:cs="Times New Roman"/>
          <w:sz w:val="24"/>
          <w:szCs w:val="24"/>
        </w:rPr>
        <w:t xml:space="preserve"> employees who are directly linked to productivity. Eventually, organisations do need to make decisions that may cause ethical dilemmas. With the demolition of the old one, certainly, new development is focused on, which the management can think of as involving strategic change within it. Employees are the key assets of organisations, and recruiting new staff could leverage the cost. Hence, to remain strategic, Mandarin can decide to replace the employees and even upskill them as part of the change. For this training program linked to the new development could be fostered.  Dupret and Pultz (2022) investigated in the study and revealed that employees are the assets of the organisations who contribute to the effectiveness of the organisational performance. </w:t>
      </w:r>
    </w:p>
    <w:p w14:paraId="31F8CB69"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In the contemporary era, employees have been highly focused on catering to their needs, which has been related to the concept of corporate social responsibility and a sustainable agenda (Burnes, 2014, p.88). It is believed that due to the presence of the employees, maximum advantages are borne in like the competitiveness being accelerated or even the culture being promoted positively. According to the legal landscape too like the Employment Rights Act 1996 in the UK has been legislated with the intention of both the employees and employers being accountable for their actions (Legislation.gov.uk, n.d.). Universally, employees today are considered the milestones for increasing productivity and accelerating the organisational reputation (</w:t>
      </w:r>
      <w:r w:rsidRPr="00B5758B">
        <w:rPr>
          <w:rFonts w:ascii="Times New Roman" w:hAnsi="Times New Roman" w:cs="Times New Roman"/>
          <w:sz w:val="24"/>
          <w:szCs w:val="24"/>
          <w:lang w:val="en-IN"/>
        </w:rPr>
        <w:t xml:space="preserve">Maley </w:t>
      </w:r>
      <w:r w:rsidRPr="00B5758B">
        <w:rPr>
          <w:rFonts w:ascii="Times New Roman" w:hAnsi="Times New Roman" w:cs="Times New Roman"/>
          <w:i/>
          <w:iCs/>
          <w:sz w:val="24"/>
          <w:szCs w:val="24"/>
          <w:lang w:val="en-IN"/>
        </w:rPr>
        <w:t>et al.,</w:t>
      </w:r>
      <w:r w:rsidRPr="00B5758B">
        <w:rPr>
          <w:rFonts w:ascii="Times New Roman" w:hAnsi="Times New Roman" w:cs="Times New Roman"/>
          <w:sz w:val="24"/>
          <w:szCs w:val="24"/>
          <w:lang w:val="en-IN"/>
        </w:rPr>
        <w:t xml:space="preserve"> 2024</w:t>
      </w:r>
      <w:r w:rsidRPr="00B5758B">
        <w:rPr>
          <w:rFonts w:ascii="Times New Roman" w:hAnsi="Times New Roman" w:cs="Times New Roman"/>
          <w:sz w:val="24"/>
          <w:szCs w:val="24"/>
        </w:rPr>
        <w:t xml:space="preserve">). Mandarin, however, with the decision to lay off the employees, approached two of the outcomes. The first outcome is focused on infrastructural developments, which could incur a good profit margin and more facilities for the customers, while negatively impacting the employment of around 450 employees. According to Sunn </w:t>
      </w:r>
      <w:r w:rsidRPr="00B5758B">
        <w:rPr>
          <w:rFonts w:ascii="Times New Roman" w:hAnsi="Times New Roman" w:cs="Times New Roman"/>
          <w:i/>
          <w:sz w:val="24"/>
          <w:szCs w:val="24"/>
        </w:rPr>
        <w:t>et al.</w:t>
      </w:r>
      <w:r w:rsidRPr="00B5758B">
        <w:rPr>
          <w:rFonts w:ascii="Times New Roman" w:hAnsi="Times New Roman" w:cs="Times New Roman"/>
          <w:sz w:val="24"/>
          <w:szCs w:val="24"/>
        </w:rPr>
        <w:t xml:space="preserve"> (2024), people management has today become one of the sensitive issues where retention plans and strategies do matter for the organisational treasure to be protected. </w:t>
      </w:r>
    </w:p>
    <w:p w14:paraId="30A04852"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Change Management Strategy with the application of the Lewin Change Management Model could be integrated for better performance and orientation of organisational needs for the future (Kotter, 2012, p. 6). In the first stage of unfreezing, the manager can take an active approach of creating awareness and making the employees understand the need for the demolition and reconstruction of the residence. There are several reasons that the management could convey to the employees, like the ageing infrastructure or even meeting Sustainable Development Goal (SDG) 11. According to the study of Jerónimo </w:t>
      </w:r>
      <w:r w:rsidRPr="00B5758B">
        <w:rPr>
          <w:rFonts w:ascii="Times New Roman" w:hAnsi="Times New Roman" w:cs="Times New Roman"/>
          <w:i/>
          <w:sz w:val="24"/>
          <w:szCs w:val="24"/>
        </w:rPr>
        <w:t>et al.</w:t>
      </w:r>
      <w:r w:rsidRPr="00B5758B">
        <w:rPr>
          <w:rFonts w:ascii="Times New Roman" w:hAnsi="Times New Roman" w:cs="Times New Roman"/>
          <w:sz w:val="24"/>
          <w:szCs w:val="24"/>
        </w:rPr>
        <w:t xml:space="preserve"> (2021), taking the case study of the Portuguese cities, the municipalities intended to achieve sustainable development to be obtained. The study of </w:t>
      </w:r>
      <w:proofErr w:type="spellStart"/>
      <w:r w:rsidRPr="00B5758B">
        <w:rPr>
          <w:rFonts w:ascii="Times New Roman" w:hAnsi="Times New Roman" w:cs="Times New Roman"/>
          <w:sz w:val="24"/>
          <w:szCs w:val="24"/>
        </w:rPr>
        <w:t>Küfeoğlu</w:t>
      </w:r>
      <w:proofErr w:type="spellEnd"/>
      <w:r w:rsidRPr="00B5758B">
        <w:rPr>
          <w:rFonts w:ascii="Times New Roman" w:hAnsi="Times New Roman" w:cs="Times New Roman"/>
          <w:sz w:val="24"/>
          <w:szCs w:val="24"/>
        </w:rPr>
        <w:t xml:space="preserve"> (2022, p. 103) contrastingly </w:t>
      </w:r>
      <w:r w:rsidRPr="00B5758B">
        <w:rPr>
          <w:rFonts w:ascii="Times New Roman" w:hAnsi="Times New Roman" w:cs="Times New Roman"/>
          <w:sz w:val="24"/>
          <w:szCs w:val="24"/>
        </w:rPr>
        <w:lastRenderedPageBreak/>
        <w:t xml:space="preserve">used the term urbanisation, which demanded changes in cities with sustainable planning. With the change stage, the main action lies in the process and the strategy. The main change will be that the human resource manager within the new residence will aim to train the employees and upskill them according to the needs of the new property and build on customer satisfaction. </w:t>
      </w:r>
    </w:p>
    <w:p w14:paraId="10034F14" w14:textId="0FD6CBCC" w:rsidR="00B5758B" w:rsidRPr="00B5758B" w:rsidRDefault="00322F19" w:rsidP="00B5758B">
      <w:pPr>
        <w:spacing w:before="100" w:beforeAutospacing="1" w:after="100" w:afterAutospacing="1"/>
        <w:jc w:val="center"/>
        <w:rPr>
          <w:rFonts w:ascii="Times New Roman" w:hAnsi="Times New Roman" w:cs="Times New Roman"/>
          <w:sz w:val="24"/>
          <w:szCs w:val="24"/>
        </w:rPr>
      </w:pPr>
      <w:r>
        <w:rPr>
          <w:noProof/>
        </w:rPr>
        <w:drawing>
          <wp:inline distT="0" distB="0" distL="0" distR="0" wp14:anchorId="3E54FAC5" wp14:editId="2424BE82">
            <wp:extent cx="5730875" cy="2688590"/>
            <wp:effectExtent l="0" t="0" r="3175" b="0"/>
            <wp:docPr id="1492398960" name="Picture 1" descr="A diagram of a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398960" name="Picture 1" descr="A diagram of a change&#10;&#10;AI-generated content may be incorrect."/>
                    <pic:cNvPicPr>
                      <a:picLocks noChangeAspect="1" noChangeArrowheads="1"/>
                    </pic:cNvPicPr>
                  </pic:nvPicPr>
                  <pic:blipFill>
                    <a:blip r:embed="rId11">
                      <a:grayscl/>
                      <a:extLst>
                        <a:ext uri="{BEBA8EAE-BF5A-486C-A8C5-ECC9F3942E4B}">
                          <a14:imgProps xmlns:a14="http://schemas.microsoft.com/office/drawing/2010/main">
                            <a14:imgLayer r:embed="rId12">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5730875" cy="2688590"/>
                    </a:xfrm>
                    <a:prstGeom prst="rect">
                      <a:avLst/>
                    </a:prstGeom>
                    <a:noFill/>
                  </pic:spPr>
                </pic:pic>
              </a:graphicData>
            </a:graphic>
          </wp:inline>
        </w:drawing>
      </w:r>
    </w:p>
    <w:p w14:paraId="69FD6B35" w14:textId="77777777" w:rsidR="00B5758B" w:rsidRPr="00B5758B" w:rsidRDefault="00B5758B" w:rsidP="00B5758B">
      <w:pPr>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Figure 6: Lewin Change Management Model</w:t>
      </w:r>
    </w:p>
    <w:p w14:paraId="3A06D241"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sz w:val="24"/>
          <w:szCs w:val="24"/>
        </w:rPr>
        <w:t>(Source: Learner)</w:t>
      </w:r>
    </w:p>
    <w:p w14:paraId="32BCE713"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In the refreezing stage, the managers will aim to survey the employees, knowing their perceptions regarding the new allocation of roles, feedback regarding how they wish to prosper in their new roles, and which areas they find to improve themselves. In a way, this strategy would not only ensure people management but also integrate employee engagement too valuing their efforts and productivity.</w:t>
      </w:r>
    </w:p>
    <w:p w14:paraId="13F9871E" w14:textId="77777777" w:rsidR="00B5758B" w:rsidRPr="00B5758B" w:rsidRDefault="00B5758B" w:rsidP="00B5758B">
      <w:pPr>
        <w:spacing w:before="100" w:beforeAutospacing="1" w:after="100" w:afterAutospacing="1"/>
        <w:rPr>
          <w:rFonts w:ascii="Times New Roman" w:hAnsi="Times New Roman" w:cs="Times New Roman"/>
          <w:b/>
          <w:i/>
          <w:sz w:val="24"/>
          <w:szCs w:val="24"/>
        </w:rPr>
      </w:pPr>
      <w:r w:rsidRPr="00B5758B">
        <w:rPr>
          <w:rFonts w:ascii="Times New Roman" w:hAnsi="Times New Roman" w:cs="Times New Roman"/>
          <w:b/>
          <w:i/>
          <w:sz w:val="24"/>
          <w:szCs w:val="24"/>
        </w:rPr>
        <w:t>Recommendation 3: The Human Resource managers of Mandarin Hotel implement the STAR model for efficiency and competitiveness</w:t>
      </w:r>
    </w:p>
    <w:p w14:paraId="66C13AC0"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Through the Star Model, it is described to be a framework that designs the policies which are categorised in five segments. The segments are Strategy, Structure, Processes, Rewards and People. </w:t>
      </w:r>
    </w:p>
    <w:p w14:paraId="1DF7C213" w14:textId="77777777" w:rsidR="00B5758B" w:rsidRPr="00B5758B" w:rsidRDefault="00B5758B" w:rsidP="00B5758B">
      <w:pPr>
        <w:spacing w:before="100" w:beforeAutospacing="1" w:after="100" w:afterAutospacing="1"/>
        <w:rPr>
          <w:rFonts w:ascii="Times New Roman" w:hAnsi="Times New Roman" w:cs="Times New Roman"/>
          <w:b/>
          <w:i/>
          <w:sz w:val="24"/>
          <w:szCs w:val="24"/>
        </w:rPr>
      </w:pPr>
    </w:p>
    <w:p w14:paraId="44DD2313"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noProof/>
          <w:sz w:val="24"/>
          <w:szCs w:val="24"/>
        </w:rPr>
        <w:lastRenderedPageBreak/>
        <w:drawing>
          <wp:inline distT="0" distB="0" distL="0" distR="0" wp14:anchorId="0E2D7639" wp14:editId="085F8876">
            <wp:extent cx="5502117" cy="3101609"/>
            <wp:effectExtent l="0" t="0" r="3810" b="3810"/>
            <wp:docPr id="819981330" name="Picture 1" descr="A diagram of a star with colorful circle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981330" name="Picture 1" descr="A diagram of a star with colorful circles and lines&#10;&#10;AI-generated content may be incorrect."/>
                    <pic:cNvPicPr/>
                  </pic:nvPicPr>
                  <pic:blipFill>
                    <a:blip r:embed="rId13"/>
                    <a:stretch>
                      <a:fillRect/>
                    </a:stretch>
                  </pic:blipFill>
                  <pic:spPr>
                    <a:xfrm>
                      <a:off x="0" y="0"/>
                      <a:ext cx="5502117" cy="3101609"/>
                    </a:xfrm>
                    <a:prstGeom prst="rect">
                      <a:avLst/>
                    </a:prstGeom>
                  </pic:spPr>
                </pic:pic>
              </a:graphicData>
            </a:graphic>
          </wp:inline>
        </w:drawing>
      </w:r>
    </w:p>
    <w:p w14:paraId="72977760" w14:textId="77777777" w:rsidR="00B5758B" w:rsidRPr="00B5758B" w:rsidRDefault="00B5758B" w:rsidP="00B5758B">
      <w:pPr>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t>Figure 7: Star model</w:t>
      </w:r>
    </w:p>
    <w:p w14:paraId="37CB9829"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sz w:val="24"/>
          <w:szCs w:val="24"/>
        </w:rPr>
        <w:t>(Source: Learner) </w:t>
      </w:r>
    </w:p>
    <w:p w14:paraId="18992128"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According to Hubbart (2024), organisational policies have an impact directly on the organisational decisions and way of thinking. For example, here Mandarin with a change in the policy could bring a change in the process and the strategy as well. With the initiation of policy like integrated training for the employees after 3 months for skill-based performances, a successful change in boosting the self-actualisation, the professional development and upskilling of the people to meet the current needs. From the study of Øygarden </w:t>
      </w:r>
      <w:r w:rsidRPr="00B5758B">
        <w:rPr>
          <w:rFonts w:ascii="Times New Roman" w:hAnsi="Times New Roman" w:cs="Times New Roman"/>
          <w:i/>
          <w:sz w:val="24"/>
          <w:szCs w:val="24"/>
        </w:rPr>
        <w:t>et al.</w:t>
      </w:r>
      <w:r w:rsidRPr="00B5758B">
        <w:rPr>
          <w:rFonts w:ascii="Times New Roman" w:hAnsi="Times New Roman" w:cs="Times New Roman"/>
          <w:sz w:val="24"/>
          <w:szCs w:val="24"/>
        </w:rPr>
        <w:t xml:space="preserve"> (2020), changes when oriented with the organisational needs do add to the competitiveness since the internal operations are tailored to the requirements, thus adding accuracy in designs and the decision-making process. Therefore, the Star Model do cater to identification of measuring the actions, analysis of the impact that the change can cause and then improve on the existing operations with control being exercised with focus on what is to be changed among the dimensions. </w:t>
      </w:r>
    </w:p>
    <w:p w14:paraId="4599C137" w14:textId="77777777" w:rsidR="00B5758B" w:rsidRPr="00B5758B" w:rsidRDefault="00B5758B" w:rsidP="00B5758B">
      <w:pPr>
        <w:pStyle w:val="Heading3"/>
        <w:spacing w:before="100" w:beforeAutospacing="1" w:after="100" w:afterAutospacing="1"/>
        <w:rPr>
          <w:rFonts w:ascii="Times New Roman" w:hAnsi="Times New Roman" w:cs="Times New Roman"/>
          <w:color w:val="auto"/>
          <w:sz w:val="24"/>
          <w:szCs w:val="24"/>
        </w:rPr>
      </w:pPr>
      <w:bookmarkStart w:id="6" w:name="_Toc200879395"/>
      <w:r w:rsidRPr="00B5758B">
        <w:rPr>
          <w:rFonts w:ascii="Times New Roman" w:hAnsi="Times New Roman" w:cs="Times New Roman"/>
          <w:color w:val="auto"/>
          <w:sz w:val="24"/>
          <w:szCs w:val="24"/>
        </w:rPr>
        <w:t>Strategies for the measurement of the success rate</w:t>
      </w:r>
      <w:bookmarkEnd w:id="6"/>
    </w:p>
    <w:p w14:paraId="369631F9"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It is evident that with accuracy in understanding what the problem is and how it is or can impact the organisation, the decision-making process for the management would be fair and even strategic (</w:t>
      </w:r>
      <w:proofErr w:type="spellStart"/>
      <w:r w:rsidRPr="00B5758B">
        <w:rPr>
          <w:rFonts w:ascii="Times New Roman" w:hAnsi="Times New Roman" w:cs="Times New Roman"/>
          <w:sz w:val="24"/>
          <w:szCs w:val="24"/>
        </w:rPr>
        <w:t>Laguir</w:t>
      </w:r>
      <w:proofErr w:type="spellEnd"/>
      <w:r w:rsidRPr="00B5758B">
        <w:rPr>
          <w:rFonts w:ascii="Times New Roman" w:hAnsi="Times New Roman" w:cs="Times New Roman"/>
          <w:sz w:val="24"/>
          <w:szCs w:val="24"/>
        </w:rPr>
        <w:t xml:space="preserve"> </w:t>
      </w:r>
      <w:r w:rsidRPr="00B5758B">
        <w:rPr>
          <w:rFonts w:ascii="Times New Roman" w:hAnsi="Times New Roman" w:cs="Times New Roman"/>
          <w:i/>
          <w:sz w:val="24"/>
          <w:szCs w:val="24"/>
        </w:rPr>
        <w:t>et al.,</w:t>
      </w:r>
      <w:r w:rsidRPr="00B5758B">
        <w:rPr>
          <w:rFonts w:ascii="Times New Roman" w:hAnsi="Times New Roman" w:cs="Times New Roman"/>
          <w:sz w:val="24"/>
          <w:szCs w:val="24"/>
        </w:rPr>
        <w:t xml:space="preserve"> 2022). Within Mandarin, it is found that the management for the building of the two-tower construction intends to cut off the employees that is not rational from the end of the employees since it would impact their cost of living and managing household expenses too. Narayanamma </w:t>
      </w:r>
      <w:r w:rsidRPr="00B5758B">
        <w:rPr>
          <w:rFonts w:ascii="Times New Roman" w:hAnsi="Times New Roman" w:cs="Times New Roman"/>
          <w:i/>
          <w:sz w:val="24"/>
          <w:szCs w:val="24"/>
        </w:rPr>
        <w:t>et al.</w:t>
      </w:r>
      <w:r w:rsidRPr="00B5758B">
        <w:rPr>
          <w:rFonts w:ascii="Times New Roman" w:hAnsi="Times New Roman" w:cs="Times New Roman"/>
          <w:sz w:val="24"/>
          <w:szCs w:val="24"/>
        </w:rPr>
        <w:t xml:space="preserve"> (2022) in the research did argue that today employee engagement has occupied a vital position in the organisational performance and stability to be gained in. The key Performance Indicators (KPIS), like </w:t>
      </w:r>
      <w:r w:rsidRPr="00B5758B">
        <w:rPr>
          <w:rFonts w:ascii="Times New Roman" w:hAnsi="Times New Roman" w:cs="Times New Roman"/>
          <w:b/>
          <w:i/>
          <w:sz w:val="24"/>
          <w:szCs w:val="24"/>
        </w:rPr>
        <w:t xml:space="preserve">Surveys </w:t>
      </w:r>
      <w:r w:rsidRPr="00B5758B">
        <w:rPr>
          <w:rFonts w:ascii="Times New Roman" w:hAnsi="Times New Roman" w:cs="Times New Roman"/>
          <w:sz w:val="24"/>
          <w:szCs w:val="24"/>
        </w:rPr>
        <w:t xml:space="preserve">from the employees, are one of the effective benchmark strategies which Mandarin could apply to understand how much satisfaction employees are with the change. Net Promoter Score </w:t>
      </w:r>
      <w:r w:rsidRPr="00B5758B">
        <w:rPr>
          <w:rFonts w:ascii="Times New Roman" w:hAnsi="Times New Roman" w:cs="Times New Roman"/>
          <w:sz w:val="24"/>
          <w:szCs w:val="24"/>
        </w:rPr>
        <w:lastRenderedPageBreak/>
        <w:t xml:space="preserve">method is another technique which could be deployed for assessing customer satisfaction after the new residence is developed and with the services provided by the employees. In the research conducted by </w:t>
      </w:r>
      <w:proofErr w:type="spellStart"/>
      <w:r w:rsidRPr="00B5758B">
        <w:rPr>
          <w:rFonts w:ascii="Times New Roman" w:hAnsi="Times New Roman" w:cs="Times New Roman"/>
          <w:sz w:val="24"/>
          <w:szCs w:val="24"/>
        </w:rPr>
        <w:t>Hardianto</w:t>
      </w:r>
      <w:proofErr w:type="spellEnd"/>
      <w:r w:rsidRPr="00B5758B">
        <w:rPr>
          <w:rFonts w:ascii="Times New Roman" w:hAnsi="Times New Roman" w:cs="Times New Roman"/>
          <w:sz w:val="24"/>
          <w:szCs w:val="24"/>
        </w:rPr>
        <w:t xml:space="preserve"> and Wijaya (2023), Net Promoter Score has been determined to be a strategic KPI that helps in assessing the desires of the users for bringing changes in an organisation. Within Mandarin, the new residence would also require changes for the positive outcome, and it may reflect on the efficiency of the employees and the effectiveness of the decision to replace employees in new roles rather than layoffs. </w:t>
      </w:r>
    </w:p>
    <w:p w14:paraId="3B07F2E0" w14:textId="77777777" w:rsidR="00B5758B" w:rsidRPr="00B5758B" w:rsidRDefault="00B5758B" w:rsidP="00B5758B">
      <w:pPr>
        <w:pStyle w:val="Heading3"/>
        <w:spacing w:before="100" w:beforeAutospacing="1" w:after="100" w:afterAutospacing="1"/>
        <w:rPr>
          <w:rFonts w:ascii="Times New Roman" w:hAnsi="Times New Roman" w:cs="Times New Roman"/>
          <w:color w:val="auto"/>
          <w:sz w:val="24"/>
          <w:szCs w:val="24"/>
        </w:rPr>
      </w:pPr>
      <w:bookmarkStart w:id="7" w:name="_Toc200879396"/>
      <w:r w:rsidRPr="00B5758B">
        <w:rPr>
          <w:rFonts w:ascii="Times New Roman" w:hAnsi="Times New Roman" w:cs="Times New Roman"/>
          <w:color w:val="auto"/>
          <w:sz w:val="24"/>
          <w:szCs w:val="24"/>
        </w:rPr>
        <w:t>Benefits to be obtained:</w:t>
      </w:r>
      <w:bookmarkEnd w:id="7"/>
    </w:p>
    <w:p w14:paraId="3AFD57E9"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Organisations, due to the pursuit of their desires or business requirements, take actions that lead to multifaceted problems (</w:t>
      </w:r>
      <w:proofErr w:type="spellStart"/>
      <w:r w:rsidRPr="00B5758B">
        <w:rPr>
          <w:rFonts w:ascii="Times New Roman" w:hAnsi="Times New Roman" w:cs="Times New Roman"/>
          <w:sz w:val="24"/>
          <w:szCs w:val="24"/>
        </w:rPr>
        <w:t>Noordzife</w:t>
      </w:r>
      <w:proofErr w:type="spellEnd"/>
      <w:r w:rsidRPr="00B5758B">
        <w:rPr>
          <w:rFonts w:ascii="Times New Roman" w:hAnsi="Times New Roman" w:cs="Times New Roman"/>
          <w:sz w:val="24"/>
          <w:szCs w:val="24"/>
        </w:rPr>
        <w:t xml:space="preserve">, 2014, p. 7). Among the problems that include organisational culture being affected, poor performance, hindrance to ongoing performances, operational inefficiencies, quality issues, and even sometimes leading to the termination of employees. Mandarin Oriental is known to be a collection of luxury hotels, private homes and resorts that are designed to meet the expectations and pleasures of the customers. </w:t>
      </w:r>
      <w:proofErr w:type="gramStart"/>
      <w:r w:rsidRPr="00B5758B">
        <w:rPr>
          <w:rFonts w:ascii="Times New Roman" w:hAnsi="Times New Roman" w:cs="Times New Roman"/>
          <w:sz w:val="24"/>
          <w:szCs w:val="24"/>
        </w:rPr>
        <w:t>Being located in</w:t>
      </w:r>
      <w:proofErr w:type="gramEnd"/>
      <w:r w:rsidRPr="00B5758B">
        <w:rPr>
          <w:rFonts w:ascii="Times New Roman" w:hAnsi="Times New Roman" w:cs="Times New Roman"/>
          <w:sz w:val="24"/>
          <w:szCs w:val="24"/>
        </w:rPr>
        <w:t xml:space="preserve"> a prestigious location, Mandarin do enjoy a good customer base, and even vibes of the location for fostering the attention of the tourists. Through the provision of legendary services in the 21st century, the company has steeped itself in the values of the Orient (Mandarin Hotel, n.d</w:t>
      </w:r>
      <w:r w:rsidRPr="00B5758B">
        <w:rPr>
          <w:rFonts w:ascii="Times New Roman" w:hAnsi="Times New Roman" w:cs="Times New Roman"/>
          <w:i/>
          <w:sz w:val="24"/>
          <w:szCs w:val="24"/>
        </w:rPr>
        <w:t>.</w:t>
      </w:r>
      <w:r w:rsidRPr="00B5758B">
        <w:rPr>
          <w:rFonts w:ascii="Times New Roman" w:hAnsi="Times New Roman" w:cs="Times New Roman"/>
          <w:sz w:val="24"/>
          <w:szCs w:val="24"/>
        </w:rPr>
        <w:t xml:space="preserve">). However, recently, with one of the decisions taken by the management, it is evident that internal chaos has been caused due to the meeting of the external demands. </w:t>
      </w:r>
    </w:p>
    <w:p w14:paraId="24226C00"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With the change in decision to replace the employees in different roles to meet the new needs of the customers and guests at the new establishment. From managing the hotel to directors of sales and finance, the positions could be reallocated in the new residence (Mateer, 2025). With the new residence comprising 228 residences and North Tower with 121 key hotel, spa and multiple restaurants, the size of 450 employees could be adjusted, which could help in saving the costs of new hiring of employees. </w:t>
      </w:r>
    </w:p>
    <w:p w14:paraId="5795F41F" w14:textId="77777777" w:rsidR="00B5758B" w:rsidRPr="00B5758B" w:rsidRDefault="00B5758B" w:rsidP="00B5758B">
      <w:pPr>
        <w:pStyle w:val="Heading3"/>
        <w:spacing w:before="100" w:beforeAutospacing="1" w:after="100" w:afterAutospacing="1"/>
        <w:rPr>
          <w:rFonts w:ascii="Times New Roman" w:hAnsi="Times New Roman" w:cs="Times New Roman"/>
          <w:color w:val="auto"/>
          <w:sz w:val="24"/>
          <w:szCs w:val="24"/>
        </w:rPr>
      </w:pPr>
      <w:bookmarkStart w:id="8" w:name="_Toc200879397"/>
      <w:r w:rsidRPr="00B5758B">
        <w:rPr>
          <w:rFonts w:ascii="Times New Roman" w:hAnsi="Times New Roman" w:cs="Times New Roman"/>
          <w:color w:val="auto"/>
          <w:sz w:val="24"/>
          <w:szCs w:val="24"/>
        </w:rPr>
        <w:t>Costs To be Incurred with the Change</w:t>
      </w:r>
      <w:bookmarkEnd w:id="8"/>
    </w:p>
    <w:p w14:paraId="2EC324FA"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In the replacement of the employees to the new residence rather than laying off, minimal financing will be required. In the training of the people for the new roles to be played, a cost of around £25,000 would be needed, while for the digital software to be installed for the digital performance, a cost of around £1,0000 would be incurred. </w:t>
      </w:r>
      <w:proofErr w:type="spellStart"/>
      <w:r w:rsidRPr="00B5758B">
        <w:rPr>
          <w:rFonts w:ascii="Times New Roman" w:hAnsi="Times New Roman" w:cs="Times New Roman"/>
          <w:sz w:val="24"/>
          <w:szCs w:val="24"/>
        </w:rPr>
        <w:t>Alecsoiu</w:t>
      </w:r>
      <w:proofErr w:type="spellEnd"/>
      <w:r w:rsidRPr="00B5758B">
        <w:rPr>
          <w:rFonts w:ascii="Times New Roman" w:hAnsi="Times New Roman" w:cs="Times New Roman"/>
          <w:sz w:val="24"/>
          <w:szCs w:val="24"/>
        </w:rPr>
        <w:t xml:space="preserve"> </w:t>
      </w:r>
      <w:r w:rsidRPr="00B5758B">
        <w:rPr>
          <w:rFonts w:ascii="Times New Roman" w:hAnsi="Times New Roman" w:cs="Times New Roman"/>
          <w:i/>
          <w:sz w:val="24"/>
          <w:szCs w:val="24"/>
        </w:rPr>
        <w:t>et al</w:t>
      </w:r>
      <w:r w:rsidRPr="00B5758B">
        <w:rPr>
          <w:rFonts w:ascii="Times New Roman" w:hAnsi="Times New Roman" w:cs="Times New Roman"/>
          <w:sz w:val="24"/>
          <w:szCs w:val="24"/>
        </w:rPr>
        <w:t xml:space="preserve">. (2022) argued that financial performances are tied to the decision of change in organisations that involve in arrangement of resources and add to the value of the change. The human resource manager here could present the various costs that would be included in the training program. Moreover, for the services adhering to SDG 11, a cost of around £6000 could be incurred for long-term oriented future guests' demands to be accommodated. </w:t>
      </w:r>
    </w:p>
    <w:p w14:paraId="0F6E4AE3"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bookmarkStart w:id="9" w:name="_Toc200879398"/>
      <w:r w:rsidRPr="00B5758B">
        <w:rPr>
          <w:rFonts w:ascii="Times New Roman" w:hAnsi="Times New Roman" w:cs="Times New Roman"/>
          <w:color w:val="auto"/>
          <w:sz w:val="24"/>
          <w:szCs w:val="24"/>
        </w:rPr>
        <w:lastRenderedPageBreak/>
        <w:t>Action Plan</w:t>
      </w:r>
      <w:bookmarkEnd w:id="9"/>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33"/>
        <w:gridCol w:w="1460"/>
        <w:gridCol w:w="1564"/>
        <w:gridCol w:w="1750"/>
        <w:gridCol w:w="821"/>
        <w:gridCol w:w="1369"/>
        <w:gridCol w:w="1019"/>
      </w:tblGrid>
      <w:tr w:rsidR="00B5758B" w:rsidRPr="00B5758B" w14:paraId="5CDFB430" w14:textId="77777777" w:rsidTr="00F7641C">
        <w:trPr>
          <w:trHeight w:val="1185"/>
        </w:trPr>
        <w:tc>
          <w:tcPr>
            <w:tcW w:w="1033" w:type="dxa"/>
            <w:tcBorders>
              <w:top w:val="nil"/>
              <w:left w:val="nil"/>
            </w:tcBorders>
          </w:tcPr>
          <w:p w14:paraId="153BA58F" w14:textId="77777777" w:rsidR="00B5758B" w:rsidRPr="00B5758B" w:rsidRDefault="00B5758B" w:rsidP="00F7641C">
            <w:pPr>
              <w:spacing w:before="100" w:beforeAutospacing="1" w:after="100" w:afterAutospacing="1" w:line="360" w:lineRule="auto"/>
              <w:rPr>
                <w:rFonts w:ascii="Times New Roman" w:hAnsi="Times New Roman" w:cs="Times New Roman"/>
                <w:sz w:val="24"/>
                <w:szCs w:val="24"/>
              </w:rPr>
            </w:pPr>
            <w:bookmarkStart w:id="10" w:name="_heading=h.6r5rj216nl41" w:colFirst="0" w:colLast="0"/>
            <w:bookmarkEnd w:id="10"/>
            <w:r w:rsidRPr="00B5758B">
              <w:rPr>
                <w:rFonts w:ascii="Times New Roman" w:hAnsi="Times New Roman" w:cs="Times New Roman"/>
                <w:sz w:val="24"/>
                <w:szCs w:val="24"/>
              </w:rPr>
              <w:t xml:space="preserve"> Number</w:t>
            </w:r>
          </w:p>
        </w:tc>
        <w:tc>
          <w:tcPr>
            <w:tcW w:w="1460" w:type="dxa"/>
            <w:tcBorders>
              <w:top w:val="nil"/>
            </w:tcBorders>
          </w:tcPr>
          <w:p w14:paraId="2C4B102E" w14:textId="77777777" w:rsidR="00B5758B" w:rsidRPr="00B5758B" w:rsidRDefault="00B5758B" w:rsidP="00F7641C">
            <w:pPr>
              <w:spacing w:before="100" w:beforeAutospacing="1" w:after="100" w:afterAutospacing="1" w:line="360" w:lineRule="auto"/>
              <w:rPr>
                <w:rFonts w:ascii="Times New Roman" w:hAnsi="Times New Roman" w:cs="Times New Roman"/>
                <w:sz w:val="24"/>
                <w:szCs w:val="24"/>
              </w:rPr>
            </w:pPr>
            <w:r w:rsidRPr="00B5758B">
              <w:rPr>
                <w:rFonts w:ascii="Times New Roman" w:hAnsi="Times New Roman" w:cs="Times New Roman"/>
                <w:sz w:val="24"/>
                <w:szCs w:val="24"/>
              </w:rPr>
              <w:t>Problem</w:t>
            </w:r>
          </w:p>
        </w:tc>
        <w:tc>
          <w:tcPr>
            <w:tcW w:w="1564" w:type="dxa"/>
            <w:tcBorders>
              <w:top w:val="nil"/>
            </w:tcBorders>
          </w:tcPr>
          <w:p w14:paraId="56B87526" w14:textId="77777777" w:rsidR="00B5758B" w:rsidRPr="00B5758B" w:rsidRDefault="00B5758B" w:rsidP="00F7641C">
            <w:pPr>
              <w:spacing w:before="100" w:beforeAutospacing="1" w:after="100" w:afterAutospacing="1" w:line="360" w:lineRule="auto"/>
              <w:rPr>
                <w:rFonts w:ascii="Times New Roman" w:hAnsi="Times New Roman" w:cs="Times New Roman"/>
                <w:sz w:val="24"/>
                <w:szCs w:val="24"/>
              </w:rPr>
            </w:pPr>
            <w:r w:rsidRPr="00B5758B">
              <w:rPr>
                <w:rFonts w:ascii="Times New Roman" w:hAnsi="Times New Roman" w:cs="Times New Roman"/>
                <w:sz w:val="24"/>
                <w:szCs w:val="24"/>
              </w:rPr>
              <w:t>Solution</w:t>
            </w:r>
          </w:p>
        </w:tc>
        <w:tc>
          <w:tcPr>
            <w:tcW w:w="1750" w:type="dxa"/>
            <w:tcBorders>
              <w:top w:val="nil"/>
            </w:tcBorders>
          </w:tcPr>
          <w:p w14:paraId="7D7314BC" w14:textId="77777777" w:rsidR="00B5758B" w:rsidRPr="00B5758B" w:rsidRDefault="00B5758B" w:rsidP="00F7641C">
            <w:pPr>
              <w:spacing w:before="100" w:beforeAutospacing="1" w:after="100" w:afterAutospacing="1" w:line="360" w:lineRule="auto"/>
              <w:rPr>
                <w:rFonts w:ascii="Times New Roman" w:hAnsi="Times New Roman" w:cs="Times New Roman"/>
                <w:sz w:val="24"/>
                <w:szCs w:val="24"/>
              </w:rPr>
            </w:pPr>
            <w:r w:rsidRPr="00B5758B">
              <w:rPr>
                <w:rFonts w:ascii="Times New Roman" w:hAnsi="Times New Roman" w:cs="Times New Roman"/>
                <w:sz w:val="24"/>
                <w:szCs w:val="24"/>
              </w:rPr>
              <w:t>Desired Outcome</w:t>
            </w:r>
          </w:p>
        </w:tc>
        <w:tc>
          <w:tcPr>
            <w:tcW w:w="821" w:type="dxa"/>
            <w:tcBorders>
              <w:top w:val="nil"/>
            </w:tcBorders>
          </w:tcPr>
          <w:p w14:paraId="42EF59A5" w14:textId="77777777" w:rsidR="00B5758B" w:rsidRPr="00B5758B" w:rsidRDefault="00B5758B" w:rsidP="00F7641C">
            <w:pPr>
              <w:spacing w:before="100" w:beforeAutospacing="1" w:after="100" w:afterAutospacing="1" w:line="360" w:lineRule="auto"/>
              <w:rPr>
                <w:rFonts w:ascii="Times New Roman" w:hAnsi="Times New Roman" w:cs="Times New Roman"/>
                <w:sz w:val="24"/>
                <w:szCs w:val="24"/>
              </w:rPr>
            </w:pPr>
            <w:r w:rsidRPr="00B5758B">
              <w:rPr>
                <w:rFonts w:ascii="Times New Roman" w:hAnsi="Times New Roman" w:cs="Times New Roman"/>
                <w:sz w:val="24"/>
                <w:szCs w:val="24"/>
              </w:rPr>
              <w:t>Time Scale</w:t>
            </w:r>
          </w:p>
        </w:tc>
        <w:tc>
          <w:tcPr>
            <w:tcW w:w="1369" w:type="dxa"/>
            <w:tcBorders>
              <w:top w:val="nil"/>
            </w:tcBorders>
          </w:tcPr>
          <w:p w14:paraId="734EF7C3" w14:textId="77777777" w:rsidR="00B5758B" w:rsidRPr="00B5758B" w:rsidRDefault="00B5758B" w:rsidP="00F7641C">
            <w:pPr>
              <w:spacing w:before="100" w:beforeAutospacing="1" w:after="100" w:afterAutospacing="1" w:line="360" w:lineRule="auto"/>
              <w:rPr>
                <w:rFonts w:ascii="Times New Roman" w:hAnsi="Times New Roman" w:cs="Times New Roman"/>
                <w:sz w:val="24"/>
                <w:szCs w:val="24"/>
              </w:rPr>
            </w:pPr>
            <w:r w:rsidRPr="00B5758B">
              <w:rPr>
                <w:rFonts w:ascii="Times New Roman" w:hAnsi="Times New Roman" w:cs="Times New Roman"/>
                <w:sz w:val="24"/>
                <w:szCs w:val="24"/>
              </w:rPr>
              <w:t>Completion Date</w:t>
            </w:r>
          </w:p>
        </w:tc>
        <w:tc>
          <w:tcPr>
            <w:tcW w:w="1019" w:type="dxa"/>
            <w:tcBorders>
              <w:top w:val="nil"/>
              <w:right w:val="nil"/>
            </w:tcBorders>
          </w:tcPr>
          <w:p w14:paraId="3783F877" w14:textId="77777777" w:rsidR="00B5758B" w:rsidRPr="00B5758B" w:rsidRDefault="00B5758B" w:rsidP="00F7641C">
            <w:pPr>
              <w:spacing w:before="100" w:beforeAutospacing="1" w:after="100" w:afterAutospacing="1" w:line="360" w:lineRule="auto"/>
              <w:rPr>
                <w:rFonts w:ascii="Times New Roman" w:hAnsi="Times New Roman" w:cs="Times New Roman"/>
                <w:sz w:val="24"/>
                <w:szCs w:val="24"/>
              </w:rPr>
            </w:pPr>
            <w:r w:rsidRPr="00B5758B">
              <w:rPr>
                <w:rFonts w:ascii="Times New Roman" w:hAnsi="Times New Roman" w:cs="Times New Roman"/>
                <w:sz w:val="24"/>
                <w:szCs w:val="24"/>
              </w:rPr>
              <w:t>Planned Budget</w:t>
            </w:r>
          </w:p>
        </w:tc>
      </w:tr>
      <w:tr w:rsidR="00B5758B" w:rsidRPr="00B5758B" w14:paraId="0E8DF1B2" w14:textId="77777777" w:rsidTr="00F7641C">
        <w:trPr>
          <w:trHeight w:val="1185"/>
        </w:trPr>
        <w:tc>
          <w:tcPr>
            <w:tcW w:w="1033" w:type="dxa"/>
            <w:tcBorders>
              <w:left w:val="nil"/>
            </w:tcBorders>
          </w:tcPr>
          <w:p w14:paraId="0D106FCE" w14:textId="77777777" w:rsidR="00B5758B" w:rsidRPr="00B5758B" w:rsidRDefault="00B5758B" w:rsidP="00B5758B">
            <w:pPr>
              <w:numPr>
                <w:ilvl w:val="0"/>
                <w:numId w:val="14"/>
              </w:numPr>
              <w:pBdr>
                <w:top w:val="nil"/>
                <w:left w:val="nil"/>
                <w:bottom w:val="nil"/>
                <w:right w:val="nil"/>
                <w:between w:val="nil"/>
              </w:pBdr>
              <w:spacing w:before="100" w:beforeAutospacing="1" w:after="100" w:afterAutospacing="1" w:line="360" w:lineRule="auto"/>
              <w:jc w:val="both"/>
              <w:rPr>
                <w:rFonts w:ascii="Times New Roman" w:hAnsi="Times New Roman" w:cs="Times New Roman"/>
                <w:b/>
                <w:bCs/>
                <w:sz w:val="24"/>
                <w:szCs w:val="24"/>
              </w:rPr>
            </w:pPr>
          </w:p>
        </w:tc>
        <w:tc>
          <w:tcPr>
            <w:tcW w:w="1460" w:type="dxa"/>
          </w:tcPr>
          <w:p w14:paraId="4A9DE78F"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t>Laying off around 450 employees</w:t>
            </w:r>
          </w:p>
        </w:tc>
        <w:tc>
          <w:tcPr>
            <w:tcW w:w="1564" w:type="dxa"/>
          </w:tcPr>
          <w:p w14:paraId="26C93BDB"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t xml:space="preserve">Replace the employees rather than laying them off. This would be a strategic decision from the end of the management where employee retention, sustainable agenda and social responsibility could be reflected through the action. The Hospitality sector does have a wider role in the contribution to the economy. With the </w:t>
            </w:r>
            <w:r w:rsidRPr="00B5758B">
              <w:rPr>
                <w:rFonts w:ascii="Times New Roman" w:hAnsi="Times New Roman" w:cs="Times New Roman"/>
                <w:bCs/>
                <w:sz w:val="24"/>
                <w:szCs w:val="24"/>
              </w:rPr>
              <w:lastRenderedPageBreak/>
              <w:t>collaboration of the sector with other agencies, the sector has been striving hard to address the issues and create a robust environment for the organisation and for the people as well (</w:t>
            </w:r>
            <w:r w:rsidRPr="00B5758B">
              <w:rPr>
                <w:rFonts w:ascii="Times New Roman" w:hAnsi="Times New Roman" w:cs="Times New Roman"/>
                <w:sz w:val="24"/>
                <w:szCs w:val="24"/>
                <w:lang w:val="en-IN"/>
              </w:rPr>
              <w:t xml:space="preserve">UKH, n.d.). With the replacement, it would even engage in community endorsement that can be a part of the sustainable plan. </w:t>
            </w:r>
          </w:p>
        </w:tc>
        <w:tc>
          <w:tcPr>
            <w:tcW w:w="1750" w:type="dxa"/>
          </w:tcPr>
          <w:p w14:paraId="110A1169" w14:textId="77777777" w:rsidR="00B5758B" w:rsidRPr="00B5758B" w:rsidRDefault="00B5758B" w:rsidP="00F7641C">
            <w:pPr>
              <w:spacing w:before="100" w:beforeAutospacing="1" w:after="100" w:afterAutospacing="1" w:line="360" w:lineRule="auto"/>
              <w:rPr>
                <w:rFonts w:ascii="Times New Roman" w:hAnsi="Times New Roman" w:cs="Times New Roman"/>
                <w:sz w:val="24"/>
                <w:szCs w:val="24"/>
              </w:rPr>
            </w:pPr>
            <w:r w:rsidRPr="00B5758B">
              <w:rPr>
                <w:rFonts w:ascii="Times New Roman" w:hAnsi="Times New Roman" w:cs="Times New Roman"/>
                <w:sz w:val="24"/>
                <w:szCs w:val="24"/>
              </w:rPr>
              <w:lastRenderedPageBreak/>
              <w:t>Growth in the number of tourists could be balanced with adequate service provision, with sufficient employees catering to the needs</w:t>
            </w:r>
          </w:p>
        </w:tc>
        <w:tc>
          <w:tcPr>
            <w:tcW w:w="821" w:type="dxa"/>
          </w:tcPr>
          <w:p w14:paraId="4A4A9C3F"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t>2months</w:t>
            </w:r>
          </w:p>
        </w:tc>
        <w:tc>
          <w:tcPr>
            <w:tcW w:w="1369" w:type="dxa"/>
          </w:tcPr>
          <w:p w14:paraId="2B58F215" w14:textId="77777777" w:rsidR="00B5758B" w:rsidRPr="00B5758B" w:rsidRDefault="00B5758B" w:rsidP="00F7641C">
            <w:pPr>
              <w:spacing w:before="100" w:beforeAutospacing="1" w:after="100" w:afterAutospacing="1" w:line="360" w:lineRule="auto"/>
              <w:rPr>
                <w:rFonts w:ascii="Times New Roman" w:hAnsi="Times New Roman" w:cs="Times New Roman"/>
                <w:b/>
                <w:sz w:val="24"/>
                <w:szCs w:val="24"/>
              </w:rPr>
            </w:pPr>
            <w:r w:rsidRPr="00B5758B">
              <w:rPr>
                <w:rFonts w:ascii="Times New Roman" w:hAnsi="Times New Roman" w:cs="Times New Roman"/>
                <w:sz w:val="24"/>
                <w:szCs w:val="24"/>
              </w:rPr>
              <w:t>30/06/2025 </w:t>
            </w:r>
          </w:p>
        </w:tc>
        <w:tc>
          <w:tcPr>
            <w:tcW w:w="1019" w:type="dxa"/>
          </w:tcPr>
          <w:p w14:paraId="0E4BD744" w14:textId="77777777" w:rsidR="00B5758B" w:rsidRPr="00B5758B" w:rsidRDefault="00B5758B" w:rsidP="00F7641C">
            <w:pPr>
              <w:spacing w:before="100" w:beforeAutospacing="1" w:after="100" w:afterAutospacing="1" w:line="360" w:lineRule="auto"/>
              <w:rPr>
                <w:rFonts w:ascii="Times New Roman" w:hAnsi="Times New Roman" w:cs="Times New Roman"/>
                <w:b/>
                <w:sz w:val="24"/>
                <w:szCs w:val="24"/>
              </w:rPr>
            </w:pPr>
            <w:r w:rsidRPr="00B5758B">
              <w:rPr>
                <w:rFonts w:ascii="Times New Roman" w:hAnsi="Times New Roman" w:cs="Times New Roman"/>
                <w:sz w:val="24"/>
                <w:szCs w:val="24"/>
              </w:rPr>
              <w:t>£25,000</w:t>
            </w:r>
          </w:p>
        </w:tc>
      </w:tr>
      <w:tr w:rsidR="00B5758B" w:rsidRPr="00B5758B" w14:paraId="54B9BFA6" w14:textId="77777777" w:rsidTr="00F7641C">
        <w:trPr>
          <w:trHeight w:val="1185"/>
        </w:trPr>
        <w:tc>
          <w:tcPr>
            <w:tcW w:w="1033" w:type="dxa"/>
            <w:tcBorders>
              <w:left w:val="nil"/>
            </w:tcBorders>
          </w:tcPr>
          <w:p w14:paraId="767DF0A9" w14:textId="77777777" w:rsidR="00B5758B" w:rsidRPr="00B5758B" w:rsidRDefault="00B5758B" w:rsidP="00B5758B">
            <w:pPr>
              <w:numPr>
                <w:ilvl w:val="0"/>
                <w:numId w:val="14"/>
              </w:numPr>
              <w:pBdr>
                <w:top w:val="nil"/>
                <w:left w:val="nil"/>
                <w:bottom w:val="nil"/>
                <w:right w:val="nil"/>
                <w:between w:val="nil"/>
              </w:pBdr>
              <w:spacing w:before="100" w:beforeAutospacing="1" w:after="100" w:afterAutospacing="1" w:line="360" w:lineRule="auto"/>
              <w:jc w:val="both"/>
              <w:rPr>
                <w:rFonts w:ascii="Times New Roman" w:hAnsi="Times New Roman" w:cs="Times New Roman"/>
                <w:b/>
                <w:bCs/>
                <w:sz w:val="24"/>
                <w:szCs w:val="24"/>
              </w:rPr>
            </w:pPr>
          </w:p>
        </w:tc>
        <w:tc>
          <w:tcPr>
            <w:tcW w:w="1460" w:type="dxa"/>
          </w:tcPr>
          <w:p w14:paraId="588669AC"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t xml:space="preserve">Improve the service quality of the new residence to </w:t>
            </w:r>
            <w:r w:rsidRPr="00B5758B">
              <w:rPr>
                <w:rFonts w:ascii="Times New Roman" w:hAnsi="Times New Roman" w:cs="Times New Roman"/>
                <w:bCs/>
                <w:sz w:val="24"/>
                <w:szCs w:val="24"/>
              </w:rPr>
              <w:lastRenderedPageBreak/>
              <w:t xml:space="preserve">be constructed as a priority. With the laying off the employees, service quality would be affected negatively since with less numbers of employees, the existing infrastructure will face inadequate tasks to be performed and create disturbance to the ongoing culture of the organisation. </w:t>
            </w:r>
          </w:p>
        </w:tc>
        <w:tc>
          <w:tcPr>
            <w:tcW w:w="1564" w:type="dxa"/>
          </w:tcPr>
          <w:p w14:paraId="3790C314"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lastRenderedPageBreak/>
              <w:t xml:space="preserve">The Six Sigma in according to Ghelani (2023), </w:t>
            </w:r>
            <w:r w:rsidRPr="00B5758B">
              <w:rPr>
                <w:rFonts w:ascii="Times New Roman" w:hAnsi="Times New Roman" w:cs="Times New Roman"/>
                <w:bCs/>
                <w:sz w:val="24"/>
                <w:szCs w:val="24"/>
              </w:rPr>
              <w:lastRenderedPageBreak/>
              <w:t xml:space="preserve">indicates the application of the method mostly in corporate performance. The study investigated the use of a competitive global manufacturing landscape, and the application of the model serves to bring in new processes like technology for reshaping the quality and improving process improvement. </w:t>
            </w:r>
          </w:p>
        </w:tc>
        <w:tc>
          <w:tcPr>
            <w:tcW w:w="1750" w:type="dxa"/>
          </w:tcPr>
          <w:p w14:paraId="479896B4"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lastRenderedPageBreak/>
              <w:t xml:space="preserve">The job satisfaction and the tourism needs could be accommodated </w:t>
            </w:r>
            <w:r w:rsidRPr="00B5758B">
              <w:rPr>
                <w:rFonts w:ascii="Times New Roman" w:hAnsi="Times New Roman" w:cs="Times New Roman"/>
                <w:bCs/>
                <w:sz w:val="24"/>
                <w:szCs w:val="24"/>
              </w:rPr>
              <w:lastRenderedPageBreak/>
              <w:t xml:space="preserve">through the solution </w:t>
            </w:r>
          </w:p>
        </w:tc>
        <w:tc>
          <w:tcPr>
            <w:tcW w:w="821" w:type="dxa"/>
          </w:tcPr>
          <w:p w14:paraId="43DA5952"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lastRenderedPageBreak/>
              <w:t>3 months</w:t>
            </w:r>
          </w:p>
        </w:tc>
        <w:tc>
          <w:tcPr>
            <w:tcW w:w="1369" w:type="dxa"/>
          </w:tcPr>
          <w:p w14:paraId="2AA18824"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t>4/6/2025</w:t>
            </w:r>
          </w:p>
        </w:tc>
        <w:tc>
          <w:tcPr>
            <w:tcW w:w="1019" w:type="dxa"/>
          </w:tcPr>
          <w:p w14:paraId="11F08F65"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t>£50,000</w:t>
            </w:r>
          </w:p>
        </w:tc>
      </w:tr>
      <w:tr w:rsidR="00B5758B" w:rsidRPr="00B5758B" w14:paraId="184815F5" w14:textId="77777777" w:rsidTr="00F7641C">
        <w:trPr>
          <w:trHeight w:val="1185"/>
        </w:trPr>
        <w:tc>
          <w:tcPr>
            <w:tcW w:w="1033" w:type="dxa"/>
            <w:tcBorders>
              <w:left w:val="nil"/>
              <w:bottom w:val="nil"/>
            </w:tcBorders>
          </w:tcPr>
          <w:p w14:paraId="74FA38B7" w14:textId="77777777" w:rsidR="00B5758B" w:rsidRPr="00B5758B" w:rsidRDefault="00B5758B" w:rsidP="00B5758B">
            <w:pPr>
              <w:numPr>
                <w:ilvl w:val="0"/>
                <w:numId w:val="14"/>
              </w:numPr>
              <w:pBdr>
                <w:top w:val="nil"/>
                <w:left w:val="nil"/>
                <w:bottom w:val="nil"/>
                <w:right w:val="nil"/>
                <w:between w:val="nil"/>
              </w:pBdr>
              <w:spacing w:before="100" w:beforeAutospacing="1" w:after="100" w:afterAutospacing="1" w:line="360" w:lineRule="auto"/>
              <w:jc w:val="both"/>
              <w:rPr>
                <w:rFonts w:ascii="Times New Roman" w:hAnsi="Times New Roman" w:cs="Times New Roman"/>
                <w:b/>
                <w:bCs/>
                <w:sz w:val="24"/>
                <w:szCs w:val="24"/>
              </w:rPr>
            </w:pPr>
          </w:p>
        </w:tc>
        <w:tc>
          <w:tcPr>
            <w:tcW w:w="1460" w:type="dxa"/>
          </w:tcPr>
          <w:p w14:paraId="3E5EB686"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t>Demolition of infrastructur</w:t>
            </w:r>
            <w:r w:rsidRPr="00B5758B">
              <w:rPr>
                <w:rFonts w:ascii="Times New Roman" w:hAnsi="Times New Roman" w:cs="Times New Roman"/>
                <w:bCs/>
                <w:sz w:val="24"/>
                <w:szCs w:val="24"/>
              </w:rPr>
              <w:lastRenderedPageBreak/>
              <w:t>e and building of a new residence, where quality and performance can both be questioned</w:t>
            </w:r>
          </w:p>
        </w:tc>
        <w:tc>
          <w:tcPr>
            <w:tcW w:w="1564" w:type="dxa"/>
          </w:tcPr>
          <w:p w14:paraId="528CF7D6"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lastRenderedPageBreak/>
              <w:t xml:space="preserve">With the new residence, there can be </w:t>
            </w:r>
            <w:r w:rsidRPr="00B5758B">
              <w:rPr>
                <w:rFonts w:ascii="Times New Roman" w:hAnsi="Times New Roman" w:cs="Times New Roman"/>
                <w:bCs/>
                <w:sz w:val="24"/>
                <w:szCs w:val="24"/>
              </w:rPr>
              <w:lastRenderedPageBreak/>
              <w:t xml:space="preserve">doubts among the customers regarding the quality of the service. However, with the existing employees who do have a broader knowledge of the organisational culture, they can tackle the growing demands of the tourists, and even with adequate knowledge on diverse tastes and preferences, various facilities could be gauged. For example, cross-cultural differences </w:t>
            </w:r>
            <w:r w:rsidRPr="00B5758B">
              <w:rPr>
                <w:rFonts w:ascii="Times New Roman" w:hAnsi="Times New Roman" w:cs="Times New Roman"/>
                <w:bCs/>
                <w:sz w:val="24"/>
                <w:szCs w:val="24"/>
              </w:rPr>
              <w:lastRenderedPageBreak/>
              <w:t xml:space="preserve">could be adjusted with the strategy that the employees used to implement in the Hotel. </w:t>
            </w:r>
          </w:p>
        </w:tc>
        <w:tc>
          <w:tcPr>
            <w:tcW w:w="1750" w:type="dxa"/>
          </w:tcPr>
          <w:p w14:paraId="050CBFB0"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lastRenderedPageBreak/>
              <w:t xml:space="preserve">Customer satisfaction, organisational </w:t>
            </w:r>
            <w:r w:rsidRPr="00B5758B">
              <w:rPr>
                <w:rFonts w:ascii="Times New Roman" w:hAnsi="Times New Roman" w:cs="Times New Roman"/>
                <w:bCs/>
                <w:sz w:val="24"/>
                <w:szCs w:val="24"/>
              </w:rPr>
              <w:lastRenderedPageBreak/>
              <w:t>reputation could be sustained and improved</w:t>
            </w:r>
          </w:p>
        </w:tc>
        <w:tc>
          <w:tcPr>
            <w:tcW w:w="821" w:type="dxa"/>
          </w:tcPr>
          <w:p w14:paraId="5522687A"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lastRenderedPageBreak/>
              <w:t>2 months</w:t>
            </w:r>
          </w:p>
        </w:tc>
        <w:tc>
          <w:tcPr>
            <w:tcW w:w="1369" w:type="dxa"/>
          </w:tcPr>
          <w:p w14:paraId="240EEA3C"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t>28/6/2025</w:t>
            </w:r>
          </w:p>
        </w:tc>
        <w:tc>
          <w:tcPr>
            <w:tcW w:w="1019" w:type="dxa"/>
          </w:tcPr>
          <w:p w14:paraId="6B3CD86F" w14:textId="77777777" w:rsidR="00B5758B" w:rsidRPr="00B5758B" w:rsidRDefault="00B5758B" w:rsidP="00F7641C">
            <w:pPr>
              <w:spacing w:before="100" w:beforeAutospacing="1" w:after="100" w:afterAutospacing="1" w:line="360" w:lineRule="auto"/>
              <w:rPr>
                <w:rFonts w:ascii="Times New Roman" w:hAnsi="Times New Roman" w:cs="Times New Roman"/>
                <w:bCs/>
                <w:sz w:val="24"/>
                <w:szCs w:val="24"/>
              </w:rPr>
            </w:pPr>
            <w:r w:rsidRPr="00B5758B">
              <w:rPr>
                <w:rFonts w:ascii="Times New Roman" w:hAnsi="Times New Roman" w:cs="Times New Roman"/>
                <w:bCs/>
                <w:sz w:val="24"/>
                <w:szCs w:val="24"/>
              </w:rPr>
              <w:t xml:space="preserve">No costs would </w:t>
            </w:r>
            <w:r w:rsidRPr="00B5758B">
              <w:rPr>
                <w:rFonts w:ascii="Times New Roman" w:hAnsi="Times New Roman" w:cs="Times New Roman"/>
                <w:bCs/>
                <w:sz w:val="24"/>
                <w:szCs w:val="24"/>
              </w:rPr>
              <w:lastRenderedPageBreak/>
              <w:t>be incurred here</w:t>
            </w:r>
          </w:p>
        </w:tc>
      </w:tr>
    </w:tbl>
    <w:p w14:paraId="207F26C1" w14:textId="77777777" w:rsidR="00B5758B" w:rsidRPr="00B5758B" w:rsidRDefault="00B5758B" w:rsidP="00B5758B">
      <w:pPr>
        <w:spacing w:before="100" w:beforeAutospacing="1" w:after="100" w:afterAutospacing="1"/>
        <w:jc w:val="center"/>
        <w:rPr>
          <w:rFonts w:ascii="Times New Roman" w:hAnsi="Times New Roman" w:cs="Times New Roman"/>
          <w:b/>
          <w:sz w:val="24"/>
          <w:szCs w:val="24"/>
        </w:rPr>
      </w:pPr>
      <w:r w:rsidRPr="00B5758B">
        <w:rPr>
          <w:rFonts w:ascii="Times New Roman" w:hAnsi="Times New Roman" w:cs="Times New Roman"/>
          <w:b/>
          <w:sz w:val="24"/>
          <w:szCs w:val="24"/>
        </w:rPr>
        <w:lastRenderedPageBreak/>
        <w:t>Table 4: Action Plan</w:t>
      </w:r>
    </w:p>
    <w:p w14:paraId="48FE9048" w14:textId="77777777" w:rsidR="00B5758B" w:rsidRPr="00B5758B" w:rsidRDefault="00B5758B" w:rsidP="00B5758B">
      <w:pPr>
        <w:spacing w:before="100" w:beforeAutospacing="1" w:after="100" w:afterAutospacing="1"/>
        <w:jc w:val="center"/>
        <w:rPr>
          <w:rFonts w:ascii="Times New Roman" w:hAnsi="Times New Roman" w:cs="Times New Roman"/>
          <w:sz w:val="24"/>
          <w:szCs w:val="24"/>
        </w:rPr>
      </w:pPr>
      <w:r w:rsidRPr="00B5758B">
        <w:rPr>
          <w:rFonts w:ascii="Times New Roman" w:hAnsi="Times New Roman" w:cs="Times New Roman"/>
          <w:sz w:val="24"/>
          <w:szCs w:val="24"/>
        </w:rPr>
        <w:t>(Source: learner)</w:t>
      </w:r>
    </w:p>
    <w:p w14:paraId="68F1EFA6"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bookmarkStart w:id="11" w:name="_Toc200879399"/>
      <w:r w:rsidRPr="00B5758B">
        <w:rPr>
          <w:rFonts w:ascii="Times New Roman" w:hAnsi="Times New Roman" w:cs="Times New Roman"/>
          <w:color w:val="auto"/>
          <w:sz w:val="24"/>
          <w:szCs w:val="24"/>
        </w:rPr>
        <w:t>Conclusion</w:t>
      </w:r>
      <w:bookmarkEnd w:id="11"/>
    </w:p>
    <w:p w14:paraId="248396D0" w14:textId="0191DAA2"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To summarise, it can be stipulated that the Mandarin Oriental, Miami is going through a critical juncture in its operational </w:t>
      </w:r>
      <w:r w:rsidR="00322F19" w:rsidRPr="00B5758B">
        <w:rPr>
          <w:rFonts w:ascii="Times New Roman" w:hAnsi="Times New Roman" w:cs="Times New Roman"/>
          <w:sz w:val="24"/>
          <w:szCs w:val="24"/>
        </w:rPr>
        <w:t>life cycle</w:t>
      </w:r>
      <w:r w:rsidRPr="00B5758B">
        <w:rPr>
          <w:rFonts w:ascii="Times New Roman" w:hAnsi="Times New Roman" w:cs="Times New Roman"/>
          <w:sz w:val="24"/>
          <w:szCs w:val="24"/>
        </w:rPr>
        <w:t xml:space="preserve">, which is marked by the winding </w:t>
      </w:r>
      <w:proofErr w:type="gramStart"/>
      <w:r w:rsidRPr="00B5758B">
        <w:rPr>
          <w:rFonts w:ascii="Times New Roman" w:hAnsi="Times New Roman" w:cs="Times New Roman"/>
          <w:sz w:val="24"/>
          <w:szCs w:val="24"/>
        </w:rPr>
        <w:t>off of</w:t>
      </w:r>
      <w:proofErr w:type="gramEnd"/>
      <w:r w:rsidRPr="00B5758B">
        <w:rPr>
          <w:rFonts w:ascii="Times New Roman" w:hAnsi="Times New Roman" w:cs="Times New Roman"/>
          <w:sz w:val="24"/>
          <w:szCs w:val="24"/>
        </w:rPr>
        <w:t xml:space="preserve"> its flagship property on the Brickell Key. While this closure is important for maintaining luxury standards within the evolving hospitality landscape, it brings in numerous organisational issues such as employee layoff, erosion of customer loyalty and satisfaction. All these issues can undermine the local presence of the brand in the long run while impacting its global standing as well. From the identification of the major issue of employee layoffs in the Hotel, an overall impact could be observed to be happening. In the context of organisational performance, any decisions taken by management do have an impact on the operations and even on the ongoing performance of the employees. From the decisions, the impact on the employees does affect the organisational culture. The different frameworks, such as STEEPLED, SOAR and TOWS, have been deployed to understand the criticality of the issue while outlining various strategies that align both external conditions and internal capabilities of the firm. It was found that the organisation capitalises on its strengths and opportunities, which solidify its future as a market leader in the hospitality sector. </w:t>
      </w:r>
    </w:p>
    <w:p w14:paraId="673D656E"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Change is inevitable, and with the macroeconomic factors, driving forces do appeal the organisations to identify the problem and then implement the change. The managerial roles do play here since they are behind the generation of plans and frameworks. It is evaluated from the case of Mandarin that their decision to lay off employees is not suitable, and hence, with Six Sigma being implemented, training imparted to the employees, Mandarin could avoid laying off and replace the employees in the new residence, requiring many facilities to be served. </w:t>
      </w:r>
    </w:p>
    <w:p w14:paraId="39690BD2"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bookmarkStart w:id="12" w:name="_Toc200879400"/>
    </w:p>
    <w:p w14:paraId="0DF74F7C"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p>
    <w:p w14:paraId="63B0F381"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p>
    <w:p w14:paraId="167A8331"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p>
    <w:p w14:paraId="7507B4C8"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p>
    <w:p w14:paraId="43AF4F85"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p>
    <w:p w14:paraId="378A8CB1"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p>
    <w:p w14:paraId="594420F1"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p>
    <w:p w14:paraId="25B091B2"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p>
    <w:p w14:paraId="01D232D5"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p>
    <w:p w14:paraId="77F4CEB2"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p>
    <w:p w14:paraId="05AA8126"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p>
    <w:p w14:paraId="79294A5F"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p>
    <w:p w14:paraId="401707DC" w14:textId="77777777" w:rsidR="00B5758B" w:rsidRPr="00B5758B" w:rsidRDefault="00B5758B" w:rsidP="00B5758B">
      <w:pPr>
        <w:pStyle w:val="Heading1"/>
        <w:spacing w:before="100" w:beforeAutospacing="1" w:after="100" w:afterAutospacing="1"/>
        <w:rPr>
          <w:rFonts w:ascii="Times New Roman" w:hAnsi="Times New Roman" w:cs="Times New Roman"/>
          <w:color w:val="auto"/>
          <w:sz w:val="24"/>
          <w:szCs w:val="24"/>
        </w:rPr>
      </w:pPr>
      <w:r w:rsidRPr="00B5758B">
        <w:rPr>
          <w:rFonts w:ascii="Times New Roman" w:hAnsi="Times New Roman" w:cs="Times New Roman"/>
          <w:color w:val="auto"/>
          <w:sz w:val="24"/>
          <w:szCs w:val="24"/>
        </w:rPr>
        <w:t>References</w:t>
      </w:r>
      <w:bookmarkEnd w:id="12"/>
    </w:p>
    <w:p w14:paraId="4E956BBF"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t>Alecsoiu</w:t>
      </w:r>
      <w:proofErr w:type="spellEnd"/>
      <w:r w:rsidRPr="00B5758B">
        <w:rPr>
          <w:rFonts w:ascii="Times New Roman" w:hAnsi="Times New Roman" w:cs="Times New Roman"/>
          <w:sz w:val="24"/>
          <w:szCs w:val="24"/>
        </w:rPr>
        <w:t xml:space="preserve">, O.R., </w:t>
      </w:r>
      <w:proofErr w:type="spellStart"/>
      <w:r w:rsidRPr="00B5758B">
        <w:rPr>
          <w:rFonts w:ascii="Times New Roman" w:hAnsi="Times New Roman" w:cs="Times New Roman"/>
          <w:sz w:val="24"/>
          <w:szCs w:val="24"/>
        </w:rPr>
        <w:t>Chirculescu</w:t>
      </w:r>
      <w:proofErr w:type="spellEnd"/>
      <w:r w:rsidRPr="00B5758B">
        <w:rPr>
          <w:rFonts w:ascii="Times New Roman" w:hAnsi="Times New Roman" w:cs="Times New Roman"/>
          <w:sz w:val="24"/>
          <w:szCs w:val="24"/>
        </w:rPr>
        <w:t xml:space="preserve">, M.F. and </w:t>
      </w:r>
      <w:proofErr w:type="spellStart"/>
      <w:r w:rsidRPr="00B5758B">
        <w:rPr>
          <w:rFonts w:ascii="Times New Roman" w:hAnsi="Times New Roman" w:cs="Times New Roman"/>
          <w:sz w:val="24"/>
          <w:szCs w:val="24"/>
        </w:rPr>
        <w:t>Panagoret</w:t>
      </w:r>
      <w:proofErr w:type="spellEnd"/>
      <w:r w:rsidRPr="00B5758B">
        <w:rPr>
          <w:rFonts w:ascii="Times New Roman" w:hAnsi="Times New Roman" w:cs="Times New Roman"/>
          <w:sz w:val="24"/>
          <w:szCs w:val="24"/>
        </w:rPr>
        <w:t>, A. (2022) ‘Financial Performance under the Impact of the Decision to Implement an Organizational Change’. </w:t>
      </w:r>
      <w:r w:rsidRPr="00B5758B">
        <w:rPr>
          <w:rFonts w:ascii="Times New Roman" w:hAnsi="Times New Roman" w:cs="Times New Roman"/>
          <w:i/>
          <w:sz w:val="24"/>
          <w:szCs w:val="24"/>
        </w:rPr>
        <w:t>Sustainability</w:t>
      </w:r>
      <w:r w:rsidRPr="00B5758B">
        <w:rPr>
          <w:rFonts w:ascii="Times New Roman" w:hAnsi="Times New Roman" w:cs="Times New Roman"/>
          <w:sz w:val="24"/>
          <w:szCs w:val="24"/>
        </w:rPr>
        <w:t xml:space="preserve">, 14(21), p. 13932. </w:t>
      </w:r>
    </w:p>
    <w:p w14:paraId="55535CA5" w14:textId="77777777" w:rsidR="00B5758B" w:rsidRPr="00B5758B" w:rsidRDefault="00B5758B" w:rsidP="00B5758B">
      <w:pPr>
        <w:spacing w:before="100" w:beforeAutospacing="1" w:after="100" w:afterAutospacing="1"/>
        <w:rPr>
          <w:rFonts w:ascii="Times New Roman" w:hAnsi="Times New Roman" w:cs="Times New Roman"/>
          <w:sz w:val="24"/>
          <w:szCs w:val="24"/>
          <w:lang w:val="en-IN"/>
        </w:rPr>
      </w:pPr>
      <w:r w:rsidRPr="00B5758B">
        <w:rPr>
          <w:rFonts w:ascii="Times New Roman" w:hAnsi="Times New Roman" w:cs="Times New Roman"/>
          <w:sz w:val="24"/>
          <w:szCs w:val="24"/>
          <w:lang w:val="en-IN"/>
        </w:rPr>
        <w:t>Alvarez, L. (2024) </w:t>
      </w:r>
      <w:r w:rsidRPr="00B5758B">
        <w:rPr>
          <w:rFonts w:ascii="Times New Roman" w:hAnsi="Times New Roman" w:cs="Times New Roman"/>
          <w:i/>
          <w:iCs/>
          <w:sz w:val="24"/>
          <w:szCs w:val="24"/>
          <w:lang w:val="en-IN"/>
        </w:rPr>
        <w:t>Out with the Old: The Residences at Mandarin Oriental, Miami</w:t>
      </w:r>
      <w:r w:rsidRPr="00B5758B">
        <w:rPr>
          <w:rFonts w:ascii="Times New Roman" w:hAnsi="Times New Roman" w:cs="Times New Roman"/>
          <w:sz w:val="24"/>
          <w:szCs w:val="24"/>
          <w:lang w:val="en-IN"/>
        </w:rPr>
        <w:t xml:space="preserve">. Available at: </w:t>
      </w:r>
      <w:hyperlink r:id="rId14" w:history="1">
        <w:r w:rsidRPr="00B5758B">
          <w:rPr>
            <w:rStyle w:val="Hyperlink"/>
            <w:rFonts w:ascii="Times New Roman" w:hAnsi="Times New Roman" w:cs="Times New Roman"/>
            <w:color w:val="auto"/>
            <w:sz w:val="24"/>
            <w:szCs w:val="24"/>
            <w:lang w:val="en-IN"/>
          </w:rPr>
          <w:t>https://amazingarchitecture.com/articles/out-with-the-old-the-residences-at-mandarin-oriental-miami</w:t>
        </w:r>
      </w:hyperlink>
      <w:r w:rsidRPr="00B5758B">
        <w:rPr>
          <w:rFonts w:ascii="Times New Roman" w:hAnsi="Times New Roman" w:cs="Times New Roman"/>
          <w:sz w:val="24"/>
          <w:szCs w:val="24"/>
          <w:lang w:val="en-IN"/>
        </w:rPr>
        <w:t xml:space="preserve"> (Accessed: 15 June 2025).</w:t>
      </w:r>
    </w:p>
    <w:p w14:paraId="7A16131C"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Amaro, D., Caldeira, A.M. and Seabra, C. (2025) ‘Transformative experiences in tourism: A conceptual and critical analysis integrating consumer and managerial perspectives’, </w:t>
      </w:r>
      <w:r w:rsidRPr="00B5758B">
        <w:rPr>
          <w:rFonts w:ascii="Times New Roman" w:hAnsi="Times New Roman" w:cs="Times New Roman"/>
          <w:i/>
          <w:sz w:val="24"/>
          <w:szCs w:val="24"/>
        </w:rPr>
        <w:t>Tourism and Hospitality Research</w:t>
      </w:r>
      <w:r w:rsidRPr="00B5758B">
        <w:rPr>
          <w:rFonts w:ascii="Times New Roman" w:hAnsi="Times New Roman" w:cs="Times New Roman"/>
          <w:sz w:val="24"/>
          <w:szCs w:val="24"/>
        </w:rPr>
        <w:t>, 25(1), pp.135-146.</w:t>
      </w:r>
    </w:p>
    <w:p w14:paraId="3BE80BF6"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Ampong, G.O.A. and Plange-Rhule, R. (2025) ‘Reacting human capital: turnaround and emerging human resource practices of business failure’, In </w:t>
      </w:r>
      <w:r w:rsidRPr="00B5758B">
        <w:rPr>
          <w:rFonts w:ascii="Times New Roman" w:hAnsi="Times New Roman" w:cs="Times New Roman"/>
          <w:i/>
          <w:sz w:val="24"/>
          <w:szCs w:val="24"/>
        </w:rPr>
        <w:t>Research Handbook on Turnaround Strategies</w:t>
      </w:r>
      <w:r w:rsidRPr="00B5758B">
        <w:rPr>
          <w:rFonts w:ascii="Times New Roman" w:hAnsi="Times New Roman" w:cs="Times New Roman"/>
          <w:sz w:val="24"/>
          <w:szCs w:val="24"/>
        </w:rPr>
        <w:t xml:space="preserve"> (pp. 302-330). UK: Edward Elgar Publishing. </w:t>
      </w:r>
    </w:p>
    <w:p w14:paraId="501FC0B2"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Andino, J.S. (2025) </w:t>
      </w:r>
      <w:r w:rsidRPr="00B5758B">
        <w:rPr>
          <w:rFonts w:ascii="Times New Roman" w:hAnsi="Times New Roman" w:cs="Times New Roman"/>
          <w:i/>
          <w:sz w:val="24"/>
          <w:szCs w:val="24"/>
        </w:rPr>
        <w:t>Layoffs at Miami’s Mandarin Oriental herald high-profile hotel’s demolition</w:t>
      </w:r>
      <w:r w:rsidRPr="00B5758B">
        <w:rPr>
          <w:rFonts w:ascii="Times New Roman" w:hAnsi="Times New Roman" w:cs="Times New Roman"/>
          <w:sz w:val="24"/>
          <w:szCs w:val="24"/>
        </w:rPr>
        <w:t xml:space="preserve">. Available at: </w:t>
      </w:r>
      <w:hyperlink r:id="rId15">
        <w:r w:rsidRPr="00B5758B">
          <w:rPr>
            <w:rFonts w:ascii="Times New Roman" w:hAnsi="Times New Roman" w:cs="Times New Roman"/>
            <w:sz w:val="24"/>
            <w:szCs w:val="24"/>
            <w:u w:val="single"/>
          </w:rPr>
          <w:t>https://www.costar.com/article/549538965/layoffs-at-miamis-mandarin-oriental-herald-high-profile-hotels-demolition</w:t>
        </w:r>
      </w:hyperlink>
      <w:r w:rsidRPr="00B5758B">
        <w:rPr>
          <w:rFonts w:ascii="Times New Roman" w:hAnsi="Times New Roman" w:cs="Times New Roman"/>
          <w:sz w:val="24"/>
          <w:szCs w:val="24"/>
        </w:rPr>
        <w:t xml:space="preserve"> (Accessed: 6 May 2025). </w:t>
      </w:r>
    </w:p>
    <w:p w14:paraId="6D304ED1"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lastRenderedPageBreak/>
        <w:t>Bardukova</w:t>
      </w:r>
      <w:proofErr w:type="spellEnd"/>
      <w:r w:rsidRPr="00B5758B">
        <w:rPr>
          <w:rFonts w:ascii="Times New Roman" w:hAnsi="Times New Roman" w:cs="Times New Roman"/>
          <w:sz w:val="24"/>
          <w:szCs w:val="24"/>
        </w:rPr>
        <w:t xml:space="preserve">, L. (2023) ‘Navigating the hospitality horizon: current trends and strategies for customer attraction and retention in the hotel industry’, </w:t>
      </w:r>
      <w:r w:rsidRPr="00B5758B">
        <w:rPr>
          <w:rFonts w:ascii="Times New Roman" w:hAnsi="Times New Roman" w:cs="Times New Roman"/>
          <w:i/>
          <w:sz w:val="24"/>
          <w:szCs w:val="24"/>
        </w:rPr>
        <w:t xml:space="preserve">Economics </w:t>
      </w:r>
      <w:proofErr w:type="gramStart"/>
      <w:r w:rsidRPr="00B5758B">
        <w:rPr>
          <w:rFonts w:ascii="Times New Roman" w:hAnsi="Times New Roman" w:cs="Times New Roman"/>
          <w:i/>
          <w:sz w:val="24"/>
          <w:szCs w:val="24"/>
        </w:rPr>
        <w:t>And</w:t>
      </w:r>
      <w:proofErr w:type="gramEnd"/>
      <w:r w:rsidRPr="00B5758B">
        <w:rPr>
          <w:rFonts w:ascii="Times New Roman" w:hAnsi="Times New Roman" w:cs="Times New Roman"/>
          <w:i/>
          <w:sz w:val="24"/>
          <w:szCs w:val="24"/>
        </w:rPr>
        <w:t xml:space="preserve"> Computer Science</w:t>
      </w:r>
      <w:r w:rsidRPr="00B5758B">
        <w:rPr>
          <w:rFonts w:ascii="Times New Roman" w:hAnsi="Times New Roman" w:cs="Times New Roman"/>
          <w:sz w:val="24"/>
          <w:szCs w:val="24"/>
        </w:rPr>
        <w:t>, 2, pp.88-103.</w:t>
      </w:r>
    </w:p>
    <w:p w14:paraId="714CA62D"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Burnes, B. (2014). </w:t>
      </w:r>
      <w:r w:rsidRPr="00B5758B">
        <w:rPr>
          <w:rFonts w:ascii="Times New Roman" w:hAnsi="Times New Roman" w:cs="Times New Roman"/>
          <w:i/>
          <w:iCs/>
          <w:sz w:val="24"/>
          <w:szCs w:val="24"/>
        </w:rPr>
        <w:t>Managing Change.</w:t>
      </w:r>
      <w:r w:rsidRPr="00B5758B">
        <w:rPr>
          <w:rFonts w:ascii="Times New Roman" w:hAnsi="Times New Roman" w:cs="Times New Roman"/>
          <w:sz w:val="24"/>
          <w:szCs w:val="24"/>
        </w:rPr>
        <w:t xml:space="preserve"> Great Britain, Prentice Hall. </w:t>
      </w:r>
    </w:p>
    <w:p w14:paraId="24900F19"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Buttrick, R. (2009) </w:t>
      </w:r>
      <w:r w:rsidRPr="00B5758B">
        <w:rPr>
          <w:rFonts w:ascii="Times New Roman" w:hAnsi="Times New Roman" w:cs="Times New Roman"/>
          <w:i/>
          <w:sz w:val="24"/>
          <w:szCs w:val="24"/>
        </w:rPr>
        <w:t>The Project Workout</w:t>
      </w:r>
      <w:r w:rsidRPr="00B5758B">
        <w:rPr>
          <w:rFonts w:ascii="Times New Roman" w:hAnsi="Times New Roman" w:cs="Times New Roman"/>
          <w:sz w:val="24"/>
          <w:szCs w:val="24"/>
        </w:rPr>
        <w:t xml:space="preserve">. London: Prentice Hall. </w:t>
      </w:r>
    </w:p>
    <w:p w14:paraId="45A00A93" w14:textId="77777777" w:rsidR="00B5758B" w:rsidRPr="00B5758B" w:rsidRDefault="00B5758B" w:rsidP="00B5758B">
      <w:pPr>
        <w:spacing w:before="100" w:beforeAutospacing="1" w:after="100" w:afterAutospacing="1"/>
        <w:rPr>
          <w:rFonts w:ascii="Times New Roman" w:hAnsi="Times New Roman" w:cs="Times New Roman"/>
          <w:sz w:val="24"/>
          <w:szCs w:val="24"/>
          <w:lang w:val="en-IN"/>
        </w:rPr>
      </w:pPr>
      <w:r w:rsidRPr="00B5758B">
        <w:rPr>
          <w:rFonts w:ascii="Times New Roman" w:hAnsi="Times New Roman" w:cs="Times New Roman"/>
          <w:sz w:val="24"/>
          <w:szCs w:val="24"/>
          <w:lang w:val="en-IN"/>
        </w:rPr>
        <w:t xml:space="preserve">Caswell, M. (2024) </w:t>
      </w:r>
      <w:r w:rsidRPr="00B5758B">
        <w:rPr>
          <w:rFonts w:ascii="Times New Roman" w:hAnsi="Times New Roman" w:cs="Times New Roman"/>
          <w:i/>
          <w:iCs/>
          <w:sz w:val="24"/>
          <w:szCs w:val="24"/>
          <w:lang w:val="en-IN"/>
        </w:rPr>
        <w:t>Mandarin Oriental, Miami to be demolished to make way for new development</w:t>
      </w:r>
      <w:r w:rsidRPr="00B5758B">
        <w:rPr>
          <w:rFonts w:ascii="Times New Roman" w:hAnsi="Times New Roman" w:cs="Times New Roman"/>
          <w:sz w:val="24"/>
          <w:szCs w:val="24"/>
          <w:lang w:val="en-IN"/>
        </w:rPr>
        <w:t xml:space="preserve">. Available at: </w:t>
      </w:r>
      <w:hyperlink r:id="rId16" w:history="1">
        <w:r w:rsidRPr="00B5758B">
          <w:rPr>
            <w:rStyle w:val="Hyperlink"/>
            <w:rFonts w:ascii="Times New Roman" w:hAnsi="Times New Roman" w:cs="Times New Roman"/>
            <w:color w:val="auto"/>
            <w:sz w:val="24"/>
            <w:szCs w:val="24"/>
            <w:lang w:val="en-IN"/>
          </w:rPr>
          <w:t>https://www.businesstraveller.com/business-travel/2024/12/28/mandarin-oriental-miami-to-be-demolished-to-make-way-for-new-development/</w:t>
        </w:r>
      </w:hyperlink>
      <w:r w:rsidRPr="00B5758B">
        <w:rPr>
          <w:rFonts w:ascii="Times New Roman" w:hAnsi="Times New Roman" w:cs="Times New Roman"/>
          <w:sz w:val="24"/>
          <w:szCs w:val="24"/>
          <w:lang w:val="en-IN"/>
        </w:rPr>
        <w:t xml:space="preserve"> (Accessed: 15 June 2025).</w:t>
      </w:r>
    </w:p>
    <w:p w14:paraId="27C270BC"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t>Connectcre</w:t>
      </w:r>
      <w:proofErr w:type="spellEnd"/>
      <w:r w:rsidRPr="00B5758B">
        <w:rPr>
          <w:rFonts w:ascii="Times New Roman" w:hAnsi="Times New Roman" w:cs="Times New Roman"/>
          <w:sz w:val="24"/>
          <w:szCs w:val="24"/>
        </w:rPr>
        <w:t xml:space="preserve"> (2025). </w:t>
      </w:r>
      <w:r w:rsidRPr="00B5758B">
        <w:rPr>
          <w:rFonts w:ascii="Times New Roman" w:hAnsi="Times New Roman" w:cs="Times New Roman"/>
          <w:i/>
          <w:sz w:val="24"/>
          <w:szCs w:val="24"/>
        </w:rPr>
        <w:t>Miami Mandarin Oriental Hotel Closing, Condo/Hotel on Way - Connect CRE</w:t>
      </w:r>
      <w:r w:rsidRPr="00B5758B">
        <w:rPr>
          <w:rFonts w:ascii="Times New Roman" w:hAnsi="Times New Roman" w:cs="Times New Roman"/>
          <w:sz w:val="24"/>
          <w:szCs w:val="24"/>
        </w:rPr>
        <w:t xml:space="preserve">. Available at: </w:t>
      </w:r>
      <w:hyperlink r:id="rId17">
        <w:r w:rsidRPr="00B5758B">
          <w:rPr>
            <w:rFonts w:ascii="Times New Roman" w:hAnsi="Times New Roman" w:cs="Times New Roman"/>
            <w:sz w:val="24"/>
            <w:szCs w:val="24"/>
            <w:u w:val="single"/>
          </w:rPr>
          <w:t>https://www.connectcre.com/stories/miami-mandarin-oriental-hotel-closing-condo-hotel-on-way/</w:t>
        </w:r>
      </w:hyperlink>
      <w:r w:rsidRPr="00B5758B">
        <w:rPr>
          <w:rFonts w:ascii="Times New Roman" w:hAnsi="Times New Roman" w:cs="Times New Roman"/>
          <w:sz w:val="24"/>
          <w:szCs w:val="24"/>
        </w:rPr>
        <w:t xml:space="preserve"> (Accessed: 6 May 2025).</w:t>
      </w:r>
    </w:p>
    <w:p w14:paraId="696BB323"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t>Dachner</w:t>
      </w:r>
      <w:proofErr w:type="spellEnd"/>
      <w:r w:rsidRPr="00B5758B">
        <w:rPr>
          <w:rFonts w:ascii="Times New Roman" w:hAnsi="Times New Roman" w:cs="Times New Roman"/>
          <w:sz w:val="24"/>
          <w:szCs w:val="24"/>
        </w:rPr>
        <w:t xml:space="preserve">, A.M. and Makarius, E. (2022) ‘Follow the trails: A path to systematically designing corporate alumni programs’, </w:t>
      </w:r>
      <w:r w:rsidRPr="00B5758B">
        <w:rPr>
          <w:rFonts w:ascii="Times New Roman" w:hAnsi="Times New Roman" w:cs="Times New Roman"/>
          <w:i/>
          <w:sz w:val="24"/>
          <w:szCs w:val="24"/>
        </w:rPr>
        <w:t>Organizational Dynamics</w:t>
      </w:r>
      <w:r w:rsidRPr="00B5758B">
        <w:rPr>
          <w:rFonts w:ascii="Times New Roman" w:hAnsi="Times New Roman" w:cs="Times New Roman"/>
          <w:sz w:val="24"/>
          <w:szCs w:val="24"/>
        </w:rPr>
        <w:t>, 51(4), p.100897.</w:t>
      </w:r>
    </w:p>
    <w:p w14:paraId="63C4338F"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Digital Leadership (2024) </w:t>
      </w:r>
      <w:r w:rsidRPr="00B5758B">
        <w:rPr>
          <w:rFonts w:ascii="Times New Roman" w:hAnsi="Times New Roman" w:cs="Times New Roman"/>
          <w:i/>
          <w:sz w:val="24"/>
          <w:szCs w:val="24"/>
        </w:rPr>
        <w:t>Lewin’s Change Model</w:t>
      </w:r>
      <w:r w:rsidRPr="00B5758B">
        <w:rPr>
          <w:rFonts w:ascii="Times New Roman" w:hAnsi="Times New Roman" w:cs="Times New Roman"/>
          <w:sz w:val="24"/>
          <w:szCs w:val="24"/>
        </w:rPr>
        <w:t xml:space="preserve">. Available at: </w:t>
      </w:r>
      <w:hyperlink r:id="rId18">
        <w:r w:rsidRPr="00B5758B">
          <w:rPr>
            <w:rFonts w:ascii="Times New Roman" w:hAnsi="Times New Roman" w:cs="Times New Roman"/>
            <w:sz w:val="24"/>
            <w:szCs w:val="24"/>
            <w:u w:val="single"/>
          </w:rPr>
          <w:t>https://digitalleadership.com/unite/lewins-change-model/</w:t>
        </w:r>
      </w:hyperlink>
      <w:r w:rsidRPr="00B5758B">
        <w:rPr>
          <w:rFonts w:ascii="Times New Roman" w:hAnsi="Times New Roman" w:cs="Times New Roman"/>
          <w:sz w:val="24"/>
          <w:szCs w:val="24"/>
        </w:rPr>
        <w:t xml:space="preserve"> (Accessed: 6 May 2025).</w:t>
      </w:r>
    </w:p>
    <w:p w14:paraId="78FAD9BA"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Dupret, K. and Pultz, S. (2022) ‘People as our most important asset: A critical exploration of agility and employee commitment’, </w:t>
      </w:r>
      <w:r w:rsidRPr="00B5758B">
        <w:rPr>
          <w:rFonts w:ascii="Times New Roman" w:hAnsi="Times New Roman" w:cs="Times New Roman"/>
          <w:i/>
          <w:sz w:val="24"/>
          <w:szCs w:val="24"/>
        </w:rPr>
        <w:t>Project Management Journal</w:t>
      </w:r>
      <w:r w:rsidRPr="00B5758B">
        <w:rPr>
          <w:rFonts w:ascii="Times New Roman" w:hAnsi="Times New Roman" w:cs="Times New Roman"/>
          <w:sz w:val="24"/>
          <w:szCs w:val="24"/>
        </w:rPr>
        <w:t xml:space="preserve">, 53(3), pp. 219-235. </w:t>
      </w:r>
    </w:p>
    <w:p w14:paraId="4A7F9A2C"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t>Fatoki</w:t>
      </w:r>
      <w:proofErr w:type="spellEnd"/>
      <w:r w:rsidRPr="00B5758B">
        <w:rPr>
          <w:rFonts w:ascii="Times New Roman" w:hAnsi="Times New Roman" w:cs="Times New Roman"/>
          <w:sz w:val="24"/>
          <w:szCs w:val="24"/>
        </w:rPr>
        <w:t xml:space="preserve">, O. (2021) ‘Environmental orientation and green competitive advantage of hospitality firms in South Africa: Mediating effect of green innovation’, </w:t>
      </w:r>
      <w:r w:rsidRPr="00B5758B">
        <w:rPr>
          <w:rFonts w:ascii="Times New Roman" w:hAnsi="Times New Roman" w:cs="Times New Roman"/>
          <w:i/>
          <w:sz w:val="24"/>
          <w:szCs w:val="24"/>
        </w:rPr>
        <w:t>Journal of Open Innovation: Technology, Market, and Complexity</w:t>
      </w:r>
      <w:r w:rsidRPr="00B5758B">
        <w:rPr>
          <w:rFonts w:ascii="Times New Roman" w:hAnsi="Times New Roman" w:cs="Times New Roman"/>
          <w:sz w:val="24"/>
          <w:szCs w:val="24"/>
        </w:rPr>
        <w:t>, 7(4), p.223.</w:t>
      </w:r>
    </w:p>
    <w:p w14:paraId="1C4A6F84"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Forbes (2024). </w:t>
      </w:r>
      <w:r w:rsidRPr="00B5758B">
        <w:rPr>
          <w:rFonts w:ascii="Times New Roman" w:hAnsi="Times New Roman" w:cs="Times New Roman"/>
          <w:i/>
          <w:sz w:val="24"/>
          <w:szCs w:val="24"/>
        </w:rPr>
        <w:t xml:space="preserve">The Personalized Customer Experience: Consumers Want You </w:t>
      </w:r>
      <w:proofErr w:type="gramStart"/>
      <w:r w:rsidRPr="00B5758B">
        <w:rPr>
          <w:rFonts w:ascii="Times New Roman" w:hAnsi="Times New Roman" w:cs="Times New Roman"/>
          <w:i/>
          <w:sz w:val="24"/>
          <w:szCs w:val="24"/>
        </w:rPr>
        <w:t>To</w:t>
      </w:r>
      <w:proofErr w:type="gramEnd"/>
      <w:r w:rsidRPr="00B5758B">
        <w:rPr>
          <w:rFonts w:ascii="Times New Roman" w:hAnsi="Times New Roman" w:cs="Times New Roman"/>
          <w:i/>
          <w:sz w:val="24"/>
          <w:szCs w:val="24"/>
        </w:rPr>
        <w:t xml:space="preserve"> Know Them</w:t>
      </w:r>
      <w:r w:rsidRPr="00B5758B">
        <w:rPr>
          <w:rFonts w:ascii="Times New Roman" w:hAnsi="Times New Roman" w:cs="Times New Roman"/>
          <w:sz w:val="24"/>
          <w:szCs w:val="24"/>
        </w:rPr>
        <w:t xml:space="preserve">. Available at: </w:t>
      </w:r>
      <w:hyperlink r:id="rId19">
        <w:r w:rsidRPr="00B5758B">
          <w:rPr>
            <w:rFonts w:ascii="Times New Roman" w:hAnsi="Times New Roman" w:cs="Times New Roman"/>
            <w:sz w:val="24"/>
            <w:szCs w:val="24"/>
            <w:u w:val="single"/>
          </w:rPr>
          <w:t>https://www.forbes.com/sites/shephyken/2024/04/14/the-personalized-customer-experience-customers-want-you-to-know-them/</w:t>
        </w:r>
      </w:hyperlink>
      <w:r w:rsidRPr="00B5758B">
        <w:rPr>
          <w:rFonts w:ascii="Times New Roman" w:hAnsi="Times New Roman" w:cs="Times New Roman"/>
          <w:sz w:val="24"/>
          <w:szCs w:val="24"/>
        </w:rPr>
        <w:t xml:space="preserve"> (Accessed: 6 May 2025).</w:t>
      </w:r>
    </w:p>
    <w:p w14:paraId="6EA4D326"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Garner, B. (2015) </w:t>
      </w:r>
      <w:r w:rsidRPr="00B5758B">
        <w:rPr>
          <w:rFonts w:ascii="Times New Roman" w:hAnsi="Times New Roman" w:cs="Times New Roman"/>
          <w:i/>
          <w:sz w:val="24"/>
          <w:szCs w:val="24"/>
        </w:rPr>
        <w:t xml:space="preserve">Implementing Your Business Model </w:t>
      </w:r>
      <w:proofErr w:type="gramStart"/>
      <w:r w:rsidRPr="00B5758B">
        <w:rPr>
          <w:rFonts w:ascii="Times New Roman" w:hAnsi="Times New Roman" w:cs="Times New Roman"/>
          <w:i/>
          <w:sz w:val="24"/>
          <w:szCs w:val="24"/>
        </w:rPr>
        <w:t>With</w:t>
      </w:r>
      <w:proofErr w:type="gramEnd"/>
      <w:r w:rsidRPr="00B5758B">
        <w:rPr>
          <w:rFonts w:ascii="Times New Roman" w:hAnsi="Times New Roman" w:cs="Times New Roman"/>
          <w:i/>
          <w:sz w:val="24"/>
          <w:szCs w:val="24"/>
        </w:rPr>
        <w:t xml:space="preserve"> the Galbraith Star Model</w:t>
      </w:r>
      <w:r w:rsidRPr="00B5758B">
        <w:rPr>
          <w:rFonts w:ascii="Times New Roman" w:hAnsi="Times New Roman" w:cs="Times New Roman"/>
          <w:sz w:val="24"/>
          <w:szCs w:val="24"/>
        </w:rPr>
        <w:t xml:space="preserve">. Available at: </w:t>
      </w:r>
      <w:hyperlink r:id="rId20" w:anchor=":~:text=The%20Star%20Model%20consists%20of,holding%20the%20five%20areas%20together">
        <w:r w:rsidRPr="00B5758B">
          <w:rPr>
            <w:rFonts w:ascii="Times New Roman" w:hAnsi="Times New Roman" w:cs="Times New Roman"/>
            <w:sz w:val="24"/>
            <w:szCs w:val="24"/>
            <w:u w:val="single"/>
          </w:rPr>
          <w:t>https://www.strategyzer.com/library/implementing-your-business-model-with-the-galbraith-star-model#:~:text=The%20Star%20Model%20consists%20of,holding%20the%20five%20areas%20together</w:t>
        </w:r>
      </w:hyperlink>
      <w:r w:rsidRPr="00B5758B">
        <w:rPr>
          <w:rFonts w:ascii="Times New Roman" w:hAnsi="Times New Roman" w:cs="Times New Roman"/>
          <w:sz w:val="24"/>
          <w:szCs w:val="24"/>
        </w:rPr>
        <w:t xml:space="preserve"> (Accessed: 6 May 2025).</w:t>
      </w:r>
    </w:p>
    <w:p w14:paraId="44453B7C"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t>Getaruelas</w:t>
      </w:r>
      <w:proofErr w:type="spellEnd"/>
      <w:r w:rsidRPr="00B5758B">
        <w:rPr>
          <w:rFonts w:ascii="Times New Roman" w:hAnsi="Times New Roman" w:cs="Times New Roman"/>
          <w:sz w:val="24"/>
          <w:szCs w:val="24"/>
        </w:rPr>
        <w:t>, R. (2023) ‘THE IMPACT OF TALENT MANAGEMENT ON ORGANISATIONAL PERFORMANCE OF PETROLEUM DEVELOPMENT OMAN (PDO)’, </w:t>
      </w:r>
      <w:r w:rsidRPr="00B5758B">
        <w:rPr>
          <w:rFonts w:ascii="Times New Roman" w:hAnsi="Times New Roman" w:cs="Times New Roman"/>
          <w:i/>
          <w:sz w:val="24"/>
          <w:szCs w:val="24"/>
        </w:rPr>
        <w:t>Available at SSRN 4943334</w:t>
      </w:r>
      <w:r w:rsidRPr="00B5758B">
        <w:rPr>
          <w:rFonts w:ascii="Times New Roman" w:hAnsi="Times New Roman" w:cs="Times New Roman"/>
          <w:sz w:val="24"/>
          <w:szCs w:val="24"/>
        </w:rPr>
        <w:t>.</w:t>
      </w:r>
    </w:p>
    <w:p w14:paraId="2F07E66E"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Ghelani, H. (2023) ‘Six Sigma and Continuous Improvement Strategies: A Comparative Analysis in Global Manufacturing Industries’, </w:t>
      </w:r>
      <w:r w:rsidRPr="00B5758B">
        <w:rPr>
          <w:rFonts w:ascii="Times New Roman" w:hAnsi="Times New Roman" w:cs="Times New Roman"/>
          <w:i/>
          <w:sz w:val="24"/>
          <w:szCs w:val="24"/>
        </w:rPr>
        <w:t>Valley International Journal Digital Library</w:t>
      </w:r>
      <w:r w:rsidRPr="00B5758B">
        <w:rPr>
          <w:rFonts w:ascii="Times New Roman" w:hAnsi="Times New Roman" w:cs="Times New Roman"/>
          <w:sz w:val="24"/>
          <w:szCs w:val="24"/>
        </w:rPr>
        <w:t xml:space="preserve">, pp. 954-972. </w:t>
      </w:r>
    </w:p>
    <w:p w14:paraId="5D1FD064" w14:textId="77777777" w:rsidR="00B5758B" w:rsidRPr="00B5758B" w:rsidRDefault="00B5758B" w:rsidP="00B5758B">
      <w:pPr>
        <w:spacing w:before="100" w:beforeAutospacing="1" w:after="100" w:afterAutospacing="1"/>
        <w:rPr>
          <w:rFonts w:ascii="Times New Roman" w:eastAsia="Noto Sans" w:hAnsi="Times New Roman" w:cs="Times New Roman"/>
          <w:sz w:val="24"/>
          <w:szCs w:val="24"/>
        </w:rPr>
      </w:pPr>
      <w:proofErr w:type="spellStart"/>
      <w:r w:rsidRPr="00B5758B">
        <w:rPr>
          <w:rFonts w:ascii="Times New Roman" w:hAnsi="Times New Roman" w:cs="Times New Roman"/>
          <w:sz w:val="24"/>
          <w:szCs w:val="24"/>
        </w:rPr>
        <w:lastRenderedPageBreak/>
        <w:t>Hancco</w:t>
      </w:r>
      <w:proofErr w:type="spellEnd"/>
      <w:r w:rsidRPr="00B5758B">
        <w:rPr>
          <w:rFonts w:ascii="Times New Roman" w:hAnsi="Times New Roman" w:cs="Times New Roman"/>
          <w:sz w:val="24"/>
          <w:szCs w:val="24"/>
        </w:rPr>
        <w:t>, J.F.A. (2022) ‘Competitiveness: A strategic resource-based approach to business management’, </w:t>
      </w:r>
      <w:r w:rsidRPr="00B5758B">
        <w:rPr>
          <w:rFonts w:ascii="Times New Roman" w:hAnsi="Times New Roman" w:cs="Times New Roman"/>
          <w:i/>
          <w:sz w:val="24"/>
          <w:szCs w:val="24"/>
        </w:rPr>
        <w:t>TECHNO REVIEW. International Technology, Science and Society Review/</w:t>
      </w:r>
      <w:proofErr w:type="spellStart"/>
      <w:r w:rsidRPr="00B5758B">
        <w:rPr>
          <w:rFonts w:ascii="Times New Roman" w:hAnsi="Times New Roman" w:cs="Times New Roman"/>
          <w:i/>
          <w:sz w:val="24"/>
          <w:szCs w:val="24"/>
        </w:rPr>
        <w:t>Revista</w:t>
      </w:r>
      <w:proofErr w:type="spellEnd"/>
      <w:r w:rsidRPr="00B5758B">
        <w:rPr>
          <w:rFonts w:ascii="Times New Roman" w:hAnsi="Times New Roman" w:cs="Times New Roman"/>
          <w:i/>
          <w:sz w:val="24"/>
          <w:szCs w:val="24"/>
        </w:rPr>
        <w:t xml:space="preserve"> Internacional de </w:t>
      </w:r>
      <w:proofErr w:type="spellStart"/>
      <w:r w:rsidRPr="00B5758B">
        <w:rPr>
          <w:rFonts w:ascii="Times New Roman" w:hAnsi="Times New Roman" w:cs="Times New Roman"/>
          <w:i/>
          <w:sz w:val="24"/>
          <w:szCs w:val="24"/>
        </w:rPr>
        <w:t>Tecnología</w:t>
      </w:r>
      <w:proofErr w:type="spellEnd"/>
      <w:r w:rsidRPr="00B5758B">
        <w:rPr>
          <w:rFonts w:ascii="Times New Roman" w:hAnsi="Times New Roman" w:cs="Times New Roman"/>
          <w:i/>
          <w:sz w:val="24"/>
          <w:szCs w:val="24"/>
        </w:rPr>
        <w:t>, Ciencia y Sociedad</w:t>
      </w:r>
      <w:r w:rsidRPr="00B5758B">
        <w:rPr>
          <w:rFonts w:ascii="Times New Roman" w:hAnsi="Times New Roman" w:cs="Times New Roman"/>
          <w:sz w:val="24"/>
          <w:szCs w:val="24"/>
        </w:rPr>
        <w:t>, </w:t>
      </w:r>
      <w:r w:rsidRPr="00B5758B">
        <w:rPr>
          <w:rFonts w:ascii="Times New Roman" w:hAnsi="Times New Roman" w:cs="Times New Roman"/>
          <w:iCs/>
          <w:sz w:val="24"/>
          <w:szCs w:val="24"/>
        </w:rPr>
        <w:t>11</w:t>
      </w:r>
      <w:r w:rsidRPr="00B5758B">
        <w:rPr>
          <w:rFonts w:ascii="Times New Roman" w:hAnsi="Times New Roman" w:cs="Times New Roman"/>
          <w:sz w:val="24"/>
          <w:szCs w:val="24"/>
        </w:rPr>
        <w:t xml:space="preserve">(5), pp. 1-15. </w:t>
      </w:r>
    </w:p>
    <w:p w14:paraId="288A82A4"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t>Hardianto</w:t>
      </w:r>
      <w:proofErr w:type="spellEnd"/>
      <w:r w:rsidRPr="00B5758B">
        <w:rPr>
          <w:rFonts w:ascii="Times New Roman" w:hAnsi="Times New Roman" w:cs="Times New Roman"/>
          <w:sz w:val="24"/>
          <w:szCs w:val="24"/>
        </w:rPr>
        <w:t>, B. and Wijaya, S. (2023) ‘Analysis of the impact of Net Promoter Score on financial performance with customer loyalty as mediation’, </w:t>
      </w:r>
      <w:r w:rsidRPr="00B5758B">
        <w:rPr>
          <w:rFonts w:ascii="Times New Roman" w:hAnsi="Times New Roman" w:cs="Times New Roman"/>
          <w:i/>
          <w:sz w:val="24"/>
          <w:szCs w:val="24"/>
        </w:rPr>
        <w:t>International Journal of Social Service and Research</w:t>
      </w:r>
      <w:r w:rsidRPr="00B5758B">
        <w:rPr>
          <w:rFonts w:ascii="Times New Roman" w:hAnsi="Times New Roman" w:cs="Times New Roman"/>
          <w:sz w:val="24"/>
          <w:szCs w:val="24"/>
        </w:rPr>
        <w:t xml:space="preserve">, 3(6), pp. 1478-1488. </w:t>
      </w:r>
    </w:p>
    <w:p w14:paraId="64C2A026"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Holmes, M.R., Dodds, R. and </w:t>
      </w:r>
      <w:proofErr w:type="spellStart"/>
      <w:r w:rsidRPr="00B5758B">
        <w:rPr>
          <w:rFonts w:ascii="Times New Roman" w:hAnsi="Times New Roman" w:cs="Times New Roman"/>
          <w:sz w:val="24"/>
          <w:szCs w:val="24"/>
        </w:rPr>
        <w:t>Frochot</w:t>
      </w:r>
      <w:proofErr w:type="spellEnd"/>
      <w:r w:rsidRPr="00B5758B">
        <w:rPr>
          <w:rFonts w:ascii="Times New Roman" w:hAnsi="Times New Roman" w:cs="Times New Roman"/>
          <w:sz w:val="24"/>
          <w:szCs w:val="24"/>
        </w:rPr>
        <w:t xml:space="preserve">, I. (2021) ‘At home or abroad, does our </w:t>
      </w:r>
      <w:proofErr w:type="spellStart"/>
      <w:r w:rsidRPr="00B5758B">
        <w:rPr>
          <w:rFonts w:ascii="Times New Roman" w:hAnsi="Times New Roman" w:cs="Times New Roman"/>
          <w:sz w:val="24"/>
          <w:szCs w:val="24"/>
        </w:rPr>
        <w:t>behavior</w:t>
      </w:r>
      <w:proofErr w:type="spellEnd"/>
      <w:r w:rsidRPr="00B5758B">
        <w:rPr>
          <w:rFonts w:ascii="Times New Roman" w:hAnsi="Times New Roman" w:cs="Times New Roman"/>
          <w:sz w:val="24"/>
          <w:szCs w:val="24"/>
        </w:rPr>
        <w:t xml:space="preserve"> change? Examining how everyday </w:t>
      </w:r>
      <w:proofErr w:type="spellStart"/>
      <w:r w:rsidRPr="00B5758B">
        <w:rPr>
          <w:rFonts w:ascii="Times New Roman" w:hAnsi="Times New Roman" w:cs="Times New Roman"/>
          <w:sz w:val="24"/>
          <w:szCs w:val="24"/>
        </w:rPr>
        <w:t>behavior</w:t>
      </w:r>
      <w:proofErr w:type="spellEnd"/>
      <w:r w:rsidRPr="00B5758B">
        <w:rPr>
          <w:rFonts w:ascii="Times New Roman" w:hAnsi="Times New Roman" w:cs="Times New Roman"/>
          <w:sz w:val="24"/>
          <w:szCs w:val="24"/>
        </w:rPr>
        <w:t xml:space="preserve"> influences sustainable travel </w:t>
      </w:r>
      <w:proofErr w:type="spellStart"/>
      <w:r w:rsidRPr="00B5758B">
        <w:rPr>
          <w:rFonts w:ascii="Times New Roman" w:hAnsi="Times New Roman" w:cs="Times New Roman"/>
          <w:sz w:val="24"/>
          <w:szCs w:val="24"/>
        </w:rPr>
        <w:t>behavior</w:t>
      </w:r>
      <w:proofErr w:type="spellEnd"/>
      <w:r w:rsidRPr="00B5758B">
        <w:rPr>
          <w:rFonts w:ascii="Times New Roman" w:hAnsi="Times New Roman" w:cs="Times New Roman"/>
          <w:sz w:val="24"/>
          <w:szCs w:val="24"/>
        </w:rPr>
        <w:t xml:space="preserve"> and tourist clusters’, </w:t>
      </w:r>
      <w:r w:rsidRPr="00B5758B">
        <w:rPr>
          <w:rFonts w:ascii="Times New Roman" w:hAnsi="Times New Roman" w:cs="Times New Roman"/>
          <w:i/>
          <w:sz w:val="24"/>
          <w:szCs w:val="24"/>
        </w:rPr>
        <w:t>Journal of Travel Research</w:t>
      </w:r>
      <w:r w:rsidRPr="00B5758B">
        <w:rPr>
          <w:rFonts w:ascii="Times New Roman" w:hAnsi="Times New Roman" w:cs="Times New Roman"/>
          <w:sz w:val="24"/>
          <w:szCs w:val="24"/>
        </w:rPr>
        <w:t>, 60(1), pp.102-116.</w:t>
      </w:r>
    </w:p>
    <w:p w14:paraId="1986B217"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Huang, J., Irfan, M., Fatima, S.S. and Shahid, R.M. (2023) ‘The role of lean six sigma in driving sustainable manufacturing practices: an analysis of the relationship between lean six sigma principles, data-driven decision making, and environmental performance’, </w:t>
      </w:r>
      <w:r w:rsidRPr="00B5758B">
        <w:rPr>
          <w:rFonts w:ascii="Times New Roman" w:hAnsi="Times New Roman" w:cs="Times New Roman"/>
          <w:i/>
          <w:sz w:val="24"/>
          <w:szCs w:val="24"/>
        </w:rPr>
        <w:t>Frontiers in Environmental Science</w:t>
      </w:r>
      <w:r w:rsidRPr="00B5758B">
        <w:rPr>
          <w:rFonts w:ascii="Times New Roman" w:hAnsi="Times New Roman" w:cs="Times New Roman"/>
          <w:sz w:val="24"/>
          <w:szCs w:val="24"/>
        </w:rPr>
        <w:t xml:space="preserve">, 11, p. 1184488. </w:t>
      </w:r>
    </w:p>
    <w:p w14:paraId="5F6ADF7D"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Hubbart, J.A. (2024) ‘Organisational change: Implications of directive change management’, </w:t>
      </w:r>
      <w:r w:rsidRPr="00B5758B">
        <w:rPr>
          <w:rFonts w:ascii="Times New Roman" w:hAnsi="Times New Roman" w:cs="Times New Roman"/>
          <w:i/>
          <w:sz w:val="24"/>
          <w:szCs w:val="24"/>
        </w:rPr>
        <w:t>Human Resources Management and Services</w:t>
      </w:r>
      <w:r w:rsidRPr="00B5758B">
        <w:rPr>
          <w:rFonts w:ascii="Times New Roman" w:hAnsi="Times New Roman" w:cs="Times New Roman"/>
          <w:sz w:val="24"/>
          <w:szCs w:val="24"/>
        </w:rPr>
        <w:t xml:space="preserve">, 6(2), pp. 3457-3457. </w:t>
      </w:r>
    </w:p>
    <w:p w14:paraId="220CB506"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Hussain, A. (2021) ‘A future of tourism industry: Conscious travel, destination recovery and regenerative tourism’, </w:t>
      </w:r>
      <w:r w:rsidRPr="00B5758B">
        <w:rPr>
          <w:rFonts w:ascii="Times New Roman" w:hAnsi="Times New Roman" w:cs="Times New Roman"/>
          <w:i/>
          <w:sz w:val="24"/>
          <w:szCs w:val="24"/>
        </w:rPr>
        <w:t>Journal of Sustainability and Resilience</w:t>
      </w:r>
      <w:r w:rsidRPr="00B5758B">
        <w:rPr>
          <w:rFonts w:ascii="Times New Roman" w:hAnsi="Times New Roman" w:cs="Times New Roman"/>
          <w:sz w:val="24"/>
          <w:szCs w:val="24"/>
        </w:rPr>
        <w:t>, 1(1), p.5.</w:t>
      </w:r>
    </w:p>
    <w:p w14:paraId="5C896F42"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Jaiswal, A., Arun, C.J. and Varma, A. (2023) </w:t>
      </w:r>
      <w:r w:rsidRPr="00B5758B">
        <w:rPr>
          <w:rFonts w:ascii="Times New Roman" w:hAnsi="Times New Roman" w:cs="Times New Roman"/>
          <w:i/>
          <w:sz w:val="24"/>
          <w:szCs w:val="24"/>
        </w:rPr>
        <w:t xml:space="preserve">Rebooting employees: Upskilling for artificial intelligence in multinational corporations. In Artificial Intelligence and International HRM </w:t>
      </w:r>
      <w:r w:rsidRPr="00B5758B">
        <w:rPr>
          <w:rFonts w:ascii="Times New Roman" w:hAnsi="Times New Roman" w:cs="Times New Roman"/>
          <w:iCs/>
          <w:sz w:val="24"/>
          <w:szCs w:val="24"/>
        </w:rPr>
        <w:t>(pp. 114-143).</w:t>
      </w:r>
      <w:r w:rsidRPr="00B5758B">
        <w:rPr>
          <w:rFonts w:ascii="Times New Roman" w:hAnsi="Times New Roman" w:cs="Times New Roman"/>
          <w:sz w:val="24"/>
          <w:szCs w:val="24"/>
        </w:rPr>
        <w:t xml:space="preserve"> London: Routledge.</w:t>
      </w:r>
    </w:p>
    <w:p w14:paraId="1F7E2D24"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Jerónimo, C.H., Pereira, L., Dias, Á., Costa, R.L.D. and Gonçalves, R. (2021) ‘Sustainable cities and communities-from city services to quality of life. The case of Portuguese cities’, </w:t>
      </w:r>
      <w:r w:rsidRPr="00B5758B">
        <w:rPr>
          <w:rFonts w:ascii="Times New Roman" w:hAnsi="Times New Roman" w:cs="Times New Roman"/>
          <w:i/>
          <w:sz w:val="24"/>
          <w:szCs w:val="24"/>
        </w:rPr>
        <w:t>World Review of Science, Technology and Sustainable Development</w:t>
      </w:r>
      <w:r w:rsidRPr="00B5758B">
        <w:rPr>
          <w:rFonts w:ascii="Times New Roman" w:hAnsi="Times New Roman" w:cs="Times New Roman"/>
          <w:sz w:val="24"/>
          <w:szCs w:val="24"/>
        </w:rPr>
        <w:t xml:space="preserve">, 17(4), pp. 375-399. </w:t>
      </w:r>
    </w:p>
    <w:p w14:paraId="469682B6"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Koivunen, N., Viitala, R. and Ekman, K. (2024) ‘How Managers Experience Downsizing: Navigating among Professional, Loyal, Empathic, and Critical Positions’. </w:t>
      </w:r>
      <w:r w:rsidRPr="00B5758B">
        <w:rPr>
          <w:rFonts w:ascii="Times New Roman" w:hAnsi="Times New Roman" w:cs="Times New Roman"/>
          <w:i/>
          <w:iCs/>
          <w:sz w:val="24"/>
          <w:szCs w:val="24"/>
        </w:rPr>
        <w:t>Journal of Change Management</w:t>
      </w:r>
      <w:r w:rsidRPr="00B5758B">
        <w:rPr>
          <w:rFonts w:ascii="Times New Roman" w:hAnsi="Times New Roman" w:cs="Times New Roman"/>
          <w:sz w:val="24"/>
          <w:szCs w:val="24"/>
        </w:rPr>
        <w:t>, 24(4), pp. 301-324.</w:t>
      </w:r>
    </w:p>
    <w:p w14:paraId="172168A5"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Kotter, J. (2012) </w:t>
      </w:r>
      <w:r w:rsidRPr="00B5758B">
        <w:rPr>
          <w:rFonts w:ascii="Times New Roman" w:hAnsi="Times New Roman" w:cs="Times New Roman"/>
          <w:i/>
          <w:iCs/>
          <w:sz w:val="24"/>
          <w:szCs w:val="24"/>
        </w:rPr>
        <w:t>Leading change.</w:t>
      </w:r>
      <w:r w:rsidRPr="00B5758B">
        <w:rPr>
          <w:rFonts w:ascii="Times New Roman" w:hAnsi="Times New Roman" w:cs="Times New Roman"/>
          <w:sz w:val="24"/>
          <w:szCs w:val="24"/>
        </w:rPr>
        <w:t xml:space="preserve"> Harvard: Harvard Business Review Press. </w:t>
      </w:r>
    </w:p>
    <w:p w14:paraId="77B84453"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t>Küfeoğlu</w:t>
      </w:r>
      <w:proofErr w:type="spellEnd"/>
      <w:r w:rsidRPr="00B5758B">
        <w:rPr>
          <w:rFonts w:ascii="Times New Roman" w:hAnsi="Times New Roman" w:cs="Times New Roman"/>
          <w:sz w:val="24"/>
          <w:szCs w:val="24"/>
        </w:rPr>
        <w:t>, S. (2022) ‘SDG-11: Sustainable cities and communities’, In </w:t>
      </w:r>
      <w:r w:rsidRPr="00B5758B">
        <w:rPr>
          <w:rFonts w:ascii="Times New Roman" w:hAnsi="Times New Roman" w:cs="Times New Roman"/>
          <w:i/>
          <w:sz w:val="24"/>
          <w:szCs w:val="24"/>
        </w:rPr>
        <w:t>Emerging technologies: Value creation for sustainable development</w:t>
      </w:r>
      <w:r w:rsidRPr="00B5758B">
        <w:rPr>
          <w:rFonts w:ascii="Times New Roman" w:hAnsi="Times New Roman" w:cs="Times New Roman"/>
          <w:sz w:val="24"/>
          <w:szCs w:val="24"/>
        </w:rPr>
        <w:t> (pp. 385-408). Cham: Springer International Publishing.</w:t>
      </w:r>
    </w:p>
    <w:p w14:paraId="732221CE"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t>Laguir</w:t>
      </w:r>
      <w:proofErr w:type="spellEnd"/>
      <w:r w:rsidRPr="00B5758B">
        <w:rPr>
          <w:rFonts w:ascii="Times New Roman" w:hAnsi="Times New Roman" w:cs="Times New Roman"/>
          <w:sz w:val="24"/>
          <w:szCs w:val="24"/>
        </w:rPr>
        <w:t xml:space="preserve">, I., Gupta, S., Bose, I., </w:t>
      </w:r>
      <w:proofErr w:type="spellStart"/>
      <w:r w:rsidRPr="00B5758B">
        <w:rPr>
          <w:rFonts w:ascii="Times New Roman" w:hAnsi="Times New Roman" w:cs="Times New Roman"/>
          <w:sz w:val="24"/>
          <w:szCs w:val="24"/>
        </w:rPr>
        <w:t>Stekelorum</w:t>
      </w:r>
      <w:proofErr w:type="spellEnd"/>
      <w:r w:rsidRPr="00B5758B">
        <w:rPr>
          <w:rFonts w:ascii="Times New Roman" w:hAnsi="Times New Roman" w:cs="Times New Roman"/>
          <w:sz w:val="24"/>
          <w:szCs w:val="24"/>
        </w:rPr>
        <w:t xml:space="preserve">, R. and </w:t>
      </w:r>
      <w:proofErr w:type="spellStart"/>
      <w:r w:rsidRPr="00B5758B">
        <w:rPr>
          <w:rFonts w:ascii="Times New Roman" w:hAnsi="Times New Roman" w:cs="Times New Roman"/>
          <w:sz w:val="24"/>
          <w:szCs w:val="24"/>
        </w:rPr>
        <w:t>Laguir</w:t>
      </w:r>
      <w:proofErr w:type="spellEnd"/>
      <w:r w:rsidRPr="00B5758B">
        <w:rPr>
          <w:rFonts w:ascii="Times New Roman" w:hAnsi="Times New Roman" w:cs="Times New Roman"/>
          <w:sz w:val="24"/>
          <w:szCs w:val="24"/>
        </w:rPr>
        <w:t>, L. (2022) ‘Analytics capabilities and organisational competitiveness: Unveiling the impact of management control systems and environmental uncertainty’, </w:t>
      </w:r>
      <w:r w:rsidRPr="00B5758B">
        <w:rPr>
          <w:rFonts w:ascii="Times New Roman" w:hAnsi="Times New Roman" w:cs="Times New Roman"/>
          <w:i/>
          <w:sz w:val="24"/>
          <w:szCs w:val="24"/>
        </w:rPr>
        <w:t>Decision Support Systems</w:t>
      </w:r>
      <w:r w:rsidRPr="00B5758B">
        <w:rPr>
          <w:rFonts w:ascii="Times New Roman" w:hAnsi="Times New Roman" w:cs="Times New Roman"/>
          <w:sz w:val="24"/>
          <w:szCs w:val="24"/>
        </w:rPr>
        <w:t xml:space="preserve">, 156, p. 113744. </w:t>
      </w:r>
    </w:p>
    <w:p w14:paraId="7F77CD33"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lastRenderedPageBreak/>
        <w:t>Legislation.gov.uk. (n.d.) </w:t>
      </w:r>
      <w:r w:rsidRPr="00B5758B">
        <w:rPr>
          <w:rFonts w:ascii="Times New Roman" w:hAnsi="Times New Roman" w:cs="Times New Roman"/>
          <w:i/>
          <w:sz w:val="24"/>
          <w:szCs w:val="24"/>
        </w:rPr>
        <w:t>Employment Rights Act 1996</w:t>
      </w:r>
      <w:r w:rsidRPr="00B5758B">
        <w:rPr>
          <w:rFonts w:ascii="Times New Roman" w:hAnsi="Times New Roman" w:cs="Times New Roman"/>
          <w:sz w:val="24"/>
          <w:szCs w:val="24"/>
        </w:rPr>
        <w:t xml:space="preserve">. Available at: </w:t>
      </w:r>
      <w:hyperlink r:id="rId21">
        <w:r w:rsidRPr="00B5758B">
          <w:rPr>
            <w:rFonts w:ascii="Times New Roman" w:hAnsi="Times New Roman" w:cs="Times New Roman"/>
            <w:sz w:val="24"/>
            <w:szCs w:val="24"/>
            <w:u w:val="single"/>
          </w:rPr>
          <w:t>https://www.legislation.gov.uk/ukpga/1996/18/contents</w:t>
        </w:r>
      </w:hyperlink>
      <w:r w:rsidRPr="00B5758B">
        <w:rPr>
          <w:rFonts w:ascii="Times New Roman" w:hAnsi="Times New Roman" w:cs="Times New Roman"/>
          <w:sz w:val="24"/>
          <w:szCs w:val="24"/>
        </w:rPr>
        <w:t xml:space="preserve"> (Accessed: 6 May 2025).</w:t>
      </w:r>
    </w:p>
    <w:p w14:paraId="320816FD" w14:textId="77777777" w:rsidR="00B5758B" w:rsidRPr="00B5758B" w:rsidRDefault="00B5758B" w:rsidP="00B5758B">
      <w:pPr>
        <w:spacing w:before="100" w:beforeAutospacing="1" w:after="100" w:afterAutospacing="1"/>
        <w:rPr>
          <w:rFonts w:ascii="Times New Roman" w:hAnsi="Times New Roman" w:cs="Times New Roman"/>
          <w:sz w:val="24"/>
          <w:szCs w:val="24"/>
          <w:lang w:val="en-IN"/>
        </w:rPr>
      </w:pPr>
      <w:r w:rsidRPr="00B5758B">
        <w:rPr>
          <w:rFonts w:ascii="Times New Roman" w:hAnsi="Times New Roman" w:cs="Times New Roman"/>
          <w:sz w:val="24"/>
          <w:szCs w:val="24"/>
          <w:lang w:val="en-IN"/>
        </w:rPr>
        <w:t xml:space="preserve">Maley, J.F., </w:t>
      </w:r>
      <w:proofErr w:type="spellStart"/>
      <w:r w:rsidRPr="00B5758B">
        <w:rPr>
          <w:rFonts w:ascii="Times New Roman" w:hAnsi="Times New Roman" w:cs="Times New Roman"/>
          <w:sz w:val="24"/>
          <w:szCs w:val="24"/>
          <w:lang w:val="en-IN"/>
        </w:rPr>
        <w:t>Dabić</w:t>
      </w:r>
      <w:proofErr w:type="spellEnd"/>
      <w:r w:rsidRPr="00B5758B">
        <w:rPr>
          <w:rFonts w:ascii="Times New Roman" w:hAnsi="Times New Roman" w:cs="Times New Roman"/>
          <w:sz w:val="24"/>
          <w:szCs w:val="24"/>
          <w:lang w:val="en-IN"/>
        </w:rPr>
        <w:t xml:space="preserve">, M., Neher, A., </w:t>
      </w:r>
      <w:proofErr w:type="spellStart"/>
      <w:r w:rsidRPr="00B5758B">
        <w:rPr>
          <w:rFonts w:ascii="Times New Roman" w:hAnsi="Times New Roman" w:cs="Times New Roman"/>
          <w:sz w:val="24"/>
          <w:szCs w:val="24"/>
          <w:lang w:val="en-IN"/>
        </w:rPr>
        <w:t>Wuersch</w:t>
      </w:r>
      <w:proofErr w:type="spellEnd"/>
      <w:r w:rsidRPr="00B5758B">
        <w:rPr>
          <w:rFonts w:ascii="Times New Roman" w:hAnsi="Times New Roman" w:cs="Times New Roman"/>
          <w:sz w:val="24"/>
          <w:szCs w:val="24"/>
          <w:lang w:val="en-IN"/>
        </w:rPr>
        <w:t>, L., Martin, L. and Kiessling, T. (2024) ‘Performance management in a rapidly changing world: implications for talent management’. Management decision, 62(10), pp. 3085-3108.</w:t>
      </w:r>
    </w:p>
    <w:p w14:paraId="7B66AC51"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iCs/>
          <w:sz w:val="24"/>
          <w:szCs w:val="24"/>
        </w:rPr>
        <w:t>Mandarin Hotel (n.d.)</w:t>
      </w:r>
      <w:r w:rsidRPr="00B5758B">
        <w:rPr>
          <w:rFonts w:ascii="Times New Roman" w:hAnsi="Times New Roman" w:cs="Times New Roman"/>
          <w:i/>
          <w:sz w:val="24"/>
          <w:szCs w:val="24"/>
        </w:rPr>
        <w:t xml:space="preserve"> Mandarin Oriental Hotel Group</w:t>
      </w:r>
      <w:r w:rsidRPr="00B5758B">
        <w:rPr>
          <w:rFonts w:ascii="Times New Roman" w:hAnsi="Times New Roman" w:cs="Times New Roman"/>
          <w:sz w:val="24"/>
          <w:szCs w:val="24"/>
        </w:rPr>
        <w:t xml:space="preserve">. Available at: </w:t>
      </w:r>
      <w:hyperlink r:id="rId22">
        <w:r w:rsidRPr="00B5758B">
          <w:rPr>
            <w:rFonts w:ascii="Times New Roman" w:hAnsi="Times New Roman" w:cs="Times New Roman"/>
            <w:sz w:val="24"/>
            <w:szCs w:val="24"/>
            <w:u w:val="single"/>
          </w:rPr>
          <w:t>https://www.mandarinoriental.com/en</w:t>
        </w:r>
      </w:hyperlink>
      <w:r w:rsidRPr="00B5758B">
        <w:rPr>
          <w:rFonts w:ascii="Times New Roman" w:hAnsi="Times New Roman" w:cs="Times New Roman"/>
          <w:sz w:val="24"/>
          <w:szCs w:val="24"/>
        </w:rPr>
        <w:t xml:space="preserve"> (Accessed: 6 May 2025).</w:t>
      </w:r>
    </w:p>
    <w:p w14:paraId="2CED9969"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Mandarin Oriental (2023) </w:t>
      </w:r>
      <w:r w:rsidRPr="00B5758B">
        <w:rPr>
          <w:rFonts w:ascii="Times New Roman" w:hAnsi="Times New Roman" w:cs="Times New Roman"/>
          <w:i/>
          <w:sz w:val="24"/>
          <w:szCs w:val="24"/>
        </w:rPr>
        <w:t>Sustainability</w:t>
      </w:r>
      <w:r w:rsidRPr="00B5758B">
        <w:rPr>
          <w:rFonts w:ascii="Times New Roman" w:hAnsi="Times New Roman" w:cs="Times New Roman"/>
          <w:sz w:val="24"/>
          <w:szCs w:val="24"/>
        </w:rPr>
        <w:t xml:space="preserve">. Available at: </w:t>
      </w:r>
      <w:hyperlink r:id="rId23">
        <w:r w:rsidRPr="00B5758B">
          <w:rPr>
            <w:rFonts w:ascii="Times New Roman" w:hAnsi="Times New Roman" w:cs="Times New Roman"/>
            <w:sz w:val="24"/>
            <w:szCs w:val="24"/>
            <w:u w:val="single"/>
          </w:rPr>
          <w:t>https://www.mandarinoriental.com/en/our-company/sustainability</w:t>
        </w:r>
      </w:hyperlink>
      <w:r w:rsidRPr="00B5758B">
        <w:rPr>
          <w:rFonts w:ascii="Times New Roman" w:hAnsi="Times New Roman" w:cs="Times New Roman"/>
          <w:sz w:val="24"/>
          <w:szCs w:val="24"/>
        </w:rPr>
        <w:t xml:space="preserve">  (Accessed: 6 May 2025).</w:t>
      </w:r>
    </w:p>
    <w:p w14:paraId="32231FE5"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Mandarin Oriental (2025) </w:t>
      </w:r>
      <w:r w:rsidRPr="00B5758B">
        <w:rPr>
          <w:rFonts w:ascii="Times New Roman" w:hAnsi="Times New Roman" w:cs="Times New Roman"/>
          <w:i/>
          <w:sz w:val="24"/>
          <w:szCs w:val="24"/>
        </w:rPr>
        <w:t>Luxury 5 Star Hotels &amp; Resorts Worldwide | Mandarin Oriental Hotel Group</w:t>
      </w:r>
      <w:r w:rsidRPr="00B5758B">
        <w:rPr>
          <w:rFonts w:ascii="Times New Roman" w:hAnsi="Times New Roman" w:cs="Times New Roman"/>
          <w:sz w:val="24"/>
          <w:szCs w:val="24"/>
        </w:rPr>
        <w:t xml:space="preserve">. Available at: </w:t>
      </w:r>
      <w:hyperlink r:id="rId24">
        <w:r w:rsidRPr="00B5758B">
          <w:rPr>
            <w:rFonts w:ascii="Times New Roman" w:hAnsi="Times New Roman" w:cs="Times New Roman"/>
            <w:sz w:val="24"/>
            <w:szCs w:val="24"/>
            <w:u w:val="single"/>
          </w:rPr>
          <w:t>https://www.mandarinoriental.com/en</w:t>
        </w:r>
      </w:hyperlink>
      <w:r w:rsidRPr="00B5758B">
        <w:rPr>
          <w:rFonts w:ascii="Times New Roman" w:hAnsi="Times New Roman" w:cs="Times New Roman"/>
          <w:sz w:val="24"/>
          <w:szCs w:val="24"/>
        </w:rPr>
        <w:t xml:space="preserve"> (Accessed: 6 May 2025).</w:t>
      </w:r>
    </w:p>
    <w:p w14:paraId="088B6A5D"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Marais, P. and Schutte, F. (2024) ‘A framework for transforming corporate purpose into organisational culture’, </w:t>
      </w:r>
      <w:r w:rsidRPr="00B5758B">
        <w:rPr>
          <w:rFonts w:ascii="Times New Roman" w:hAnsi="Times New Roman" w:cs="Times New Roman"/>
          <w:i/>
          <w:sz w:val="24"/>
          <w:szCs w:val="24"/>
        </w:rPr>
        <w:t>International Journal of Professional Business Review: Int. J. Prof. Bus. Rev</w:t>
      </w:r>
      <w:r w:rsidRPr="00B5758B">
        <w:rPr>
          <w:rFonts w:ascii="Times New Roman" w:hAnsi="Times New Roman" w:cs="Times New Roman"/>
          <w:sz w:val="24"/>
          <w:szCs w:val="24"/>
        </w:rPr>
        <w:t>., 9(3), p.5.</w:t>
      </w:r>
    </w:p>
    <w:p w14:paraId="677C20EA"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Mateer, N. (2025) </w:t>
      </w:r>
      <w:r w:rsidRPr="00B5758B">
        <w:rPr>
          <w:rFonts w:ascii="Times New Roman" w:hAnsi="Times New Roman" w:cs="Times New Roman"/>
          <w:i/>
          <w:sz w:val="24"/>
          <w:szCs w:val="24"/>
        </w:rPr>
        <w:t>Miami’s Mandarin Oriental to proceed with layoffs, closure to make way for residences</w:t>
      </w:r>
      <w:r w:rsidRPr="00B5758B">
        <w:rPr>
          <w:rFonts w:ascii="Times New Roman" w:hAnsi="Times New Roman" w:cs="Times New Roman"/>
          <w:sz w:val="24"/>
          <w:szCs w:val="24"/>
        </w:rPr>
        <w:t xml:space="preserve">. Available at: </w:t>
      </w:r>
      <w:hyperlink r:id="rId25">
        <w:r w:rsidRPr="00B5758B">
          <w:rPr>
            <w:rFonts w:ascii="Times New Roman" w:hAnsi="Times New Roman" w:cs="Times New Roman"/>
            <w:sz w:val="24"/>
            <w:szCs w:val="24"/>
            <w:u w:val="single"/>
          </w:rPr>
          <w:t>https://www.hoteldive.com/news/mandarin-oriental-miami-closes-redevelopment/745211/</w:t>
        </w:r>
      </w:hyperlink>
      <w:r w:rsidRPr="00B5758B">
        <w:rPr>
          <w:rFonts w:ascii="Times New Roman" w:hAnsi="Times New Roman" w:cs="Times New Roman"/>
          <w:sz w:val="24"/>
          <w:szCs w:val="24"/>
        </w:rPr>
        <w:t xml:space="preserve"> (Accessed: 6 May 2025).</w:t>
      </w:r>
    </w:p>
    <w:p w14:paraId="20079484"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Mateer, N. (2025) </w:t>
      </w:r>
      <w:r w:rsidRPr="00B5758B">
        <w:rPr>
          <w:rFonts w:ascii="Times New Roman" w:hAnsi="Times New Roman" w:cs="Times New Roman"/>
          <w:i/>
          <w:sz w:val="24"/>
          <w:szCs w:val="24"/>
        </w:rPr>
        <w:t>Miami’s Mandarin Oriental to proceed with layoffs, closure to make way for residences</w:t>
      </w:r>
      <w:r w:rsidRPr="00B5758B">
        <w:rPr>
          <w:rFonts w:ascii="Times New Roman" w:hAnsi="Times New Roman" w:cs="Times New Roman"/>
          <w:sz w:val="24"/>
          <w:szCs w:val="24"/>
        </w:rPr>
        <w:t xml:space="preserve">. Available at: </w:t>
      </w:r>
      <w:hyperlink r:id="rId26">
        <w:r w:rsidRPr="00B5758B">
          <w:rPr>
            <w:rFonts w:ascii="Times New Roman" w:hAnsi="Times New Roman" w:cs="Times New Roman"/>
            <w:sz w:val="24"/>
            <w:szCs w:val="24"/>
            <w:u w:val="single"/>
          </w:rPr>
          <w:t>https://www.hoteldive.com/news/mandarin-oriental-miami-closes-redevelopment/745211/</w:t>
        </w:r>
      </w:hyperlink>
      <w:r w:rsidRPr="00B5758B">
        <w:rPr>
          <w:rFonts w:ascii="Times New Roman" w:hAnsi="Times New Roman" w:cs="Times New Roman"/>
          <w:sz w:val="24"/>
          <w:szCs w:val="24"/>
        </w:rPr>
        <w:t xml:space="preserve"> (Accessed: 6 May 2025).</w:t>
      </w:r>
    </w:p>
    <w:p w14:paraId="5DD947D2"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Mesut, Ü. and GÜLMEZ, M. (2020) ‘Six Sigma approach to improve service quality and a practice study in hospitality sector’, </w:t>
      </w:r>
      <w:r w:rsidRPr="00B5758B">
        <w:rPr>
          <w:rFonts w:ascii="Times New Roman" w:hAnsi="Times New Roman" w:cs="Times New Roman"/>
          <w:i/>
          <w:sz w:val="24"/>
          <w:szCs w:val="24"/>
        </w:rPr>
        <w:t>Business &amp; Management Studies: An International Journal</w:t>
      </w:r>
      <w:r w:rsidRPr="00B5758B">
        <w:rPr>
          <w:rFonts w:ascii="Times New Roman" w:hAnsi="Times New Roman" w:cs="Times New Roman"/>
          <w:sz w:val="24"/>
          <w:szCs w:val="24"/>
        </w:rPr>
        <w:t xml:space="preserve">, 8(3), pp. 3150-3182. </w:t>
      </w:r>
    </w:p>
    <w:p w14:paraId="73A52225"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MO Miami (2025) </w:t>
      </w:r>
      <w:r w:rsidRPr="00B5758B">
        <w:rPr>
          <w:rFonts w:ascii="Times New Roman" w:hAnsi="Times New Roman" w:cs="Times New Roman"/>
          <w:i/>
          <w:sz w:val="24"/>
          <w:szCs w:val="24"/>
        </w:rPr>
        <w:t>Luxury 5 Star Hotel | Brickell | Mandarin Oriental, Miami</w:t>
      </w:r>
      <w:r w:rsidRPr="00B5758B">
        <w:rPr>
          <w:rFonts w:ascii="Times New Roman" w:hAnsi="Times New Roman" w:cs="Times New Roman"/>
          <w:sz w:val="24"/>
          <w:szCs w:val="24"/>
        </w:rPr>
        <w:t xml:space="preserve">. Available at: </w:t>
      </w:r>
      <w:hyperlink r:id="rId27">
        <w:r w:rsidRPr="00B5758B">
          <w:rPr>
            <w:rFonts w:ascii="Times New Roman" w:hAnsi="Times New Roman" w:cs="Times New Roman"/>
            <w:sz w:val="24"/>
            <w:szCs w:val="24"/>
            <w:u w:val="single"/>
          </w:rPr>
          <w:t>https://www.mandarinoriental.com/en/miami/brickell-key</w:t>
        </w:r>
      </w:hyperlink>
      <w:r w:rsidRPr="00B5758B">
        <w:rPr>
          <w:rFonts w:ascii="Times New Roman" w:hAnsi="Times New Roman" w:cs="Times New Roman"/>
          <w:sz w:val="24"/>
          <w:szCs w:val="24"/>
        </w:rPr>
        <w:t xml:space="preserve"> (Accessed: 6 May 2025).</w:t>
      </w:r>
    </w:p>
    <w:p w14:paraId="211BE3FF"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MO Vision (2025). </w:t>
      </w:r>
      <w:r w:rsidRPr="00B5758B">
        <w:rPr>
          <w:rFonts w:ascii="Times New Roman" w:hAnsi="Times New Roman" w:cs="Times New Roman"/>
          <w:i/>
          <w:sz w:val="24"/>
          <w:szCs w:val="24"/>
        </w:rPr>
        <w:t>Our Vision</w:t>
      </w:r>
      <w:r w:rsidRPr="00B5758B">
        <w:rPr>
          <w:rFonts w:ascii="Times New Roman" w:hAnsi="Times New Roman" w:cs="Times New Roman"/>
          <w:sz w:val="24"/>
          <w:szCs w:val="24"/>
        </w:rPr>
        <w:t xml:space="preserve">. Available at: </w:t>
      </w:r>
      <w:hyperlink r:id="rId28">
        <w:r w:rsidRPr="00B5758B">
          <w:rPr>
            <w:rFonts w:ascii="Times New Roman" w:hAnsi="Times New Roman" w:cs="Times New Roman"/>
            <w:sz w:val="24"/>
            <w:szCs w:val="24"/>
            <w:u w:val="single"/>
          </w:rPr>
          <w:t>https://www.mandarinoriental.com/en/our-company/our-vision</w:t>
        </w:r>
      </w:hyperlink>
      <w:r w:rsidRPr="00B5758B">
        <w:rPr>
          <w:rFonts w:ascii="Times New Roman" w:hAnsi="Times New Roman" w:cs="Times New Roman"/>
          <w:sz w:val="24"/>
          <w:szCs w:val="24"/>
        </w:rPr>
        <w:t xml:space="preserve"> (Accessed: 6 May 2025).</w:t>
      </w:r>
    </w:p>
    <w:p w14:paraId="46067F89"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MOM Gallery (2025). </w:t>
      </w:r>
      <w:r w:rsidRPr="00B5758B">
        <w:rPr>
          <w:rFonts w:ascii="Times New Roman" w:hAnsi="Times New Roman" w:cs="Times New Roman"/>
          <w:i/>
          <w:sz w:val="24"/>
          <w:szCs w:val="24"/>
        </w:rPr>
        <w:t>Photo &amp; Video Gallery | Brickell Hotel | Mandarin Oriental, Miami</w:t>
      </w:r>
      <w:r w:rsidRPr="00B5758B">
        <w:rPr>
          <w:rFonts w:ascii="Times New Roman" w:hAnsi="Times New Roman" w:cs="Times New Roman"/>
          <w:sz w:val="24"/>
          <w:szCs w:val="24"/>
        </w:rPr>
        <w:t xml:space="preserve">. Available at: </w:t>
      </w:r>
      <w:hyperlink r:id="rId29">
        <w:r w:rsidRPr="00B5758B">
          <w:rPr>
            <w:rFonts w:ascii="Times New Roman" w:hAnsi="Times New Roman" w:cs="Times New Roman"/>
            <w:sz w:val="24"/>
            <w:szCs w:val="24"/>
            <w:u w:val="single"/>
          </w:rPr>
          <w:t>https://www.mandarinoriental.com/en/miami/brickell-key/gallery</w:t>
        </w:r>
      </w:hyperlink>
      <w:r w:rsidRPr="00B5758B">
        <w:rPr>
          <w:rFonts w:ascii="Times New Roman" w:hAnsi="Times New Roman" w:cs="Times New Roman"/>
          <w:sz w:val="24"/>
          <w:szCs w:val="24"/>
        </w:rPr>
        <w:t xml:space="preserve"> (Accessed: 6 May 2025).</w:t>
      </w:r>
    </w:p>
    <w:p w14:paraId="025772B4"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Muchiri, D.G. (2022) ‘Skilling, reskilling, and upskilling a workforce: a perspective from Kenyan enterprises’, </w:t>
      </w:r>
      <w:r w:rsidRPr="00B5758B">
        <w:rPr>
          <w:rFonts w:ascii="Times New Roman" w:hAnsi="Times New Roman" w:cs="Times New Roman"/>
          <w:i/>
          <w:sz w:val="24"/>
          <w:szCs w:val="24"/>
        </w:rPr>
        <w:t>The Strategic Journal of Business &amp; Change Management</w:t>
      </w:r>
      <w:r w:rsidRPr="00B5758B">
        <w:rPr>
          <w:rFonts w:ascii="Times New Roman" w:hAnsi="Times New Roman" w:cs="Times New Roman"/>
          <w:sz w:val="24"/>
          <w:szCs w:val="24"/>
        </w:rPr>
        <w:t>, 9(4), pp.190-203.</w:t>
      </w:r>
    </w:p>
    <w:p w14:paraId="6FD82540"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lastRenderedPageBreak/>
        <w:t xml:space="preserve">Mujtaba, B.G. and </w:t>
      </w:r>
      <w:proofErr w:type="spellStart"/>
      <w:r w:rsidRPr="00B5758B">
        <w:rPr>
          <w:rFonts w:ascii="Times New Roman" w:hAnsi="Times New Roman" w:cs="Times New Roman"/>
          <w:sz w:val="24"/>
          <w:szCs w:val="24"/>
        </w:rPr>
        <w:t>Senathip</w:t>
      </w:r>
      <w:proofErr w:type="spellEnd"/>
      <w:r w:rsidRPr="00B5758B">
        <w:rPr>
          <w:rFonts w:ascii="Times New Roman" w:hAnsi="Times New Roman" w:cs="Times New Roman"/>
          <w:sz w:val="24"/>
          <w:szCs w:val="24"/>
        </w:rPr>
        <w:t>, T. (2020) ‘Layoffs and downsizing implications for the leadership role of human resources’, </w:t>
      </w:r>
      <w:r w:rsidRPr="00B5758B">
        <w:rPr>
          <w:rFonts w:ascii="Times New Roman" w:hAnsi="Times New Roman" w:cs="Times New Roman"/>
          <w:i/>
          <w:sz w:val="24"/>
          <w:szCs w:val="24"/>
        </w:rPr>
        <w:t>Journal of Service Science and Management</w:t>
      </w:r>
      <w:r w:rsidRPr="00B5758B">
        <w:rPr>
          <w:rFonts w:ascii="Times New Roman" w:hAnsi="Times New Roman" w:cs="Times New Roman"/>
          <w:sz w:val="24"/>
          <w:szCs w:val="24"/>
        </w:rPr>
        <w:t xml:space="preserve">, 13(02), p. 209. </w:t>
      </w:r>
    </w:p>
    <w:p w14:paraId="5219FB7E"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t>Mukhuty</w:t>
      </w:r>
      <w:proofErr w:type="spellEnd"/>
      <w:r w:rsidRPr="00B5758B">
        <w:rPr>
          <w:rFonts w:ascii="Times New Roman" w:hAnsi="Times New Roman" w:cs="Times New Roman"/>
          <w:sz w:val="24"/>
          <w:szCs w:val="24"/>
        </w:rPr>
        <w:t>, S., Upadhyay, A. and Rothwell, H. (2022) ‘Strategic sustainable development of Industry 4.0 through the lens of social responsibility: The role of human resource practices’, </w:t>
      </w:r>
      <w:r w:rsidRPr="00B5758B">
        <w:rPr>
          <w:rFonts w:ascii="Times New Roman" w:hAnsi="Times New Roman" w:cs="Times New Roman"/>
          <w:i/>
          <w:sz w:val="24"/>
          <w:szCs w:val="24"/>
        </w:rPr>
        <w:t>Business Strategy and the Environment</w:t>
      </w:r>
      <w:r w:rsidRPr="00B5758B">
        <w:rPr>
          <w:rFonts w:ascii="Times New Roman" w:hAnsi="Times New Roman" w:cs="Times New Roman"/>
          <w:sz w:val="24"/>
          <w:szCs w:val="24"/>
        </w:rPr>
        <w:t>, 31(5), pp. 2068-2081.   </w:t>
      </w:r>
    </w:p>
    <w:p w14:paraId="49D1E943"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Narayanamma, P.L., Neelima, S. and Mounika, K. (2022) ‘Employee engagement and organisational performance: A literature review’, </w:t>
      </w:r>
      <w:r w:rsidRPr="00B5758B">
        <w:rPr>
          <w:rFonts w:ascii="Times New Roman" w:hAnsi="Times New Roman" w:cs="Times New Roman"/>
          <w:i/>
          <w:sz w:val="24"/>
          <w:szCs w:val="24"/>
        </w:rPr>
        <w:t>Journal of Positive School Psychology</w:t>
      </w:r>
      <w:r w:rsidRPr="00B5758B">
        <w:rPr>
          <w:rFonts w:ascii="Times New Roman" w:hAnsi="Times New Roman" w:cs="Times New Roman"/>
          <w:sz w:val="24"/>
          <w:szCs w:val="24"/>
        </w:rPr>
        <w:t>, </w:t>
      </w:r>
      <w:r w:rsidRPr="00B5758B">
        <w:rPr>
          <w:rFonts w:ascii="Times New Roman" w:hAnsi="Times New Roman" w:cs="Times New Roman"/>
          <w:iCs/>
          <w:sz w:val="24"/>
          <w:szCs w:val="24"/>
        </w:rPr>
        <w:t>6</w:t>
      </w:r>
      <w:r w:rsidRPr="00B5758B">
        <w:rPr>
          <w:rFonts w:ascii="Times New Roman" w:hAnsi="Times New Roman" w:cs="Times New Roman"/>
          <w:sz w:val="24"/>
          <w:szCs w:val="24"/>
        </w:rPr>
        <w:t xml:space="preserve">(3), pp. 3558-3563. </w:t>
      </w:r>
    </w:p>
    <w:p w14:paraId="14EE9D0A"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t>NewsBreak</w:t>
      </w:r>
      <w:proofErr w:type="spellEnd"/>
      <w:r w:rsidRPr="00B5758B">
        <w:rPr>
          <w:rFonts w:ascii="Times New Roman" w:hAnsi="Times New Roman" w:cs="Times New Roman"/>
          <w:sz w:val="24"/>
          <w:szCs w:val="24"/>
        </w:rPr>
        <w:t xml:space="preserve"> (2024). </w:t>
      </w:r>
      <w:r w:rsidRPr="00B5758B">
        <w:rPr>
          <w:rFonts w:ascii="Times New Roman" w:hAnsi="Times New Roman" w:cs="Times New Roman"/>
          <w:i/>
          <w:sz w:val="24"/>
          <w:szCs w:val="24"/>
        </w:rPr>
        <w:t>Iconic Florida Hotel Closing Doors, Transitioning to Two.</w:t>
      </w:r>
      <w:r w:rsidRPr="00B5758B">
        <w:rPr>
          <w:rFonts w:ascii="Times New Roman" w:hAnsi="Times New Roman" w:cs="Times New Roman"/>
          <w:sz w:val="24"/>
          <w:szCs w:val="24"/>
        </w:rPr>
        <w:t xml:space="preserve"> Available at: </w:t>
      </w:r>
      <w:hyperlink r:id="rId30">
        <w:r w:rsidRPr="00B5758B">
          <w:rPr>
            <w:rFonts w:ascii="Times New Roman" w:hAnsi="Times New Roman" w:cs="Times New Roman"/>
            <w:sz w:val="24"/>
            <w:szCs w:val="24"/>
            <w:u w:val="single"/>
          </w:rPr>
          <w:t>https://www.newsbreak.com/akeena-1857977/3729551172010-iconic-florida-hotel-closing-doors-transitioning-to-two-new-tower-developments</w:t>
        </w:r>
      </w:hyperlink>
      <w:r w:rsidRPr="00B5758B">
        <w:rPr>
          <w:rFonts w:ascii="Times New Roman" w:hAnsi="Times New Roman" w:cs="Times New Roman"/>
          <w:sz w:val="24"/>
          <w:szCs w:val="24"/>
        </w:rPr>
        <w:t xml:space="preserve"> (Accessed: 6 May 2025).</w:t>
      </w:r>
    </w:p>
    <w:p w14:paraId="210B391D"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t>Noordzife</w:t>
      </w:r>
      <w:proofErr w:type="spellEnd"/>
      <w:r w:rsidRPr="00B5758B">
        <w:rPr>
          <w:rFonts w:ascii="Times New Roman" w:hAnsi="Times New Roman" w:cs="Times New Roman"/>
          <w:sz w:val="24"/>
          <w:szCs w:val="24"/>
        </w:rPr>
        <w:t xml:space="preserve">, G. (2014) </w:t>
      </w:r>
      <w:r w:rsidRPr="00B5758B">
        <w:rPr>
          <w:rFonts w:ascii="Times New Roman" w:hAnsi="Times New Roman" w:cs="Times New Roman"/>
          <w:i/>
          <w:iCs/>
          <w:sz w:val="24"/>
          <w:szCs w:val="24"/>
        </w:rPr>
        <w:t>Project Management of Hotel Opening Processes: Exploring Better Ways to Manage New Hotel Openings.</w:t>
      </w:r>
      <w:r w:rsidRPr="00B5758B">
        <w:rPr>
          <w:rFonts w:ascii="Times New Roman" w:hAnsi="Times New Roman" w:cs="Times New Roman"/>
          <w:sz w:val="24"/>
          <w:szCs w:val="24"/>
        </w:rPr>
        <w:t xml:space="preserve"> US: CreateSpace. </w:t>
      </w:r>
    </w:p>
    <w:p w14:paraId="469AD504"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Nunez, O. (2024). </w:t>
      </w:r>
      <w:r w:rsidRPr="00B5758B">
        <w:rPr>
          <w:rFonts w:ascii="Times New Roman" w:hAnsi="Times New Roman" w:cs="Times New Roman"/>
          <w:i/>
          <w:sz w:val="24"/>
          <w:szCs w:val="24"/>
        </w:rPr>
        <w:t>Florida YIMBY</w:t>
      </w:r>
      <w:r w:rsidRPr="00B5758B">
        <w:rPr>
          <w:rFonts w:ascii="Times New Roman" w:hAnsi="Times New Roman" w:cs="Times New Roman"/>
          <w:sz w:val="24"/>
          <w:szCs w:val="24"/>
        </w:rPr>
        <w:t xml:space="preserve">. Available at: </w:t>
      </w:r>
      <w:hyperlink r:id="rId31">
        <w:r w:rsidRPr="00B5758B">
          <w:rPr>
            <w:rFonts w:ascii="Times New Roman" w:hAnsi="Times New Roman" w:cs="Times New Roman"/>
            <w:sz w:val="24"/>
            <w:szCs w:val="24"/>
            <w:u w:val="single"/>
          </w:rPr>
          <w:t>https://floridayimby.com/2024/11/construction-timeline-unveiled-for-the-residences-at-mandarin-oriental-miami-on-brickell-key.html</w:t>
        </w:r>
      </w:hyperlink>
      <w:r w:rsidRPr="00B5758B">
        <w:rPr>
          <w:rFonts w:ascii="Times New Roman" w:hAnsi="Times New Roman" w:cs="Times New Roman"/>
          <w:sz w:val="24"/>
          <w:szCs w:val="24"/>
        </w:rPr>
        <w:t xml:space="preserve"> (Accessed: 6 May 2025).</w:t>
      </w:r>
    </w:p>
    <w:p w14:paraId="3CEADF3B"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Øygarden, O., Olsen, E. and Mikkelsen, A. (2020) ‘Changing to improve? Organizational change and change-oriented leadership in hospitals’, </w:t>
      </w:r>
      <w:r w:rsidRPr="00B5758B">
        <w:rPr>
          <w:rFonts w:ascii="Times New Roman" w:hAnsi="Times New Roman" w:cs="Times New Roman"/>
          <w:i/>
          <w:sz w:val="24"/>
          <w:szCs w:val="24"/>
        </w:rPr>
        <w:t>Journal of Health Organization and Management</w:t>
      </w:r>
      <w:r w:rsidRPr="00B5758B">
        <w:rPr>
          <w:rFonts w:ascii="Times New Roman" w:hAnsi="Times New Roman" w:cs="Times New Roman"/>
          <w:sz w:val="24"/>
          <w:szCs w:val="24"/>
        </w:rPr>
        <w:t xml:space="preserve">, 34(6), pp. 687-706. </w:t>
      </w:r>
    </w:p>
    <w:p w14:paraId="1982C00A"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Rust, R.T., Rand, W., Huang, M.H., Stephen, A.T., Brooks, G. and </w:t>
      </w:r>
      <w:proofErr w:type="spellStart"/>
      <w:r w:rsidRPr="00B5758B">
        <w:rPr>
          <w:rFonts w:ascii="Times New Roman" w:hAnsi="Times New Roman" w:cs="Times New Roman"/>
          <w:sz w:val="24"/>
          <w:szCs w:val="24"/>
        </w:rPr>
        <w:t>Chabuk</w:t>
      </w:r>
      <w:proofErr w:type="spellEnd"/>
      <w:r w:rsidRPr="00B5758B">
        <w:rPr>
          <w:rFonts w:ascii="Times New Roman" w:hAnsi="Times New Roman" w:cs="Times New Roman"/>
          <w:sz w:val="24"/>
          <w:szCs w:val="24"/>
        </w:rPr>
        <w:t xml:space="preserve">, T. (2021) ‘Real-time brand reputation tracking using social media’, </w:t>
      </w:r>
      <w:r w:rsidRPr="00B5758B">
        <w:rPr>
          <w:rFonts w:ascii="Times New Roman" w:hAnsi="Times New Roman" w:cs="Times New Roman"/>
          <w:i/>
          <w:sz w:val="24"/>
          <w:szCs w:val="24"/>
        </w:rPr>
        <w:t>Journal of Marketing</w:t>
      </w:r>
      <w:r w:rsidRPr="00B5758B">
        <w:rPr>
          <w:rFonts w:ascii="Times New Roman" w:hAnsi="Times New Roman" w:cs="Times New Roman"/>
          <w:sz w:val="24"/>
          <w:szCs w:val="24"/>
        </w:rPr>
        <w:t>, 85(4), pp.21-43.</w:t>
      </w:r>
    </w:p>
    <w:p w14:paraId="480DFECC"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Sherman, N. (2025). </w:t>
      </w:r>
      <w:r w:rsidRPr="00B5758B">
        <w:rPr>
          <w:rFonts w:ascii="Times New Roman" w:hAnsi="Times New Roman" w:cs="Times New Roman"/>
          <w:i/>
          <w:sz w:val="24"/>
          <w:szCs w:val="24"/>
        </w:rPr>
        <w:t>US economy shrinks as firms import more ahead of tariffs</w:t>
      </w:r>
      <w:r w:rsidRPr="00B5758B">
        <w:rPr>
          <w:rFonts w:ascii="Times New Roman" w:hAnsi="Times New Roman" w:cs="Times New Roman"/>
          <w:sz w:val="24"/>
          <w:szCs w:val="24"/>
        </w:rPr>
        <w:t xml:space="preserve">. Available at: </w:t>
      </w:r>
      <w:hyperlink r:id="rId32">
        <w:r w:rsidRPr="00B5758B">
          <w:rPr>
            <w:rFonts w:ascii="Times New Roman" w:hAnsi="Times New Roman" w:cs="Times New Roman"/>
            <w:sz w:val="24"/>
            <w:szCs w:val="24"/>
            <w:u w:val="single"/>
          </w:rPr>
          <w:t>https://www.bbc.co.uk/news/articles/cpwz9kl12l1o</w:t>
        </w:r>
      </w:hyperlink>
      <w:r w:rsidRPr="00B5758B">
        <w:rPr>
          <w:rFonts w:ascii="Times New Roman" w:hAnsi="Times New Roman" w:cs="Times New Roman"/>
          <w:sz w:val="24"/>
          <w:szCs w:val="24"/>
        </w:rPr>
        <w:t xml:space="preserve"> (Accessed: 6 May 2025).</w:t>
      </w:r>
    </w:p>
    <w:p w14:paraId="5BF4B6AB"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Shui, X., Zhang, M., Wang, Y. and Smart, P. (2025) ‘Do climate change regulatory pressures increase corporate environmental sustainability performance? The moderating roles of foreign market exposure and industry carbon intensity’, </w:t>
      </w:r>
      <w:r w:rsidRPr="00B5758B">
        <w:rPr>
          <w:rFonts w:ascii="Times New Roman" w:hAnsi="Times New Roman" w:cs="Times New Roman"/>
          <w:i/>
          <w:sz w:val="24"/>
          <w:szCs w:val="24"/>
        </w:rPr>
        <w:t>British Journal of Management</w:t>
      </w:r>
      <w:r w:rsidRPr="00B5758B">
        <w:rPr>
          <w:rFonts w:ascii="Times New Roman" w:hAnsi="Times New Roman" w:cs="Times New Roman"/>
          <w:sz w:val="24"/>
          <w:szCs w:val="24"/>
        </w:rPr>
        <w:t>, 36(1), pp.223-239.</w:t>
      </w:r>
    </w:p>
    <w:p w14:paraId="5610A0CD" w14:textId="77777777" w:rsidR="00B5758B" w:rsidRPr="00B5758B" w:rsidRDefault="00B5758B" w:rsidP="00B5758B">
      <w:pPr>
        <w:widowControl w:val="0"/>
        <w:autoSpaceDE w:val="0"/>
        <w:autoSpaceDN w:val="0"/>
        <w:spacing w:before="100" w:beforeAutospacing="1" w:after="100" w:afterAutospacing="1"/>
        <w:rPr>
          <w:rFonts w:ascii="Times New Roman" w:hAnsi="Times New Roman" w:cs="Times New Roman"/>
          <w:sz w:val="24"/>
          <w:szCs w:val="24"/>
          <w:lang w:val="en-IN"/>
        </w:rPr>
      </w:pPr>
      <w:proofErr w:type="spellStart"/>
      <w:r w:rsidRPr="00B5758B">
        <w:rPr>
          <w:rFonts w:ascii="Times New Roman" w:hAnsi="Times New Roman" w:cs="Times New Roman"/>
          <w:sz w:val="24"/>
          <w:szCs w:val="24"/>
          <w:lang w:val="en-IN"/>
        </w:rPr>
        <w:t>Sreeharsha</w:t>
      </w:r>
      <w:proofErr w:type="spellEnd"/>
      <w:r w:rsidRPr="00B5758B">
        <w:rPr>
          <w:rFonts w:ascii="Times New Roman" w:hAnsi="Times New Roman" w:cs="Times New Roman"/>
          <w:sz w:val="24"/>
          <w:szCs w:val="24"/>
          <w:lang w:val="en-IN"/>
        </w:rPr>
        <w:t xml:space="preserve">, V.  (2025) </w:t>
      </w:r>
      <w:r w:rsidRPr="00B5758B">
        <w:rPr>
          <w:rFonts w:ascii="Times New Roman" w:hAnsi="Times New Roman" w:cs="Times New Roman"/>
          <w:sz w:val="24"/>
          <w:szCs w:val="24"/>
          <w:lang w:val="en-IN"/>
        </w:rPr>
        <w:tab/>
      </w:r>
      <w:r w:rsidRPr="00B5758B">
        <w:rPr>
          <w:rFonts w:ascii="Times New Roman" w:hAnsi="Times New Roman" w:cs="Times New Roman"/>
          <w:i/>
          <w:iCs/>
          <w:sz w:val="24"/>
          <w:szCs w:val="24"/>
          <w:lang w:val="en-IN"/>
        </w:rPr>
        <w:t>A popular Miami luxury hotel will be demolished soon. See what’s coming nex</w:t>
      </w:r>
      <w:r w:rsidRPr="00B5758B">
        <w:rPr>
          <w:rFonts w:ascii="Times New Roman" w:hAnsi="Times New Roman" w:cs="Times New Roman"/>
          <w:sz w:val="24"/>
          <w:szCs w:val="24"/>
          <w:lang w:val="en-IN"/>
        </w:rPr>
        <w:t xml:space="preserve">t. Available at: </w:t>
      </w:r>
      <w:hyperlink r:id="rId33" w:history="1">
        <w:r w:rsidRPr="00B5758B">
          <w:rPr>
            <w:rStyle w:val="Hyperlink"/>
            <w:rFonts w:ascii="Times New Roman" w:hAnsi="Times New Roman" w:cs="Times New Roman"/>
            <w:color w:val="auto"/>
            <w:sz w:val="24"/>
            <w:szCs w:val="24"/>
            <w:lang w:val="en-IN"/>
          </w:rPr>
          <w:t>https://www.miamiherald.com/living/travel/article306263856.html</w:t>
        </w:r>
      </w:hyperlink>
      <w:r w:rsidRPr="00B5758B">
        <w:rPr>
          <w:rFonts w:ascii="Times New Roman" w:hAnsi="Times New Roman" w:cs="Times New Roman"/>
          <w:sz w:val="24"/>
          <w:szCs w:val="24"/>
          <w:lang w:val="en-IN"/>
        </w:rPr>
        <w:t xml:space="preserve"> (Accessed: 15 June 2025).</w:t>
      </w:r>
    </w:p>
    <w:p w14:paraId="56F5BAC7"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Sunn, C.Y., Peng, C.N., Qing, S.Z., </w:t>
      </w:r>
      <w:proofErr w:type="spellStart"/>
      <w:r w:rsidRPr="00B5758B">
        <w:rPr>
          <w:rFonts w:ascii="Times New Roman" w:hAnsi="Times New Roman" w:cs="Times New Roman"/>
          <w:sz w:val="24"/>
          <w:szCs w:val="24"/>
        </w:rPr>
        <w:t>Norhayati</w:t>
      </w:r>
      <w:proofErr w:type="spellEnd"/>
      <w:r w:rsidRPr="00B5758B">
        <w:rPr>
          <w:rFonts w:ascii="Times New Roman" w:hAnsi="Times New Roman" w:cs="Times New Roman"/>
          <w:sz w:val="24"/>
          <w:szCs w:val="24"/>
        </w:rPr>
        <w:t xml:space="preserve">, W., Othman, B.W., Yusop, Y.M. and Anuar, M. (2024) ‘Factors Affecting Job Dissatisfaction in Asia: A Systematic Review’, </w:t>
      </w:r>
      <w:r w:rsidRPr="00B5758B">
        <w:rPr>
          <w:rFonts w:ascii="Times New Roman" w:hAnsi="Times New Roman" w:cs="Times New Roman"/>
          <w:i/>
          <w:iCs/>
          <w:sz w:val="24"/>
          <w:szCs w:val="24"/>
        </w:rPr>
        <w:t xml:space="preserve">International Journal of Academic Research in Business and Social, </w:t>
      </w:r>
      <w:r w:rsidRPr="00B5758B">
        <w:rPr>
          <w:rFonts w:ascii="Times New Roman" w:hAnsi="Times New Roman" w:cs="Times New Roman"/>
          <w:sz w:val="24"/>
          <w:szCs w:val="24"/>
        </w:rPr>
        <w:t xml:space="preserve">14(11), pp. 1112-1127.  </w:t>
      </w:r>
    </w:p>
    <w:p w14:paraId="2C0B4A1F"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lastRenderedPageBreak/>
        <w:t xml:space="preserve">TBJ (2025) </w:t>
      </w:r>
      <w:r w:rsidRPr="00B5758B">
        <w:rPr>
          <w:rFonts w:ascii="Times New Roman" w:hAnsi="Times New Roman" w:cs="Times New Roman"/>
          <w:i/>
          <w:sz w:val="24"/>
          <w:szCs w:val="24"/>
        </w:rPr>
        <w:t>Mandarin Oriental, Miami to close and lay off 430 employees</w:t>
      </w:r>
      <w:r w:rsidRPr="00B5758B">
        <w:rPr>
          <w:rFonts w:ascii="Times New Roman" w:hAnsi="Times New Roman" w:cs="Times New Roman"/>
          <w:sz w:val="24"/>
          <w:szCs w:val="24"/>
        </w:rPr>
        <w:t xml:space="preserve">. </w:t>
      </w:r>
      <w:hyperlink r:id="rId34">
        <w:r w:rsidRPr="00B5758B">
          <w:rPr>
            <w:rFonts w:ascii="Times New Roman" w:hAnsi="Times New Roman" w:cs="Times New Roman"/>
            <w:sz w:val="24"/>
            <w:szCs w:val="24"/>
            <w:u w:val="single"/>
          </w:rPr>
          <w:t>https://www.bizjournals.com/southflorida/news/2025/04/04/mandarin-oriental-miami-closing-laysoffs-brickell.html</w:t>
        </w:r>
      </w:hyperlink>
      <w:r w:rsidRPr="00B5758B">
        <w:rPr>
          <w:rFonts w:ascii="Times New Roman" w:hAnsi="Times New Roman" w:cs="Times New Roman"/>
          <w:sz w:val="24"/>
          <w:szCs w:val="24"/>
        </w:rPr>
        <w:t xml:space="preserve"> (Accessed: 6 May 2025).</w:t>
      </w:r>
    </w:p>
    <w:p w14:paraId="48275B55"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TNM (2025) </w:t>
      </w:r>
      <w:r w:rsidRPr="00B5758B">
        <w:rPr>
          <w:rFonts w:ascii="Times New Roman" w:hAnsi="Times New Roman" w:cs="Times New Roman"/>
          <w:i/>
          <w:sz w:val="24"/>
          <w:szCs w:val="24"/>
        </w:rPr>
        <w:t xml:space="preserve">Brickells Mandarin Oriental Closing Soon </w:t>
      </w:r>
      <w:proofErr w:type="gramStart"/>
      <w:r w:rsidRPr="00B5758B">
        <w:rPr>
          <w:rFonts w:ascii="Times New Roman" w:hAnsi="Times New Roman" w:cs="Times New Roman"/>
          <w:i/>
          <w:sz w:val="24"/>
          <w:szCs w:val="24"/>
        </w:rPr>
        <w:t>To</w:t>
      </w:r>
      <w:proofErr w:type="gramEnd"/>
      <w:r w:rsidRPr="00B5758B">
        <w:rPr>
          <w:rFonts w:ascii="Times New Roman" w:hAnsi="Times New Roman" w:cs="Times New Roman"/>
          <w:i/>
          <w:sz w:val="24"/>
          <w:szCs w:val="24"/>
        </w:rPr>
        <w:t xml:space="preserve"> Make Way For 850 Foot Tower.</w:t>
      </w:r>
      <w:r w:rsidRPr="00B5758B">
        <w:rPr>
          <w:rFonts w:ascii="Times New Roman" w:hAnsi="Times New Roman" w:cs="Times New Roman"/>
          <w:sz w:val="24"/>
          <w:szCs w:val="24"/>
        </w:rPr>
        <w:t xml:space="preserve"> Available at: </w:t>
      </w:r>
      <w:hyperlink r:id="rId35">
        <w:r w:rsidRPr="00B5758B">
          <w:rPr>
            <w:rFonts w:ascii="Times New Roman" w:hAnsi="Times New Roman" w:cs="Times New Roman"/>
            <w:sz w:val="24"/>
            <w:szCs w:val="24"/>
            <w:u w:val="single"/>
          </w:rPr>
          <w:t>https://www.thenextmiami.com/brickells-mandarin-oriental-closing-soon-to-make-way-for-850-foot-tower/</w:t>
        </w:r>
      </w:hyperlink>
      <w:r w:rsidRPr="00B5758B">
        <w:rPr>
          <w:rFonts w:ascii="Times New Roman" w:hAnsi="Times New Roman" w:cs="Times New Roman"/>
          <w:sz w:val="24"/>
          <w:szCs w:val="24"/>
        </w:rPr>
        <w:t xml:space="preserve"> (Accessed: 6 May 2025).</w:t>
      </w:r>
    </w:p>
    <w:p w14:paraId="28E79E14" w14:textId="77777777" w:rsidR="00B5758B" w:rsidRPr="00B5758B" w:rsidRDefault="00B5758B" w:rsidP="00B5758B">
      <w:pPr>
        <w:spacing w:before="100" w:beforeAutospacing="1" w:after="100" w:afterAutospacing="1"/>
        <w:rPr>
          <w:rFonts w:ascii="Times New Roman" w:hAnsi="Times New Roman" w:cs="Times New Roman"/>
          <w:sz w:val="24"/>
          <w:szCs w:val="24"/>
        </w:rPr>
      </w:pPr>
      <w:proofErr w:type="spellStart"/>
      <w:r w:rsidRPr="00B5758B">
        <w:rPr>
          <w:rFonts w:ascii="Times New Roman" w:hAnsi="Times New Roman" w:cs="Times New Roman"/>
          <w:sz w:val="24"/>
          <w:szCs w:val="24"/>
        </w:rPr>
        <w:t>Trubetskaya</w:t>
      </w:r>
      <w:proofErr w:type="spellEnd"/>
      <w:r w:rsidRPr="00B5758B">
        <w:rPr>
          <w:rFonts w:ascii="Times New Roman" w:hAnsi="Times New Roman" w:cs="Times New Roman"/>
          <w:sz w:val="24"/>
          <w:szCs w:val="24"/>
        </w:rPr>
        <w:t>, A. and Mullers, H. (2021) ‘Transforming a global human resource service delivery operating model using Lean Six Sigma’, </w:t>
      </w:r>
      <w:r w:rsidRPr="00B5758B">
        <w:rPr>
          <w:rFonts w:ascii="Times New Roman" w:hAnsi="Times New Roman" w:cs="Times New Roman"/>
          <w:i/>
          <w:sz w:val="24"/>
          <w:szCs w:val="24"/>
        </w:rPr>
        <w:t>International Journal of Engineering Business Management</w:t>
      </w:r>
      <w:r w:rsidRPr="00B5758B">
        <w:rPr>
          <w:rFonts w:ascii="Times New Roman" w:hAnsi="Times New Roman" w:cs="Times New Roman"/>
          <w:sz w:val="24"/>
          <w:szCs w:val="24"/>
        </w:rPr>
        <w:t xml:space="preserve">, 13, p. 18479790211051267. </w:t>
      </w:r>
    </w:p>
    <w:p w14:paraId="58A822B5"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U.S. DEPARTMENT OF LABOR (2024). </w:t>
      </w:r>
      <w:r w:rsidRPr="00B5758B">
        <w:rPr>
          <w:rFonts w:ascii="Times New Roman" w:hAnsi="Times New Roman" w:cs="Times New Roman"/>
          <w:i/>
          <w:sz w:val="24"/>
          <w:szCs w:val="24"/>
        </w:rPr>
        <w:t>WARN Act Compliance Assistance | U.S. Department of Labor</w:t>
      </w:r>
      <w:r w:rsidRPr="00B5758B">
        <w:rPr>
          <w:rFonts w:ascii="Times New Roman" w:hAnsi="Times New Roman" w:cs="Times New Roman"/>
          <w:sz w:val="24"/>
          <w:szCs w:val="24"/>
        </w:rPr>
        <w:t xml:space="preserve">. Available at: </w:t>
      </w:r>
      <w:hyperlink r:id="rId36">
        <w:r w:rsidRPr="00B5758B">
          <w:rPr>
            <w:rFonts w:ascii="Times New Roman" w:hAnsi="Times New Roman" w:cs="Times New Roman"/>
            <w:sz w:val="24"/>
            <w:szCs w:val="24"/>
            <w:u w:val="single"/>
          </w:rPr>
          <w:t>https://www.dol.gov/agencies/eta/layoffs/warn</w:t>
        </w:r>
      </w:hyperlink>
      <w:r w:rsidRPr="00B5758B">
        <w:rPr>
          <w:rFonts w:ascii="Times New Roman" w:hAnsi="Times New Roman" w:cs="Times New Roman"/>
          <w:sz w:val="24"/>
          <w:szCs w:val="24"/>
        </w:rPr>
        <w:t xml:space="preserve"> (Accessed: 6 May 2025).</w:t>
      </w:r>
    </w:p>
    <w:p w14:paraId="4548517F" w14:textId="77777777" w:rsidR="00B5758B" w:rsidRPr="00B5758B" w:rsidRDefault="00B5758B" w:rsidP="00B5758B">
      <w:pPr>
        <w:widowControl w:val="0"/>
        <w:autoSpaceDE w:val="0"/>
        <w:autoSpaceDN w:val="0"/>
        <w:spacing w:before="100" w:beforeAutospacing="1" w:after="100" w:afterAutospacing="1"/>
        <w:rPr>
          <w:rFonts w:ascii="Times New Roman" w:hAnsi="Times New Roman" w:cs="Times New Roman"/>
          <w:sz w:val="24"/>
          <w:szCs w:val="24"/>
          <w:lang w:val="en-IN"/>
        </w:rPr>
      </w:pPr>
      <w:r w:rsidRPr="00B5758B">
        <w:rPr>
          <w:rFonts w:ascii="Times New Roman" w:hAnsi="Times New Roman" w:cs="Times New Roman"/>
          <w:sz w:val="24"/>
          <w:szCs w:val="24"/>
          <w:lang w:val="en-IN"/>
        </w:rPr>
        <w:t>UKH. (n.d.)</w:t>
      </w:r>
      <w:r w:rsidRPr="00B5758B">
        <w:rPr>
          <w:rFonts w:ascii="Times New Roman" w:hAnsi="Times New Roman" w:cs="Times New Roman"/>
          <w:i/>
          <w:iCs/>
          <w:sz w:val="24"/>
          <w:szCs w:val="24"/>
          <w:lang w:val="en-IN"/>
        </w:rPr>
        <w:t xml:space="preserve"> Hospitality Workforce Strategy</w:t>
      </w:r>
      <w:r w:rsidRPr="00B5758B">
        <w:rPr>
          <w:rFonts w:ascii="Times New Roman" w:hAnsi="Times New Roman" w:cs="Times New Roman"/>
          <w:sz w:val="24"/>
          <w:szCs w:val="24"/>
          <w:lang w:val="en-IN"/>
        </w:rPr>
        <w:t xml:space="preserve">. Available at: </w:t>
      </w:r>
      <w:hyperlink r:id="rId37" w:history="1">
        <w:r w:rsidRPr="00B5758B">
          <w:rPr>
            <w:rStyle w:val="Hyperlink"/>
            <w:rFonts w:ascii="Times New Roman" w:hAnsi="Times New Roman" w:cs="Times New Roman"/>
            <w:color w:val="auto"/>
            <w:sz w:val="24"/>
            <w:szCs w:val="24"/>
            <w:lang w:val="en-IN"/>
          </w:rPr>
          <w:t>https://www.ukhospitality.org.uk/work/hospitality-workforce-strategy/</w:t>
        </w:r>
      </w:hyperlink>
      <w:r w:rsidRPr="00B5758B">
        <w:rPr>
          <w:rFonts w:ascii="Times New Roman" w:hAnsi="Times New Roman" w:cs="Times New Roman"/>
          <w:sz w:val="24"/>
          <w:szCs w:val="24"/>
          <w:lang w:val="en-IN"/>
        </w:rPr>
        <w:t xml:space="preserve"> (Accessed: 14 June 2025).</w:t>
      </w:r>
    </w:p>
    <w:p w14:paraId="026B4384" w14:textId="77777777" w:rsidR="00B5758B" w:rsidRPr="00B5758B" w:rsidRDefault="00B5758B" w:rsidP="00B5758B">
      <w:pPr>
        <w:widowControl w:val="0"/>
        <w:autoSpaceDE w:val="0"/>
        <w:autoSpaceDN w:val="0"/>
        <w:spacing w:before="100" w:beforeAutospacing="1" w:after="100" w:afterAutospacing="1"/>
        <w:rPr>
          <w:rFonts w:ascii="Times New Roman" w:hAnsi="Times New Roman" w:cs="Times New Roman"/>
          <w:sz w:val="24"/>
          <w:szCs w:val="24"/>
          <w:lang w:val="en-IN"/>
        </w:rPr>
      </w:pPr>
      <w:r w:rsidRPr="00B5758B">
        <w:rPr>
          <w:rFonts w:ascii="Times New Roman" w:hAnsi="Times New Roman" w:cs="Times New Roman"/>
          <w:sz w:val="24"/>
          <w:szCs w:val="24"/>
          <w:lang w:val="en-IN"/>
        </w:rPr>
        <w:t>UKH. (n.d.)</w:t>
      </w:r>
      <w:r w:rsidRPr="00B5758B">
        <w:rPr>
          <w:rFonts w:ascii="Times New Roman" w:hAnsi="Times New Roman" w:cs="Times New Roman"/>
          <w:i/>
          <w:iCs/>
          <w:sz w:val="24"/>
          <w:szCs w:val="24"/>
          <w:lang w:val="en-IN"/>
        </w:rPr>
        <w:t xml:space="preserve"> Hospitality Workforce Strategy</w:t>
      </w:r>
      <w:r w:rsidRPr="00B5758B">
        <w:rPr>
          <w:rFonts w:ascii="Times New Roman" w:hAnsi="Times New Roman" w:cs="Times New Roman"/>
          <w:sz w:val="24"/>
          <w:szCs w:val="24"/>
          <w:lang w:val="en-IN"/>
        </w:rPr>
        <w:t xml:space="preserve">. Available at: </w:t>
      </w:r>
      <w:hyperlink r:id="rId38" w:history="1">
        <w:r w:rsidRPr="00B5758B">
          <w:rPr>
            <w:rStyle w:val="Hyperlink"/>
            <w:rFonts w:ascii="Times New Roman" w:hAnsi="Times New Roman" w:cs="Times New Roman"/>
            <w:color w:val="auto"/>
            <w:sz w:val="24"/>
            <w:szCs w:val="24"/>
            <w:lang w:val="en-IN"/>
          </w:rPr>
          <w:t>https://www.ukhospitality.org.uk/work/hospitality-workforce-strategy/</w:t>
        </w:r>
      </w:hyperlink>
      <w:r w:rsidRPr="00B5758B">
        <w:rPr>
          <w:rFonts w:ascii="Times New Roman" w:hAnsi="Times New Roman" w:cs="Times New Roman"/>
          <w:sz w:val="24"/>
          <w:szCs w:val="24"/>
          <w:lang w:val="en-IN"/>
        </w:rPr>
        <w:t xml:space="preserve"> (Accessed: 14 June 2025).</w:t>
      </w:r>
    </w:p>
    <w:p w14:paraId="6809D247"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Ullah, S., </w:t>
      </w:r>
      <w:proofErr w:type="spellStart"/>
      <w:r w:rsidRPr="00B5758B">
        <w:rPr>
          <w:rFonts w:ascii="Times New Roman" w:hAnsi="Times New Roman" w:cs="Times New Roman"/>
          <w:sz w:val="24"/>
          <w:szCs w:val="24"/>
        </w:rPr>
        <w:t>Xiaopeng</w:t>
      </w:r>
      <w:proofErr w:type="spellEnd"/>
      <w:r w:rsidRPr="00B5758B">
        <w:rPr>
          <w:rFonts w:ascii="Times New Roman" w:hAnsi="Times New Roman" w:cs="Times New Roman"/>
          <w:sz w:val="24"/>
          <w:szCs w:val="24"/>
        </w:rPr>
        <w:t xml:space="preserve">, D., Anbar, D.R., Amaechi, C.V., Oyetunji, A.K., Ashraf, M.W. and Siddiq, M. (2024) ‘Risk identification techniques for international contracting projects by construction professionals using factor analysis’, </w:t>
      </w:r>
      <w:r w:rsidRPr="00B5758B">
        <w:rPr>
          <w:rFonts w:ascii="Times New Roman" w:hAnsi="Times New Roman" w:cs="Times New Roman"/>
          <w:i/>
          <w:sz w:val="24"/>
          <w:szCs w:val="24"/>
        </w:rPr>
        <w:t>Ain Shams Engineering Journal</w:t>
      </w:r>
      <w:r w:rsidRPr="00B5758B">
        <w:rPr>
          <w:rFonts w:ascii="Times New Roman" w:hAnsi="Times New Roman" w:cs="Times New Roman"/>
          <w:sz w:val="24"/>
          <w:szCs w:val="24"/>
        </w:rPr>
        <w:t>, 15(4), p.102655.</w:t>
      </w:r>
    </w:p>
    <w:p w14:paraId="5BD4D7E4"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Weibel, A., </w:t>
      </w:r>
      <w:proofErr w:type="spellStart"/>
      <w:r w:rsidRPr="00B5758B">
        <w:rPr>
          <w:rFonts w:ascii="Times New Roman" w:hAnsi="Times New Roman" w:cs="Times New Roman"/>
          <w:sz w:val="24"/>
          <w:szCs w:val="24"/>
        </w:rPr>
        <w:t>Schafheitle</w:t>
      </w:r>
      <w:proofErr w:type="spellEnd"/>
      <w:r w:rsidRPr="00B5758B">
        <w:rPr>
          <w:rFonts w:ascii="Times New Roman" w:hAnsi="Times New Roman" w:cs="Times New Roman"/>
          <w:sz w:val="24"/>
          <w:szCs w:val="24"/>
        </w:rPr>
        <w:t xml:space="preserve">, S. and Van der Werff, L. (2023) ‘Smart tech is all around us–bridging employee vulnerability with organizational active trust‐building’, </w:t>
      </w:r>
      <w:r w:rsidRPr="00B5758B">
        <w:rPr>
          <w:rFonts w:ascii="Times New Roman" w:hAnsi="Times New Roman" w:cs="Times New Roman"/>
          <w:i/>
          <w:sz w:val="24"/>
          <w:szCs w:val="24"/>
        </w:rPr>
        <w:t>Journal of Management Studies</w:t>
      </w:r>
      <w:r w:rsidRPr="00B5758B">
        <w:rPr>
          <w:rFonts w:ascii="Times New Roman" w:hAnsi="Times New Roman" w:cs="Times New Roman"/>
          <w:sz w:val="24"/>
          <w:szCs w:val="24"/>
        </w:rPr>
        <w:t xml:space="preserve">, pp.1-31. </w:t>
      </w:r>
    </w:p>
    <w:p w14:paraId="0F6B3E77"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Whittington, R. and Molloy E. (2005) </w:t>
      </w:r>
      <w:r w:rsidRPr="00B5758B">
        <w:rPr>
          <w:rFonts w:ascii="Times New Roman" w:hAnsi="Times New Roman" w:cs="Times New Roman"/>
          <w:i/>
          <w:iCs/>
          <w:sz w:val="24"/>
          <w:szCs w:val="24"/>
        </w:rPr>
        <w:t>HR’s role in organisation: shaping change. Research report.</w:t>
      </w:r>
      <w:r w:rsidRPr="00B5758B">
        <w:rPr>
          <w:rFonts w:ascii="Times New Roman" w:hAnsi="Times New Roman" w:cs="Times New Roman"/>
          <w:sz w:val="24"/>
          <w:szCs w:val="24"/>
        </w:rPr>
        <w:t xml:space="preserve"> London: Chartered Institute of Personnel and Development. </w:t>
      </w:r>
    </w:p>
    <w:p w14:paraId="20481FA4"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Whittington, R., </w:t>
      </w:r>
      <w:proofErr w:type="spellStart"/>
      <w:r w:rsidRPr="00B5758B">
        <w:rPr>
          <w:rFonts w:ascii="Times New Roman" w:hAnsi="Times New Roman" w:cs="Times New Roman"/>
          <w:sz w:val="24"/>
          <w:szCs w:val="24"/>
        </w:rPr>
        <w:t>Regnér</w:t>
      </w:r>
      <w:proofErr w:type="spellEnd"/>
      <w:r w:rsidRPr="00B5758B">
        <w:rPr>
          <w:rFonts w:ascii="Times New Roman" w:hAnsi="Times New Roman" w:cs="Times New Roman"/>
          <w:sz w:val="24"/>
          <w:szCs w:val="24"/>
        </w:rPr>
        <w:t xml:space="preserve">, P., Johnson, G., Angwin, D. and Scholes, K. (2020). </w:t>
      </w:r>
      <w:r w:rsidRPr="00B5758B">
        <w:rPr>
          <w:rFonts w:ascii="Times New Roman" w:hAnsi="Times New Roman" w:cs="Times New Roman"/>
          <w:i/>
          <w:sz w:val="24"/>
          <w:szCs w:val="24"/>
        </w:rPr>
        <w:t>Exploring strategy</w:t>
      </w:r>
      <w:r w:rsidRPr="00B5758B">
        <w:rPr>
          <w:rFonts w:ascii="Times New Roman" w:hAnsi="Times New Roman" w:cs="Times New Roman"/>
          <w:sz w:val="24"/>
          <w:szCs w:val="24"/>
        </w:rPr>
        <w:t>. United Kingdom: Pearson.</w:t>
      </w:r>
    </w:p>
    <w:p w14:paraId="09F2AA34" w14:textId="77777777" w:rsidR="00B5758B" w:rsidRPr="00B5758B" w:rsidRDefault="00B5758B" w:rsidP="00B5758B">
      <w:pPr>
        <w:spacing w:before="100" w:beforeAutospacing="1" w:after="100" w:afterAutospacing="1"/>
        <w:rPr>
          <w:rFonts w:ascii="Times New Roman" w:hAnsi="Times New Roman" w:cs="Times New Roman"/>
          <w:sz w:val="24"/>
          <w:szCs w:val="24"/>
        </w:rPr>
      </w:pPr>
      <w:r w:rsidRPr="00B5758B">
        <w:rPr>
          <w:rFonts w:ascii="Times New Roman" w:hAnsi="Times New Roman" w:cs="Times New Roman"/>
          <w:sz w:val="24"/>
          <w:szCs w:val="24"/>
        </w:rPr>
        <w:t xml:space="preserve">Yadav, M. and Rajak, R. (2022) ‘Impact of diversity management practices on learning organization and organizational performance in hotel industry’, </w:t>
      </w:r>
      <w:r w:rsidRPr="00B5758B">
        <w:rPr>
          <w:rFonts w:ascii="Times New Roman" w:hAnsi="Times New Roman" w:cs="Times New Roman"/>
          <w:i/>
          <w:sz w:val="24"/>
          <w:szCs w:val="24"/>
        </w:rPr>
        <w:t>International Journal of System Assurance Engineering and Management</w:t>
      </w:r>
      <w:r w:rsidRPr="00B5758B">
        <w:rPr>
          <w:rFonts w:ascii="Times New Roman" w:hAnsi="Times New Roman" w:cs="Times New Roman"/>
          <w:sz w:val="24"/>
          <w:szCs w:val="24"/>
        </w:rPr>
        <w:t>, 13(</w:t>
      </w:r>
      <w:proofErr w:type="spellStart"/>
      <w:r w:rsidRPr="00B5758B">
        <w:rPr>
          <w:rFonts w:ascii="Times New Roman" w:hAnsi="Times New Roman" w:cs="Times New Roman"/>
          <w:sz w:val="24"/>
          <w:szCs w:val="24"/>
        </w:rPr>
        <w:t>Suppl</w:t>
      </w:r>
      <w:proofErr w:type="spellEnd"/>
      <w:r w:rsidRPr="00B5758B">
        <w:rPr>
          <w:rFonts w:ascii="Times New Roman" w:hAnsi="Times New Roman" w:cs="Times New Roman"/>
          <w:sz w:val="24"/>
          <w:szCs w:val="24"/>
        </w:rPr>
        <w:t xml:space="preserve"> 1), pp.81-91.</w:t>
      </w:r>
    </w:p>
    <w:p w14:paraId="40E78EC2" w14:textId="77777777" w:rsidR="007950E5" w:rsidRPr="00B5758B" w:rsidRDefault="007950E5">
      <w:pPr>
        <w:rPr>
          <w:rFonts w:ascii="Times New Roman" w:hAnsi="Times New Roman" w:cs="Times New Roman"/>
          <w:sz w:val="24"/>
          <w:szCs w:val="24"/>
        </w:rPr>
      </w:pPr>
    </w:p>
    <w:sectPr w:rsidR="007950E5" w:rsidRPr="00B575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42F78"/>
    <w:multiLevelType w:val="multilevel"/>
    <w:tmpl w:val="703AEE7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74767E5"/>
    <w:multiLevelType w:val="multilevel"/>
    <w:tmpl w:val="27DEB33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0F001322"/>
    <w:multiLevelType w:val="multilevel"/>
    <w:tmpl w:val="5F5E132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141B02A0"/>
    <w:multiLevelType w:val="hybridMultilevel"/>
    <w:tmpl w:val="C218C3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92F4EBA"/>
    <w:multiLevelType w:val="multilevel"/>
    <w:tmpl w:val="F4E81FB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321160C7"/>
    <w:multiLevelType w:val="multilevel"/>
    <w:tmpl w:val="E482EFF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34D51445"/>
    <w:multiLevelType w:val="hybridMultilevel"/>
    <w:tmpl w:val="83524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7B2F09"/>
    <w:multiLevelType w:val="multilevel"/>
    <w:tmpl w:val="4D66D50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3CD7535B"/>
    <w:multiLevelType w:val="hybridMultilevel"/>
    <w:tmpl w:val="271A70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DCD1A86"/>
    <w:multiLevelType w:val="multilevel"/>
    <w:tmpl w:val="9A5C527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0" w15:restartNumberingAfterBreak="0">
    <w:nsid w:val="452A316E"/>
    <w:multiLevelType w:val="multilevel"/>
    <w:tmpl w:val="FEEC46A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1" w15:restartNumberingAfterBreak="0">
    <w:nsid w:val="476D51C8"/>
    <w:multiLevelType w:val="multilevel"/>
    <w:tmpl w:val="33A0E6B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2" w15:restartNumberingAfterBreak="0">
    <w:nsid w:val="51CA76AA"/>
    <w:multiLevelType w:val="hybridMultilevel"/>
    <w:tmpl w:val="311C84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5F72956"/>
    <w:multiLevelType w:val="multilevel"/>
    <w:tmpl w:val="E9864AF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4" w15:restartNumberingAfterBreak="0">
    <w:nsid w:val="64915065"/>
    <w:multiLevelType w:val="multilevel"/>
    <w:tmpl w:val="014C18D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5" w15:restartNumberingAfterBreak="0">
    <w:nsid w:val="670625B2"/>
    <w:multiLevelType w:val="hybridMultilevel"/>
    <w:tmpl w:val="A3D6D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7F5808"/>
    <w:multiLevelType w:val="multilevel"/>
    <w:tmpl w:val="CB26109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7" w15:restartNumberingAfterBreak="0">
    <w:nsid w:val="72476C3E"/>
    <w:multiLevelType w:val="multilevel"/>
    <w:tmpl w:val="939C528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7B47313D"/>
    <w:multiLevelType w:val="hybridMultilevel"/>
    <w:tmpl w:val="57909C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56306175">
    <w:abstractNumId w:val="13"/>
  </w:num>
  <w:num w:numId="2" w16cid:durableId="668869480">
    <w:abstractNumId w:val="1"/>
  </w:num>
  <w:num w:numId="3" w16cid:durableId="842279397">
    <w:abstractNumId w:val="4"/>
  </w:num>
  <w:num w:numId="4" w16cid:durableId="1604723800">
    <w:abstractNumId w:val="0"/>
  </w:num>
  <w:num w:numId="5" w16cid:durableId="910431792">
    <w:abstractNumId w:val="9"/>
  </w:num>
  <w:num w:numId="6" w16cid:durableId="1564950660">
    <w:abstractNumId w:val="5"/>
  </w:num>
  <w:num w:numId="7" w16cid:durableId="696203615">
    <w:abstractNumId w:val="11"/>
  </w:num>
  <w:num w:numId="8" w16cid:durableId="2122609849">
    <w:abstractNumId w:val="7"/>
  </w:num>
  <w:num w:numId="9" w16cid:durableId="385765410">
    <w:abstractNumId w:val="2"/>
  </w:num>
  <w:num w:numId="10" w16cid:durableId="249386736">
    <w:abstractNumId w:val="14"/>
  </w:num>
  <w:num w:numId="11" w16cid:durableId="1453547987">
    <w:abstractNumId w:val="16"/>
  </w:num>
  <w:num w:numId="12" w16cid:durableId="664286444">
    <w:abstractNumId w:val="10"/>
  </w:num>
  <w:num w:numId="13" w16cid:durableId="93555217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214536285">
    <w:abstractNumId w:val="17"/>
  </w:num>
  <w:num w:numId="15" w16cid:durableId="1131173860">
    <w:abstractNumId w:val="3"/>
  </w:num>
  <w:num w:numId="16" w16cid:durableId="891040756">
    <w:abstractNumId w:val="12"/>
  </w:num>
  <w:num w:numId="17" w16cid:durableId="1725132902">
    <w:abstractNumId w:val="8"/>
  </w:num>
  <w:num w:numId="18" w16cid:durableId="1813327233">
    <w:abstractNumId w:val="18"/>
  </w:num>
  <w:num w:numId="19" w16cid:durableId="33426416">
    <w:abstractNumId w:val="6"/>
  </w:num>
  <w:num w:numId="20" w16cid:durableId="2743627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979"/>
    <w:rsid w:val="00266C55"/>
    <w:rsid w:val="00322F19"/>
    <w:rsid w:val="0047211C"/>
    <w:rsid w:val="004D7B5E"/>
    <w:rsid w:val="007843DB"/>
    <w:rsid w:val="007950E5"/>
    <w:rsid w:val="00907E71"/>
    <w:rsid w:val="00970652"/>
    <w:rsid w:val="00B14301"/>
    <w:rsid w:val="00B5758B"/>
    <w:rsid w:val="00BD7979"/>
    <w:rsid w:val="00D85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E0641"/>
  <w15:chartTrackingRefBased/>
  <w15:docId w15:val="{273BBCCA-3734-483D-B726-D20CACCFA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9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79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D79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9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9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9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9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9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9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9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79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D79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79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79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79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9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9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979"/>
    <w:rPr>
      <w:rFonts w:eastAsiaTheme="majorEastAsia" w:cstheme="majorBidi"/>
      <w:color w:val="272727" w:themeColor="text1" w:themeTint="D8"/>
    </w:rPr>
  </w:style>
  <w:style w:type="paragraph" w:styleId="Title">
    <w:name w:val="Title"/>
    <w:basedOn w:val="Normal"/>
    <w:next w:val="Normal"/>
    <w:link w:val="TitleChar"/>
    <w:uiPriority w:val="10"/>
    <w:qFormat/>
    <w:rsid w:val="00BD79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9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9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9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979"/>
    <w:pPr>
      <w:spacing w:before="160"/>
      <w:jc w:val="center"/>
    </w:pPr>
    <w:rPr>
      <w:i/>
      <w:iCs/>
      <w:color w:val="404040" w:themeColor="text1" w:themeTint="BF"/>
    </w:rPr>
  </w:style>
  <w:style w:type="character" w:customStyle="1" w:styleId="QuoteChar">
    <w:name w:val="Quote Char"/>
    <w:basedOn w:val="DefaultParagraphFont"/>
    <w:link w:val="Quote"/>
    <w:uiPriority w:val="29"/>
    <w:rsid w:val="00BD7979"/>
    <w:rPr>
      <w:i/>
      <w:iCs/>
      <w:color w:val="404040" w:themeColor="text1" w:themeTint="BF"/>
    </w:rPr>
  </w:style>
  <w:style w:type="paragraph" w:styleId="ListParagraph">
    <w:name w:val="List Paragraph"/>
    <w:basedOn w:val="Normal"/>
    <w:uiPriority w:val="34"/>
    <w:qFormat/>
    <w:rsid w:val="00BD7979"/>
    <w:pPr>
      <w:ind w:left="720"/>
      <w:contextualSpacing/>
    </w:pPr>
  </w:style>
  <w:style w:type="character" w:styleId="IntenseEmphasis">
    <w:name w:val="Intense Emphasis"/>
    <w:basedOn w:val="DefaultParagraphFont"/>
    <w:uiPriority w:val="21"/>
    <w:qFormat/>
    <w:rsid w:val="00BD7979"/>
    <w:rPr>
      <w:i/>
      <w:iCs/>
      <w:color w:val="0F4761" w:themeColor="accent1" w:themeShade="BF"/>
    </w:rPr>
  </w:style>
  <w:style w:type="paragraph" w:styleId="IntenseQuote">
    <w:name w:val="Intense Quote"/>
    <w:basedOn w:val="Normal"/>
    <w:next w:val="Normal"/>
    <w:link w:val="IntenseQuoteChar"/>
    <w:uiPriority w:val="30"/>
    <w:qFormat/>
    <w:rsid w:val="00BD79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979"/>
    <w:rPr>
      <w:i/>
      <w:iCs/>
      <w:color w:val="0F4761" w:themeColor="accent1" w:themeShade="BF"/>
    </w:rPr>
  </w:style>
  <w:style w:type="character" w:styleId="IntenseReference">
    <w:name w:val="Intense Reference"/>
    <w:basedOn w:val="DefaultParagraphFont"/>
    <w:uiPriority w:val="32"/>
    <w:qFormat/>
    <w:rsid w:val="00BD7979"/>
    <w:rPr>
      <w:b/>
      <w:bCs/>
      <w:smallCaps/>
      <w:color w:val="0F4761" w:themeColor="accent1" w:themeShade="BF"/>
      <w:spacing w:val="5"/>
    </w:rPr>
  </w:style>
  <w:style w:type="character" w:styleId="Hyperlink">
    <w:name w:val="Hyperlink"/>
    <w:basedOn w:val="DefaultParagraphFont"/>
    <w:uiPriority w:val="99"/>
    <w:unhideWhenUsed/>
    <w:rsid w:val="00BD7979"/>
    <w:rPr>
      <w:color w:val="467886" w:themeColor="hyperlink"/>
      <w:u w:val="single"/>
    </w:rPr>
  </w:style>
  <w:style w:type="character" w:styleId="UnresolvedMention">
    <w:name w:val="Unresolved Mention"/>
    <w:basedOn w:val="DefaultParagraphFont"/>
    <w:uiPriority w:val="99"/>
    <w:semiHidden/>
    <w:unhideWhenUsed/>
    <w:rsid w:val="00BD7979"/>
    <w:rPr>
      <w:color w:val="605E5C"/>
      <w:shd w:val="clear" w:color="auto" w:fill="E1DFDD"/>
    </w:rPr>
  </w:style>
  <w:style w:type="paragraph" w:styleId="TOC1">
    <w:name w:val="toc 1"/>
    <w:basedOn w:val="Normal"/>
    <w:next w:val="Normal"/>
    <w:autoRedefine/>
    <w:uiPriority w:val="39"/>
    <w:unhideWhenUsed/>
    <w:rsid w:val="00B5758B"/>
    <w:pPr>
      <w:spacing w:after="100" w:line="360" w:lineRule="auto"/>
      <w:jc w:val="both"/>
    </w:pPr>
    <w:rPr>
      <w:rFonts w:ascii="Times New Roman" w:eastAsia="Times New Roman" w:hAnsi="Times New Roman" w:cs="Times New Roman"/>
      <w:color w:val="000000" w:themeColor="text1"/>
      <w:sz w:val="24"/>
      <w:szCs w:val="24"/>
      <w:lang w:eastAsia="en-IN"/>
    </w:rPr>
  </w:style>
  <w:style w:type="paragraph" w:styleId="TOC3">
    <w:name w:val="toc 3"/>
    <w:basedOn w:val="Normal"/>
    <w:next w:val="Normal"/>
    <w:autoRedefine/>
    <w:uiPriority w:val="39"/>
    <w:unhideWhenUsed/>
    <w:rsid w:val="00B5758B"/>
    <w:pPr>
      <w:spacing w:after="100" w:line="360" w:lineRule="auto"/>
      <w:ind w:left="480"/>
      <w:jc w:val="both"/>
    </w:pPr>
    <w:rPr>
      <w:rFonts w:ascii="Times New Roman" w:eastAsia="Times New Roman" w:hAnsi="Times New Roman" w:cs="Times New Roman"/>
      <w:color w:val="000000" w:themeColor="text1"/>
      <w:sz w:val="24"/>
      <w:szCs w:val="24"/>
      <w:lang w:eastAsia="en-IN"/>
    </w:rPr>
  </w:style>
  <w:style w:type="table" w:styleId="TableGrid">
    <w:name w:val="Table Grid"/>
    <w:basedOn w:val="TableNormal"/>
    <w:uiPriority w:val="39"/>
    <w:rsid w:val="00B5758B"/>
    <w:pPr>
      <w:spacing w:after="0" w:line="240" w:lineRule="auto"/>
      <w:jc w:val="both"/>
    </w:pPr>
    <w:rPr>
      <w:rFonts w:ascii="Times New Roman" w:eastAsia="Times New Roman" w:hAnsi="Times New Roman" w:cs="Times New Roman"/>
      <w:sz w:val="24"/>
      <w:szCs w:val="24"/>
      <w:lang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5758B"/>
    <w:pPr>
      <w:spacing w:after="100" w:line="360" w:lineRule="auto"/>
      <w:ind w:left="240"/>
      <w:jc w:val="both"/>
    </w:pPr>
    <w:rPr>
      <w:rFonts w:ascii="Times New Roman" w:eastAsia="Times New Roman" w:hAnsi="Times New Roman" w:cs="Times New Roman"/>
      <w:color w:val="000000" w:themeColor="text1"/>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6885295">
      <w:bodyDiv w:val="1"/>
      <w:marLeft w:val="0"/>
      <w:marRight w:val="0"/>
      <w:marTop w:val="0"/>
      <w:marBottom w:val="0"/>
      <w:divBdr>
        <w:top w:val="none" w:sz="0" w:space="0" w:color="auto"/>
        <w:left w:val="none" w:sz="0" w:space="0" w:color="auto"/>
        <w:bottom w:val="none" w:sz="0" w:space="0" w:color="auto"/>
        <w:right w:val="none" w:sz="0" w:space="0" w:color="auto"/>
      </w:divBdr>
    </w:div>
    <w:div w:id="710497862">
      <w:bodyDiv w:val="1"/>
      <w:marLeft w:val="0"/>
      <w:marRight w:val="0"/>
      <w:marTop w:val="0"/>
      <w:marBottom w:val="0"/>
      <w:divBdr>
        <w:top w:val="none" w:sz="0" w:space="0" w:color="auto"/>
        <w:left w:val="none" w:sz="0" w:space="0" w:color="auto"/>
        <w:bottom w:val="none" w:sz="0" w:space="0" w:color="auto"/>
        <w:right w:val="none" w:sz="0" w:space="0" w:color="auto"/>
      </w:divBdr>
    </w:div>
    <w:div w:id="792290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igitalleadership.com/unite/lewins-change-model/" TargetMode="External"/><Relationship Id="rId26" Type="http://schemas.openxmlformats.org/officeDocument/2006/relationships/hyperlink" Target="https://www.hoteldive.com/news/mandarin-oriental-miami-closes-redevelopment/745211/" TargetMode="External"/><Relationship Id="rId39" Type="http://schemas.openxmlformats.org/officeDocument/2006/relationships/fontTable" Target="fontTable.xml"/><Relationship Id="rId21" Type="http://schemas.openxmlformats.org/officeDocument/2006/relationships/hyperlink" Target="https://www.legislation.gov.uk/ukpga/1996/18/contents" TargetMode="External"/><Relationship Id="rId34" Type="http://schemas.openxmlformats.org/officeDocument/2006/relationships/hyperlink" Target="https://www.bizjournals.com/southflorida/news/2025/04/04/mandarin-oriental-miami-closing-laysoffs-brickell.html" TargetMode="External"/><Relationship Id="rId7" Type="http://schemas.openxmlformats.org/officeDocument/2006/relationships/image" Target="media/image2.png"/><Relationship Id="rId12" Type="http://schemas.microsoft.com/office/2007/relationships/hdphoto" Target="media/hdphoto1.wdp"/><Relationship Id="rId17" Type="http://schemas.openxmlformats.org/officeDocument/2006/relationships/hyperlink" Target="https://www.connectcre.com/stories/miami-mandarin-oriental-hotel-closing-condo-hotel-on-way/" TargetMode="External"/><Relationship Id="rId25" Type="http://schemas.openxmlformats.org/officeDocument/2006/relationships/hyperlink" Target="https://www.hoteldive.com/news/mandarin-oriental-miami-closes-redevelopment/745211/" TargetMode="External"/><Relationship Id="rId33" Type="http://schemas.openxmlformats.org/officeDocument/2006/relationships/hyperlink" Target="https://www.miamiherald.com/living/travel/article306263856.html" TargetMode="External"/><Relationship Id="rId38" Type="http://schemas.openxmlformats.org/officeDocument/2006/relationships/hyperlink" Target="https://www.ukhospitality.org.uk/work/hospitality-workforce-strategy/" TargetMode="External"/><Relationship Id="rId2" Type="http://schemas.openxmlformats.org/officeDocument/2006/relationships/numbering" Target="numbering.xml"/><Relationship Id="rId16" Type="http://schemas.openxmlformats.org/officeDocument/2006/relationships/hyperlink" Target="https://www.businesstraveller.com/business-travel/2024/12/28/mandarin-oriental-miami-to-be-demolished-to-make-way-for-new-development/" TargetMode="External"/><Relationship Id="rId20" Type="http://schemas.openxmlformats.org/officeDocument/2006/relationships/hyperlink" Target="https://www.strategyzer.com/library/implementing-your-business-model-with-the-galbraith-star-model" TargetMode="External"/><Relationship Id="rId29" Type="http://schemas.openxmlformats.org/officeDocument/2006/relationships/hyperlink" Target="https://www.mandarinoriental.com/en/miami/brickell-key/galler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mandarinoriental.com/en" TargetMode="External"/><Relationship Id="rId32" Type="http://schemas.openxmlformats.org/officeDocument/2006/relationships/hyperlink" Target="https://www.bbc.co.uk/news/articles/cpwz9kl12l1o" TargetMode="External"/><Relationship Id="rId37" Type="http://schemas.openxmlformats.org/officeDocument/2006/relationships/hyperlink" Target="https://www.ukhospitality.org.uk/work/hospitality-workforce-strategy/"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star.com/article/549538965/layoffs-at-miamis-mandarin-oriental-herald-high-profile-hotels-demolition" TargetMode="External"/><Relationship Id="rId23" Type="http://schemas.openxmlformats.org/officeDocument/2006/relationships/hyperlink" Target="https://www.mandarinoriental.com/en/our-company/sustainability" TargetMode="External"/><Relationship Id="rId28" Type="http://schemas.openxmlformats.org/officeDocument/2006/relationships/hyperlink" Target="https://www.mandarinoriental.com/en/our-company/our-vision" TargetMode="External"/><Relationship Id="rId36" Type="http://schemas.openxmlformats.org/officeDocument/2006/relationships/hyperlink" Target="https://www.dol.gov/agencies/eta/layoffs/warn" TargetMode="External"/><Relationship Id="rId10" Type="http://schemas.openxmlformats.org/officeDocument/2006/relationships/image" Target="media/image5.png"/><Relationship Id="rId19" Type="http://schemas.openxmlformats.org/officeDocument/2006/relationships/hyperlink" Target="https://www.forbes.com/sites/shephyken/2024/04/14/the-personalized-customer-experience-customers-want-you-to-know-them/" TargetMode="External"/><Relationship Id="rId31" Type="http://schemas.openxmlformats.org/officeDocument/2006/relationships/hyperlink" Target="https://floridayimby.com/2024/11/construction-timeline-unveiled-for-the-residences-at-mandarin-oriental-miami-on-brickell-key.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amazingarchitecture.com/articles/out-with-the-old-the-residences-at-mandarin-oriental-miami" TargetMode="External"/><Relationship Id="rId22" Type="http://schemas.openxmlformats.org/officeDocument/2006/relationships/hyperlink" Target="https://www.mandarinoriental.com/en" TargetMode="External"/><Relationship Id="rId27" Type="http://schemas.openxmlformats.org/officeDocument/2006/relationships/hyperlink" Target="https://www.mandarinoriental.com/en/miami/brickell-key" TargetMode="External"/><Relationship Id="rId30" Type="http://schemas.openxmlformats.org/officeDocument/2006/relationships/hyperlink" Target="https://www.newsbreak.com/akeena-1857977/3729551172010-iconic-florida-hotel-closing-doors-transitioning-to-two-new-tower-developments" TargetMode="External"/><Relationship Id="rId35" Type="http://schemas.openxmlformats.org/officeDocument/2006/relationships/hyperlink" Target="https://www.thenextmiami.com/brickells-mandarin-oriental-closing-soon-to-make-way-for-850-foot-tower/"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6B39BF-5C69-468C-B2AA-5E8AB018A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32</Pages>
  <Words>8650</Words>
  <Characters>49309</Characters>
  <Application>Microsoft Office Word</Application>
  <DocSecurity>0</DocSecurity>
  <Lines>410</Lines>
  <Paragraphs>115</Paragraphs>
  <ScaleCrop>false</ScaleCrop>
  <Company/>
  <LinksUpToDate>false</LinksUpToDate>
  <CharactersWithSpaces>57844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 (2239004)</dc:creator>
  <cp:keywords/>
  <dc:description/>
  <cp:lastModifiedBy>Flavia Nanu</cp:lastModifiedBy>
  <cp:revision>5</cp:revision>
  <dcterms:created xsi:type="dcterms:W3CDTF">2025-05-15T08:33:00Z</dcterms:created>
  <dcterms:modified xsi:type="dcterms:W3CDTF">2025-06-19T08:42:00Z</dcterms:modified>
</cp:coreProperties>
</file>