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4.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media/image1.png" ContentType="image/png"/>
  <Override PartName="/word/theme/theme1.xml" ContentType="application/vnd.openxmlformats-officedocument.theme+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footer3.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tabs>
          <w:tab w:val="clear" w:pos="4153"/>
          <w:tab w:val="clear" w:pos="8306"/>
        </w:tabs>
        <w:jc w:val="right"/>
        <w:rPr>
          <w:rFonts w:ascii="Arial" w:hAnsi="Arial" w:cs="Arial"/>
          <w:b/>
          <w:sz w:val="28"/>
          <w:szCs w:val="28"/>
        </w:rPr>
      </w:pPr>
      <w:r>
        <w:drawing>
          <wp:anchor behindDoc="0" distT="0" distB="0" distL="0" distR="114300" simplePos="0" locked="0" layoutInCell="0"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type="textWrapping" w:clear="all"/>
      </w:r>
      <w:r>
        <w:rPr>
          <w:rFonts w:cs="Arial" w:ascii="Arial" w:hAnsi="Arial"/>
          <w:b/>
          <w:sz w:val="28"/>
          <w:szCs w:val="28"/>
        </w:rPr>
        <w:t>APPENDIX GA36b</w:t>
      </w:r>
    </w:p>
    <w:p>
      <w:pPr>
        <w:pStyle w:val="Normal"/>
        <w:rPr>
          <w:rFonts w:ascii="Arial" w:hAnsi="Arial" w:cs="Arial"/>
        </w:rPr>
      </w:pPr>
      <w:r>
        <w:rPr>
          <w:rFonts w:cs="Arial" w:ascii="Arial" w:hAnsi="Arial"/>
        </w:rPr>
      </w:r>
    </w:p>
    <w:tbl>
      <w:tblPr>
        <w:tblW w:w="9922"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C0C0C0" w:val="clear"/>
          </w:tcPr>
          <w:p>
            <w:pPr>
              <w:pStyle w:val="Heading4"/>
              <w:spacing w:before="120" w:after="120"/>
              <w:rPr>
                <w:rFonts w:ascii="Arial" w:hAnsi="Arial" w:cs="Arial"/>
                <w:b/>
              </w:rPr>
            </w:pPr>
            <w:r>
              <w:rPr>
                <w:rFonts w:cs="Arial" w:ascii="Arial" w:hAnsi="Arial"/>
                <w:b/>
              </w:rPr>
              <w:t>LEVEL 5 ASSESSMENT SPECIFICATION</w:t>
            </w:r>
          </w:p>
        </w:tc>
      </w:tr>
    </w:tbl>
    <w:p>
      <w:pPr>
        <w:pStyle w:val="Normal"/>
        <w:jc w:val="center"/>
        <w:rPr>
          <w:rFonts w:ascii="Arial" w:hAnsi="Arial" w:cs="Arial"/>
          <w:b/>
          <w:i/>
          <w:i/>
          <w:sz w:val="32"/>
        </w:rPr>
      </w:pPr>
      <w:r>
        <w:rPr>
          <w:rFonts w:cs="Arial" w:ascii="Arial" w:hAnsi="Arial"/>
          <w:b/>
          <w:i/>
          <w:sz w:val="32"/>
        </w:rPr>
      </w:r>
    </w:p>
    <w:tbl>
      <w:tblPr>
        <w:tblW w:w="9922"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2092"/>
        <w:gridCol w:w="3293"/>
        <w:gridCol w:w="2268"/>
        <w:gridCol w:w="2268"/>
      </w:tblGrid>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fldChar w:fldCharType="begin">
                <w:ffData>
                  <w:name w:val="Text2"/>
                  <w:enabled/>
                  <w:calcOnExit w:val="0"/>
                  <w:textInput/>
                </w:ffData>
              </w:fldChar>
            </w:r>
            <w:r>
              <w:rPr>
                <w:sz w:val="22"/>
                <w:szCs w:val="22"/>
                <w:rFonts w:ascii="Arial" w:hAnsi="Arial"/>
              </w:rPr>
              <w:instrText xml:space="preserve"> FORMTEXT </w:instrText>
            </w:r>
            <w:r>
              <w:rPr>
                <w:rFonts w:ascii="Arial" w:hAnsi="Arial"/>
                <w:sz w:val="22"/>
                <w:szCs w:val="22"/>
              </w:rPr>
            </w:r>
            <w:r>
              <w:rPr>
                <w:sz w:val="22"/>
                <w:szCs w:val="22"/>
                <w:rFonts w:ascii="Arial" w:hAnsi="Arial"/>
              </w:rPr>
              <w:fldChar w:fldCharType="separate"/>
            </w:r>
            <w:r>
              <w:rPr>
                <w:rFonts w:ascii="Arial" w:hAnsi="Arial"/>
                <w:sz w:val="22"/>
                <w:szCs w:val="22"/>
              </w:rPr>
            </w:r>
            <w:r>
              <w:rPr>
                <w:rFonts w:cs="Arial" w:ascii="Arial" w:hAnsi="Arial"/>
                <w:b/>
                <w:sz w:val="22"/>
                <w:szCs w:val="22"/>
              </w:rPr>
              <w:t>     </w:t>
            </w:r>
            <w:r/>
            <w:r>
              <w:rPr>
                <w:sz w:val="22"/>
                <w:szCs w:val="22"/>
                <w:rFonts w:ascii="Arial" w:hAnsi="Arial"/>
              </w:rPr>
              <w:fldChar w:fldCharType="end"/>
            </w:r>
            <w:r>
              <w:rPr>
                <w:rFonts w:ascii="Arial" w:hAnsi="Arial"/>
                <w:sz w:val="22"/>
                <w:szCs w:val="22"/>
              </w:rPr>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HPHI5009</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Heading2"/>
              <w:rPr>
                <w:rFonts w:ascii="Arial" w:hAnsi="Arial" w:cs="Arial"/>
                <w:sz w:val="22"/>
                <w:szCs w:val="22"/>
              </w:rPr>
            </w:pPr>
            <w:r>
              <w:rPr>
                <w:rFonts w:cs="Arial"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25%</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Katie Hawks</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Portfolio part 1: commentary on a textual extract</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1250</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2 March 2025</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16 March</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sz w:val="22"/>
                <w:szCs w:val="22"/>
              </w:rPr>
            </w:pPr>
            <w:r>
              <w:rPr>
                <w:rFonts w:cs="Arial" w:ascii="Arial" w:hAnsi="Arial"/>
                <w:b/>
                <w:sz w:val="22"/>
                <w:szCs w:val="22"/>
              </w:rPr>
              <w:t>Alternative submission method (if applicable):</w:t>
            </w:r>
          </w:p>
          <w:p>
            <w:pPr>
              <w:pStyle w:val="Normal"/>
              <w:spacing w:before="120" w:after="120"/>
              <w:jc w:val="both"/>
              <w:rPr>
                <w:rFonts w:ascii="Arial" w:hAnsi="Arial" w:cs="Arial"/>
                <w:b/>
                <w:sz w:val="22"/>
                <w:szCs w:val="22"/>
              </w:rPr>
            </w:pPr>
            <w:r>
              <w:rPr>
                <w:rFonts w:cs="Arial" w:ascii="Arial" w:hAnsi="Arial"/>
                <w:b/>
                <w:sz w:val="22"/>
                <w:szCs w:val="22"/>
              </w:rPr>
              <w:t>Late submission of the assessment will result in a late penalty mark:</w:t>
            </w:r>
          </w:p>
          <w:p>
            <w:pPr>
              <w:pStyle w:val="Normal"/>
              <w:spacing w:before="120" w:after="120"/>
              <w:jc w:val="both"/>
              <w:rPr>
                <w:rFonts w:ascii="Arial" w:hAnsi="Arial" w:cs="Arial"/>
                <w:sz w:val="22"/>
                <w:szCs w:val="22"/>
              </w:rPr>
            </w:pPr>
            <w:r>
              <w:rPr>
                <w:rFonts w:cs="Arial" w:ascii="Arial" w:hAnsi="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pPr>
              <w:pStyle w:val="Normal"/>
              <w:spacing w:before="120" w:after="120"/>
              <w:jc w:val="both"/>
              <w:rPr>
                <w:rFonts w:ascii="Arial" w:hAnsi="Arial" w:cs="Arial"/>
                <w:b/>
                <w:sz w:val="22"/>
                <w:szCs w:val="22"/>
              </w:rPr>
            </w:pPr>
            <w:r>
              <w:rPr>
                <w:rFonts w:cs="Arial" w:ascii="Arial" w:hAnsi="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rPr>
                <w:rFonts w:ascii="Arial" w:hAnsi="Arial" w:cs="Arial"/>
                <w:b/>
                <w:sz w:val="22"/>
                <w:szCs w:val="22"/>
              </w:rPr>
            </w:pPr>
            <w:r>
              <w:rPr>
                <w:rFonts w:cs="Arial" w:ascii="Arial" w:hAnsi="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sz w:val="22"/>
                <w:szCs w:val="22"/>
              </w:rPr>
            </w:pPr>
            <w:r>
              <w:rPr>
                <w:rFonts w:cs="Arial" w:ascii="Arial" w:hAnsi="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spacing w:before="0" w:after="0"/>
        <w:rPr>
          <w:rFonts w:ascii="Arial" w:hAnsi="Arial" w:cs="Arial"/>
          <w:sz w:val="32"/>
        </w:rPr>
      </w:pPr>
      <w:r>
        <w:rPr>
          <w:rFonts w:cs="Arial" w:ascii="Arial" w:hAnsi="Arial"/>
          <w:sz w:val="32"/>
        </w:rPr>
      </w:r>
    </w:p>
    <w:tbl>
      <w:tblPr>
        <w:tblW w:w="9747"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color="auto" w:fill="auto" w:val="pct10"/>
          </w:tcPr>
          <w:p>
            <w:pPr>
              <w:pStyle w:val="Normal"/>
              <w:rPr>
                <w:rFonts w:ascii="Arial" w:hAnsi="Arial" w:cs="Arial"/>
                <w:b/>
                <w:sz w:val="22"/>
                <w:szCs w:val="22"/>
              </w:rPr>
            </w:pPr>
            <w:r>
              <w:rPr>
                <w:rFonts w:cs="Arial" w:ascii="Arial" w:hAnsi="Arial"/>
                <w:b/>
                <w:sz w:val="22"/>
                <w:szCs w:val="22"/>
              </w:rPr>
              <w:t>Module Learning Outcomes</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tbl>
      <w:tblPr>
        <w:tblW w:w="9781"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0"/>
              <w:left w:val="single" w:sz="4" w:space="0" w:color="000000"/>
              <w:bottom w:val="single" w:sz="4" w:space="0" w:color="000000"/>
              <w:right w:val="single" w:sz="4" w:space="0" w:color="000000"/>
            </w:tcBorders>
            <w:shd w:color="auto" w:fill="C0C0C0" w:val="clear"/>
          </w:tcPr>
          <w:p>
            <w:pPr>
              <w:pStyle w:val="Normal"/>
              <w:jc w:val="center"/>
              <w:rPr>
                <w:rFonts w:ascii="Arial" w:hAnsi="Arial" w:cs="Arial"/>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sz w:val="22"/>
          <w:szCs w:val="22"/>
        </w:rPr>
      </w:r>
    </w:p>
    <w:p>
      <w:pPr>
        <w:pStyle w:val="Heading2"/>
        <w:ind w:firstLine="142" w:left="567"/>
        <w:rPr>
          <w:i/>
          <w:i/>
          <w:iCs/>
        </w:rPr>
      </w:pPr>
      <w:r>
        <w:rPr>
          <w:rFonts w:cs="Arial" w:ascii="Arial" w:hAnsi="Arial"/>
          <w:i/>
          <w:iCs/>
          <w:sz w:val="22"/>
          <w:szCs w:val="22"/>
        </w:rPr>
        <w:t>See separate document for materials</w:t>
      </w:r>
    </w:p>
    <w:p>
      <w:pPr>
        <w:pStyle w:val="Normal"/>
        <w:ind w:firstLine="142" w:left="567"/>
        <w:rPr>
          <w:rFonts w:ascii="Arial" w:hAnsi="Arial" w:cs="Arial"/>
          <w:sz w:val="22"/>
          <w:szCs w:val="22"/>
        </w:rPr>
      </w:pPr>
      <w:r>
        <w:rPr>
          <w:rFonts w:cs="Arial" w:ascii="Arial" w:hAnsi="Arial"/>
          <w:sz w:val="22"/>
          <w:szCs w:val="22"/>
        </w:rPr>
      </w:r>
    </w:p>
    <w:p>
      <w:pPr>
        <w:pStyle w:val="Heading2"/>
        <w:ind w:firstLine="142" w:left="567"/>
        <w:rPr>
          <w:rFonts w:ascii="Arial" w:hAnsi="Arial" w:cs="Arial"/>
          <w:sz w:val="22"/>
          <w:szCs w:val="22"/>
        </w:rPr>
      </w:pPr>
      <w:r>
        <w:rPr>
          <w:rFonts w:cs="Arial" w:ascii="Arial" w:hAnsi="Arial"/>
          <w:sz w:val="22"/>
          <w:szCs w:val="22"/>
        </w:rPr>
        <w:t>Use of Generative AI in Assessment</w:t>
      </w:r>
    </w:p>
    <w:p>
      <w:pPr>
        <w:pStyle w:val="Normal"/>
        <w:rPr>
          <w:rFonts w:ascii="Arial" w:hAnsi="Arial" w:cs="Arial"/>
          <w:sz w:val="22"/>
          <w:szCs w:val="22"/>
        </w:rPr>
      </w:pPr>
      <w:r>
        <w:rPr/>
        <w:tab/>
      </w:r>
      <w:r>
        <w:rPr>
          <w:rFonts w:cs="Arial" w:ascii="Arial" w:hAnsi="Arial"/>
          <w:sz w:val="22"/>
          <w:szCs w:val="22"/>
        </w:rPr>
        <w:t>(Lecturer to indicate Yes or Not against each element)</w:t>
      </w:r>
    </w:p>
    <w:p>
      <w:pPr>
        <w:pStyle w:val="Normal"/>
        <w:rPr>
          <w:rFonts w:eastAsia="Calibri"/>
        </w:rPr>
      </w:pPr>
      <w:r>
        <w:rPr>
          <w:rFonts w:eastAsia="Calibri"/>
        </w:rPr>
        <w:tab/>
        <w:tab/>
        <w:tab/>
        <w:tab/>
        <w:tab/>
        <w:tab/>
        <w:tab/>
        <w:tab/>
        <w:tab/>
        <w:tab/>
        <w:tab/>
        <w:tab/>
      </w:r>
    </w:p>
    <w:p>
      <w:pPr>
        <w:pStyle w:val="Normal"/>
        <w:rPr>
          <w:rFonts w:eastAsia="Calibri"/>
        </w:rPr>
      </w:pPr>
      <w:r>
        <w:rPr>
          <w:rFonts w:eastAsia="Calibri"/>
        </w:rPr>
      </w:r>
    </w:p>
    <w:tbl>
      <w:tblPr>
        <w:tblStyle w:val="TableGrid"/>
        <w:tblW w:w="9064" w:type="dxa"/>
        <w:jc w:val="left"/>
        <w:tblInd w:w="608" w:type="dxa"/>
        <w:tblLayout w:type="fixed"/>
        <w:tblCellMar>
          <w:top w:w="0" w:type="dxa"/>
          <w:left w:w="105" w:type="dxa"/>
          <w:bottom w:w="0" w:type="dxa"/>
          <w:right w:w="105" w:type="dxa"/>
        </w:tblCellMar>
        <w:tblLook w:val="04a0" w:noVBand="1" w:noHBand="0" w:lastColumn="0" w:firstColumn="1" w:lastRow="0" w:firstRow="1"/>
      </w:tblPr>
      <w:tblGrid>
        <w:gridCol w:w="2247"/>
        <w:gridCol w:w="5400"/>
        <w:gridCol w:w="1417"/>
      </w:tblGrid>
      <w:tr>
        <w:trPr>
          <w:trHeight w:val="300" w:hRule="atLeast"/>
        </w:trPr>
        <w:tc>
          <w:tcPr>
            <w:tcW w:w="2247" w:type="dxa"/>
            <w:tcBorders>
              <w:top w:val="single" w:sz="6" w:space="0" w:color="000000"/>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RESEARCH</w:t>
            </w:r>
          </w:p>
        </w:tc>
        <w:tc>
          <w:tcPr>
            <w:tcW w:w="5400" w:type="dxa"/>
            <w:tcBorders>
              <w:top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research, including searching for bibliography, using tools to summarise, compare and interrogate materials.</w:t>
            </w:r>
          </w:p>
        </w:tc>
        <w:tc>
          <w:tcPr>
            <w:tcW w:w="1417" w:type="dxa"/>
            <w:tcBorders>
              <w:top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132582787"/>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32746510"/>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STRUCTURE</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structuring your submission, including creating a draft argument structure, identifying parts and headings, etc.</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96310629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70765072"/>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PROOFREADING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check your own text/creation for grammatical and syntactical mistakes, including rephrasing of your own work within specific standards.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324893659"/>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14711207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WRITING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text for submission.</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369145368"/>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362739539"/>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CREATIVE</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creative materials, such as images.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01055208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17855451"/>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cs="Arial"/>
                <w:sz w:val="22"/>
                <w:szCs w:val="22"/>
              </w:rPr>
            </w:pPr>
            <w:r>
              <w:rPr>
                <w:rFonts w:eastAsia="Calibri" w:cs="Arial" w:ascii="Arial" w:hAnsi="Arial"/>
                <w:kern w:val="0"/>
                <w:sz w:val="22"/>
                <w:szCs w:val="22"/>
                <w:lang w:val="en-GB" w:bidi="ar-SA"/>
              </w:rPr>
              <w:t>PROGRAMING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and check code.</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136687853"/>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648559774"/>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NONE</w:t>
            </w:r>
          </w:p>
        </w:tc>
        <w:tc>
          <w:tcPr>
            <w:tcW w:w="5400" w:type="dxa"/>
            <w:tcBorders>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 xml:space="preserve">For this assessment, you are not allowed to use </w:t>
            </w:r>
            <w:r>
              <w:rPr>
                <w:rFonts w:eastAsia="Calibri" w:cs="Arial" w:ascii="Arial" w:hAnsi="Arial"/>
                <w:b/>
                <w:bCs/>
                <w:kern w:val="0"/>
                <w:sz w:val="22"/>
                <w:szCs w:val="22"/>
                <w:lang w:val="en-GB" w:bidi="ar-SA"/>
              </w:rPr>
              <w:t>any</w:t>
            </w:r>
            <w:r>
              <w:rPr>
                <w:rFonts w:eastAsia="Calibri" w:cs="Arial" w:ascii="Arial" w:hAnsi="Arial"/>
                <w:kern w:val="0"/>
                <w:sz w:val="22"/>
                <w:szCs w:val="22"/>
                <w:lang w:val="en-GB" w:bidi="ar-SA"/>
              </w:rPr>
              <w:t xml:space="preserve"> type of Generative AI support. This includes research support, structure support, writing/proofreading support and creative support.</w:t>
            </w:r>
          </w:p>
        </w:tc>
        <w:tc>
          <w:tcPr>
            <w:tcW w:w="1417" w:type="dxa"/>
            <w:tcBorders>
              <w:bottom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610168832"/>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62828060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bl>
    <w:p>
      <w:pPr>
        <w:pStyle w:val="Normal"/>
        <w:ind w:left="720"/>
        <w:rPr>
          <w:rFonts w:ascii="Arial" w:hAnsi="Arial" w:cs="Arial"/>
          <w:sz w:val="24"/>
          <w:szCs w:val="24"/>
        </w:rPr>
      </w:pPr>
      <w:r>
        <w:rPr>
          <w:rFonts w:cs="Arial" w:ascii="Arial" w:hAnsi="Arial"/>
          <w:sz w:val="24"/>
          <w:szCs w:val="24"/>
        </w:rPr>
      </w:r>
    </w:p>
    <w:p>
      <w:pPr>
        <w:pStyle w:val="Normal"/>
        <w:jc w:val="both"/>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445"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rHeight w:val="414" w:hRule="atLeast"/>
        </w:trPr>
        <w:tc>
          <w:tcPr>
            <w:tcW w:w="10445"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provide evidence that you have accessed an appropriate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5, you should be able to demonstrate:</w:t>
      </w:r>
      <w:r>
        <w:rPr/>
        <w:t xml:space="preserve"> </w:t>
      </w:r>
      <w:r>
        <w:rPr>
          <w:rFonts w:cs="Arial" w:ascii="Arial" w:hAnsi="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w:t>
      </w:r>
      <w:r>
        <w:rPr/>
        <w:t xml:space="preserve"> </w:t>
      </w:r>
    </w:p>
    <w:p>
      <w:pPr>
        <w:pStyle w:val="Normal"/>
        <w:jc w:val="both"/>
        <w:rPr>
          <w:rFonts w:ascii="Arial" w:hAnsi="Arial" w:cs="Arial"/>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t xml:space="preserve"> </w:t>
      </w:r>
      <w:r>
        <w:rPr>
          <w:rFonts w:cs="Arial" w:ascii="Arial" w:hAnsi="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employment requiring the exercise of personal responsibility and decision-making.  This includes demonstrating: professional development</w:t>
      </w:r>
      <w:r>
        <w:rPr/>
        <w:t xml:space="preserve"> to </w:t>
      </w:r>
      <w:r>
        <w:rPr>
          <w:rFonts w:cs="Arial" w:ascii="Arial" w:hAnsi="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445" w:type="dxa"/>
        <w:jc w:val="center"/>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c>
          <w:tcPr>
            <w:tcW w:w="10445" w:type="dxa"/>
            <w:tcBorders>
              <w:top w:val="single" w:sz="4" w:space="0" w:color="000000"/>
              <w:left w:val="single" w:sz="4" w:space="0" w:color="000000"/>
              <w:bottom w:val="single" w:sz="4" w:space="0" w:color="000000"/>
              <w:right w:val="single" w:sz="4" w:space="0" w:color="000000"/>
            </w:tcBorders>
            <w:shd w:color="auto" w:fill="BFBFBF" w:val="cle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tabs>
          <w:tab w:val="clear" w:pos="720"/>
          <w:tab w:val="clear" w:pos="1440"/>
        </w:tabs>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ectPr>
          <w:footerReference w:type="default" r:id="rId3"/>
          <w:type w:val="nextPage"/>
          <w:pgSz w:w="11906" w:h="16838"/>
          <w:pgMar w:left="720" w:right="720" w:gutter="0" w:header="0" w:top="720" w:footer="454" w:bottom="720"/>
          <w:pgNumType w:fmt="decimal"/>
          <w:formProt w:val="false"/>
          <w:textDirection w:val="lrTb"/>
          <w:docGrid w:type="default" w:linePitch="272" w:charSpace="8192"/>
        </w:sectPr>
      </w:pPr>
    </w:p>
    <w:p>
      <w:pPr>
        <w:pStyle w:val="Normal"/>
        <w:rPr>
          <w:rFonts w:ascii="Arial" w:hAnsi="Arial" w:cs="Arial"/>
          <w:b/>
          <w:sz w:val="22"/>
          <w:szCs w:val="22"/>
        </w:rPr>
      </w:pPr>
      <w:r>
        <w:rPr>
          <w:rFonts w:cs="Arial" w:ascii="Arial" w:hAnsi="Arial"/>
          <w:b/>
          <w:sz w:val="22"/>
          <w:szCs w:val="22"/>
        </w:rPr>
      </w:r>
    </w:p>
    <w:tbl>
      <w:tblPr>
        <w:tblW w:w="5000" w:type="pct"/>
        <w:jc w:val="left"/>
        <w:tblInd w:w="0" w:type="dxa"/>
        <w:tblLayout w:type="fixed"/>
        <w:tblCellMar>
          <w:top w:w="0" w:type="dxa"/>
          <w:left w:w="108" w:type="dxa"/>
          <w:bottom w:w="0" w:type="dxa"/>
          <w:right w:w="108" w:type="dxa"/>
        </w:tblCellMar>
        <w:tblLook w:val="04a0" w:noVBand="1" w:noHBand="0" w:lastColumn="0" w:firstColumn="1" w:lastRow="0" w:firstRow="1"/>
      </w:tblPr>
      <w:tblGrid>
        <w:gridCol w:w="8725"/>
        <w:gridCol w:w="872"/>
        <w:gridCol w:w="869"/>
      </w:tblGrid>
      <w:tr>
        <w:trPr>
          <w:trHeight w:val="1002" w:hRule="atLeast"/>
        </w:trPr>
        <w:tc>
          <w:tcPr>
            <w:tcW w:w="8725" w:type="dxa"/>
            <w:tcBorders>
              <w:top w:val="single" w:sz="4" w:space="0" w:color="000000"/>
              <w:left w:val="single" w:sz="4" w:space="0" w:color="000000"/>
              <w:right w:val="single" w:sz="4" w:space="0" w:color="000000"/>
            </w:tcBorders>
            <w:shd w:color="auto" w:fill="BFBFBF" w:val="clear"/>
            <w:vAlign w:val="center"/>
          </w:tcPr>
          <w:p>
            <w:pPr>
              <w:pStyle w:val="Normal"/>
              <w:rPr>
                <w:rFonts w:ascii="Arial" w:hAnsi="Arial" w:cs="Arial"/>
                <w:b/>
                <w:sz w:val="22"/>
              </w:rPr>
            </w:pPr>
            <w:r>
              <w:rPr>
                <w:rFonts w:cs="Arial" w:ascii="Arial" w:hAnsi="Arial"/>
                <w:b/>
                <w:sz w:val="22"/>
                <w:szCs w:val="16"/>
              </w:rPr>
              <w:t>Generic Assessment Criteria</w:t>
            </w:r>
          </w:p>
        </w:tc>
        <w:tc>
          <w:tcPr>
            <w:tcW w:w="872" w:type="dxa"/>
            <w:tcBorders>
              <w:top w:val="single" w:sz="4" w:space="0" w:color="000000"/>
              <w:left w:val="single" w:sz="4" w:space="0" w:color="000000"/>
              <w:right w:val="single" w:sz="4" w:space="0" w:color="000000"/>
            </w:tcBorders>
            <w:shd w:color="auto" w:fill="BFBFBF" w:val="clear"/>
            <w:textDirection w:val="btLr"/>
          </w:tcPr>
          <w:p>
            <w:pPr>
              <w:pStyle w:val="Normal"/>
              <w:ind w:left="34" w:right="113"/>
              <w:jc w:val="center"/>
              <w:rPr>
                <w:rFonts w:ascii="Arial" w:hAnsi="Arial" w:cs="Arial"/>
                <w:b/>
                <w:sz w:val="18"/>
                <w:szCs w:val="18"/>
              </w:rPr>
            </w:pPr>
            <w:r>
              <w:rPr>
                <w:rFonts w:cs="Arial" w:ascii="Arial" w:hAnsi="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color="auto" w:fill="BFBFBF" w:val="clear"/>
            <w:textDirection w:val="btLr"/>
            <w:vAlign w:val="center"/>
          </w:tcPr>
          <w:p>
            <w:pPr>
              <w:pStyle w:val="Normal"/>
              <w:ind w:left="113" w:right="113"/>
              <w:jc w:val="center"/>
              <w:rPr>
                <w:rFonts w:ascii="Arial" w:hAnsi="Arial" w:cs="Arial"/>
                <w:b/>
                <w:sz w:val="18"/>
                <w:szCs w:val="18"/>
              </w:rPr>
            </w:pPr>
            <w:r>
              <w:rPr>
                <w:rFonts w:cs="Arial" w:ascii="Arial" w:hAnsi="Arial"/>
                <w:b/>
                <w:sz w:val="18"/>
                <w:szCs w:val="18"/>
              </w:rPr>
              <w:t>Marks</w:t>
            </w:r>
          </w:p>
          <w:p>
            <w:pPr>
              <w:pStyle w:val="Normal"/>
              <w:ind w:left="113" w:right="113"/>
              <w:jc w:val="center"/>
              <w:rPr>
                <w:rFonts w:ascii="Arial" w:hAnsi="Arial" w:cs="Arial"/>
                <w:b/>
                <w:sz w:val="18"/>
                <w:szCs w:val="18"/>
              </w:rPr>
            </w:pPr>
            <w:r>
              <w:rPr>
                <w:rFonts w:cs="Arial" w:ascii="Arial" w:hAnsi="Arial"/>
                <w:b/>
                <w:sz w:val="18"/>
                <w:szCs w:val="18"/>
              </w:rPr>
              <w:t>awarded</w:t>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bl>
    <w:p>
      <w:pPr>
        <w:pStyle w:val="Normal"/>
        <w:ind w:left="284" w:right="531"/>
        <w:rPr>
          <w:rFonts w:ascii="Arial" w:hAnsi="Arial" w:cs="Arial"/>
          <w:b/>
          <w:sz w:val="16"/>
          <w:szCs w:val="16"/>
        </w:rPr>
      </w:pPr>
      <w:r>
        <w:rPr>
          <w:rFonts w:cs="Arial" w:ascii="Arial" w:hAnsi="Arial"/>
          <w:b/>
          <w:sz w:val="16"/>
          <w:szCs w:val="16"/>
        </w:rPr>
      </w:r>
    </w:p>
    <w:tbl>
      <w:tblPr>
        <w:tblpPr w:vertAnchor="text" w:horzAnchor="margin" w:tblpXSpec="center" w:leftFromText="180" w:rightFromText="180" w:tblpY="82"/>
        <w:tblW w:w="10666" w:type="dxa"/>
        <w:jc w:val="center"/>
        <w:tblInd w:w="0" w:type="dxa"/>
        <w:tblLayout w:type="fixed"/>
        <w:tblCellMar>
          <w:top w:w="0" w:type="dxa"/>
          <w:left w:w="108"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0"/>
              <w:left w:val="single" w:sz="4" w:space="0" w:color="000000"/>
              <w:bottom w:val="single" w:sz="4" w:space="0" w:color="000000"/>
              <w:right w:val="single" w:sz="4" w:space="0" w:color="000000"/>
            </w:tcBorders>
            <w:shd w:color="auto" w:fill="auto" w:val="pct15"/>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color="auto" w:fill="auto" w:val="pct15"/>
            <w:vAlign w:val="bottom"/>
          </w:tcPr>
          <w:p>
            <w:pPr>
              <w:pStyle w:val="Normal"/>
              <w:rPr>
                <w:rFonts w:ascii="Arial" w:hAnsi="Arial" w:cs="Arial"/>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b/>
                <w:bCs/>
              </w:rPr>
            </w:pPr>
            <w:r>
              <w:rPr>
                <w:rFonts w:cs="Arial" w:ascii="Arial" w:hAnsi="Arial"/>
                <w:b/>
                <w:bCs/>
              </w:rPr>
              <w:t>%</w:t>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Up to 1 week late (</w:t>
            </w:r>
            <w:r>
              <w:rPr>
                <w:rFonts w:cs="Arial" w:ascii="Arial" w:hAnsi="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left="142"/>
              <w:rPr>
                <w:rFonts w:ascii="Arial" w:hAnsi="Arial" w:cs="Arial"/>
              </w:rPr>
            </w:pPr>
            <w:r>
              <w:rPr>
                <w:rFonts w:cs="Arial" w:ascii="Arial" w:hAnsi="Arial"/>
              </w:rPr>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firstLine="282"/>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sectPr>
          <w:type w:val="continuous"/>
          <w:pgSz w:w="11906" w:h="16838"/>
          <w:pgMar w:left="720" w:right="720" w:gutter="0" w:header="0" w:top="720" w:footer="454" w:bottom="720"/>
          <w:formProt w:val="false"/>
          <w:textDirection w:val="lrTb"/>
          <w:docGrid w:type="default" w:linePitch="272" w:charSpace="8192"/>
        </w:sectPr>
      </w:pPr>
    </w:p>
    <w:p>
      <w:pPr>
        <w:sectPr>
          <w:footerReference w:type="default" r:id="rId4"/>
          <w:type w:val="nextPage"/>
          <w:pgSz w:orient="landscape" w:w="16838" w:h="11906"/>
          <w:pgMar w:left="720" w:right="720" w:gutter="0" w:header="0" w:top="720" w:footer="706" w:bottom="763"/>
          <w:pgNumType w:fmt="decimal"/>
          <w:formProt w:val="false"/>
          <w:textDirection w:val="lrTb"/>
          <w:docGrid w:type="default" w:linePitch="272" w:charSpace="8192"/>
        </w:sectPr>
        <w:pStyle w:val="Normal"/>
        <w:rPr>
          <w:rFonts w:ascii="Arial" w:hAnsi="Arial" w:cs="Arial"/>
          <w:vanish/>
        </w:rPr>
      </w:pPr>
      <w:r>
        <w:rPr>
          <w:rFonts w:cs="Arial" w:ascii="Arial" w:hAnsi="Arial"/>
          <w:vanish/>
        </w:rPr>
      </w:r>
    </w:p>
    <w:p>
      <w:pPr>
        <w:pStyle w:val="Normal"/>
        <w:rPr>
          <w:rFonts w:ascii="Arial" w:hAnsi="Arial" w:cs="Arial"/>
          <w:vanish/>
        </w:rPr>
      </w:pPr>
      <w:r>
        <w:rPr>
          <w:rFonts w:cs="Arial" w:ascii="Arial" w:hAnsi="Arial"/>
          <w:vanish/>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858"/>
      </w:tblGrid>
      <w:tr>
        <w:trPr/>
        <w:tc>
          <w:tcPr>
            <w:tcW w:w="13858" w:type="dxa"/>
            <w:tcBorders/>
            <w:shd w:color="auto" w:fill="FF99FF" w:val="clear"/>
          </w:tcPr>
          <w:p>
            <w:pPr>
              <w:pStyle w:val="NormalWeb"/>
              <w:widowControl/>
              <w:suppressAutoHyphens w:val="true"/>
              <w:spacing w:before="100" w:after="100"/>
              <w:jc w:val="left"/>
              <w:rPr>
                <w:rFonts w:ascii="Arial" w:hAnsi="Arial" w:cs="Arial"/>
                <w:b/>
                <w:color w:val="303B44"/>
                <w:sz w:val="22"/>
                <w:szCs w:val="22"/>
              </w:rPr>
            </w:pPr>
            <w:r>
              <w:rPr>
                <w:rFonts w:eastAsia="Times New Roman" w:cs="Arial" w:ascii="Arial" w:hAnsi="Arial"/>
                <w:b/>
                <w:color w:val="303B44"/>
                <w:kern w:val="0"/>
                <w:sz w:val="22"/>
                <w:szCs w:val="22"/>
                <w:lang w:val="en-GB" w:bidi="ar-SA"/>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948"/>
      </w:tblGrid>
      <w:tr>
        <w:trPr/>
        <w:tc>
          <w:tcPr>
            <w:tcW w:w="13948" w:type="dxa"/>
            <w:tcBorders/>
            <w:shd w:color="auto" w:fill="FF99FF" w:val="clear"/>
          </w:tcPr>
          <w:p>
            <w:pPr>
              <w:pStyle w:val="Normal"/>
              <w:widowControl/>
              <w:suppressAutoHyphens w:val="true"/>
              <w:spacing w:before="0" w:after="0"/>
              <w:jc w:val="left"/>
              <w:rPr>
                <w:rFonts w:ascii="Arial" w:hAnsi="Arial" w:cs="Arial"/>
                <w:b/>
              </w:rPr>
            </w:pPr>
            <w:r>
              <w:rPr>
                <w:rFonts w:eastAsia="Times New Roman" w:cs="Arial" w:ascii="Arial" w:hAnsi="Arial"/>
                <w:b/>
                <w:kern w:val="0"/>
                <w:sz w:val="20"/>
                <w:szCs w:val="20"/>
                <w:lang w:val="en-GB" w:bidi="ar-SA"/>
              </w:rPr>
              <w:t>Level 5</w:t>
            </w:r>
          </w:p>
        </w:tc>
      </w:tr>
      <w:tr>
        <w:trPr/>
        <w:tc>
          <w:tcPr>
            <w:tcW w:w="13948" w:type="dxa"/>
            <w:tcBorders/>
            <w:shd w:color="auto" w:fill="FFCCFF" w:val="clear"/>
          </w:tcPr>
          <w:p>
            <w:pPr>
              <w:pStyle w:val="Normal"/>
              <w:widowControl/>
              <w:suppressAutoHyphens w:val="true"/>
              <w:spacing w:before="0" w:after="0"/>
              <w:jc w:val="left"/>
              <w:rPr>
                <w:rFonts w:ascii="Arial" w:hAnsi="Arial" w:eastAsia="Arial" w:cs="Arial"/>
                <w:spacing w:val="-1"/>
              </w:rPr>
            </w:pPr>
            <w:r>
              <w:rPr>
                <w:rFonts w:eastAsia="Arial" w:cs="Arial" w:ascii="Arial" w:hAnsi="Arial"/>
                <w:spacing w:val="-1"/>
                <w:kern w:val="0"/>
                <w:sz w:val="20"/>
                <w:szCs w:val="20"/>
                <w:lang w:val="en-GB" w:bidi="ar-SA"/>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pStyle w:val="Normal"/>
        <w:rPr>
          <w:rFonts w:ascii="Arial" w:hAnsi="Arial" w:cs="Arial"/>
        </w:rPr>
      </w:pPr>
      <w:r>
        <w:rPr>
          <w:rFonts w:cs="Arial" w:ascii="Arial" w:hAnsi="Arial"/>
        </w:rPr>
      </w:r>
    </w:p>
    <w:tbl>
      <w:tblPr>
        <w:tblStyle w:val="TableGrid"/>
        <w:tblW w:w="13887"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735"/>
        <w:gridCol w:w="1736"/>
        <w:gridCol w:w="1736"/>
        <w:gridCol w:w="1736"/>
        <w:gridCol w:w="1737"/>
        <w:gridCol w:w="1738"/>
        <w:gridCol w:w="1735"/>
        <w:gridCol w:w="1732"/>
      </w:tblGrid>
      <w:tr>
        <w:trPr>
          <w:tblHeader w:val="true"/>
        </w:trPr>
        <w:tc>
          <w:tcPr>
            <w:tcW w:w="1735" w:type="dxa"/>
            <w:tcBorders/>
            <w:shd w:color="auto" w:fill="FF99FF" w:val="clea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GB" w:bidi="ar-SA"/>
              </w:rPr>
              <w:t>Level 5</w:t>
            </w:r>
          </w:p>
        </w:tc>
        <w:tc>
          <w:tcPr>
            <w:tcW w:w="1736"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MARGINAL FAIL</w:t>
            </w:r>
          </w:p>
        </w:tc>
        <w:tc>
          <w:tcPr>
            <w:tcW w:w="1736"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SATISFACTORY</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w:t>
            </w:r>
            <w:r>
              <w:rPr>
                <w:rFonts w:eastAsia="Times New Roman" w:cs="Arial" w:ascii="Arial" w:hAnsi="Arial"/>
                <w:b/>
                <w:kern w:val="0"/>
                <w:sz w:val="18"/>
                <w:szCs w:val="18"/>
                <w:vertAlign w:val="superscript"/>
                <w:lang w:val="en-GB" w:bidi="ar-SA"/>
              </w:rPr>
              <w:t>rd</w:t>
            </w:r>
            <w:r>
              <w:rPr>
                <w:rFonts w:eastAsia="Times New Roman" w:cs="Arial" w:ascii="Arial" w:hAnsi="Arial"/>
                <w:b/>
                <w:kern w:val="0"/>
                <w:sz w:val="18"/>
                <w:szCs w:val="18"/>
                <w:lang w:val="en-GB" w:bidi="ar-SA"/>
              </w:rPr>
              <w:t xml:space="preserve"> / Pass)</w:t>
            </w:r>
          </w:p>
        </w:tc>
        <w:tc>
          <w:tcPr>
            <w:tcW w:w="1737"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(2.2 / Pass)</w:t>
            </w:r>
          </w:p>
        </w:tc>
        <w:tc>
          <w:tcPr>
            <w:tcW w:w="1738"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VERY 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(2.1 / Merit)</w:t>
            </w:r>
          </w:p>
        </w:tc>
        <w:tc>
          <w:tcPr>
            <w:tcW w:w="1735"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EXCELLENT</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c>
          <w:tcPr>
            <w:tcW w:w="1732" w:type="dxa"/>
            <w:tcBorders/>
            <w:shd w:color="auto" w:fill="FF99FF"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EXCEPTIONAL</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r>
      <w:tr>
        <w:trPr>
          <w:tblHeader w:val="true"/>
        </w:trPr>
        <w:tc>
          <w:tcPr>
            <w:tcW w:w="1735" w:type="dxa"/>
            <w:tcBorders/>
            <w:shd w:color="auto" w:fill="FF99FF" w:val="clear"/>
          </w:tcPr>
          <w:p>
            <w:pPr>
              <w:pStyle w:val="Normal"/>
              <w:widowControl/>
              <w:suppressAutoHyphens w:val="true"/>
              <w:spacing w:before="0" w:after="0"/>
              <w:ind w:left="171"/>
              <w:jc w:val="left"/>
              <w:rPr>
                <w:rFonts w:ascii="Arial" w:hAnsi="Arial" w:cs="Arial"/>
                <w:sz w:val="18"/>
                <w:szCs w:val="18"/>
              </w:rPr>
            </w:pPr>
            <w:r>
              <w:rPr>
                <w:rFonts w:eastAsia="Arial" w:cs="Arial" w:ascii="Arial" w:hAnsi="Arial"/>
                <w:b/>
                <w:bCs/>
                <w:kern w:val="0"/>
                <w:sz w:val="20"/>
                <w:szCs w:val="20"/>
                <w:lang w:val="en-GB" w:bidi="ar-SA"/>
              </w:rPr>
              <w:t>Category</w:t>
            </w:r>
          </w:p>
        </w:tc>
        <w:tc>
          <w:tcPr>
            <w:tcW w:w="1736"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0-29%</w:t>
            </w:r>
          </w:p>
        </w:tc>
        <w:tc>
          <w:tcPr>
            <w:tcW w:w="1736"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30-39%</w:t>
            </w:r>
          </w:p>
        </w:tc>
        <w:tc>
          <w:tcPr>
            <w:tcW w:w="1736"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40-49%</w:t>
            </w:r>
          </w:p>
        </w:tc>
        <w:tc>
          <w:tcPr>
            <w:tcW w:w="1737"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50-59%</w:t>
            </w:r>
          </w:p>
        </w:tc>
        <w:tc>
          <w:tcPr>
            <w:tcW w:w="1738"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60-69%</w:t>
            </w:r>
          </w:p>
        </w:tc>
        <w:tc>
          <w:tcPr>
            <w:tcW w:w="1735" w:type="dxa"/>
            <w:tcBorders/>
            <w:shd w:color="auto" w:fill="FF99FF"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70-84%</w:t>
            </w:r>
          </w:p>
        </w:tc>
        <w:tc>
          <w:tcPr>
            <w:tcW w:w="1732" w:type="dxa"/>
            <w:tcBorders/>
            <w:shd w:color="auto" w:fill="FF99FF" w:val="clea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85-100%</w:t>
            </w:r>
          </w:p>
        </w:tc>
      </w:tr>
      <w:tr>
        <w:trPr/>
        <w:tc>
          <w:tcPr>
            <w:tcW w:w="1735" w:type="dxa"/>
            <w:tcBorders/>
            <w:shd w:color="auto" w:fill="FF99FF"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Engagement with literature </w:t>
            </w:r>
            <w:r>
              <w:rPr>
                <w:rFonts w:eastAsia="Arial" w:cs="Arial" w:ascii="Arial" w:hAnsi="Arial"/>
                <w:bCs/>
                <w:kern w:val="0"/>
                <w:sz w:val="18"/>
                <w:szCs w:val="18"/>
                <w:lang w:val="en-GB" w:bidi="ar-SA"/>
              </w:rPr>
              <w:t>(including reading, referencing,</w:t>
            </w:r>
          </w:p>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academic conventions and</w:t>
            </w:r>
          </w:p>
          <w:p>
            <w:pPr>
              <w:pStyle w:val="Normal"/>
              <w:widowControl/>
              <w:suppressAutoHyphens w:val="true"/>
              <w:spacing w:before="34" w:after="0"/>
              <w:ind w:left="108" w:right="-54"/>
              <w:jc w:val="left"/>
              <w:rPr>
                <w:rFonts w:ascii="Arial" w:hAnsi="Arial" w:eastAsia="Arial" w:cs="Arial"/>
                <w:b/>
                <w:bCs/>
              </w:rPr>
            </w:pPr>
            <w:r>
              <w:rPr>
                <w:rFonts w:eastAsia="Arial" w:cs="Arial" w:ascii="Arial" w:hAnsi="Arial"/>
                <w:bCs/>
                <w:kern w:val="0"/>
                <w:sz w:val="18"/>
                <w:szCs w:val="18"/>
                <w:lang w:val="en-GB" w:bidi="ar-SA"/>
              </w:rPr>
              <w:t>academic honesty)</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evidence of reading</w:t>
            </w:r>
            <w:r>
              <w:rPr>
                <w:rFonts w:eastAsia="Times New Roman" w:cs="Times New Roman"/>
                <w:kern w:val="0"/>
                <w:sz w:val="20"/>
                <w:szCs w:val="20"/>
                <w:lang w:val="en-GB" w:bidi="ar-SA"/>
              </w:rPr>
              <w:t xml:space="preserve"> and/or </w:t>
            </w:r>
            <w:r>
              <w:rPr>
                <w:rFonts w:eastAsia="Times New Roman" w:cs="Arial" w:ascii="Arial" w:hAnsi="Arial"/>
                <w:kern w:val="0"/>
                <w:sz w:val="20"/>
                <w:szCs w:val="20"/>
                <w:lang w:val="en-GB" w:bidi="ar-SA"/>
              </w:rPr>
              <w:t>reliance on inappropriate sources.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Views and findings mostly unsupported and non-authoritative.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used incoherently or largely absent.</w:t>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limited range of mostly relevant and credible sources. Some omissions and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evident though not always applied accurately or consistently.</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appropriate range of literature, including sources retrieved independently. Some over-reliance on texts. Referencing may show minor inaccuracies or inconsistencies.</w:t>
            </w:r>
          </w:p>
        </w:tc>
        <w:tc>
          <w:tcPr>
            <w:tcW w:w="1738"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wide range of literature, including sources retrieved independently.</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Selection of relevant and credible sources.  Very good use of referencing, with no/very few inaccuracies or inconsistencies.</w:t>
            </w:r>
          </w:p>
        </w:tc>
        <w:tc>
          <w:tcPr>
            <w:tcW w:w="1735"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extensive range of relevant and credible literature. Consistently accurate application of referencing.</w:t>
            </w:r>
          </w:p>
        </w:tc>
        <w:tc>
          <w:tcPr>
            <w:tcW w:w="1732"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engagement with an extensive range of relevant and credible literature. High-level referencing skills consistently applied.</w:t>
            </w:r>
          </w:p>
        </w:tc>
      </w:tr>
      <w:tr>
        <w:trPr/>
        <w:tc>
          <w:tcPr>
            <w:tcW w:w="1735" w:type="dxa"/>
            <w:tcBorders/>
            <w:shd w:color="auto" w:fill="FF99FF" w:val="clear"/>
          </w:tcPr>
          <w:p>
            <w:pPr>
              <w:pStyle w:val="Normal"/>
              <w:widowControl/>
              <w:suppressAutoHyphens w:val="true"/>
              <w:spacing w:before="34" w:after="0"/>
              <w:ind w:left="108" w:right="-54"/>
              <w:jc w:val="left"/>
              <w:rPr>
                <w:rFonts w:ascii="Arial" w:hAnsi="Arial" w:cs="Arial"/>
                <w:sz w:val="18"/>
                <w:szCs w:val="18"/>
              </w:rPr>
            </w:pPr>
            <w:r>
              <w:rPr>
                <w:rFonts w:eastAsia="Arial" w:cs="Arial" w:ascii="Arial" w:hAnsi="Arial"/>
                <w:b/>
                <w:bCs/>
                <w:kern w:val="0"/>
                <w:sz w:val="20"/>
                <w:szCs w:val="20"/>
                <w:lang w:val="en-GB" w:bidi="ar-SA"/>
              </w:rPr>
              <w:t xml:space="preserve">Knowledge and understanding </w:t>
            </w:r>
            <w:r>
              <w:rPr>
                <w:rFonts w:eastAsia="Arial" w:cs="Arial" w:ascii="Arial" w:hAnsi="Arial"/>
                <w:bCs/>
                <w:kern w:val="0"/>
                <w:sz w:val="20"/>
                <w:szCs w:val="20"/>
                <w:lang w:val="en-GB" w:bidi="ar-SA"/>
              </w:rPr>
              <w:t>(</w:t>
            </w:r>
            <w:r>
              <w:rPr>
                <w:rFonts w:eastAsia="Arial" w:cs="Arial" w:ascii="Arial" w:hAnsi="Arial"/>
                <w:bCs/>
                <w:kern w:val="0"/>
                <w:sz w:val="18"/>
                <w:szCs w:val="18"/>
                <w:lang w:val="en-GB" w:bidi="ar-SA"/>
              </w:rPr>
              <w:t>Sound knowledge and critical understanding of the well-established concepts and principles in their field of study; knowledge of the main methods of enquiry in the discipline.)</w:t>
            </w:r>
          </w:p>
        </w:tc>
        <w:tc>
          <w:tcPr>
            <w:tcW w:w="1736" w:type="dxa"/>
            <w:tcBorders>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left w:val="dashed" w:sz="4" w:space="0" w:color="000000"/>
              <w:right w:val="double"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left w:val="double"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Limited but adequate knowledge and critical understanding of the well-established concepts and principles within the subject area, with a few gaps in the selection of material. A narrow critical understanding of the main methods of enquiry.</w:t>
            </w:r>
          </w:p>
        </w:tc>
        <w:tc>
          <w:tcPr>
            <w:tcW w:w="1737"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detailed and accurate. A good critical understanding of the well-established concepts and principles and the main methods of enquiry, with minor gaps in the selection of material.</w:t>
            </w:r>
          </w:p>
        </w:tc>
        <w:tc>
          <w:tcPr>
            <w:tcW w:w="1738"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extensive.  Exhibits very competent critical understanding of the well-established concepts and principles of the subject and the main methods of enquiry.  Breadth and depth of knowledge.</w:t>
            </w:r>
          </w:p>
        </w:tc>
        <w:tc>
          <w:tcPr>
            <w:tcW w:w="1735"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Excellent, detailed knowledge and highly critical understanding of the well-established concepts and principles of the subject and the main methods of enquiry.</w:t>
            </w:r>
          </w:p>
        </w:tc>
        <w:tc>
          <w:tcPr>
            <w:tcW w:w="1732" w:type="dxa"/>
            <w:tcBorders>
              <w:lef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Exceptionally detailed knowledge and outstanding critical understanding of the well-established concepts and principles of the subject and the main methods of enquiry. May go beyond established theories.</w:t>
            </w:r>
          </w:p>
        </w:tc>
      </w:tr>
      <w:tr>
        <w:trPr/>
        <w:tc>
          <w:tcPr>
            <w:tcW w:w="1735" w:type="dxa"/>
            <w:tcBorders/>
            <w:shd w:color="auto" w:fill="FF99FF"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C</w:t>
            </w:r>
            <w:r>
              <w:rPr>
                <w:rFonts w:eastAsia="Arial" w:cs="Arial" w:ascii="Arial" w:hAnsi="Arial"/>
                <w:b/>
                <w:bCs/>
                <w:spacing w:val="1"/>
                <w:kern w:val="0"/>
                <w:sz w:val="20"/>
                <w:szCs w:val="20"/>
                <w:lang w:val="en-GB" w:bidi="ar-SA"/>
              </w:rPr>
              <w:t>ogn</w:t>
            </w:r>
            <w:r>
              <w:rPr>
                <w:rFonts w:eastAsia="Arial" w:cs="Arial" w:ascii="Arial" w:hAnsi="Arial"/>
                <w:b/>
                <w:bCs/>
                <w:kern w:val="0"/>
                <w:sz w:val="20"/>
                <w:szCs w:val="20"/>
                <w:lang w:val="en-GB" w:bidi="ar-SA"/>
              </w:rPr>
              <w:t>i</w:t>
            </w:r>
            <w:r>
              <w:rPr>
                <w:rFonts w:eastAsia="Arial" w:cs="Arial" w:ascii="Arial" w:hAnsi="Arial"/>
                <w:b/>
                <w:bCs/>
                <w:spacing w:val="1"/>
                <w:kern w:val="0"/>
                <w:sz w:val="20"/>
                <w:szCs w:val="20"/>
                <w:lang w:val="en-GB" w:bidi="ar-SA"/>
              </w:rPr>
              <w:t>t</w:t>
            </w:r>
            <w:r>
              <w:rPr>
                <w:rFonts w:eastAsia="Arial" w:cs="Arial" w:ascii="Arial" w:hAnsi="Arial"/>
                <w:b/>
                <w:bCs/>
                <w:kern w:val="0"/>
                <w:sz w:val="20"/>
                <w:szCs w:val="20"/>
                <w:lang w:val="en-GB" w:bidi="ar-SA"/>
              </w:rPr>
              <w:t>i</w:t>
            </w:r>
            <w:r>
              <w:rPr>
                <w:rFonts w:eastAsia="Arial" w:cs="Arial" w:ascii="Arial" w:hAnsi="Arial"/>
                <w:b/>
                <w:bCs/>
                <w:spacing w:val="2"/>
                <w:kern w:val="0"/>
                <w:sz w:val="20"/>
                <w:szCs w:val="20"/>
                <w:lang w:val="en-GB" w:bidi="ar-SA"/>
              </w:rPr>
              <w:t>v</w:t>
            </w:r>
            <w:r>
              <w:rPr>
                <w:rFonts w:eastAsia="Arial" w:cs="Arial" w:ascii="Arial" w:hAnsi="Arial"/>
                <w:b/>
                <w:bCs/>
                <w:kern w:val="0"/>
                <w:sz w:val="20"/>
                <w:szCs w:val="20"/>
                <w:lang w:val="en-GB" w:bidi="ar-SA"/>
              </w:rPr>
              <w:t>e</w:t>
            </w:r>
            <w:r>
              <w:rPr>
                <w:rFonts w:eastAsia="Arial" w:cs="Arial" w:ascii="Arial" w:hAnsi="Arial"/>
                <w:b/>
                <w:bCs/>
                <w:spacing w:val="-10"/>
                <w:kern w:val="0"/>
                <w:sz w:val="20"/>
                <w:szCs w:val="20"/>
                <w:lang w:val="en-GB" w:bidi="ar-SA"/>
              </w:rPr>
              <w:t xml:space="preserve"> </w:t>
            </w:r>
            <w:r>
              <w:rPr>
                <w:rFonts w:eastAsia="Arial" w:cs="Arial" w:ascii="Arial" w:hAnsi="Arial"/>
                <w:b/>
                <w:bCs/>
                <w:kern w:val="0"/>
                <w:sz w:val="20"/>
                <w:szCs w:val="20"/>
                <w:lang w:val="en-GB" w:bidi="ar-SA"/>
              </w:rPr>
              <w:t>a</w:t>
            </w:r>
            <w:r>
              <w:rPr>
                <w:rFonts w:eastAsia="Arial" w:cs="Arial" w:ascii="Arial" w:hAnsi="Arial"/>
                <w:b/>
                <w:bCs/>
                <w:spacing w:val="1"/>
                <w:kern w:val="0"/>
                <w:sz w:val="20"/>
                <w:szCs w:val="20"/>
                <w:lang w:val="en-GB" w:bidi="ar-SA"/>
              </w:rPr>
              <w:t>n</w:t>
            </w:r>
            <w:r>
              <w:rPr>
                <w:rFonts w:eastAsia="Arial" w:cs="Arial" w:ascii="Arial" w:hAnsi="Arial"/>
                <w:b/>
                <w:bCs/>
                <w:kern w:val="0"/>
                <w:sz w:val="20"/>
                <w:szCs w:val="20"/>
                <w:lang w:val="en-GB" w:bidi="ar-SA"/>
              </w:rPr>
              <w:t>d i</w:t>
            </w:r>
            <w:r>
              <w:rPr>
                <w:rFonts w:eastAsia="Arial" w:cs="Arial" w:ascii="Arial" w:hAnsi="Arial"/>
                <w:b/>
                <w:bCs/>
                <w:spacing w:val="1"/>
                <w:kern w:val="0"/>
                <w:sz w:val="20"/>
                <w:szCs w:val="20"/>
                <w:lang w:val="en-GB" w:bidi="ar-SA"/>
              </w:rPr>
              <w:t>nt</w:t>
            </w:r>
            <w:r>
              <w:rPr>
                <w:rFonts w:eastAsia="Arial" w:cs="Arial" w:ascii="Arial" w:hAnsi="Arial"/>
                <w:b/>
                <w:bCs/>
                <w:kern w:val="0"/>
                <w:sz w:val="20"/>
                <w:szCs w:val="20"/>
                <w:lang w:val="en-GB" w:bidi="ar-SA"/>
              </w:rPr>
              <w:t>ellec</w:t>
            </w:r>
            <w:r>
              <w:rPr>
                <w:rFonts w:eastAsia="Arial" w:cs="Arial" w:ascii="Arial" w:hAnsi="Arial"/>
                <w:b/>
                <w:bCs/>
                <w:spacing w:val="1"/>
                <w:kern w:val="0"/>
                <w:sz w:val="20"/>
                <w:szCs w:val="20"/>
                <w:lang w:val="en-GB" w:bidi="ar-SA"/>
              </w:rPr>
              <w:t>tu</w:t>
            </w:r>
            <w:r>
              <w:rPr>
                <w:rFonts w:eastAsia="Arial" w:cs="Arial" w:ascii="Arial" w:hAnsi="Arial"/>
                <w:b/>
                <w:bCs/>
                <w:kern w:val="0"/>
                <w:sz w:val="20"/>
                <w:szCs w:val="20"/>
                <w:lang w:val="en-GB" w:bidi="ar-SA"/>
              </w:rPr>
              <w:t>al skil</w:t>
            </w:r>
            <w:r>
              <w:rPr>
                <w:rFonts w:eastAsia="Arial" w:cs="Arial" w:ascii="Arial" w:hAnsi="Arial"/>
                <w:b/>
                <w:bCs/>
                <w:spacing w:val="2"/>
                <w:kern w:val="0"/>
                <w:sz w:val="20"/>
                <w:szCs w:val="20"/>
                <w:lang w:val="en-GB" w:bidi="ar-SA"/>
              </w:rPr>
              <w:t>l</w:t>
            </w:r>
            <w:r>
              <w:rPr>
                <w:rFonts w:eastAsia="Arial" w:cs="Arial" w:ascii="Arial" w:hAnsi="Arial"/>
                <w:b/>
                <w:bCs/>
                <w:kern w:val="0"/>
                <w:sz w:val="20"/>
                <w:szCs w:val="20"/>
                <w:lang w:val="en-GB" w:bidi="ar-SA"/>
              </w:rPr>
              <w:t>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(Critical evaluation and analysis of concepts and principles; argument and judgement</w:t>
            </w:r>
            <w:r>
              <w:rPr>
                <w:rFonts w:eastAsia="Arial" w:cs="Arial" w:ascii="Arial" w:hAnsi="Arial"/>
                <w:b/>
                <w:bCs/>
                <w:kern w:val="0"/>
                <w:sz w:val="20"/>
                <w:szCs w:val="20"/>
                <w:lang w:val="en-GB" w:bidi="ar-SA"/>
              </w:rPr>
              <w:t xml:space="preserve">; </w:t>
            </w:r>
            <w:r>
              <w:rPr>
                <w:rFonts w:eastAsia="Arial" w:cs="Arial" w:ascii="Arial" w:hAnsi="Arial"/>
                <w:bCs/>
                <w:kern w:val="0"/>
                <w:sz w:val="18"/>
                <w:szCs w:val="18"/>
                <w:lang w:val="en-GB" w:bidi="ar-SA"/>
              </w:rPr>
              <w:t>the limits of their knowledge, and how this influences their analyses and interpretations.)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Wholly or almost wholly descriptive work. Little or no critical evaluation and analysis of concepts and principles.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Failure to develop arguments, leading to illogical or invalid judgements. Unsubstantiated generalisations or opinion, made without use of any credible evidence.</w:t>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at critical evaluation and analysis of concepts and principles, tending towards description.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evidence to support arguments and judgements but these may be underdeveloped, with a little inconsistency / mis-interpretation or failure to fully recognise limits of knowledge.</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critical evaluation and analysis of concepts and principles, though descriptive in parts.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emerging awareness the limits of their knowledge and ability to use evidence to support the argument though with some tendency to assert/state opinion rather than argue on the basis of reason and evidence.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valid arguments and logical judgements.</w:t>
            </w:r>
          </w:p>
        </w:tc>
        <w:tc>
          <w:tcPr>
            <w:tcW w:w="1738"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tc>
        <w:tc>
          <w:tcPr>
            <w:tcW w:w="1735"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Excellent critical evaluation and analysis of concepts and principles leading to logical, evidence-based, reasoned arguments and judgements. Explicit recognition of other stances and a strong awareness of the limits of their knowledge.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capacity for independent thought and ability to ‘see beyond the question’, suggesting some grasp of the broader field and wider concepts.</w:t>
            </w:r>
          </w:p>
        </w:tc>
        <w:tc>
          <w:tcPr>
            <w:tcW w:w="1732"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Outstanding critical evaluation and analysis of concepts and principles.  Uses evidence exceptionally well to connect ideas, and support highly logical and persuasive, arguments and judgements.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trPr/>
        <w:tc>
          <w:tcPr>
            <w:tcW w:w="1735" w:type="dxa"/>
            <w:tcBorders/>
            <w:shd w:color="auto" w:fill="FF99FF"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Practical skills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(Apply underlying concepts and principles more widely outside the context in which they were first studied; use a range of established techniques; propose solutions to problems arising from analysis.)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or no use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understanding of the application of theory to practice or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weak problem-solving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outside the context in which they were first studied.</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Rudimentary application of established methods, materials, tools and/or techniques but without consideration and competence. Flawed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Weak understanding of the application of theory to practice, with only occasional evidence of making appropriate links between the two. Weak problem-solving skills outside the context in which they were first studied.</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adequate awareness and mostly appropriate application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Basic appreciation of the context of the application. Theoretical knowledge and understanding applied in practice, but not always making logical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basic solutions outside the context in which they were first studied.</w:t>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good and appropriate application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Clear appreciation of the context of the application. Mainly consistent, accurate and logical application of theory to practice,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mostly appropriate solutions outside the context in which they were first studied.</w:t>
            </w:r>
          </w:p>
        </w:tc>
        <w:tc>
          <w:tcPr>
            <w:tcW w:w="1738"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very good application of a range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good consideration of the context of the application, with perceptive insights. Consistent, accurate and logical application of theory to practice, making appropriate links between the two. Can identify problems and propose appropriate solutions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outside the context in which they were first studied.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Evidence of some creativity.</w:t>
            </w:r>
          </w:p>
        </w:tc>
        <w:tc>
          <w:tcPr>
            <w:tcW w:w="1735"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advanced application of a range of 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The context of the application is well considered, and insightful.</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Consistent, accurate and logical application of theory to practice, making well-developed links between the two. Can identify problems and propose excellent, creative solutions outside the context in which they were first studied.</w:t>
            </w:r>
          </w:p>
        </w:tc>
        <w:tc>
          <w:tcPr>
            <w:tcW w:w="1732"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w:t>
            </w:r>
          </w:p>
        </w:tc>
      </w:tr>
      <w:tr>
        <w:trPr/>
        <w:tc>
          <w:tcPr>
            <w:tcW w:w="1735" w:type="dxa"/>
            <w:tcBorders/>
            <w:shd w:color="auto" w:fill="FF99FF"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Transferable skills for life and professional practice</w:t>
            </w:r>
          </w:p>
          <w:p>
            <w:pPr>
              <w:pStyle w:val="Normal"/>
              <w:widowControl/>
              <w:suppressAutoHyphens w:val="true"/>
              <w:spacing w:lineRule="auto" w:line="235" w:before="34" w:after="0"/>
              <w:ind w:left="108" w:right="-54"/>
              <w:jc w:val="left"/>
              <w:rPr>
                <w:rFonts w:ascii="Arial" w:hAnsi="Arial" w:cs="Arial"/>
                <w:sz w:val="18"/>
                <w:szCs w:val="18"/>
              </w:rPr>
            </w:pPr>
            <w:r>
              <w:rPr>
                <w:rFonts w:eastAsia="Times New Roman" w:cs="Arial" w:ascii="Arial" w:hAnsi="Arial"/>
                <w:kern w:val="0"/>
                <w:sz w:val="18"/>
                <w:szCs w:val="18"/>
                <w:lang w:val="en-GB" w:bidi="ar-SA"/>
              </w:rPr>
              <w:t>(Effectively communicate in a variety of forms</w:t>
            </w:r>
          </w:p>
          <w:p>
            <w:pPr>
              <w:pStyle w:val="Normal"/>
              <w:widowControl/>
              <w:suppressAutoHyphens w:val="true"/>
              <w:spacing w:lineRule="auto" w:line="235" w:before="34" w:after="0"/>
              <w:ind w:left="108" w:right="-54"/>
              <w:jc w:val="left"/>
              <w:rPr>
                <w:rFonts w:ascii="Arial" w:hAnsi="Arial" w:cs="Arial"/>
                <w:sz w:val="18"/>
                <w:szCs w:val="18"/>
              </w:rPr>
            </w:pPr>
            <w:r>
              <w:rPr>
                <w:rFonts w:eastAsia="Times New Roman" w:cs="Arial" w:ascii="Arial" w:hAnsi="Arial"/>
                <w:kern w:val="0"/>
                <w:sz w:val="18"/>
                <w:szCs w:val="18"/>
                <w:lang w:val="en-GB" w:bidi="ar-SA"/>
              </w:rPr>
              <w:t>to specialist and non-specialist audiences;  the qualities and transferable skills necessary for employment requiring the exercise of personal responsibility and decision-making.)</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inappropriate or misapplied.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structured, disorganised and/or confusingly expressed. Very weak use of language and/or very inappropriate style. Failure to work effectively as part of a group. Little or no evidence of the skills for employment</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requiring the exercise of personal responsibility and decision-making.</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poorly designed and/or not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in a suitable medium for the audience but with some room for improvement.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basic skills for employment requiring the exercise of personal responsibility and decision-making, with some areas of minor weakness.</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effectively in a suitable medium for the audience, but may have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coherent, organised work, in a suitable structure and is for the most part clearly expressed. Can work effectively independently and/or as part of a team, with clear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skills for employment requiring the exercise of personal responsibility and decision-making, with some areas of strength and some of minor weakness.</w:t>
            </w:r>
          </w:p>
        </w:tc>
        <w:tc>
          <w:tcPr>
            <w:tcW w:w="1738"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well, confidently and consistently in a suitable medium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fluent, well-structured and organised. Can work very well autonomously and/or as part of a team, with very good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very good skills for employment requiring the exercise of personal responsibility and decision-making, with just occasional minor weakness.</w:t>
            </w:r>
          </w:p>
        </w:tc>
        <w:tc>
          <w:tcPr>
            <w:tcW w:w="1735"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professionally confidently and consistently in a suitable medium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pPr>
              <w:pStyle w:val="Normal"/>
              <w:widowControl/>
              <w:suppressAutoHyphens w:val="true"/>
              <w:spacing w:before="0" w:after="0"/>
              <w:jc w:val="left"/>
              <w:rPr>
                <w:rFonts w:ascii="Arial" w:hAnsi="Arial" w:cs="Arial"/>
              </w:rPr>
            </w:pPr>
            <w:r>
              <w:rPr>
                <w:rFonts w:cs="Arial" w:ascii="Arial" w:hAnsi="Arial"/>
              </w:rPr>
            </w:r>
          </w:p>
        </w:tc>
        <w:tc>
          <w:tcPr>
            <w:tcW w:w="1732"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with an exceptionally high level of professionalism, highly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exceptionally coherent, very fluent and is presented professionally. Can work exceptionally well within a team, showing leadership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Demonstrates exceptional skills for employment requiring the exercise of personal responsibility and decision-making and an appetite for further development.</w:t>
            </w:r>
          </w:p>
        </w:tc>
      </w:tr>
    </w:tbl>
    <w:p>
      <w:pPr>
        <w:pStyle w:val="Normal"/>
        <w:rPr>
          <w:rFonts w:ascii="Arial" w:hAnsi="Arial" w:cs="Arial"/>
        </w:rPr>
      </w:pPr>
      <w:r>
        <w:rPr>
          <w:rFonts w:cs="Arial" w:ascii="Arial" w:hAnsi="Arial"/>
        </w:rPr>
      </w:r>
    </w:p>
    <w:p>
      <w:pPr>
        <w:pStyle w:val="NormalWeb"/>
        <w:rPr>
          <w:rFonts w:ascii="Arial" w:hAnsi="Arial" w:cs="Arial"/>
          <w:color w:val="303B44"/>
          <w:sz w:val="22"/>
          <w:szCs w:val="22"/>
        </w:rPr>
      </w:pPr>
      <w:r>
        <w:rPr>
          <w:rFonts w:cs="Arial" w:ascii="Arial" w:hAnsi="Arial"/>
          <w:color w:val="303B44"/>
          <w:sz w:val="22"/>
          <w:szCs w:val="22"/>
        </w:rPr>
      </w:r>
    </w:p>
    <w:p>
      <w:pPr>
        <w:pStyle w:val="Normal"/>
        <w:rPr>
          <w:rFonts w:ascii="Arial" w:hAnsi="Arial" w:cs="Arial"/>
          <w:b/>
        </w:rPr>
      </w:pPr>
      <w:r>
        <w:rPr>
          <w:rFonts w:cs="Arial" w:ascii="Arial" w:hAnsi="Arial"/>
          <w:b/>
        </w:rPr>
        <w:t>THIS DOCUMENT IS ALSO AVAILABLE IN WELSH</w:t>
      </w:r>
    </w:p>
    <w:sectPr>
      <w:footerReference w:type="default" r:id="rId5"/>
      <w:footerReference w:type="first" r:id="rId6"/>
      <w:type w:val="nextPage"/>
      <w:pgSz w:orient="landscape" w:w="16838" w:h="11906"/>
      <w:pgMar w:left="720" w:right="720" w:gutter="0" w:header="0" w:top="720" w:footer="706" w:bottom="763"/>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 w:name="Garamond">
    <w:charset w:val="01"/>
    <w:family w:val="roman"/>
    <w:pitch w:val="default"/>
  </w:font>
  <w:font w:name="CG Times (WN)">
    <w:charset w:val="01"/>
    <w:family w:val="roman"/>
    <w:pitch w:val="default"/>
  </w:font>
  <w:font w:name="Verdana">
    <w:charset w:val="01"/>
    <w:family w:val="roman"/>
    <w:pitch w:val="default"/>
  </w:font>
  <w:font w:name="MS Gothic">
    <w:charset w:val="01"/>
    <w:family w:val="roman"/>
    <w:pitch w:val="default"/>
  </w:font>
  <w:font w:name="Symbol">
    <w:charset w:val="01"/>
    <w:family w:val="auto"/>
    <w:pitch w:val="variable"/>
  </w:font>
  <w:font w:name="Courier New">
    <w:charset w:val="01"/>
    <w:family w:val="modern"/>
    <w:pitch w:val="fixed"/>
  </w:font>
  <w:font w:name="Wingding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b/>
        <w:sz w:val="24"/>
        <w:szCs w:val="24"/>
      </w:rPr>
      <w:fldChar w:fldCharType="begin"/>
    </w:r>
    <w:r>
      <w:rPr>
        <w:sz w:val="24"/>
        <w:b/>
        <w:szCs w:val="24"/>
      </w:rPr>
      <w:instrText xml:space="preserve"> PAGE </w:instrText>
    </w:r>
    <w:r>
      <w:rPr>
        <w:sz w:val="24"/>
        <w:b/>
        <w:szCs w:val="24"/>
      </w:rPr>
      <w:fldChar w:fldCharType="separate"/>
    </w:r>
    <w:r>
      <w:rPr>
        <w:sz w:val="24"/>
        <w:b/>
        <w:szCs w:val="24"/>
      </w:rPr>
      <w:t>5</w:t>
    </w:r>
    <w:r>
      <w:rPr>
        <w:sz w:val="24"/>
        <w:b/>
        <w:szCs w:val="24"/>
      </w:rPr>
      <w:fldChar w:fldCharType="end"/>
    </w:r>
    <w:r>
      <w:rPr/>
      <w:t xml:space="preserve"> of </w:t>
    </w:r>
    <w:r>
      <w:rPr>
        <w:b/>
        <w:sz w:val="24"/>
        <w:szCs w:val="24"/>
      </w:rPr>
      <w:fldChar w:fldCharType="begin"/>
    </w:r>
    <w:r>
      <w:rPr>
        <w:sz w:val="24"/>
        <w:b/>
        <w:szCs w:val="24"/>
      </w:rPr>
      <w:instrText xml:space="preserve"> NUMPAGES </w:instrText>
    </w:r>
    <w:r>
      <w:rPr>
        <w:sz w:val="24"/>
        <w:b/>
        <w:szCs w:val="24"/>
      </w:rPr>
      <w:fldChar w:fldCharType="separate"/>
    </w:r>
    <w:r>
      <w:rPr>
        <w:sz w:val="24"/>
        <w:b/>
        <w:szCs w:val="24"/>
      </w:rPr>
      <w:t>10</w:t>
    </w:r>
    <w:r>
      <w:rPr>
        <w:sz w:val="24"/>
        <w:b/>
        <w:szCs w:val="24"/>
      </w:rP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5"/>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GB" w:bidi="ar-SA"/>
    </w:rPr>
  </w:style>
  <w:style w:type="paragraph" w:styleId="Heading1">
    <w:name w:val="Heading 1"/>
    <w:basedOn w:val="Normal"/>
    <w:next w:val="Normal"/>
    <w:qFormat/>
    <w:pPr>
      <w:keepNext w:val="true"/>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val="true"/>
      <w:jc w:val="both"/>
      <w:outlineLvl w:val="1"/>
    </w:pPr>
    <w:rPr>
      <w:b/>
      <w:sz w:val="24"/>
    </w:rPr>
  </w:style>
  <w:style w:type="paragraph" w:styleId="Heading3">
    <w:name w:val="Heading 3"/>
    <w:basedOn w:val="Normal"/>
    <w:next w:val="Normal"/>
    <w:qFormat/>
    <w:pPr>
      <w:keepNext w:val="true"/>
      <w:jc w:val="center"/>
      <w:outlineLvl w:val="2"/>
    </w:pPr>
    <w:rPr>
      <w:b/>
      <w:sz w:val="24"/>
    </w:rPr>
  </w:style>
  <w:style w:type="paragraph" w:styleId="Heading4">
    <w:name w:val="Heading 4"/>
    <w:basedOn w:val="Normal"/>
    <w:next w:val="Normal"/>
    <w:qFormat/>
    <w:pPr>
      <w:keepNext w:val="true"/>
      <w:spacing w:before="120" w:after="120"/>
      <w:jc w:val="center"/>
      <w:outlineLvl w:val="3"/>
    </w:pPr>
    <w:rPr>
      <w:sz w:val="40"/>
    </w:rPr>
  </w:style>
  <w:style w:type="paragraph" w:styleId="Heading6">
    <w:name w:val="Heading 6"/>
    <w:basedOn w:val="Normal"/>
    <w:next w:val="Normal"/>
    <w:link w:val="Heading6Char"/>
    <w:qFormat/>
    <w:rsid w:val="008a62bc"/>
    <w:pPr>
      <w:keepNext w:val="true"/>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153" w:leader="none"/>
        <w:tab w:val="right" w:pos="8306" w:leader="none"/>
      </w:tabs>
    </w:pPr>
    <w:rPr/>
  </w:style>
  <w:style w:type="paragraph" w:styleId="Footer">
    <w:name w:val="Footer"/>
    <w:basedOn w:val="Normal"/>
    <w:link w:val="FooterChar"/>
    <w:uiPriority w:val="99"/>
    <w:pPr>
      <w:tabs>
        <w:tab w:val="clear" w:pos="720"/>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numPr>
        <w:ilvl w:val="0"/>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contextualSpacing/>
    </w:pPr>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customXml" Target="../customXml/item2.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4.xml"/><Relationship Id="rId11" Type="http://schemas.openxmlformats.org/officeDocument/2006/relationships/customXml" Target="../customXml/item1.xml"/><Relationship Id="rId5" Type="http://schemas.openxmlformats.org/officeDocument/2006/relationships/footer" Target="footer3.xml"/><Relationship Id="rId10" Type="http://schemas.openxmlformats.org/officeDocument/2006/relationships/theme" Target="theme/theme1.xml"/><Relationship Id="rId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411B77-B9EF-40D3-8A5B-635963178FAE}"/>
</file>

<file path=customXml/itemProps2.xml><?xml version="1.0" encoding="utf-8"?>
<ds:datastoreItem xmlns:ds="http://schemas.openxmlformats.org/officeDocument/2006/customXml" ds:itemID="{548F0FDF-9421-46E6-85BC-31426D10CA96}"/>
</file>

<file path=customXml/itemProps3.xml><?xml version="1.0" encoding="utf-8"?>
<ds:datastoreItem xmlns:ds="http://schemas.openxmlformats.org/officeDocument/2006/customXml" ds:itemID="{20788909-742D-4564-B8C8-42D5264D51AE}"/>
</file>

<file path=docProps/app.xml><?xml version="1.0" encoding="utf-8"?>
<Properties xmlns="http://schemas.openxmlformats.org/officeDocument/2006/extended-properties" xmlns:vt="http://schemas.openxmlformats.org/officeDocument/2006/docPropsVTypes">
  <Template>AssignFrm</Template>
  <TotalTime>25</TotalTime>
  <Application>LibreOffice/7.6.2.1$MacOSX_AARCH64 LibreOffice_project/56f7684011345957bbf33a7ee678afaf4d2ba333</Application>
  <AppVersion>15.0000</AppVersion>
  <Pages>10</Pages>
  <Words>3300</Words>
  <Characters>19644</Characters>
  <CharactersWithSpaces>22825</CharactersWithSpaces>
  <Paragraphs>202</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dc:description>August 2018</dc:description>
  <cp:lastModifiedBy>KRH</cp:lastModifiedBy>
  <cp:revision>13</cp:revision>
  <cp:lastPrinted>2014-10-10T07:42:00Z</cp:lastPrinted>
  <dcterms:created xsi:type="dcterms:W3CDTF">2018-07-09T16:02:00Z</dcterms:created>
  <dcterms:modified xsi:type="dcterms:W3CDTF">2024-09-10T23:06:19Z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y fmtid="{D5CDD505-2E9C-101B-9397-08002B2CF9AE}" pid="5" name="ContentTypeId">
    <vt:lpwstr>0x010100347A65D36072074F9E667D481AA80FD5</vt:lpwstr>
  </property>
</Properties>
</file>