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BBA201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A7E37">
              <w:rPr>
                <w:rFonts w:ascii="Times New Roman" w:hAnsi="Times New Roman" w:cs="Times New Roman"/>
                <w:b/>
                <w:color w:val="auto"/>
                <w:sz w:val="48"/>
              </w:rPr>
              <w:t>Annalize Dawe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D01F59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FA7E37">
              <w:rPr>
                <w:rFonts w:ascii="Times New Roman" w:hAnsi="Times New Roman" w:cs="Times New Roman"/>
                <w:b/>
                <w:color w:val="auto"/>
                <w:sz w:val="48"/>
              </w:rPr>
              <w:t>Annalize.dawe@swansea.gov.uk</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D3C191E"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1822B5" w:rsidRPr="001822B5">
              <w:rPr>
                <w:rFonts w:asciiTheme="minorHAnsi" w:eastAsiaTheme="minorEastAsia" w:hAnsiTheme="minorHAnsi" w:cstheme="minorBidi"/>
                <w:color w:val="auto"/>
                <w:kern w:val="2"/>
                <w:sz w:val="24"/>
                <w:szCs w:val="24"/>
                <w14:ligatures w14:val="standardContextual"/>
              </w:rPr>
              <w:t xml:space="preserve"> </w:t>
            </w:r>
            <w:r w:rsidR="001822B5" w:rsidRPr="001822B5">
              <w:rPr>
                <w:rFonts w:ascii="Times New Roman" w:hAnsi="Times New Roman" w:cs="Times New Roman"/>
                <w:b/>
                <w:color w:val="auto"/>
                <w:sz w:val="48"/>
              </w:rPr>
              <w:object w:dxaOrig="9026" w:dyaOrig="414" w14:anchorId="2C9529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2pt;height:21pt" o:ole="">
                  <v:imagedata r:id="rId12" o:title=""/>
                </v:shape>
                <o:OLEObject Type="Embed" ProgID="Word.Document.12" ShapeID="_x0000_i1025" DrawAspect="Content" ObjectID="_1789809450" r:id="rId13">
                  <o:FieldCodes>\s</o:FieldCodes>
                </o:OLEObject>
              </w:objec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165FD3A1" w14:textId="77777777" w:rsidR="000B256E" w:rsidRPr="001822B5" w:rsidRDefault="000B256E" w:rsidP="000B256E">
            <w:pPr>
              <w:rPr>
                <w:sz w:val="24"/>
                <w:szCs w:val="24"/>
              </w:rPr>
            </w:pPr>
            <w:r w:rsidRPr="001822B5">
              <w:rPr>
                <w:sz w:val="24"/>
                <w:szCs w:val="24"/>
              </w:rPr>
              <w:t>Safeguarding procedures that involve children in Wales and nationally are governed by legal frameworks and statutory procedures. These are in place to Protect children at risk of Abuse and neglect. There is a statutory duty for social workers and other professionals to work to ensure the Welfare and safety of children and young people. Legislation and Policies are in place to guide and inform practice.</w:t>
            </w:r>
          </w:p>
          <w:p w14:paraId="75469363" w14:textId="77777777" w:rsidR="000B256E" w:rsidRPr="001822B5" w:rsidRDefault="000B256E" w:rsidP="000B256E">
            <w:pPr>
              <w:rPr>
                <w:sz w:val="24"/>
                <w:szCs w:val="24"/>
              </w:rPr>
            </w:pPr>
            <w:r w:rsidRPr="001822B5">
              <w:rPr>
                <w:sz w:val="24"/>
                <w:szCs w:val="24"/>
              </w:rPr>
              <w:t xml:space="preserve">Safeguarding procedures in Wales are governed by the Social Services and Well-being (Wales) Act 2014 (SSWBA). The act provides the legal framework for promoting the well-being and safeguarding. The act sets of legalities specific to children’s services. It puts a duty on local authorities to </w:t>
            </w:r>
            <w:proofErr w:type="gramStart"/>
            <w:r w:rsidRPr="001822B5">
              <w:rPr>
                <w:sz w:val="24"/>
                <w:szCs w:val="24"/>
              </w:rPr>
              <w:t>asses</w:t>
            </w:r>
            <w:proofErr w:type="gramEnd"/>
            <w:r w:rsidRPr="001822B5">
              <w:rPr>
                <w:sz w:val="24"/>
                <w:szCs w:val="24"/>
              </w:rPr>
              <w:t xml:space="preserve"> children in need and to promote their welfare. (Welsh Government, 2014). This includes their physical, mental, and emotional well-being, as well as their protection from harm. The Act promotes early intervention and preventative measures</w:t>
            </w:r>
          </w:p>
          <w:p w14:paraId="2F913D3E" w14:textId="77777777" w:rsidR="000B256E" w:rsidRPr="001822B5" w:rsidRDefault="000B256E" w:rsidP="000B256E">
            <w:pPr>
              <w:rPr>
                <w:sz w:val="24"/>
                <w:szCs w:val="24"/>
              </w:rPr>
            </w:pPr>
            <w:r w:rsidRPr="001822B5">
              <w:rPr>
                <w:sz w:val="24"/>
                <w:szCs w:val="24"/>
              </w:rPr>
              <w:t>The act encourages multi agency working to safeguarding children and focuses on working with children, families aiming for preventative measures before harm occurs.</w:t>
            </w:r>
          </w:p>
          <w:p w14:paraId="6D0C12AB" w14:textId="77777777" w:rsidR="00735639" w:rsidRPr="001822B5" w:rsidRDefault="00735639" w:rsidP="00735639">
            <w:pPr>
              <w:rPr>
                <w:color w:val="auto"/>
                <w:sz w:val="24"/>
                <w:szCs w:val="24"/>
              </w:rPr>
            </w:pPr>
            <w:r w:rsidRPr="001822B5">
              <w:rPr>
                <w:color w:val="auto"/>
                <w:sz w:val="24"/>
                <w:szCs w:val="24"/>
              </w:rPr>
              <w:t xml:space="preserve">Safeguarding procedures in Wales are also guided by the Wales Safeguarding Procedures (2019). These procedures steps that professionals need to follow when there are concerns raised about a child’s safety. The procedures include statutory guidance for care planning, allocation of resources and child protection conferences. These are in place to ensure that Children are safe guarded and that their needs are adequately met. </w:t>
            </w:r>
          </w:p>
          <w:p w14:paraId="147F271C" w14:textId="77777777" w:rsidR="00735639" w:rsidRPr="001822B5" w:rsidRDefault="00735639" w:rsidP="000B256E">
            <w:pPr>
              <w:rPr>
                <w:sz w:val="24"/>
                <w:szCs w:val="24"/>
              </w:rPr>
            </w:pPr>
          </w:p>
          <w:p w14:paraId="71E74C29" w14:textId="77777777" w:rsidR="000B256E" w:rsidRPr="001822B5" w:rsidRDefault="000B256E" w:rsidP="000B256E">
            <w:pPr>
              <w:rPr>
                <w:sz w:val="24"/>
                <w:szCs w:val="24"/>
              </w:rPr>
            </w:pPr>
            <w:r w:rsidRPr="001822B5">
              <w:rPr>
                <w:sz w:val="24"/>
                <w:szCs w:val="24"/>
              </w:rPr>
              <w:t xml:space="preserve">Legislation that is also relevant to Wales and the UK is the Children Act 1989. This is the overarching legislation in the UK that concerns Child protection and safeguarding. </w:t>
            </w:r>
          </w:p>
          <w:p w14:paraId="5161BC87" w14:textId="77777777" w:rsidR="000B256E" w:rsidRPr="001822B5" w:rsidRDefault="000B256E" w:rsidP="000B256E">
            <w:pPr>
              <w:rPr>
                <w:sz w:val="24"/>
                <w:szCs w:val="24"/>
              </w:rPr>
            </w:pPr>
            <w:r w:rsidRPr="001822B5">
              <w:rPr>
                <w:sz w:val="24"/>
                <w:szCs w:val="24"/>
              </w:rPr>
              <w:t xml:space="preserve">Section 47 of the act creates a duty on local authorities to act if there is cause to believe that child is suffering or is likely to suffer significant harm (Children Act 1989). The duties under section 47 state that if concerns are raised a child protection enquiry should be opened.  The Act puts an obligation on professionals in areas such as health, social care, education and emergency services to report concerns work together in safeguarding children.  (Williams, 2008). The Children Act was amended in 2004 which further emphasized the importance of </w:t>
            </w:r>
            <w:r w:rsidRPr="001822B5">
              <w:rPr>
                <w:sz w:val="24"/>
                <w:szCs w:val="24"/>
              </w:rPr>
              <w:lastRenderedPageBreak/>
              <w:t>multi-agency working and recommended a joined-up approach to safeguarding. This followed serious case reviews. (HM Government, 2004).</w:t>
            </w:r>
          </w:p>
          <w:p w14:paraId="2D8A55CB" w14:textId="77777777" w:rsidR="000B256E" w:rsidRPr="001822B5" w:rsidRDefault="000B256E" w:rsidP="000B256E">
            <w:pPr>
              <w:rPr>
                <w:color w:val="FF0000"/>
                <w:sz w:val="24"/>
                <w:szCs w:val="24"/>
              </w:rPr>
            </w:pPr>
          </w:p>
          <w:p w14:paraId="2F0A22EA" w14:textId="77777777" w:rsidR="000B256E" w:rsidRPr="001822B5" w:rsidRDefault="000B256E" w:rsidP="000B256E">
            <w:pPr>
              <w:rPr>
                <w:sz w:val="24"/>
                <w:szCs w:val="24"/>
              </w:rPr>
            </w:pPr>
            <w:r w:rsidRPr="001822B5">
              <w:rPr>
                <w:sz w:val="24"/>
                <w:szCs w:val="24"/>
              </w:rPr>
              <w:t xml:space="preserve">Legislation that is relevant nationally is the United Nations Convention on the Rights of the Child (UNCRC). This provides a framework that provides children with </w:t>
            </w:r>
            <w:proofErr w:type="gramStart"/>
            <w:r w:rsidRPr="001822B5">
              <w:rPr>
                <w:sz w:val="24"/>
                <w:szCs w:val="24"/>
              </w:rPr>
              <w:t>a number of</w:t>
            </w:r>
            <w:proofErr w:type="gramEnd"/>
            <w:r w:rsidRPr="001822B5">
              <w:rPr>
                <w:sz w:val="24"/>
                <w:szCs w:val="24"/>
              </w:rPr>
              <w:t xml:space="preserve"> rights, including right to life, well-being and safety (UN, 1989). The legislation underpins safeguarding practices in the UK and nationally. It ensures that </w:t>
            </w:r>
            <w:proofErr w:type="spellStart"/>
            <w:r w:rsidRPr="001822B5">
              <w:rPr>
                <w:sz w:val="24"/>
                <w:szCs w:val="24"/>
              </w:rPr>
              <w:t>Childrens</w:t>
            </w:r>
            <w:proofErr w:type="spellEnd"/>
            <w:r w:rsidRPr="001822B5">
              <w:rPr>
                <w:sz w:val="24"/>
                <w:szCs w:val="24"/>
              </w:rPr>
              <w:t xml:space="preserve"> rights and best interest are at the heart of safeguarding. </w:t>
            </w:r>
          </w:p>
          <w:p w14:paraId="6E15FD33" w14:textId="77777777" w:rsidR="00F41C2E" w:rsidRPr="001822B5" w:rsidRDefault="00F41C2E" w:rsidP="00FF7EBB">
            <w:pPr>
              <w:jc w:val="both"/>
              <w:rPr>
                <w:sz w:val="24"/>
                <w:szCs w:val="24"/>
              </w:rPr>
            </w:pPr>
          </w:p>
          <w:p w14:paraId="3C0800FF" w14:textId="77777777" w:rsidR="00446BE6" w:rsidRPr="001822B5" w:rsidRDefault="00446BE6" w:rsidP="00446BE6">
            <w:pPr>
              <w:rPr>
                <w:color w:val="auto"/>
                <w:sz w:val="24"/>
                <w:szCs w:val="24"/>
              </w:rPr>
            </w:pPr>
            <w:r w:rsidRPr="001822B5">
              <w:rPr>
                <w:color w:val="auto"/>
                <w:sz w:val="24"/>
                <w:szCs w:val="24"/>
              </w:rPr>
              <w:t xml:space="preserve">The Equality Act 2010 is also relevant to safeguarding children as </w:t>
            </w:r>
            <w:proofErr w:type="gramStart"/>
            <w:r w:rsidRPr="001822B5">
              <w:rPr>
                <w:color w:val="auto"/>
                <w:sz w:val="24"/>
                <w:szCs w:val="24"/>
              </w:rPr>
              <w:t>It</w:t>
            </w:r>
            <w:proofErr w:type="gramEnd"/>
            <w:r w:rsidRPr="001822B5">
              <w:rPr>
                <w:color w:val="auto"/>
                <w:sz w:val="24"/>
                <w:szCs w:val="24"/>
              </w:rPr>
              <w:t xml:space="preserve"> provides protection from discrimination. The act ensures that vulnerable individuals such as children, those with disabilities and individuals from minority backgrounds are not discriminated against. (HM Government, 2010).</w:t>
            </w:r>
          </w:p>
          <w:p w14:paraId="73248144" w14:textId="77777777" w:rsidR="00446BE6" w:rsidRPr="001822B5" w:rsidRDefault="00446BE6" w:rsidP="00FF7EBB">
            <w:pPr>
              <w:jc w:val="both"/>
              <w:rPr>
                <w:sz w:val="24"/>
                <w:szCs w:val="24"/>
              </w:rPr>
            </w:pPr>
          </w:p>
          <w:p w14:paraId="6A8A8FBA" w14:textId="28C68BAA" w:rsidR="00805D5A" w:rsidRPr="001822B5" w:rsidRDefault="00805D5A" w:rsidP="00805D5A">
            <w:pPr>
              <w:rPr>
                <w:color w:val="auto"/>
                <w:sz w:val="24"/>
                <w:szCs w:val="24"/>
              </w:rPr>
            </w:pPr>
            <w:r w:rsidRPr="001822B5">
              <w:rPr>
                <w:color w:val="auto"/>
                <w:sz w:val="24"/>
                <w:szCs w:val="24"/>
              </w:rPr>
              <w:t xml:space="preserve">Safeguarding children in Wales and nationally is governed by several pieces of legislation, policies and duties on professionals. The Social Services and Well-being (Wales) Act 2014, The </w:t>
            </w:r>
            <w:r w:rsidRPr="001822B5">
              <w:rPr>
                <w:sz w:val="24"/>
                <w:szCs w:val="24"/>
              </w:rPr>
              <w:t>Children’s</w:t>
            </w:r>
            <w:r w:rsidRPr="001822B5">
              <w:rPr>
                <w:color w:val="auto"/>
                <w:sz w:val="24"/>
                <w:szCs w:val="24"/>
              </w:rPr>
              <w:t xml:space="preserve"> Act 1989 and the UNCRC provide are pertinent in creating </w:t>
            </w:r>
            <w:r w:rsidRPr="001822B5">
              <w:rPr>
                <w:sz w:val="24"/>
                <w:szCs w:val="24"/>
              </w:rPr>
              <w:t>safeguarding</w:t>
            </w:r>
            <w:r w:rsidRPr="001822B5">
              <w:rPr>
                <w:color w:val="auto"/>
                <w:sz w:val="24"/>
                <w:szCs w:val="24"/>
              </w:rPr>
              <w:t xml:space="preserve"> practices and procedures that ensure that the child is paramount and that their welfare is prioritised. </w:t>
            </w:r>
          </w:p>
          <w:p w14:paraId="4A95F4DB" w14:textId="77777777" w:rsidR="00FC0334" w:rsidRDefault="00FC0334" w:rsidP="00FF7EBB">
            <w:pPr>
              <w:jc w:val="both"/>
              <w:rPr>
                <w:sz w:val="24"/>
                <w:szCs w:val="24"/>
              </w:rPr>
            </w:pPr>
          </w:p>
          <w:p w14:paraId="75DF59E2" w14:textId="106BB8B7" w:rsidR="00FC0334" w:rsidRDefault="00297A7B" w:rsidP="00FF7EBB">
            <w:pPr>
              <w:jc w:val="both"/>
              <w:rPr>
                <w:sz w:val="24"/>
                <w:szCs w:val="24"/>
              </w:rPr>
            </w:pPr>
            <w:r>
              <w:rPr>
                <w:sz w:val="24"/>
                <w:szCs w:val="24"/>
              </w:rPr>
              <w:t xml:space="preserve">526 words </w:t>
            </w: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62222DC2" w14:textId="77777777" w:rsidR="00411915" w:rsidRPr="00E92276" w:rsidRDefault="00411915" w:rsidP="00411915">
            <w:pPr>
              <w:rPr>
                <w:sz w:val="24"/>
                <w:szCs w:val="24"/>
              </w:rPr>
            </w:pPr>
            <w:r w:rsidRPr="00E92276">
              <w:rPr>
                <w:sz w:val="24"/>
                <w:szCs w:val="24"/>
              </w:rPr>
              <w:t xml:space="preserve">Safeguarding procedures when working with adults and children differ in </w:t>
            </w:r>
            <w:proofErr w:type="gramStart"/>
            <w:r w:rsidRPr="00E92276">
              <w:rPr>
                <w:sz w:val="24"/>
                <w:szCs w:val="24"/>
              </w:rPr>
              <w:t>a number of</w:t>
            </w:r>
            <w:proofErr w:type="gramEnd"/>
            <w:r w:rsidRPr="00E92276">
              <w:rPr>
                <w:sz w:val="24"/>
                <w:szCs w:val="24"/>
              </w:rPr>
              <w:t xml:space="preserve"> areas. A key difference is the legislation that governs the safeguarding procedures. </w:t>
            </w:r>
          </w:p>
          <w:p w14:paraId="54424DA2" w14:textId="1622101C" w:rsidR="00411915" w:rsidRPr="00E92276" w:rsidRDefault="00411915" w:rsidP="00411915">
            <w:pPr>
              <w:rPr>
                <w:sz w:val="24"/>
                <w:szCs w:val="24"/>
              </w:rPr>
            </w:pPr>
            <w:r w:rsidRPr="00E92276">
              <w:rPr>
                <w:sz w:val="24"/>
                <w:szCs w:val="24"/>
              </w:rPr>
              <w:t xml:space="preserve">One of the main </w:t>
            </w:r>
            <w:r w:rsidR="00BC60D4" w:rsidRPr="00E92276">
              <w:rPr>
                <w:sz w:val="24"/>
                <w:szCs w:val="24"/>
              </w:rPr>
              <w:t>differences</w:t>
            </w:r>
            <w:r w:rsidRPr="00E92276">
              <w:rPr>
                <w:sz w:val="24"/>
                <w:szCs w:val="24"/>
              </w:rPr>
              <w:t xml:space="preserve"> is that in children's services the main legislation that governs procedures is the Social Services and Well-being (Wales) Act 2014 (SSWBA) and the Children Act 1989. The Children Act 1989 provides the statutory foundation for child protection, ensuring that local authorities have a duty to investigate cases where a child is at risk of harm (HM Government, 1989).  Safeguarding Adults differs as it is primarily governed by the SSWBA, the act includes broader principles in relation to protecting vulnerable adults </w:t>
            </w:r>
          </w:p>
          <w:p w14:paraId="0EA917BF" w14:textId="33D0CF0D" w:rsidR="00411915" w:rsidRPr="00E92276" w:rsidRDefault="00411915" w:rsidP="00411915">
            <w:pPr>
              <w:rPr>
                <w:sz w:val="24"/>
                <w:szCs w:val="24"/>
              </w:rPr>
            </w:pPr>
            <w:r w:rsidRPr="00E92276">
              <w:rPr>
                <w:sz w:val="24"/>
                <w:szCs w:val="24"/>
              </w:rPr>
              <w:t xml:space="preserve">Another key distinction between Adult and Children’s safeguarding is the concept of consent. In adult safeguarding, Adults must consent to safeguarding interventions unless they have been deemed to lack the mental capacity to do so, as outlined by the Mental Capacity Act </w:t>
            </w:r>
            <w:r w:rsidRPr="00E92276">
              <w:rPr>
                <w:sz w:val="24"/>
                <w:szCs w:val="24"/>
              </w:rPr>
              <w:lastRenderedPageBreak/>
              <w:t>2005 (HM Government, 2005). The act states that adults should be presumed to have the capacity to make decisions unless proven otherwise.</w:t>
            </w:r>
          </w:p>
          <w:p w14:paraId="0800B057" w14:textId="77777777" w:rsidR="00411915" w:rsidRPr="00E92276" w:rsidRDefault="00411915" w:rsidP="00411915">
            <w:pPr>
              <w:rPr>
                <w:sz w:val="24"/>
                <w:szCs w:val="24"/>
              </w:rPr>
            </w:pPr>
          </w:p>
          <w:p w14:paraId="1D79A4B1" w14:textId="19D476A3" w:rsidR="00411915" w:rsidRPr="00E92276" w:rsidRDefault="00411915" w:rsidP="00411915">
            <w:pPr>
              <w:rPr>
                <w:sz w:val="24"/>
                <w:szCs w:val="24"/>
              </w:rPr>
            </w:pPr>
            <w:r w:rsidRPr="00E92276">
              <w:rPr>
                <w:sz w:val="24"/>
                <w:szCs w:val="24"/>
              </w:rPr>
              <w:t xml:space="preserve"> Safeguarding procedures for children does not require the child to consent for intervention. Referrals and decisions can be made by professionals to take protective action in the child’s best interest. Consent does not need to be obtained from the parent or child for a professional to do this. (Welsh Government, 2019).</w:t>
            </w:r>
            <w:r w:rsidRPr="00E92276">
              <w:rPr>
                <w:sz w:val="24"/>
                <w:szCs w:val="24"/>
              </w:rPr>
              <w:br/>
            </w:r>
          </w:p>
          <w:p w14:paraId="7B7B4827" w14:textId="2AFB5D83" w:rsidR="00FC0334" w:rsidRPr="00E92276" w:rsidRDefault="000700CE" w:rsidP="00FC0334">
            <w:pPr>
              <w:jc w:val="both"/>
              <w:rPr>
                <w:sz w:val="24"/>
                <w:szCs w:val="24"/>
              </w:rPr>
            </w:pPr>
            <w:r w:rsidRPr="00E92276">
              <w:rPr>
                <w:sz w:val="24"/>
                <w:szCs w:val="24"/>
              </w:rPr>
              <w:t>Another difference in child and adult safeguarding is that adults are legally allowed to make unwise decisions or decisions that could place them at risk, this includes being able to self-neglect. This is ruled by the Mental Capacity Act 2005, which states that adults have a right to make their own decisions and choices, even if those decisions are deemed to be unwise (HM Government, 2005).</w:t>
            </w:r>
          </w:p>
          <w:p w14:paraId="1F815B79" w14:textId="77777777" w:rsidR="00BC60D4" w:rsidRPr="00E92276" w:rsidRDefault="00BC60D4" w:rsidP="00FC0334">
            <w:pPr>
              <w:jc w:val="both"/>
              <w:rPr>
                <w:sz w:val="24"/>
                <w:szCs w:val="24"/>
              </w:rPr>
            </w:pPr>
          </w:p>
          <w:p w14:paraId="63030730" w14:textId="77777777" w:rsidR="00BC60D4" w:rsidRPr="00E92276" w:rsidRDefault="00BC60D4" w:rsidP="00BC60D4">
            <w:pPr>
              <w:rPr>
                <w:sz w:val="24"/>
                <w:szCs w:val="24"/>
              </w:rPr>
            </w:pPr>
            <w:r w:rsidRPr="00E92276">
              <w:rPr>
                <w:sz w:val="24"/>
                <w:szCs w:val="24"/>
              </w:rPr>
              <w:t>In children’s safeguarding self-neglect is not permitted, Children are not seen to be able to make decisions in relation to self-neglecting.  They are deemed to lack the legal capacity to make these decisions, Safeguarding actions are often compulsory to ensure the welfare of the child. (Children Act 1989).</w:t>
            </w:r>
          </w:p>
          <w:p w14:paraId="2D20EBCE" w14:textId="77777777" w:rsidR="00BC60D4" w:rsidRPr="00E92276" w:rsidRDefault="00BC60D4" w:rsidP="00FC0334">
            <w:pPr>
              <w:jc w:val="both"/>
              <w:rPr>
                <w:sz w:val="24"/>
                <w:szCs w:val="24"/>
              </w:rPr>
            </w:pPr>
          </w:p>
          <w:p w14:paraId="5F313906" w14:textId="7E6593A9" w:rsidR="00C47FD6" w:rsidRPr="00E92276" w:rsidRDefault="00C47FD6" w:rsidP="00FC0334">
            <w:pPr>
              <w:jc w:val="both"/>
              <w:rPr>
                <w:sz w:val="24"/>
                <w:szCs w:val="24"/>
              </w:rPr>
            </w:pPr>
            <w:r w:rsidRPr="00E92276">
              <w:rPr>
                <w:sz w:val="24"/>
                <w:szCs w:val="24"/>
              </w:rPr>
              <w:t>Another difference is how safeguarding teams are structured. Within the local authority that I work in adult services has a dedicated safeguarding team and Mental Capacity Act team, who can provide information and advice specifically dealing with adult safeguarding cases. Within children's services, the allocated social worker is responsible for implementing the safeguarding procedures. This is part of their case management (Williams, 2008).</w:t>
            </w:r>
          </w:p>
          <w:p w14:paraId="1FE2E775" w14:textId="77777777" w:rsidR="00EC12B2" w:rsidRPr="00E92276" w:rsidRDefault="00EC12B2" w:rsidP="00FC0334">
            <w:pPr>
              <w:jc w:val="both"/>
              <w:rPr>
                <w:sz w:val="24"/>
                <w:szCs w:val="24"/>
              </w:rPr>
            </w:pPr>
          </w:p>
          <w:p w14:paraId="5D67E5E4" w14:textId="75EB427A" w:rsidR="00EC12B2" w:rsidRPr="00E92276" w:rsidRDefault="00EC12B2" w:rsidP="00FC0334">
            <w:pPr>
              <w:jc w:val="both"/>
              <w:rPr>
                <w:sz w:val="24"/>
                <w:szCs w:val="24"/>
              </w:rPr>
            </w:pPr>
            <w:r w:rsidRPr="00E92276">
              <w:rPr>
                <w:sz w:val="24"/>
                <w:szCs w:val="24"/>
              </w:rPr>
              <w:t xml:space="preserve">While both children’s and adults' safeguarding procedures work to protect vulnerable individuals as </w:t>
            </w:r>
            <w:proofErr w:type="gramStart"/>
            <w:r w:rsidRPr="00E92276">
              <w:rPr>
                <w:sz w:val="24"/>
                <w:szCs w:val="24"/>
              </w:rPr>
              <w:t>discussed</w:t>
            </w:r>
            <w:proofErr w:type="gramEnd"/>
            <w:r w:rsidRPr="00E92276">
              <w:rPr>
                <w:sz w:val="24"/>
                <w:szCs w:val="24"/>
              </w:rPr>
              <w:t xml:space="preserve"> their processes differ. Adults have more control and involvement in safeguarding decisions, while children's services work in the best interests of the child.</w:t>
            </w:r>
          </w:p>
          <w:p w14:paraId="1DA4EB4A" w14:textId="77777777" w:rsidR="00C81774" w:rsidRDefault="00C81774" w:rsidP="00FC0334">
            <w:pPr>
              <w:jc w:val="both"/>
              <w:rPr>
                <w:sz w:val="24"/>
                <w:szCs w:val="24"/>
              </w:rPr>
            </w:pPr>
          </w:p>
          <w:p w14:paraId="5B8D9F5D" w14:textId="1C496C08" w:rsidR="00C81774" w:rsidRDefault="00C81774" w:rsidP="00FC0334">
            <w:pPr>
              <w:jc w:val="both"/>
              <w:rPr>
                <w:sz w:val="24"/>
                <w:szCs w:val="24"/>
              </w:rPr>
            </w:pPr>
            <w:r>
              <w:rPr>
                <w:sz w:val="24"/>
                <w:szCs w:val="24"/>
              </w:rPr>
              <w:t>439 Words</w:t>
            </w: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4"/>
      <w:footerReference w:type="default" r:id="rId15"/>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3EC143" w14:textId="77777777" w:rsidR="001C7DE6" w:rsidRDefault="001C7DE6">
      <w:r>
        <w:separator/>
      </w:r>
    </w:p>
  </w:endnote>
  <w:endnote w:type="continuationSeparator" w:id="0">
    <w:p w14:paraId="0D216653" w14:textId="77777777" w:rsidR="001C7DE6" w:rsidRDefault="001C7D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268B0373" w:rsidR="00A5656A" w:rsidRDefault="00A5656A">
    <w:pPr>
      <w:pStyle w:val="Footer"/>
      <w:jc w:val="right"/>
    </w:pPr>
    <w:r>
      <w:fldChar w:fldCharType="begin"/>
    </w:r>
    <w:r>
      <w:instrText xml:space="preserve"> PAGE   \* MERGEFORMAT </w:instrText>
    </w:r>
    <w:r>
      <w:fldChar w:fldCharType="separate"/>
    </w:r>
    <w:r w:rsidR="003271C6">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723708" w14:textId="77777777" w:rsidR="001C7DE6" w:rsidRDefault="001C7DE6">
      <w:r>
        <w:separator/>
      </w:r>
    </w:p>
  </w:footnote>
  <w:footnote w:type="continuationSeparator" w:id="0">
    <w:p w14:paraId="7AEF8C17" w14:textId="77777777" w:rsidR="001C7DE6" w:rsidRDefault="001C7D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81016914">
    <w:abstractNumId w:val="1"/>
    <w:lvlOverride w:ilvl="0">
      <w:lvl w:ilvl="0">
        <w:start w:val="1"/>
        <w:numFmt w:val="bullet"/>
        <w:lvlText w:val=""/>
        <w:lvlJc w:val="left"/>
        <w:pPr>
          <w:ind w:left="720" w:hanging="360"/>
        </w:pPr>
        <w:rPr>
          <w:rFonts w:ascii="Symbol" w:hAnsi="Symbol" w:hint="default"/>
        </w:rPr>
      </w:lvl>
    </w:lvlOverride>
  </w:num>
  <w:num w:numId="2" w16cid:durableId="910432343">
    <w:abstractNumId w:val="22"/>
  </w:num>
  <w:num w:numId="3" w16cid:durableId="1434521254">
    <w:abstractNumId w:val="45"/>
  </w:num>
  <w:num w:numId="4" w16cid:durableId="1148667589">
    <w:abstractNumId w:val="47"/>
  </w:num>
  <w:num w:numId="5" w16cid:durableId="131026662">
    <w:abstractNumId w:val="34"/>
  </w:num>
  <w:num w:numId="6" w16cid:durableId="1750928666">
    <w:abstractNumId w:val="32"/>
  </w:num>
  <w:num w:numId="7" w16cid:durableId="77990930">
    <w:abstractNumId w:val="29"/>
  </w:num>
  <w:num w:numId="8" w16cid:durableId="1732386510">
    <w:abstractNumId w:val="30"/>
  </w:num>
  <w:num w:numId="9" w16cid:durableId="348870939">
    <w:abstractNumId w:val="10"/>
  </w:num>
  <w:num w:numId="10" w16cid:durableId="384568706">
    <w:abstractNumId w:val="33"/>
  </w:num>
  <w:num w:numId="11" w16cid:durableId="127284683">
    <w:abstractNumId w:val="17"/>
  </w:num>
  <w:num w:numId="12" w16cid:durableId="640614904">
    <w:abstractNumId w:val="16"/>
  </w:num>
  <w:num w:numId="13" w16cid:durableId="837576072">
    <w:abstractNumId w:val="27"/>
  </w:num>
  <w:num w:numId="14" w16cid:durableId="846015653">
    <w:abstractNumId w:val="8"/>
  </w:num>
  <w:num w:numId="15" w16cid:durableId="1562667889">
    <w:abstractNumId w:val="26"/>
  </w:num>
  <w:num w:numId="16" w16cid:durableId="74523709">
    <w:abstractNumId w:val="15"/>
  </w:num>
  <w:num w:numId="17" w16cid:durableId="1599168964">
    <w:abstractNumId w:val="13"/>
  </w:num>
  <w:num w:numId="18" w16cid:durableId="64955948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74745982">
    <w:abstractNumId w:val="23"/>
  </w:num>
  <w:num w:numId="20" w16cid:durableId="2051563574">
    <w:abstractNumId w:val="18"/>
  </w:num>
  <w:num w:numId="21" w16cid:durableId="154035230">
    <w:abstractNumId w:val="14"/>
  </w:num>
  <w:num w:numId="22" w16cid:durableId="280499503">
    <w:abstractNumId w:val="11"/>
  </w:num>
  <w:num w:numId="23" w16cid:durableId="1711495856">
    <w:abstractNumId w:val="28"/>
  </w:num>
  <w:num w:numId="24" w16cid:durableId="1623612712">
    <w:abstractNumId w:val="19"/>
  </w:num>
  <w:num w:numId="25" w16cid:durableId="632294541">
    <w:abstractNumId w:val="41"/>
  </w:num>
  <w:num w:numId="26" w16cid:durableId="1240366887">
    <w:abstractNumId w:val="35"/>
  </w:num>
  <w:num w:numId="27" w16cid:durableId="1517696891">
    <w:abstractNumId w:val="40"/>
  </w:num>
  <w:num w:numId="28" w16cid:durableId="830677366">
    <w:abstractNumId w:val="20"/>
  </w:num>
  <w:num w:numId="29" w16cid:durableId="1050037921">
    <w:abstractNumId w:val="43"/>
  </w:num>
  <w:num w:numId="30" w16cid:durableId="1949770984">
    <w:abstractNumId w:val="31"/>
  </w:num>
  <w:num w:numId="31" w16cid:durableId="1457986256">
    <w:abstractNumId w:val="12"/>
  </w:num>
  <w:num w:numId="32" w16cid:durableId="790707533">
    <w:abstractNumId w:val="44"/>
  </w:num>
  <w:num w:numId="33" w16cid:durableId="1021586135">
    <w:abstractNumId w:val="39"/>
  </w:num>
  <w:num w:numId="34" w16cid:durableId="947277487">
    <w:abstractNumId w:val="5"/>
  </w:num>
  <w:num w:numId="35" w16cid:durableId="817961195">
    <w:abstractNumId w:val="46"/>
  </w:num>
  <w:num w:numId="36" w16cid:durableId="417217276">
    <w:abstractNumId w:val="42"/>
  </w:num>
  <w:num w:numId="37" w16cid:durableId="1820540160">
    <w:abstractNumId w:val="36"/>
  </w:num>
  <w:num w:numId="38" w16cid:durableId="1993287274">
    <w:abstractNumId w:val="37"/>
  </w:num>
  <w:num w:numId="39" w16cid:durableId="873809019">
    <w:abstractNumId w:val="4"/>
  </w:num>
  <w:num w:numId="40" w16cid:durableId="1161391121">
    <w:abstractNumId w:val="6"/>
  </w:num>
  <w:num w:numId="41" w16cid:durableId="441844149">
    <w:abstractNumId w:val="25"/>
  </w:num>
  <w:num w:numId="42" w16cid:durableId="558444991">
    <w:abstractNumId w:val="7"/>
  </w:num>
  <w:num w:numId="43" w16cid:durableId="1755936986">
    <w:abstractNumId w:val="3"/>
  </w:num>
  <w:num w:numId="44" w16cid:durableId="1930500561">
    <w:abstractNumId w:val="38"/>
  </w:num>
  <w:num w:numId="45" w16cid:durableId="1340540098">
    <w:abstractNumId w:val="0"/>
  </w:num>
  <w:num w:numId="46" w16cid:durableId="1682970170">
    <w:abstractNumId w:val="14"/>
  </w:num>
  <w:num w:numId="47" w16cid:durableId="1765959275">
    <w:abstractNumId w:val="48"/>
  </w:num>
  <w:num w:numId="48" w16cid:durableId="3841087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020087943">
    <w:abstractNumId w:val="11"/>
  </w:num>
  <w:num w:numId="50" w16cid:durableId="881593309">
    <w:abstractNumId w:val="28"/>
  </w:num>
  <w:num w:numId="51" w16cid:durableId="1289431803">
    <w:abstractNumId w:val="24"/>
  </w:num>
  <w:num w:numId="52" w16cid:durableId="1469010509">
    <w:abstractNumId w:val="21"/>
  </w:num>
  <w:num w:numId="53" w16cid:durableId="446049071">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4BD5"/>
    <w:rsid w:val="00011F6E"/>
    <w:rsid w:val="00012B16"/>
    <w:rsid w:val="00015937"/>
    <w:rsid w:val="000162F1"/>
    <w:rsid w:val="00020EEC"/>
    <w:rsid w:val="0002440E"/>
    <w:rsid w:val="0002759A"/>
    <w:rsid w:val="00027B1F"/>
    <w:rsid w:val="0003088B"/>
    <w:rsid w:val="000325D9"/>
    <w:rsid w:val="000372B2"/>
    <w:rsid w:val="0004079F"/>
    <w:rsid w:val="00043543"/>
    <w:rsid w:val="00045B87"/>
    <w:rsid w:val="00045C07"/>
    <w:rsid w:val="00045C40"/>
    <w:rsid w:val="00046861"/>
    <w:rsid w:val="00053272"/>
    <w:rsid w:val="00054A07"/>
    <w:rsid w:val="00055D43"/>
    <w:rsid w:val="00056FAC"/>
    <w:rsid w:val="00057751"/>
    <w:rsid w:val="00062E39"/>
    <w:rsid w:val="00064063"/>
    <w:rsid w:val="0006581A"/>
    <w:rsid w:val="000700CE"/>
    <w:rsid w:val="00074461"/>
    <w:rsid w:val="000766EC"/>
    <w:rsid w:val="00080E58"/>
    <w:rsid w:val="00083D99"/>
    <w:rsid w:val="00084DA6"/>
    <w:rsid w:val="00085699"/>
    <w:rsid w:val="00090160"/>
    <w:rsid w:val="00091F52"/>
    <w:rsid w:val="00092970"/>
    <w:rsid w:val="00093720"/>
    <w:rsid w:val="000938E6"/>
    <w:rsid w:val="00093B3C"/>
    <w:rsid w:val="00093C7C"/>
    <w:rsid w:val="0009488C"/>
    <w:rsid w:val="00095C1B"/>
    <w:rsid w:val="00096DEA"/>
    <w:rsid w:val="000A2195"/>
    <w:rsid w:val="000A4240"/>
    <w:rsid w:val="000A469A"/>
    <w:rsid w:val="000A584A"/>
    <w:rsid w:val="000A6458"/>
    <w:rsid w:val="000B1E93"/>
    <w:rsid w:val="000B256E"/>
    <w:rsid w:val="000C378F"/>
    <w:rsid w:val="000C6892"/>
    <w:rsid w:val="000C6FFE"/>
    <w:rsid w:val="000D0BB6"/>
    <w:rsid w:val="000D2ED2"/>
    <w:rsid w:val="000D6653"/>
    <w:rsid w:val="000E0D51"/>
    <w:rsid w:val="000E2283"/>
    <w:rsid w:val="000E26B0"/>
    <w:rsid w:val="000E37C2"/>
    <w:rsid w:val="000E38C3"/>
    <w:rsid w:val="000F1599"/>
    <w:rsid w:val="000F1769"/>
    <w:rsid w:val="000F1A97"/>
    <w:rsid w:val="000F42AE"/>
    <w:rsid w:val="000F58FF"/>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47F27"/>
    <w:rsid w:val="00150794"/>
    <w:rsid w:val="00151DA6"/>
    <w:rsid w:val="001608C4"/>
    <w:rsid w:val="00164832"/>
    <w:rsid w:val="00171418"/>
    <w:rsid w:val="001772BF"/>
    <w:rsid w:val="001772DE"/>
    <w:rsid w:val="001822B5"/>
    <w:rsid w:val="0019496C"/>
    <w:rsid w:val="001961CF"/>
    <w:rsid w:val="001A59BB"/>
    <w:rsid w:val="001A607E"/>
    <w:rsid w:val="001A6A51"/>
    <w:rsid w:val="001A79C4"/>
    <w:rsid w:val="001B331A"/>
    <w:rsid w:val="001C0237"/>
    <w:rsid w:val="001C0E74"/>
    <w:rsid w:val="001C2FE7"/>
    <w:rsid w:val="001C4DB8"/>
    <w:rsid w:val="001C50B8"/>
    <w:rsid w:val="001C7DE6"/>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1FA1"/>
    <w:rsid w:val="0024288B"/>
    <w:rsid w:val="00243DB0"/>
    <w:rsid w:val="00247265"/>
    <w:rsid w:val="00260663"/>
    <w:rsid w:val="002657E9"/>
    <w:rsid w:val="0026665E"/>
    <w:rsid w:val="0027147E"/>
    <w:rsid w:val="002761F4"/>
    <w:rsid w:val="002775E1"/>
    <w:rsid w:val="00277979"/>
    <w:rsid w:val="00284A8C"/>
    <w:rsid w:val="00291ADD"/>
    <w:rsid w:val="002920DF"/>
    <w:rsid w:val="00292F3D"/>
    <w:rsid w:val="00295CA1"/>
    <w:rsid w:val="00297A7B"/>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0B6"/>
    <w:rsid w:val="002F4F6E"/>
    <w:rsid w:val="003015C3"/>
    <w:rsid w:val="003106DB"/>
    <w:rsid w:val="0031350A"/>
    <w:rsid w:val="00316815"/>
    <w:rsid w:val="003168CA"/>
    <w:rsid w:val="00321255"/>
    <w:rsid w:val="003219A5"/>
    <w:rsid w:val="0032230D"/>
    <w:rsid w:val="00322A0B"/>
    <w:rsid w:val="003271C6"/>
    <w:rsid w:val="00330881"/>
    <w:rsid w:val="00331CD2"/>
    <w:rsid w:val="00332426"/>
    <w:rsid w:val="00335C41"/>
    <w:rsid w:val="00335FC5"/>
    <w:rsid w:val="0033771E"/>
    <w:rsid w:val="00337FEF"/>
    <w:rsid w:val="00354B6D"/>
    <w:rsid w:val="00355210"/>
    <w:rsid w:val="00355CFD"/>
    <w:rsid w:val="00365DF9"/>
    <w:rsid w:val="0037066E"/>
    <w:rsid w:val="003722B0"/>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5CD"/>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2E18"/>
    <w:rsid w:val="003F67A4"/>
    <w:rsid w:val="00400786"/>
    <w:rsid w:val="00401FDA"/>
    <w:rsid w:val="004046F0"/>
    <w:rsid w:val="0040668F"/>
    <w:rsid w:val="00411915"/>
    <w:rsid w:val="00411EF7"/>
    <w:rsid w:val="00412677"/>
    <w:rsid w:val="00425160"/>
    <w:rsid w:val="00427BDB"/>
    <w:rsid w:val="00430DE3"/>
    <w:rsid w:val="004348AE"/>
    <w:rsid w:val="00434F61"/>
    <w:rsid w:val="004376C0"/>
    <w:rsid w:val="0044223A"/>
    <w:rsid w:val="00446BE6"/>
    <w:rsid w:val="00450B67"/>
    <w:rsid w:val="00451851"/>
    <w:rsid w:val="0045189A"/>
    <w:rsid w:val="00453343"/>
    <w:rsid w:val="004538C3"/>
    <w:rsid w:val="004608B9"/>
    <w:rsid w:val="00463B55"/>
    <w:rsid w:val="00465947"/>
    <w:rsid w:val="004667B1"/>
    <w:rsid w:val="00467F66"/>
    <w:rsid w:val="00470461"/>
    <w:rsid w:val="00470BB1"/>
    <w:rsid w:val="00470EF0"/>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A62D4"/>
    <w:rsid w:val="004B5553"/>
    <w:rsid w:val="004B600B"/>
    <w:rsid w:val="004B6822"/>
    <w:rsid w:val="004B69F6"/>
    <w:rsid w:val="004C107C"/>
    <w:rsid w:val="004C2D3A"/>
    <w:rsid w:val="004D03C4"/>
    <w:rsid w:val="004D0BF1"/>
    <w:rsid w:val="004D0F4E"/>
    <w:rsid w:val="004D3278"/>
    <w:rsid w:val="004D35A4"/>
    <w:rsid w:val="004D445F"/>
    <w:rsid w:val="004E087B"/>
    <w:rsid w:val="004E2598"/>
    <w:rsid w:val="004E44A4"/>
    <w:rsid w:val="004E7B8B"/>
    <w:rsid w:val="004E7BDD"/>
    <w:rsid w:val="004F1966"/>
    <w:rsid w:val="004F1E21"/>
    <w:rsid w:val="004F2542"/>
    <w:rsid w:val="004F4E33"/>
    <w:rsid w:val="004F740D"/>
    <w:rsid w:val="004F7B8F"/>
    <w:rsid w:val="00500748"/>
    <w:rsid w:val="005011D6"/>
    <w:rsid w:val="00502A14"/>
    <w:rsid w:val="005038BC"/>
    <w:rsid w:val="005042F1"/>
    <w:rsid w:val="0050481B"/>
    <w:rsid w:val="005113D4"/>
    <w:rsid w:val="0051287D"/>
    <w:rsid w:val="00513C7D"/>
    <w:rsid w:val="00521123"/>
    <w:rsid w:val="00521221"/>
    <w:rsid w:val="0052250B"/>
    <w:rsid w:val="005305C6"/>
    <w:rsid w:val="00540EEC"/>
    <w:rsid w:val="005414F4"/>
    <w:rsid w:val="00546187"/>
    <w:rsid w:val="00546D4E"/>
    <w:rsid w:val="00547B11"/>
    <w:rsid w:val="00557D77"/>
    <w:rsid w:val="00562B7B"/>
    <w:rsid w:val="00562EAA"/>
    <w:rsid w:val="00563B58"/>
    <w:rsid w:val="005640C4"/>
    <w:rsid w:val="0056684C"/>
    <w:rsid w:val="00573628"/>
    <w:rsid w:val="00574A0C"/>
    <w:rsid w:val="0057780F"/>
    <w:rsid w:val="00581E0A"/>
    <w:rsid w:val="0058204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1F53"/>
    <w:rsid w:val="00606E27"/>
    <w:rsid w:val="006108C9"/>
    <w:rsid w:val="00614DF7"/>
    <w:rsid w:val="006179BB"/>
    <w:rsid w:val="0062158D"/>
    <w:rsid w:val="006223FD"/>
    <w:rsid w:val="00630E67"/>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187F"/>
    <w:rsid w:val="00682334"/>
    <w:rsid w:val="00684732"/>
    <w:rsid w:val="00684B16"/>
    <w:rsid w:val="00687016"/>
    <w:rsid w:val="006872A0"/>
    <w:rsid w:val="0069198E"/>
    <w:rsid w:val="0069625A"/>
    <w:rsid w:val="00696A88"/>
    <w:rsid w:val="00696F65"/>
    <w:rsid w:val="00697572"/>
    <w:rsid w:val="006B4496"/>
    <w:rsid w:val="006B5E67"/>
    <w:rsid w:val="006B6612"/>
    <w:rsid w:val="006C2EB5"/>
    <w:rsid w:val="006D18A3"/>
    <w:rsid w:val="006D5970"/>
    <w:rsid w:val="006E3A0D"/>
    <w:rsid w:val="006E481E"/>
    <w:rsid w:val="006E795F"/>
    <w:rsid w:val="006F0862"/>
    <w:rsid w:val="006F1438"/>
    <w:rsid w:val="006F2A9E"/>
    <w:rsid w:val="006F3BEF"/>
    <w:rsid w:val="006F5ED3"/>
    <w:rsid w:val="00700249"/>
    <w:rsid w:val="007069CD"/>
    <w:rsid w:val="00706BB5"/>
    <w:rsid w:val="0071231A"/>
    <w:rsid w:val="00712E90"/>
    <w:rsid w:val="00713B7E"/>
    <w:rsid w:val="0072678F"/>
    <w:rsid w:val="007276E5"/>
    <w:rsid w:val="00727C4C"/>
    <w:rsid w:val="00734809"/>
    <w:rsid w:val="0073563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24FA"/>
    <w:rsid w:val="007F312E"/>
    <w:rsid w:val="007F3F7E"/>
    <w:rsid w:val="007F4BA4"/>
    <w:rsid w:val="00805D5A"/>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2B50"/>
    <w:rsid w:val="0087369F"/>
    <w:rsid w:val="00875DB4"/>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2F62"/>
    <w:rsid w:val="00926436"/>
    <w:rsid w:val="00926C53"/>
    <w:rsid w:val="0093018C"/>
    <w:rsid w:val="0094495F"/>
    <w:rsid w:val="009509C5"/>
    <w:rsid w:val="009544C0"/>
    <w:rsid w:val="00954FA4"/>
    <w:rsid w:val="00956AE9"/>
    <w:rsid w:val="00964CC6"/>
    <w:rsid w:val="00967BFA"/>
    <w:rsid w:val="0098262C"/>
    <w:rsid w:val="0098427C"/>
    <w:rsid w:val="00986B43"/>
    <w:rsid w:val="00986C0B"/>
    <w:rsid w:val="00986D46"/>
    <w:rsid w:val="00991FDA"/>
    <w:rsid w:val="00992ACA"/>
    <w:rsid w:val="00992B9D"/>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36E2"/>
    <w:rsid w:val="00A94C41"/>
    <w:rsid w:val="00A94C5E"/>
    <w:rsid w:val="00AA252C"/>
    <w:rsid w:val="00AA666E"/>
    <w:rsid w:val="00AA7960"/>
    <w:rsid w:val="00AB5518"/>
    <w:rsid w:val="00AC3A0E"/>
    <w:rsid w:val="00AC4A04"/>
    <w:rsid w:val="00AC5679"/>
    <w:rsid w:val="00AD0CC3"/>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0749"/>
    <w:rsid w:val="00B31C91"/>
    <w:rsid w:val="00B3747F"/>
    <w:rsid w:val="00B42E76"/>
    <w:rsid w:val="00B430BA"/>
    <w:rsid w:val="00B43194"/>
    <w:rsid w:val="00B436BF"/>
    <w:rsid w:val="00B47734"/>
    <w:rsid w:val="00B50FBA"/>
    <w:rsid w:val="00B558EB"/>
    <w:rsid w:val="00B577D3"/>
    <w:rsid w:val="00B60466"/>
    <w:rsid w:val="00B6548F"/>
    <w:rsid w:val="00B71A32"/>
    <w:rsid w:val="00B72061"/>
    <w:rsid w:val="00B7502A"/>
    <w:rsid w:val="00B77305"/>
    <w:rsid w:val="00B774BD"/>
    <w:rsid w:val="00B82CC2"/>
    <w:rsid w:val="00B84A89"/>
    <w:rsid w:val="00B9256C"/>
    <w:rsid w:val="00B92BEF"/>
    <w:rsid w:val="00B94443"/>
    <w:rsid w:val="00B9689A"/>
    <w:rsid w:val="00B97056"/>
    <w:rsid w:val="00BA531E"/>
    <w:rsid w:val="00BA728B"/>
    <w:rsid w:val="00BB06BC"/>
    <w:rsid w:val="00BB06CB"/>
    <w:rsid w:val="00BB261F"/>
    <w:rsid w:val="00BB2887"/>
    <w:rsid w:val="00BB3B56"/>
    <w:rsid w:val="00BB5EAA"/>
    <w:rsid w:val="00BB5F11"/>
    <w:rsid w:val="00BB6638"/>
    <w:rsid w:val="00BB7FD2"/>
    <w:rsid w:val="00BC04FA"/>
    <w:rsid w:val="00BC1C22"/>
    <w:rsid w:val="00BC460B"/>
    <w:rsid w:val="00BC4ED3"/>
    <w:rsid w:val="00BC5725"/>
    <w:rsid w:val="00BC60D4"/>
    <w:rsid w:val="00BD30B1"/>
    <w:rsid w:val="00BE004F"/>
    <w:rsid w:val="00BE0F7B"/>
    <w:rsid w:val="00BE10C2"/>
    <w:rsid w:val="00BF0D6C"/>
    <w:rsid w:val="00C01D14"/>
    <w:rsid w:val="00C01D97"/>
    <w:rsid w:val="00C025B4"/>
    <w:rsid w:val="00C029EC"/>
    <w:rsid w:val="00C11449"/>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47FD6"/>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1774"/>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449C"/>
    <w:rsid w:val="00CF4784"/>
    <w:rsid w:val="00D0274B"/>
    <w:rsid w:val="00D0503D"/>
    <w:rsid w:val="00D052BC"/>
    <w:rsid w:val="00D07026"/>
    <w:rsid w:val="00D146AE"/>
    <w:rsid w:val="00D22C8F"/>
    <w:rsid w:val="00D3203C"/>
    <w:rsid w:val="00D32463"/>
    <w:rsid w:val="00D33491"/>
    <w:rsid w:val="00D3442D"/>
    <w:rsid w:val="00D36F00"/>
    <w:rsid w:val="00D44B67"/>
    <w:rsid w:val="00D44F8E"/>
    <w:rsid w:val="00D47C15"/>
    <w:rsid w:val="00D51FD5"/>
    <w:rsid w:val="00D55DE0"/>
    <w:rsid w:val="00D607EF"/>
    <w:rsid w:val="00D60F88"/>
    <w:rsid w:val="00D646BD"/>
    <w:rsid w:val="00D65558"/>
    <w:rsid w:val="00D71201"/>
    <w:rsid w:val="00D720C7"/>
    <w:rsid w:val="00D76CC2"/>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0F93"/>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276"/>
    <w:rsid w:val="00E929FD"/>
    <w:rsid w:val="00E93240"/>
    <w:rsid w:val="00E9479B"/>
    <w:rsid w:val="00E94E22"/>
    <w:rsid w:val="00E95F08"/>
    <w:rsid w:val="00E97171"/>
    <w:rsid w:val="00EA4D48"/>
    <w:rsid w:val="00EA7ADF"/>
    <w:rsid w:val="00EB1D79"/>
    <w:rsid w:val="00EB2173"/>
    <w:rsid w:val="00EB62E6"/>
    <w:rsid w:val="00EB695F"/>
    <w:rsid w:val="00EC12B2"/>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1C2E"/>
    <w:rsid w:val="00F444F0"/>
    <w:rsid w:val="00F446FF"/>
    <w:rsid w:val="00F44F95"/>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A7E37"/>
    <w:rsid w:val="00FB05DD"/>
    <w:rsid w:val="00FB0F7C"/>
    <w:rsid w:val="00FB24EA"/>
    <w:rsid w:val="00FB5FA6"/>
    <w:rsid w:val="00FC0334"/>
    <w:rsid w:val="00FC1310"/>
    <w:rsid w:val="00FC2FF3"/>
    <w:rsid w:val="00FC3263"/>
    <w:rsid w:val="00FC4F35"/>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F41C2E"/>
    <w:pPr>
      <w:overflowPunct/>
      <w:autoSpaceDE/>
      <w:autoSpaceDN/>
      <w:adjustRightInd/>
      <w:spacing w:after="225" w:line="270" w:lineRule="atLeast"/>
      <w:jc w:val="both"/>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37795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package" Target="embeddings/Microsoft_Word_Document.docx"/><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3E37036C990104996A98F24E36EB944" ma:contentTypeVersion="11" ma:contentTypeDescription="Create a new document." ma:contentTypeScope="" ma:versionID="47948a6a522f1914a24c26fe231cf9d7">
  <xsd:schema xmlns:xsd="http://www.w3.org/2001/XMLSchema" xmlns:xs="http://www.w3.org/2001/XMLSchema" xmlns:p="http://schemas.microsoft.com/office/2006/metadata/properties" xmlns:ns3="d4b169d0-d794-454e-8dbc-0b9c54f465a8" targetNamespace="http://schemas.microsoft.com/office/2006/metadata/properties" ma:root="true" ma:fieldsID="e1611609a7f7bedc326cf9699e340231" ns3:_="">
    <xsd:import namespace="d4b169d0-d794-454e-8dbc-0b9c54f465a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b169d0-d794-454e-8dbc-0b9c54f465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E762BF-9CC2-42C6-8D4A-76D982462123}">
  <ds:schemaRefs>
    <ds:schemaRef ds:uri="http://schemas.openxmlformats.org/officeDocument/2006/bibliography"/>
  </ds:schemaRefs>
</ds:datastoreItem>
</file>

<file path=customXml/itemProps2.xml><?xml version="1.0" encoding="utf-8"?>
<ds:datastoreItem xmlns:ds="http://schemas.openxmlformats.org/officeDocument/2006/customXml" ds:itemID="{40033992-BDAA-4EB4-A76E-F1FA3F25FD7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2FC2EF-E1D5-487A-9E1F-6C8A9455C1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b169d0-d794-454e-8dbc-0b9c54f465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4</Pages>
  <Words>1152</Words>
  <Characters>6572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Annalize Dawe</cp:lastModifiedBy>
  <cp:revision>60</cp:revision>
  <cp:lastPrinted>2020-02-11T19:20:00Z</cp:lastPrinted>
  <dcterms:created xsi:type="dcterms:W3CDTF">2024-04-25T09:49:00Z</dcterms:created>
  <dcterms:modified xsi:type="dcterms:W3CDTF">2024-10-07T11:31:00Z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0x01010033E37036C990104996A98F24E36EB944</vt:lpwstr>
  </property>
</Properties>
</file>