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1A3E9AF" wp14:paraId="7E9B548F" wp14:textId="7A33FC5C">
      <w:pPr>
        <w:spacing w:after="160" w:line="276" w:lineRule="auto"/>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Name: Catrin Evans</w:t>
      </w:r>
    </w:p>
    <w:p xmlns:wp14="http://schemas.microsoft.com/office/word/2010/wordml" w:rsidP="11A3E9AF" wp14:paraId="06A158E6" wp14:textId="736BB0E0">
      <w:pPr>
        <w:spacing w:after="160" w:line="276" w:lineRule="auto"/>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Student number: 2231931</w:t>
      </w:r>
    </w:p>
    <w:p xmlns:wp14="http://schemas.microsoft.com/office/word/2010/wordml" w:rsidP="11A3E9AF" wp14:paraId="69A1E393" wp14:textId="71AC17EE">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Unit title: </w:t>
      </w:r>
      <w:r w:rsidRPr="11A3E9AF" w:rsidR="1E53EF9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Reward for Performance and Contribution</w:t>
      </w:r>
    </w:p>
    <w:p xmlns:wp14="http://schemas.microsoft.com/office/word/2010/wordml" w:rsidP="11A3E9AF" wp14:paraId="17D6951F" wp14:textId="7A450596">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Assessment ID: </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CIPD_5HR0</w:t>
      </w:r>
      <w:r w:rsidRPr="11A3E9AF" w:rsidR="2D32B3C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3</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_2</w:t>
      </w:r>
      <w:r w:rsidRPr="11A3E9AF" w:rsidR="05271F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4</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_01</w:t>
      </w:r>
    </w:p>
    <w:p xmlns:wp14="http://schemas.microsoft.com/office/word/2010/wordml" w:rsidP="11A3E9AF" wp14:paraId="60112647" wp14:textId="20F9FBE5">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Total wordcount:</w:t>
      </w:r>
    </w:p>
    <w:p xmlns:wp14="http://schemas.microsoft.com/office/word/2010/wordml" w:rsidP="11A3E9AF" wp14:paraId="2C078E63" wp14:textId="66534096">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11A3E9AF" w:rsidRDefault="181A50AD" w14:paraId="4193F3BA" w14:textId="5740A91C">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the principles of reward and its importance to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organisational</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culture and performance management. (AC 1.1)</w:t>
      </w:r>
    </w:p>
    <w:p w:rsidR="32BFABF3" w:rsidP="11A3E9AF" w:rsidRDefault="32BFABF3" w14:paraId="182F92FC" w14:textId="6662E0E5">
      <w:pPr>
        <w:pStyle w:val="Normal"/>
        <w:spacing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pPr>
      <w:r w:rsidRPr="11A3E9AF" w:rsidR="32BFABF3">
        <w:rPr>
          <w:rFonts w:ascii="Aptos Display" w:hAnsi="Aptos Display" w:eastAsia="Aptos Display" w:cs="Aptos Display" w:asciiTheme="majorAscii" w:hAnsiTheme="majorAscii" w:eastAsiaTheme="majorAscii" w:cstheme="majorAscii"/>
          <w:color w:val="FF0000"/>
          <w:sz w:val="24"/>
          <w:szCs w:val="24"/>
        </w:rPr>
        <w:t xml:space="preserve">Armstrong (2023) </w:t>
      </w:r>
      <w:r w:rsidRPr="11A3E9AF" w:rsidR="32BFABF3">
        <w:rPr>
          <w:rFonts w:ascii="Aptos Display" w:hAnsi="Aptos Display" w:eastAsia="Aptos Display" w:cs="Aptos Display" w:asciiTheme="majorAscii" w:hAnsiTheme="majorAscii" w:eastAsiaTheme="majorAscii" w:cstheme="majorAscii"/>
          <w:color w:val="FF0000"/>
          <w:sz w:val="24"/>
          <w:szCs w:val="24"/>
        </w:rPr>
        <w:t>stated</w:t>
      </w:r>
      <w:r w:rsidRPr="11A3E9AF" w:rsidR="32BFABF3">
        <w:rPr>
          <w:rFonts w:ascii="Aptos Display" w:hAnsi="Aptos Display" w:eastAsia="Aptos Display" w:cs="Aptos Display" w:asciiTheme="majorAscii" w:hAnsiTheme="majorAscii" w:eastAsiaTheme="majorAscii" w:cstheme="majorAscii"/>
          <w:color w:val="FF0000"/>
          <w:sz w:val="24"/>
          <w:szCs w:val="24"/>
        </w:rPr>
        <w:t xml:space="preserve"> that </w:t>
      </w:r>
      <w:r w:rsidRPr="11A3E9AF"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“Reward strategies are diverse and so is the structure used by different </w:t>
      </w:r>
      <w:r w:rsidRPr="11A3E9AF"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organisations</w:t>
      </w:r>
      <w:r w:rsidRPr="11A3E9AF"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to define and present them”, however </w:t>
      </w:r>
      <w:r w:rsidRPr="11A3E9AF" w:rsidR="22AB0E25">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most reward strategies fall under two categories; strategic reward and total reward</w:t>
      </w:r>
      <w:r w:rsidRPr="11A3E9AF" w:rsidR="3BC4E17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(Cotton, 2024).</w:t>
      </w:r>
    </w:p>
    <w:p w:rsidR="0BA4A0F2" w:rsidP="11A3E9AF" w:rsidRDefault="0BA4A0F2" w14:paraId="7F1C95D5" w14:textId="2D04D9D1">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"Strategic reward" refers to an </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 long-term approach to how its policies and procedures for reward serve the interests of the employees and the </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as a whole (Cotton, 2024). This approach is usually implemented and set out in a formal written reward strategy (Cotton, 2024).</w:t>
      </w:r>
    </w:p>
    <w:p w:rsidR="0BA4A0F2" w:rsidP="11A3E9AF" w:rsidRDefault="0BA4A0F2" w14:paraId="2BFAB33D" w14:textId="490003CC">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term "total reward" refers to the components of </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that are perceived as both tangible and intangible, which are most valued and appreciated by employees and may be included in reward </w:t>
      </w:r>
      <w:r w:rsidRPr="11A3E9AF" w:rsidR="790E3435">
        <w:rPr>
          <w:rFonts w:ascii="Aptos Display" w:hAnsi="Aptos Display" w:eastAsia="Aptos Display" w:cs="Aptos Display" w:asciiTheme="majorAscii" w:hAnsiTheme="majorAscii" w:eastAsiaTheme="majorAscii" w:cstheme="majorAscii"/>
          <w:noProof w:val="0"/>
          <w:color w:val="FF0000"/>
          <w:sz w:val="24"/>
          <w:szCs w:val="24"/>
          <w:lang w:val="en-US"/>
        </w:rPr>
        <w:t>strategy</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(Cotton, 2024). In addition to salary and benefits packages, total reward can cover opportunities for flexible work schedules and arrangements and fair treatment. Total</w:t>
      </w:r>
      <w:r w:rsidRPr="11A3E9AF" w:rsidR="29F546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reward also </w:t>
      </w:r>
      <w:r w:rsidRPr="11A3E9AF" w:rsidR="0BA4A0F2">
        <w:rPr>
          <w:rFonts w:ascii="Aptos Display" w:hAnsi="Aptos Display" w:eastAsia="Aptos Display" w:cs="Aptos Display" w:asciiTheme="majorAscii" w:hAnsiTheme="majorAscii" w:eastAsiaTheme="majorAscii" w:cstheme="majorAscii"/>
          <w:noProof w:val="0"/>
          <w:color w:val="FF0000"/>
          <w:sz w:val="24"/>
          <w:szCs w:val="24"/>
          <w:lang w:val="en-US"/>
        </w:rPr>
        <w:t>has the potential to focus partially on employee empowerment, which has consequences for cultural transformation (Cotton, 2024).</w:t>
      </w:r>
    </w:p>
    <w:p w:rsidR="0A422CC2" w:rsidP="11A3E9AF" w:rsidRDefault="0A422CC2" w14:paraId="2503DD0D" w14:textId="60DB224F">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A422CC2">
        <w:rPr>
          <w:rFonts w:ascii="Aptos Display" w:hAnsi="Aptos Display" w:eastAsia="Aptos Display" w:cs="Aptos Display" w:asciiTheme="majorAscii" w:hAnsiTheme="majorAscii" w:eastAsiaTheme="majorAscii" w:cstheme="majorAscii"/>
          <w:noProof w:val="0"/>
          <w:color w:val="FF0000"/>
          <w:sz w:val="24"/>
          <w:szCs w:val="24"/>
          <w:lang w:val="en-US"/>
        </w:rPr>
        <w:t xml:space="preserve">By putting these tactics into practice, it may aid </w:t>
      </w:r>
      <w:r w:rsidRPr="11A3E9AF" w:rsidR="0A422CC2">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A422CC2">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becoming an employer of choice and improve their reputation (Cotton, 2024).</w:t>
      </w:r>
    </w:p>
    <w:p w:rsidR="3A32C759" w:rsidP="11A3E9AF" w:rsidRDefault="3A32C759" w14:paraId="4B2273DF" w14:textId="49E118A5">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Reward systems can have a significant affect in shaping and reflecting an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cultural priorities</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(Kerr and Slocum, 2005) This is because the types of rewards offered and how they are distributed signal what the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values most. For example, a culture focused on individual achievement may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emphasise</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individual bonuses, while a collaborative culture may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prioritise</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team-based rewards (Kerr and Slocum, 2005).</w:t>
      </w:r>
      <w:r w:rsidRPr="11A3E9AF" w:rsidR="2A624B8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turn, the culture of the </w:t>
      </w:r>
      <w:r w:rsidRPr="11A3E9AF" w:rsidR="2A624B8E">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2A624B8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plays a part in </w:t>
      </w:r>
      <w:r w:rsidRPr="11A3E9AF" w:rsidR="7B6559CD">
        <w:rPr>
          <w:rFonts w:ascii="Aptos Display" w:hAnsi="Aptos Display" w:eastAsia="Aptos Display" w:cs="Aptos Display" w:asciiTheme="majorAscii" w:hAnsiTheme="majorAscii" w:eastAsiaTheme="majorAscii" w:cstheme="majorAscii"/>
          <w:noProof w:val="0"/>
          <w:color w:val="FF0000"/>
          <w:sz w:val="24"/>
          <w:szCs w:val="24"/>
          <w:lang w:val="en-US"/>
        </w:rPr>
        <w:t>impacting</w:t>
      </w:r>
      <w:r w:rsidRPr="11A3E9AF" w:rsidR="7B6559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what kind of rewards that an employee finds motivating.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Furthermore, reward</w:t>
      </w:r>
      <w:r w:rsidRPr="11A3E9AF" w:rsidR="1B70E2E8">
        <w:rPr>
          <w:rFonts w:ascii="Aptos Display" w:hAnsi="Aptos Display" w:eastAsia="Aptos Display" w:cs="Aptos Display" w:asciiTheme="majorAscii" w:hAnsiTheme="majorAscii" w:eastAsiaTheme="majorAscii" w:cstheme="majorAscii"/>
          <w:noProof w:val="0"/>
          <w:color w:val="FF0000"/>
          <w:sz w:val="24"/>
          <w:szCs w:val="24"/>
          <w:lang w:val="en-US"/>
        </w:rPr>
        <w:t>ing employees</w:t>
      </w:r>
      <w:r w:rsidRPr="11A3E9AF" w:rsidR="022118E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for </w:t>
      </w:r>
      <w:r w:rsidRPr="11A3E9AF" w:rsidR="022118E6">
        <w:rPr>
          <w:rFonts w:ascii="Aptos Display" w:hAnsi="Aptos Display" w:eastAsia="Aptos Display" w:cs="Aptos Display" w:asciiTheme="majorAscii" w:hAnsiTheme="majorAscii" w:eastAsiaTheme="majorAscii" w:cstheme="majorAscii"/>
          <w:noProof w:val="0"/>
          <w:color w:val="FF0000"/>
          <w:sz w:val="24"/>
          <w:szCs w:val="24"/>
          <w:lang w:val="en-US"/>
        </w:rPr>
        <w:t>good performance</w:t>
      </w:r>
      <w:r w:rsidRPr="11A3E9AF" w:rsidR="022118E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02F42EFF">
        <w:rPr>
          <w:rFonts w:ascii="Aptos Display" w:hAnsi="Aptos Display" w:eastAsia="Aptos Display" w:cs="Aptos Display" w:asciiTheme="majorAscii" w:hAnsiTheme="majorAscii" w:eastAsiaTheme="majorAscii" w:cstheme="majorAscii"/>
          <w:noProof w:val="0"/>
          <w:color w:val="FF0000"/>
          <w:sz w:val="24"/>
          <w:szCs w:val="24"/>
          <w:lang w:val="en-US"/>
        </w:rPr>
        <w:t>and for</w:t>
      </w:r>
      <w:r w:rsidRPr="11A3E9AF" w:rsidR="022118E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w:t>
      </w:r>
      <w:r w:rsidRPr="11A3E9AF" w:rsidR="5EF32FBA">
        <w:rPr>
          <w:rFonts w:ascii="Aptos Display" w:hAnsi="Aptos Display" w:eastAsia="Aptos Display" w:cs="Aptos Display" w:asciiTheme="majorAscii" w:hAnsiTheme="majorAscii" w:eastAsiaTheme="majorAscii" w:cstheme="majorAscii"/>
          <w:noProof w:val="0"/>
          <w:color w:val="FF0000"/>
          <w:sz w:val="24"/>
          <w:szCs w:val="24"/>
          <w:lang w:val="en-US"/>
        </w:rPr>
        <w:t>eaching professional milestones</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can lead to </w:t>
      </w:r>
      <w:r w:rsidRPr="11A3E9AF" w:rsidR="2B806B47">
        <w:rPr>
          <w:rFonts w:ascii="Aptos Display" w:hAnsi="Aptos Display" w:eastAsia="Aptos Display" w:cs="Aptos Display" w:asciiTheme="majorAscii" w:hAnsiTheme="majorAscii" w:eastAsiaTheme="majorAscii" w:cstheme="majorAscii"/>
          <w:noProof w:val="0"/>
          <w:color w:val="FF0000"/>
          <w:sz w:val="24"/>
          <w:szCs w:val="24"/>
          <w:lang w:val="en-US"/>
        </w:rPr>
        <w:t xml:space="preserve">prolonged and </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 xml:space="preserve">significant improvements in employee performance </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 xml:space="preserve">across the </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because</w:t>
      </w:r>
      <w:r w:rsidRPr="11A3E9AF" w:rsidR="2582FB7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 culture is created where</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employees are encouraged and engaged to drive </w:t>
      </w:r>
      <w:r w:rsidRPr="11A3E9AF" w:rsidR="22FBCA57">
        <w:rPr>
          <w:rFonts w:ascii="Aptos Display" w:hAnsi="Aptos Display" w:eastAsia="Aptos Display" w:cs="Aptos Display" w:asciiTheme="majorAscii" w:hAnsiTheme="majorAscii" w:eastAsiaTheme="majorAscii" w:cstheme="majorAscii"/>
          <w:noProof w:val="0"/>
          <w:color w:val="FF0000"/>
          <w:sz w:val="24"/>
          <w:szCs w:val="24"/>
          <w:lang w:val="en-US"/>
        </w:rPr>
        <w:t xml:space="preserve">for high </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performanc</w:t>
      </w:r>
      <w:r w:rsidRPr="11A3E9AF" w:rsidR="6C187FA5">
        <w:rPr>
          <w:rFonts w:ascii="Aptos Display" w:hAnsi="Aptos Display" w:eastAsia="Aptos Display" w:cs="Aptos Display" w:asciiTheme="majorAscii" w:hAnsiTheme="majorAscii" w:eastAsiaTheme="majorAscii" w:cstheme="majorAscii"/>
          <w:noProof w:val="0"/>
          <w:color w:val="FF0000"/>
          <w:sz w:val="24"/>
          <w:szCs w:val="24"/>
          <w:lang w:val="en-US"/>
        </w:rPr>
        <w:t xml:space="preserve">e </w:t>
      </w:r>
      <w:r w:rsidRPr="11A3E9AF" w:rsidR="26881210">
        <w:rPr>
          <w:rFonts w:ascii="Aptos Display" w:hAnsi="Aptos Display" w:eastAsia="Aptos Display" w:cs="Aptos Display" w:asciiTheme="majorAscii" w:hAnsiTheme="majorAscii" w:eastAsiaTheme="majorAscii" w:cstheme="majorAscii"/>
          <w:noProof w:val="0"/>
          <w:color w:val="FF0000"/>
          <w:sz w:val="24"/>
          <w:szCs w:val="24"/>
          <w:lang w:val="en-US"/>
        </w:rPr>
        <w:t>(</w:t>
      </w:r>
      <w:r w:rsidRPr="11A3E9AF" w:rsidR="3A32C759">
        <w:rPr>
          <w:rFonts w:ascii="Aptos Display" w:hAnsi="Aptos Display" w:eastAsia="Aptos Display" w:cs="Aptos Display" w:asciiTheme="majorAscii" w:hAnsiTheme="majorAscii" w:eastAsiaTheme="majorAscii" w:cstheme="majorAscii"/>
          <w:noProof w:val="0"/>
          <w:color w:val="FF0000"/>
          <w:sz w:val="24"/>
          <w:szCs w:val="24"/>
          <w:lang w:val="en-US"/>
        </w:rPr>
        <w:t>Kerr and Slocum, 2005).</w:t>
      </w:r>
    </w:p>
    <w:p w:rsidR="7F0CA842" w:rsidP="11A3E9AF" w:rsidRDefault="7F0CA842" w14:paraId="1FB6222B" w14:textId="431AEE1C">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F0CA842">
        <w:rPr>
          <w:rFonts w:ascii="Aptos Display" w:hAnsi="Aptos Display" w:eastAsia="Aptos Display" w:cs="Aptos Display" w:asciiTheme="majorAscii" w:hAnsiTheme="majorAscii" w:eastAsiaTheme="majorAscii" w:cstheme="majorAscii"/>
          <w:noProof w:val="0"/>
          <w:color w:val="FF0000"/>
          <w:sz w:val="24"/>
          <w:szCs w:val="24"/>
          <w:lang w:val="en-US"/>
        </w:rPr>
        <w:t>308</w:t>
      </w:r>
    </w:p>
    <w:p w:rsidR="0135C87A" w:rsidP="11A3E9AF" w:rsidRDefault="0135C87A" w14:paraId="4418A47E" w14:textId="05BA5A93">
      <w:pPr>
        <w:pStyle w:val="Normal"/>
        <w:spacing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p>
    <w:p w:rsidR="181A50AD" w:rsidP="11A3E9AF" w:rsidRDefault="181A50AD" w14:paraId="19721C00" w14:textId="5448F272">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Assess the contribution of extrinsic and intrinsic rewards to improving employee contribution and sustained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organisational</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performance. (AC 1.2)</w:t>
      </w:r>
    </w:p>
    <w:p w:rsidR="1B19609E" w:rsidP="11A3E9AF" w:rsidRDefault="1B19609E" w14:paraId="469F1CFB" w14:textId="1E05F53A">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It is important to consider that the two main factors that </w:t>
      </w:r>
      <w:r w:rsidRPr="11A3E9AF"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impact</w:t>
      </w:r>
      <w:r w:rsidRPr="11A3E9AF"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work performance </w:t>
      </w:r>
      <w:r w:rsidRPr="11A3E9AF"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are;</w:t>
      </w:r>
      <w:r w:rsidRPr="11A3E9AF"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capability and motivation</w:t>
      </w:r>
      <w:r w:rsidRPr="11A3E9AF" w:rsidR="484584E7">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Workplace motivation refers to </w:t>
      </w:r>
      <w:r w:rsidRPr="11A3E9AF" w:rsidR="484584E7">
        <w:rPr>
          <w:rFonts w:ascii="Aptos Display" w:hAnsi="Aptos Display" w:eastAsia="Aptos Display" w:cs="Aptos Display" w:asciiTheme="majorAscii" w:hAnsiTheme="majorAscii" w:eastAsiaTheme="majorAscii" w:cstheme="majorAscii"/>
          <w:noProof w:val="0"/>
          <w:color w:val="FF0000"/>
          <w:sz w:val="24"/>
          <w:szCs w:val="24"/>
          <w:lang w:val="en-US"/>
        </w:rPr>
        <w:t>the degree of someone's eagerness or willingness to undertake work and</w:t>
      </w:r>
      <w:r w:rsidRPr="11A3E9AF" w:rsidR="4429D6A1">
        <w:rPr>
          <w:rFonts w:ascii="Aptos Display" w:hAnsi="Aptos Display" w:eastAsia="Aptos Display" w:cs="Aptos Display" w:asciiTheme="majorAscii" w:hAnsiTheme="majorAscii" w:eastAsiaTheme="majorAscii" w:cstheme="majorAscii"/>
          <w:noProof w:val="0"/>
          <w:color w:val="FF0000"/>
          <w:sz w:val="24"/>
          <w:szCs w:val="24"/>
          <w:lang w:val="en-US"/>
        </w:rPr>
        <w:t>, in turn,</w:t>
      </w:r>
      <w:r w:rsidRPr="11A3E9AF" w:rsidR="484584E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high motivation equals improved </w:t>
      </w:r>
      <w:r w:rsidRPr="11A3E9AF" w:rsidR="484584E7">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484584E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performance</w:t>
      </w:r>
      <w:r w:rsidRPr="11A3E9AF" w:rsidR="15FDEFA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(Taylor and Woodhams, 2022).</w:t>
      </w:r>
      <w:r w:rsidRPr="11A3E9AF" w:rsidR="19785E9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Depending on the individual, motivation can be found and </w:t>
      </w:r>
      <w:r w:rsidRPr="11A3E9AF" w:rsidR="19785E9D">
        <w:rPr>
          <w:rFonts w:ascii="Aptos Display" w:hAnsi="Aptos Display" w:eastAsia="Aptos Display" w:cs="Aptos Display" w:asciiTheme="majorAscii" w:hAnsiTheme="majorAscii" w:eastAsiaTheme="majorAscii" w:cstheme="majorAscii"/>
          <w:noProof w:val="0"/>
          <w:color w:val="FF0000"/>
          <w:sz w:val="24"/>
          <w:szCs w:val="24"/>
          <w:lang w:val="en-US"/>
        </w:rPr>
        <w:t>facilitated</w:t>
      </w:r>
      <w:r w:rsidRPr="11A3E9AF" w:rsidR="19785E9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through </w:t>
      </w:r>
      <w:r w:rsidRPr="11A3E9AF" w:rsidR="66B3549B">
        <w:rPr>
          <w:rFonts w:ascii="Aptos Display" w:hAnsi="Aptos Display" w:eastAsia="Aptos Display" w:cs="Aptos Display" w:asciiTheme="majorAscii" w:hAnsiTheme="majorAscii" w:eastAsiaTheme="majorAscii" w:cstheme="majorAscii"/>
          <w:noProof w:val="0"/>
          <w:color w:val="FF0000"/>
          <w:sz w:val="24"/>
          <w:szCs w:val="24"/>
          <w:lang w:val="en-US"/>
        </w:rPr>
        <w:t>intrinsic</w:t>
      </w:r>
      <w:r w:rsidRPr="11A3E9AF" w:rsidR="19785E9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or </w:t>
      </w:r>
      <w:r w:rsidRPr="11A3E9AF" w:rsidR="72FFF56F">
        <w:rPr>
          <w:rFonts w:ascii="Aptos Display" w:hAnsi="Aptos Display" w:eastAsia="Aptos Display" w:cs="Aptos Display" w:asciiTheme="majorAscii" w:hAnsiTheme="majorAscii" w:eastAsiaTheme="majorAscii" w:cstheme="majorAscii"/>
          <w:noProof w:val="0"/>
          <w:color w:val="FF0000"/>
          <w:sz w:val="24"/>
          <w:szCs w:val="24"/>
          <w:lang w:val="en-US"/>
        </w:rPr>
        <w:t>extrinsic</w:t>
      </w:r>
      <w:r w:rsidRPr="11A3E9AF" w:rsidR="19785E9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factors.</w:t>
      </w:r>
    </w:p>
    <w:p w:rsidR="1D521D34" w:rsidP="11A3E9AF" w:rsidRDefault="1D521D34" w14:paraId="243B76F5" w14:textId="4788812F">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D521D34">
        <w:rPr>
          <w:rFonts w:ascii="Aptos Display" w:hAnsi="Aptos Display" w:eastAsia="Aptos Display" w:cs="Aptos Display" w:asciiTheme="majorAscii" w:hAnsiTheme="majorAscii" w:eastAsiaTheme="majorAscii" w:cstheme="majorAscii"/>
          <w:noProof w:val="0"/>
          <w:color w:val="FF0000"/>
          <w:sz w:val="24"/>
          <w:szCs w:val="24"/>
          <w:lang w:val="en-US"/>
        </w:rPr>
        <w:t>Extrinsic</w:t>
      </w:r>
      <w:r w:rsidRPr="11A3E9AF" w:rsidR="1D521D3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rewards</w:t>
      </w:r>
    </w:p>
    <w:p w:rsidR="0EBEB167" w:rsidP="11A3E9AF" w:rsidRDefault="0EBEB167" w14:paraId="4D84E1E1" w14:textId="7916E44E">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Pay increases, bonuses, and other forms of monetary incentives are some examples of extrinsic rewards given to employees. These are considered extrinsic because they are external factors to the individual and their work and are managed by others (Malik et al., 2019). </w:t>
      </w:r>
    </w:p>
    <w:p w:rsidR="0EBEB167" w:rsidP="11A3E9AF" w:rsidRDefault="0EBEB167" w14:paraId="239D77E1" w14:textId="6084702B">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Extrinsic rewards are beneficial and suitable when </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require immediate participation</w:t>
      </w:r>
      <w:r w:rsidRPr="11A3E9AF" w:rsidR="778811A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contribution</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from employees in order to incorporate a change. In these situations, the </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extrinsic reward is the first </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methods</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of encouraging staff members to improve performance and </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demonstrate</w:t>
      </w:r>
      <w:r w:rsidRPr="11A3E9AF" w:rsidR="0EBEB16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their contributions. </w:t>
      </w:r>
    </w:p>
    <w:p w:rsidR="62C600C4" w:rsidP="11A3E9AF" w:rsidRDefault="62C600C4" w14:paraId="08D0474F" w14:textId="7546CC7B">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2C600C4">
        <w:rPr>
          <w:rFonts w:ascii="Aptos Display" w:hAnsi="Aptos Display" w:eastAsia="Aptos Display" w:cs="Aptos Display" w:asciiTheme="majorAscii" w:hAnsiTheme="majorAscii" w:eastAsiaTheme="majorAscii" w:cstheme="majorAscii"/>
          <w:noProof w:val="0"/>
          <w:color w:val="FF0000"/>
          <w:sz w:val="24"/>
          <w:szCs w:val="24"/>
          <w:lang w:val="en-US"/>
        </w:rPr>
        <w:t xml:space="preserve">Receiving rewards from outside sources can directly spur workers to improve their output and effectiveness due to its positive impact on motivation and performance. Research has </w:t>
      </w:r>
      <w:r w:rsidRPr="11A3E9AF" w:rsidR="62C600C4">
        <w:rPr>
          <w:rFonts w:ascii="Aptos Display" w:hAnsi="Aptos Display" w:eastAsia="Aptos Display" w:cs="Aptos Display" w:asciiTheme="majorAscii" w:hAnsiTheme="majorAscii" w:eastAsiaTheme="majorAscii" w:cstheme="majorAscii"/>
          <w:noProof w:val="0"/>
          <w:color w:val="FF0000"/>
          <w:sz w:val="24"/>
          <w:szCs w:val="24"/>
          <w:lang w:val="en-US"/>
        </w:rPr>
        <w:t>demonstrated</w:t>
      </w:r>
      <w:r w:rsidRPr="11A3E9AF" w:rsidR="62C600C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that offering financial incentives to employees can result in notable increases in their productivity and effectiveness (Jensen &amp; Meckling, 1976; Banker &amp; Lee, 2001).</w:t>
      </w:r>
    </w:p>
    <w:p w:rsidR="62C600C4" w:rsidP="11A3E9AF" w:rsidRDefault="62C600C4" w14:paraId="294E8E59" w14:textId="510DAA8C">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2C600C4">
        <w:rPr>
          <w:rFonts w:ascii="Aptos Display" w:hAnsi="Aptos Display" w:eastAsia="Aptos Display" w:cs="Aptos Display" w:asciiTheme="majorAscii" w:hAnsiTheme="majorAscii" w:eastAsiaTheme="majorAscii" w:cstheme="majorAscii"/>
          <w:noProof w:val="0"/>
          <w:color w:val="FF0000"/>
          <w:sz w:val="24"/>
          <w:szCs w:val="24"/>
          <w:lang w:val="en-US"/>
        </w:rPr>
        <w:t>Also, by lowering turnover rates, competitive extrinsic rewards can help increase staff retention. When a company provides significant financial incentives and advantages, employees are less likely to leave (Hausknecht, Rodda, &amp; Howard, 2009).</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Despite this, </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in the long run</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these benefits are ineffective if the situation does not improve as expected or if the extrinsic rewards </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become</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60D8A740">
        <w:rPr>
          <w:rFonts w:ascii="Aptos Display" w:hAnsi="Aptos Display" w:eastAsia="Aptos Display" w:cs="Aptos Display" w:asciiTheme="majorAscii" w:hAnsiTheme="majorAscii" w:eastAsiaTheme="majorAscii" w:cstheme="majorAscii"/>
          <w:noProof w:val="0"/>
          <w:color w:val="FF0000"/>
          <w:sz w:val="24"/>
          <w:szCs w:val="24"/>
          <w:lang w:val="en-US"/>
        </w:rPr>
        <w:t>custom and practice (Malek et al., 2020).</w:t>
      </w:r>
    </w:p>
    <w:p w:rsidR="38AEAC57" w:rsidP="11A3E9AF" w:rsidRDefault="38AEAC57" w14:paraId="4EE19E2E" w14:textId="586F8DBC">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8AEAC57">
        <w:rPr>
          <w:rFonts w:ascii="Aptos Display" w:hAnsi="Aptos Display" w:eastAsia="Aptos Display" w:cs="Aptos Display" w:asciiTheme="majorAscii" w:hAnsiTheme="majorAscii" w:eastAsiaTheme="majorAscii" w:cstheme="majorAscii"/>
          <w:noProof w:val="0"/>
          <w:color w:val="FF0000"/>
          <w:sz w:val="24"/>
          <w:szCs w:val="24"/>
          <w:lang w:val="en-US"/>
        </w:rPr>
        <w:t>Intrinsic rewards</w:t>
      </w:r>
    </w:p>
    <w:p w:rsidR="6CA5ADAC" w:rsidP="11A3E9AF" w:rsidRDefault="6CA5ADAC" w14:paraId="13A97757" w14:textId="70AB236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 xml:space="preserve">A reward that is considered </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intrinsic</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is an internal incentive that individuals receive for successfully finishing assignments or projects. These incentives, which are primarily psychological in nature, are </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determined</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by an individual's effort and aptitude. According to Ryan and Deci (2020), intrinsic incentives generate a positive emotional response and serve as a motivator for employees to keep improving and, where necessary, implement long-lasting </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behavioural</w:t>
      </w:r>
      <w:r w:rsidRPr="11A3E9AF" w:rsidR="6CA5ADA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adjustments.</w:t>
      </w:r>
    </w:p>
    <w:p w:rsidR="744D9B09" w:rsidP="11A3E9AF" w:rsidRDefault="744D9B09" w14:paraId="30873D1A" w14:textId="5A78BD37">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Research </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indicates</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 significant correlation between work satisfaction and employee engagement when it comes to intrinsic incentives. Workers that are motivated and devoted to their jobs are more likely to find their employment important and gratifying, which in turn improves </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performance (Ryan and Deci, 2020).</w:t>
      </w:r>
    </w:p>
    <w:p w:rsidR="744D9B09" w:rsidP="11A3E9AF" w:rsidRDefault="744D9B09" w14:paraId="4877121E" w14:textId="42DE9961">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Since internally driven personnel are more willing to experiment with novel concepts and methods, intrinsic motivation also promotes creativity and innovation. In competitive and dynamic situations, this is crucial for </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maintaining</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744D9B0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success (Ryan and Deci, 2020).</w:t>
      </w:r>
    </w:p>
    <w:p w:rsidR="0328EBC4" w:rsidP="11A3E9AF" w:rsidRDefault="0328EBC4" w14:paraId="41DF8767" w14:textId="5B34F269">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328EBC4">
        <w:rPr>
          <w:rFonts w:ascii="Aptos Display" w:hAnsi="Aptos Display" w:eastAsia="Aptos Display" w:cs="Aptos Display" w:asciiTheme="majorAscii" w:hAnsiTheme="majorAscii" w:eastAsiaTheme="majorAscii" w:cstheme="majorAscii"/>
          <w:noProof w:val="0"/>
          <w:color w:val="FF0000"/>
          <w:sz w:val="24"/>
          <w:szCs w:val="24"/>
          <w:lang w:val="en-US"/>
        </w:rPr>
        <w:t xml:space="preserve">Research </w:t>
      </w:r>
      <w:r w:rsidRPr="11A3E9AF" w:rsidR="0328EBC4">
        <w:rPr>
          <w:rFonts w:ascii="Aptos Display" w:hAnsi="Aptos Display" w:eastAsia="Aptos Display" w:cs="Aptos Display" w:asciiTheme="majorAscii" w:hAnsiTheme="majorAscii" w:eastAsiaTheme="majorAscii" w:cstheme="majorAscii"/>
          <w:noProof w:val="0"/>
          <w:color w:val="FF0000"/>
          <w:sz w:val="24"/>
          <w:szCs w:val="24"/>
          <w:lang w:val="en-US"/>
        </w:rPr>
        <w:t>indicates</w:t>
      </w:r>
      <w:r w:rsidRPr="11A3E9AF" w:rsidR="0328EBC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that there is more to the link between intrinsic and extrinsic reward than just choosing one over the other; both are significant and may be used in conjunction with one another to </w:t>
      </w:r>
      <w:r w:rsidRPr="11A3E9AF" w:rsidR="0328EBC4">
        <w:rPr>
          <w:rFonts w:ascii="Aptos Display" w:hAnsi="Aptos Display" w:eastAsia="Aptos Display" w:cs="Aptos Display" w:asciiTheme="majorAscii" w:hAnsiTheme="majorAscii" w:eastAsiaTheme="majorAscii" w:cstheme="majorAscii"/>
          <w:noProof w:val="0"/>
          <w:color w:val="FF0000"/>
          <w:sz w:val="24"/>
          <w:szCs w:val="24"/>
          <w:lang w:val="en-US"/>
        </w:rPr>
        <w:t>great effect</w:t>
      </w:r>
      <w:r w:rsidRPr="11A3E9AF" w:rsidR="0328EBC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(Hajduk, 2017).</w:t>
      </w:r>
      <w:r w:rsidRPr="11A3E9AF" w:rsidR="66499AA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Intrinsic incentives are necessary for sustained engagement, creativity, and dedication but extrinsic rewards can boost motivation instantly and lower attrition.</w:t>
      </w:r>
    </w:p>
    <w:p w:rsidR="489C8CA5" w:rsidP="11A3E9AF" w:rsidRDefault="489C8CA5" w14:paraId="5B0474F6" w14:textId="4B1E9911">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89C8CA5">
        <w:rPr>
          <w:rFonts w:ascii="Aptos Display" w:hAnsi="Aptos Display" w:eastAsia="Aptos Display" w:cs="Aptos Display" w:asciiTheme="majorAscii" w:hAnsiTheme="majorAscii" w:eastAsiaTheme="majorAscii" w:cstheme="majorAscii"/>
          <w:noProof w:val="0"/>
          <w:color w:val="FF0000"/>
          <w:sz w:val="24"/>
          <w:szCs w:val="24"/>
          <w:lang w:val="en-US"/>
        </w:rPr>
        <w:t>469</w:t>
      </w:r>
    </w:p>
    <w:p w:rsidR="0135C87A" w:rsidP="11A3E9AF" w:rsidRDefault="0135C87A" w14:paraId="28DBC3EC" w14:textId="23F2906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sz w:val="24"/>
          <w:szCs w:val="24"/>
          <w:lang w:val="en-US"/>
        </w:rPr>
      </w:pPr>
    </w:p>
    <w:p w:rsidR="181A50AD" w:rsidP="11A3E9AF" w:rsidRDefault="181A50AD" w14:paraId="58F4A6A3" w14:textId="51150413">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the differences between types of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grade</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and pay structures. (AC 2.1)</w:t>
      </w:r>
    </w:p>
    <w:p w:rsidR="24A6C358" w:rsidP="11A3E9AF" w:rsidRDefault="24A6C358" w14:paraId="491AC4C2" w14:textId="26F40E96">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A pay structure is an arrangement of grades, bands, or levels that connect comparable job roles within an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(Cotton, 2024</w:t>
      </w:r>
      <w:r w:rsidRPr="11A3E9AF" w:rsidR="59824D8D">
        <w:rPr>
          <w:rFonts w:ascii="Aptos Display" w:hAnsi="Aptos Display" w:eastAsia="Aptos Display" w:cs="Aptos Display" w:asciiTheme="majorAscii" w:hAnsiTheme="majorAscii" w:eastAsiaTheme="majorAscii" w:cstheme="majorAscii"/>
          <w:noProof w:val="0"/>
          <w:color w:val="FF0000"/>
          <w:sz w:val="24"/>
          <w:szCs w:val="24"/>
          <w:lang w:val="en-US"/>
        </w:rPr>
        <w:t>a</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utilise</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pay structures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frequently</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to provide a framework for implementing incentive plans and policies; in 2019, 67% of companies did so (Cotton, 2024</w:t>
      </w:r>
      <w:r w:rsidRPr="11A3E9AF" w:rsidR="0CFB351E">
        <w:rPr>
          <w:rFonts w:ascii="Aptos Display" w:hAnsi="Aptos Display" w:eastAsia="Aptos Display" w:cs="Aptos Display" w:asciiTheme="majorAscii" w:hAnsiTheme="majorAscii" w:eastAsiaTheme="majorAscii" w:cstheme="majorAscii"/>
          <w:noProof w:val="0"/>
          <w:color w:val="FF0000"/>
          <w:sz w:val="24"/>
          <w:szCs w:val="24"/>
          <w:lang w:val="en-US"/>
        </w:rPr>
        <w:t>a</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w:t>
      </w:r>
    </w:p>
    <w:p w:rsidR="24A6C358" w:rsidP="11A3E9AF" w:rsidRDefault="24A6C358" w14:paraId="25FD2C1F" w14:textId="4481EF3F">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By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incentivising</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necessary </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behaviours</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performance, a pay structure serves to match the incentive system with an employer's goal, vision, purpose, culture, and business plan. Additionally, they assure justice and legality by, for example, preventing pay discrimination, and they provide structure and clarity to the management of career advancement and pay increases (Cotton, 2024</w:t>
      </w:r>
      <w:r w:rsidRPr="11A3E9AF" w:rsidR="138C5CE5">
        <w:rPr>
          <w:rFonts w:ascii="Aptos Display" w:hAnsi="Aptos Display" w:eastAsia="Aptos Display" w:cs="Aptos Display" w:asciiTheme="majorAscii" w:hAnsiTheme="majorAscii" w:eastAsiaTheme="majorAscii" w:cstheme="majorAscii"/>
          <w:noProof w:val="0"/>
          <w:color w:val="FF0000"/>
          <w:sz w:val="24"/>
          <w:szCs w:val="24"/>
          <w:lang w:val="en-US"/>
        </w:rPr>
        <w:t>a</w:t>
      </w:r>
      <w:r w:rsidRPr="11A3E9AF" w:rsidR="24A6C358">
        <w:rPr>
          <w:rFonts w:ascii="Aptos Display" w:hAnsi="Aptos Display" w:eastAsia="Aptos Display" w:cs="Aptos Display" w:asciiTheme="majorAscii" w:hAnsiTheme="majorAscii" w:eastAsiaTheme="majorAscii" w:cstheme="majorAscii"/>
          <w:noProof w:val="0"/>
          <w:color w:val="FF0000"/>
          <w:sz w:val="24"/>
          <w:szCs w:val="24"/>
          <w:lang w:val="en-US"/>
        </w:rPr>
        <w:t>).</w:t>
      </w:r>
      <w:r w:rsidRPr="11A3E9AF" w:rsidR="624CE7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Pay grades and structures can be </w:t>
      </w:r>
      <w:r w:rsidRPr="11A3E9AF" w:rsidR="624CE711">
        <w:rPr>
          <w:rFonts w:ascii="Aptos Display" w:hAnsi="Aptos Display" w:eastAsia="Aptos Display" w:cs="Aptos Display" w:asciiTheme="majorAscii" w:hAnsiTheme="majorAscii" w:eastAsiaTheme="majorAscii" w:cstheme="majorAscii"/>
          <w:noProof w:val="0"/>
          <w:color w:val="FF0000"/>
          <w:sz w:val="24"/>
          <w:szCs w:val="24"/>
          <w:lang w:val="en-US"/>
        </w:rPr>
        <w:t>utilised</w:t>
      </w:r>
      <w:r w:rsidRPr="11A3E9AF" w:rsidR="624CE7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the following ways;</w:t>
      </w:r>
    </w:p>
    <w:p w:rsidR="624CE711" w:rsidP="11A3E9AF" w:rsidRDefault="624CE711" w14:paraId="1D606E09" w14:textId="47EDF026">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24CE711">
        <w:rPr>
          <w:rFonts w:ascii="Aptos Display" w:hAnsi="Aptos Display" w:eastAsia="Aptos Display" w:cs="Aptos Display" w:asciiTheme="majorAscii" w:hAnsiTheme="majorAscii" w:eastAsiaTheme="majorAscii" w:cstheme="majorAscii"/>
          <w:noProof w:val="0"/>
          <w:color w:val="FF0000"/>
          <w:sz w:val="24"/>
          <w:szCs w:val="24"/>
          <w:lang w:val="en-US"/>
        </w:rPr>
        <w:t>Spot salaries</w:t>
      </w:r>
    </w:p>
    <w:p w:rsidR="35988ACD" w:rsidP="11A3E9AF" w:rsidRDefault="35988ACD" w14:paraId="1C3FF170" w14:textId="72E73340">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There is a specific hourly, monthly, or yearly pay rate for every position or individual if they are being paid a spot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salariey</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(Cotton, 2024a). Spot rates are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encountered</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situations when a straightforward "rate for the job" is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required</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which is usually the case in lower-skilled jobs, or they are seen in higher-level professions. In this case, the compensation plan is created to draw in, keep, and inspire a particular individual (Cotton, 2024a).</w:t>
      </w:r>
    </w:p>
    <w:p w:rsidR="35988ACD" w:rsidP="11A3E9AF" w:rsidRDefault="35988ACD" w14:paraId="1CA83FA3" w14:textId="25E49F7B">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lack of a defined development framework may be a drawback to this approach. Nonetheless, to stay up with inflation or market rates, it is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feasible</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to raise the spot rate or move to a higher spot rate. Spot salaries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are</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created as part of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a remuneration</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package to draw in, inspire and keep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particular individuals</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for </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particular roles</w:t>
      </w:r>
      <w:r w:rsidRPr="11A3E9AF" w:rsidR="35988A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(Cotton, 2024a).</w:t>
      </w:r>
    </w:p>
    <w:p w:rsidR="7B3F38DA" w:rsidP="11A3E9AF" w:rsidRDefault="7B3F38DA" w14:paraId="2C5DA719" w14:textId="3C3C6C8E">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53FE5EA2" w:rsidP="11A3E9AF" w:rsidRDefault="53FE5EA2" w14:paraId="6F396A31" w14:textId="559CB161">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53FE5EA2">
        <w:rPr>
          <w:rFonts w:ascii="Aptos Display" w:hAnsi="Aptos Display" w:eastAsia="Aptos Display" w:cs="Aptos Display" w:asciiTheme="majorAscii" w:hAnsiTheme="majorAscii" w:eastAsiaTheme="majorAscii" w:cstheme="majorAscii"/>
          <w:noProof w:val="0"/>
          <w:color w:val="FF0000"/>
          <w:sz w:val="24"/>
          <w:szCs w:val="24"/>
          <w:lang w:val="en-US"/>
        </w:rPr>
        <w:t>Narrow pay structures</w:t>
      </w:r>
    </w:p>
    <w:p w:rsidR="43774726" w:rsidP="11A3E9AF" w:rsidRDefault="43774726" w14:paraId="59D4082B" w14:textId="1B1C8C13">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Narrow graded pay structures are </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almost the</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exact opposite of the afore-mentioned spot salaries. These are made up of several grades, typically 10 or more, with various occupations of </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roughly equal</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value assigned to each band (Cotton, 2024a). For instance, two employees with quite distinct duties and goals in the workplace—a housing officer and a heating engineer—may be in the same pay grade. Progression often occurs in steps according to the duration of service with individuals moving up a pay grade every year until they reach the top of their range. Most people soon reach the top of their range because grades are limited resulting in calls for upgrading and "grade drift," which is when the ranking of certain roles become higher than they deserve, or employees may suffer from low </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motivation</w:t>
      </w: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when monetary progression is no longer available to them (Cotton, 2024a).</w:t>
      </w:r>
    </w:p>
    <w:p w:rsidR="7B3F38DA" w:rsidP="11A3E9AF" w:rsidRDefault="7B3F38DA" w14:paraId="5100FFCB" w14:textId="3C027105">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43774726" w:rsidP="11A3E9AF" w:rsidRDefault="43774726" w14:paraId="04BB310F" w14:textId="3849AA89">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3774726">
        <w:rPr>
          <w:rFonts w:ascii="Aptos Display" w:hAnsi="Aptos Display" w:eastAsia="Aptos Display" w:cs="Aptos Display" w:asciiTheme="majorAscii" w:hAnsiTheme="majorAscii" w:eastAsiaTheme="majorAscii" w:cstheme="majorAscii"/>
          <w:noProof w:val="0"/>
          <w:color w:val="FF0000"/>
          <w:sz w:val="24"/>
          <w:szCs w:val="24"/>
          <w:lang w:val="en-US"/>
        </w:rPr>
        <w:t>Individual salary ranges</w:t>
      </w:r>
    </w:p>
    <w:p w:rsidR="4A6DBE90" w:rsidP="11A3E9AF" w:rsidRDefault="4A6DBE90" w14:paraId="346DB13C" w14:textId="335F3DA2">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A6DBE90">
        <w:rPr>
          <w:rFonts w:ascii="Aptos Display" w:hAnsi="Aptos Display" w:eastAsia="Aptos Display" w:cs="Aptos Display" w:asciiTheme="majorAscii" w:hAnsiTheme="majorAscii" w:eastAsiaTheme="majorAscii" w:cstheme="majorAscii"/>
          <w:noProof w:val="0"/>
          <w:color w:val="FF0000"/>
          <w:sz w:val="24"/>
          <w:szCs w:val="24"/>
          <w:lang w:val="en-US"/>
        </w:rPr>
        <w:t>These are similar but more advanced forms of individual spot salaries.</w:t>
      </w:r>
      <w:r w:rsidRPr="11A3E9AF" w:rsidR="4A6DBE9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Every position or employee has a wage range attached by the </w:t>
      </w:r>
      <w:r w:rsidRPr="11A3E9AF" w:rsidR="4A6DBE90">
        <w:rPr>
          <w:rFonts w:ascii="Aptos Display" w:hAnsi="Aptos Display" w:eastAsia="Aptos Display" w:cs="Aptos Display" w:asciiTheme="majorAscii" w:hAnsiTheme="majorAscii" w:eastAsiaTheme="majorAscii" w:cstheme="majorAscii"/>
          <w:noProof w:val="0"/>
          <w:color w:val="FF0000"/>
          <w:sz w:val="24"/>
          <w:szCs w:val="24"/>
          <w:lang w:val="en-US"/>
        </w:rPr>
        <w:t>organisaition</w:t>
      </w:r>
      <w:r w:rsidRPr="11A3E9AF" w:rsidR="4A6DBE90">
        <w:rPr>
          <w:rFonts w:ascii="Aptos Display" w:hAnsi="Aptos Display" w:eastAsia="Aptos Display" w:cs="Aptos Display" w:asciiTheme="majorAscii" w:hAnsiTheme="majorAscii" w:eastAsiaTheme="majorAscii" w:cstheme="majorAscii"/>
          <w:noProof w:val="0"/>
          <w:color w:val="FF0000"/>
          <w:sz w:val="24"/>
          <w:szCs w:val="24"/>
          <w:lang w:val="en-US"/>
        </w:rPr>
        <w:t>. Since they provide some official room for pay progression, individual salary ranges could be preferable over individual spot rates (Cotton, 2024a).</w:t>
      </w:r>
    </w:p>
    <w:p w:rsidR="7E205140" w:rsidP="11A3E9AF" w:rsidRDefault="7E205140" w14:paraId="56BE01A5" w14:textId="4998BDCA">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E205140">
        <w:rPr>
          <w:rFonts w:ascii="Aptos Display" w:hAnsi="Aptos Display" w:eastAsia="Aptos Display" w:cs="Aptos Display" w:asciiTheme="majorAscii" w:hAnsiTheme="majorAscii" w:eastAsiaTheme="majorAscii" w:cstheme="majorAscii"/>
          <w:noProof w:val="0"/>
          <w:color w:val="FF0000"/>
          <w:sz w:val="24"/>
          <w:szCs w:val="24"/>
          <w:lang w:val="en-US"/>
        </w:rPr>
        <w:t>442</w:t>
      </w:r>
    </w:p>
    <w:p w:rsidR="7B3F38DA" w:rsidP="11A3E9AF" w:rsidRDefault="7B3F38DA" w14:paraId="292EAFFB" w14:textId="5C0F3A64">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181A50AD" w:rsidP="11A3E9AF" w:rsidRDefault="181A50AD" w14:paraId="0A5A5407" w14:textId="2D9A4882">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how contingent rewards can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impact</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individual,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team</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and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organisational</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performance. (AC 2.2)</w:t>
      </w:r>
    </w:p>
    <w:p w:rsidR="7B3F38DA" w:rsidP="11A3E9AF" w:rsidRDefault="7B3F38DA" w14:paraId="0B8A2EDA" w14:textId="7B54A80D">
      <w:pPr>
        <w:pStyle w:val="ListParagraph"/>
        <w:spacing w:before="220" w:beforeAutospacing="off" w:after="220" w:afterAutospacing="off" w:line="276" w:lineRule="auto"/>
        <w:ind w:left="720"/>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p>
    <w:p w:rsidR="0882E060" w:rsidP="11A3E9AF" w:rsidRDefault="0882E060" w14:paraId="30A0F0E6" w14:textId="0013BCD6">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Individual performance</w:t>
      </w:r>
    </w:p>
    <w:p w:rsidR="0882E060" w:rsidP="11A3E9AF" w:rsidRDefault="0882E060" w14:paraId="3C47BDFE" w14:textId="0885354A">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 xml:space="preserve">Individual performance is </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greatly impacted</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by contingent incentives, which are awards granted in response to certain accomplishments or performance standards. Deci, Koestner, and Ryan (1999) claim that by setting clear </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objectives</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offering quick feedback, contingent incentives can improve motivation. People will work harder and more persistently if they believe that their efforts will be directly rewarded, such as through performance- or skill-based compensation, for example. Vroom's (1964) Expectancy Theory, which holds that people are driven to perform when they feel their efforts will result in </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favourable</w:t>
      </w:r>
      <w:r w:rsidRPr="11A3E9AF" w:rsidR="0882E06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consequences, lends credence to this.</w:t>
      </w:r>
    </w:p>
    <w:p w:rsidR="1EBF549A" w:rsidP="11A3E9AF" w:rsidRDefault="1EBF549A" w14:paraId="66F7B6AE" w14:textId="5BBBA816">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BF54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Team performance </w:t>
      </w:r>
    </w:p>
    <w:p w:rsidR="68674E11" w:rsidP="11A3E9AF" w:rsidRDefault="68674E11" w14:paraId="1FD4545C" w14:textId="1567D23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Contingency awards can promote teamwork and collaborative effort on a group level.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Members are motivated to collaborate to achieve a common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objective</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when rewards are linked to team success.</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This can improve cohesiveness within the team and lessen situations of social loafing, in which certain individuals put in less work than others. DeMatteo, Eby, and Sundstrom's (1998) research, for example, suggests that team-based incentives can improve performance results by coordinating individual goals with team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objectives</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To prevent disputes within the team, it is important that the distribution of rewards be viewed as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equitable</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(Armstrong &amp;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Murlis</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2007). It is also imperative that team leaders have a consistent strategy that offers stability and clarity on their contingency plans (Ghosh, Buss, and </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Shivhare</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2024).</w:t>
      </w:r>
    </w:p>
    <w:p w:rsidR="68674E11" w:rsidP="11A3E9AF" w:rsidRDefault="68674E11" w14:paraId="2365CAF6" w14:textId="42826119">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68674E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performance</w:t>
      </w:r>
    </w:p>
    <w:p w:rsidR="74E60A77" w:rsidP="11A3E9AF" w:rsidRDefault="74E60A77" w14:paraId="013801E6" w14:textId="225F2E5F">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xml:space="preserve">By coordinating staff goals with the </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strategic </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objectives</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contingent incentives have the potential to improve overall performance at the </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level. Businesses may boost productivity, lower attrition, and improve employee engagement by implementing performance-based compensation programs successfully (Armstrong &amp; </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Murlis</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xml:space="preserve">, 2007). Lawler (2003) discovered that companies with well-designed incentive systems had better financial success, supporting this theory. Furthermore, it guarantees that workers' efforts directly contribute to the success of the business when rewards are matched with key performance indicators (KPIs) (Armstrong &amp; </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Murlis</w:t>
      </w:r>
      <w:r w:rsidRPr="11A3E9AF" w:rsidR="74E60A77">
        <w:rPr>
          <w:rFonts w:ascii="Aptos Display" w:hAnsi="Aptos Display" w:eastAsia="Aptos Display" w:cs="Aptos Display" w:asciiTheme="majorAscii" w:hAnsiTheme="majorAscii" w:eastAsiaTheme="majorAscii" w:cstheme="majorAscii"/>
          <w:noProof w:val="0"/>
          <w:color w:val="FF0000"/>
          <w:sz w:val="24"/>
          <w:szCs w:val="24"/>
          <w:lang w:val="en-US"/>
        </w:rPr>
        <w:t>, 2007).</w:t>
      </w:r>
    </w:p>
    <w:p w:rsidR="38CC13EF" w:rsidP="11A3E9AF" w:rsidRDefault="38CC13EF" w14:paraId="10FE6494" w14:textId="5208616C">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8CC13EF">
        <w:rPr>
          <w:rFonts w:ascii="Aptos Display" w:hAnsi="Aptos Display" w:eastAsia="Aptos Display" w:cs="Aptos Display" w:asciiTheme="majorAscii" w:hAnsiTheme="majorAscii" w:eastAsiaTheme="majorAscii" w:cstheme="majorAscii"/>
          <w:noProof w:val="0"/>
          <w:color w:val="FF0000"/>
          <w:sz w:val="24"/>
          <w:szCs w:val="24"/>
          <w:lang w:val="en-US"/>
        </w:rPr>
        <w:t xml:space="preserve">It is important to note however, that, the substantial body of research on contingent incentives has produced conflicting results on the direct improvement of individual, team, and </w:t>
      </w:r>
      <w:r w:rsidRPr="11A3E9AF" w:rsidR="38CC13EF">
        <w:rPr>
          <w:rFonts w:ascii="Aptos Display" w:hAnsi="Aptos Display" w:eastAsia="Aptos Display" w:cs="Aptos Display" w:asciiTheme="majorAscii" w:hAnsiTheme="majorAscii" w:eastAsiaTheme="majorAscii" w:cstheme="majorAscii"/>
          <w:noProof w:val="0"/>
          <w:color w:val="FF0000"/>
          <w:sz w:val="24"/>
          <w:szCs w:val="24"/>
          <w:lang w:val="en-US"/>
        </w:rPr>
        <w:t>organisational</w:t>
      </w:r>
      <w:r w:rsidRPr="11A3E9AF" w:rsidR="38CC13EF">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performance through contingent pay (Armstrong and Brown, 2019).</w:t>
      </w:r>
    </w:p>
    <w:p w:rsidR="38CC13EF" w:rsidP="11A3E9AF" w:rsidRDefault="38CC13EF" w14:paraId="55E011AD" w14:textId="13F6B357">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8CC13EF">
        <w:rPr>
          <w:rFonts w:ascii="Aptos Display" w:hAnsi="Aptos Display" w:eastAsia="Aptos Display" w:cs="Aptos Display" w:asciiTheme="majorAscii" w:hAnsiTheme="majorAscii" w:eastAsiaTheme="majorAscii" w:cstheme="majorAscii"/>
          <w:noProof w:val="0"/>
          <w:color w:val="FF0000"/>
          <w:sz w:val="24"/>
          <w:szCs w:val="24"/>
          <w:lang w:val="en-US"/>
        </w:rPr>
        <w:t>341</w:t>
      </w:r>
    </w:p>
    <w:p w:rsidR="0135C87A" w:rsidP="11A3E9AF" w:rsidRDefault="0135C87A" w14:paraId="1D415884" w14:textId="3CC46B18">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11A3E9AF" w:rsidRDefault="181A50AD" w14:paraId="6379EABE" w14:textId="5C3C4676">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the merits of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different types</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of benefits offered by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organisations</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(AC 2.3)</w:t>
      </w:r>
    </w:p>
    <w:p w:rsidR="0135C87A" w:rsidP="11A3E9AF" w:rsidRDefault="0135C87A" w14:paraId="5C2A7B22" w14:textId="2236FF64">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pPr>
      <w:r w:rsidRPr="11A3E9AF" w:rsidR="5E4551DA">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Health and Wellbeing benefits</w:t>
      </w:r>
    </w:p>
    <w:p w:rsidR="7BD7B96A" w:rsidP="11A3E9AF" w:rsidRDefault="7BD7B96A" w14:paraId="0E690D8F" w14:textId="18AE70A9">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These types of benefits can lead to better overall employee health. Health and wellness initiatives, gym memberships, Occupational Health and health insurance are just a few examples of the programs that can improve employee health. According to studies, these advantages can increase production and lower absenteeism (Goetzel et al., 2014).</w:t>
      </w:r>
    </w:p>
    <w:p w:rsidR="7BD7B96A" w:rsidP="11A3E9AF" w:rsidRDefault="7BD7B96A" w14:paraId="0D97B37C" w14:textId="42AD1914">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Another of its merits is decreased healthcare expenditures. Early sickness identification and prevention lead to a reduction in long-term healthcare expenditures for employers who engage in comprehensive health benefits (Baicker, Cutler, &amp; Song, 2010). Lastly, these benefits can </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positivily</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impact and enhance job happiness and retention. Health benefits are highly valued by </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employees, and</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providing them can boost job happiness and lower an </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turnover rates</w:t>
      </w:r>
      <w:r w:rsidRPr="11A3E9AF" w:rsidR="7BD7B96A">
        <w:rPr>
          <w:rFonts w:ascii="Aptos Display" w:hAnsi="Aptos Display" w:eastAsia="Aptos Display" w:cs="Aptos Display" w:asciiTheme="majorAscii" w:hAnsiTheme="majorAscii" w:eastAsiaTheme="majorAscii" w:cstheme="majorAscii"/>
          <w:noProof w:val="0"/>
          <w:color w:val="FF0000"/>
          <w:sz w:val="24"/>
          <w:szCs w:val="24"/>
          <w:lang w:val="en-US"/>
        </w:rPr>
        <w:t>. (Goetzel et al., 2014)</w:t>
      </w:r>
    </w:p>
    <w:p w:rsidR="087EF164" w:rsidP="11A3E9AF" w:rsidRDefault="087EF164" w14:paraId="1F7ED28D" w14:textId="223B52E2">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87EF164">
        <w:rPr>
          <w:rFonts w:ascii="Aptos Display" w:hAnsi="Aptos Display" w:eastAsia="Aptos Display" w:cs="Aptos Display" w:asciiTheme="majorAscii" w:hAnsiTheme="majorAscii" w:eastAsiaTheme="majorAscii" w:cstheme="majorAscii"/>
          <w:noProof w:val="0"/>
          <w:color w:val="FF0000"/>
          <w:sz w:val="24"/>
          <w:szCs w:val="24"/>
          <w:lang w:val="en-US"/>
        </w:rPr>
        <w:t>Work-life balance</w:t>
      </w:r>
    </w:p>
    <w:p w:rsidR="1E0CD511" w:rsidP="11A3E9AF" w:rsidRDefault="1E0CD511" w14:paraId="01EBCCD9" w14:textId="0A23D615">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Benefits like parental leave, remote work opportunities, and flexible work schedules enable workers to successfully manage their personal and professional obligations, which can increase productivity (</w:t>
      </w: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Kossek</w:t>
      </w: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 Lewis, &amp; Hammer, 2010). According to Wood (2018), flexible work arrangements have a positive impact on productivity by giving employees more job autonomy and elevating their sense of support from management.</w:t>
      </w:r>
    </w:p>
    <w:p w:rsidR="1E0CD511" w:rsidP="11A3E9AF" w:rsidRDefault="1E0CD511" w14:paraId="604424E1" w14:textId="52BA7623">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Additionally, these advantages could result in better wellbeing for employees. Benefits related to work-life balance are essential for mental health because they lower stress and burnout, which improves workers' general wellbeing (Allen, Johnson, Kiburz, &amp; Shockley, 2013). Finally, these </w:t>
      </w: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perks</w:t>
      </w: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promote a more encouraging workplace, which increases worker loyalty and decreases turnover. (Thompson, Beauvais</w:t>
      </w:r>
      <w:r w:rsidRPr="11A3E9AF" w:rsidR="2E42E07F">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Lyness,</w:t>
      </w:r>
      <w:r w:rsidRPr="11A3E9AF" w:rsidR="1E0CD51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1999).</w:t>
      </w:r>
    </w:p>
    <w:p w:rsidR="1AC8E86D" w:rsidP="11A3E9AF" w:rsidRDefault="1AC8E86D" w14:paraId="00910E5C" w14:textId="4E5F4F0B">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It is crucial to note, however, that work-life balance initiatives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don't</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have to be elaborate or complex. For instance, managers can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monitor</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calendars to make sure employees are taking their yearly leave and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aren't</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working excessive hours because they must make sure that deadlines and workloads are reasonable and doable for employees.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In order to</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improve everyone's welfare and productivity, it is also critical that staff members uphold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bounderies</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in order for</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them to </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maintain</w:t>
      </w:r>
      <w:r w:rsidRPr="11A3E9AF" w:rsidR="1AC8E86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productivity and well-being (Mayne, 2023).</w:t>
      </w:r>
    </w:p>
    <w:p w:rsidR="3F6B5268" w:rsidP="11A3E9AF" w:rsidRDefault="3F6B5268" w14:paraId="594E1AA0" w14:textId="45E35872">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F6B5268">
        <w:rPr>
          <w:rFonts w:ascii="Aptos Display" w:hAnsi="Aptos Display" w:eastAsia="Aptos Display" w:cs="Aptos Display" w:asciiTheme="majorAscii" w:hAnsiTheme="majorAscii" w:eastAsiaTheme="majorAscii" w:cstheme="majorAscii"/>
          <w:noProof w:val="0"/>
          <w:color w:val="FF0000"/>
          <w:sz w:val="24"/>
          <w:szCs w:val="24"/>
          <w:lang w:val="en-US"/>
        </w:rPr>
        <w:t xml:space="preserve">Training and </w:t>
      </w:r>
      <w:r w:rsidRPr="11A3E9AF" w:rsidR="0483FEE1">
        <w:rPr>
          <w:rFonts w:ascii="Aptos Display" w:hAnsi="Aptos Display" w:eastAsia="Aptos Display" w:cs="Aptos Display" w:asciiTheme="majorAscii" w:hAnsiTheme="majorAscii" w:eastAsiaTheme="majorAscii" w:cstheme="majorAscii"/>
          <w:noProof w:val="0"/>
          <w:color w:val="FF0000"/>
          <w:sz w:val="24"/>
          <w:szCs w:val="24"/>
          <w:lang w:val="en-US"/>
        </w:rPr>
        <w:t>Professional</w:t>
      </w:r>
      <w:r w:rsidRPr="11A3E9AF" w:rsidR="3F6B526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Development </w:t>
      </w:r>
    </w:p>
    <w:p w:rsidR="44266F7C" w:rsidP="11A3E9AF" w:rsidRDefault="44266F7C" w14:paraId="4CDA3CBA" w14:textId="5B8F001F">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 xml:space="preserve">With the support of training and development opportunities like professional certifications and tuition reimbursement, employees can improve their abilities and keep current with industry </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trends .</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Individuals gain from this, but the business also gains as it can invest in its personnel and access an educated and knowledgeable workforce (Noe, 2013).</w:t>
      </w:r>
    </w:p>
    <w:p w:rsidR="44266F7C" w:rsidP="11A3E9AF" w:rsidRDefault="44266F7C" w14:paraId="75B92F76" w14:textId="00E72EAE">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Benefits that promote professional development can also result in chances for career growth inside the company, which boosts motivation and job satisfaction (</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Aguinis</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&amp; </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Kraiger</w:t>
      </w:r>
      <w:r w:rsidRPr="11A3E9AF" w:rsidR="44266F7C">
        <w:rPr>
          <w:rFonts w:ascii="Aptos Display" w:hAnsi="Aptos Display" w:eastAsia="Aptos Display" w:cs="Aptos Display" w:asciiTheme="majorAscii" w:hAnsiTheme="majorAscii" w:eastAsiaTheme="majorAscii" w:cstheme="majorAscii"/>
          <w:noProof w:val="0"/>
          <w:color w:val="FF0000"/>
          <w:sz w:val="24"/>
          <w:szCs w:val="24"/>
          <w:lang w:val="en-US"/>
        </w:rPr>
        <w:t>, 2009).</w:t>
      </w:r>
    </w:p>
    <w:p w:rsidR="398861C6" w:rsidP="11A3E9AF" w:rsidRDefault="398861C6" w14:paraId="69053D60" w14:textId="7248BDFC">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98861C6">
        <w:rPr>
          <w:rFonts w:ascii="Aptos Display" w:hAnsi="Aptos Display" w:eastAsia="Aptos Display" w:cs="Aptos Display" w:asciiTheme="majorAscii" w:hAnsiTheme="majorAscii" w:eastAsiaTheme="majorAscii" w:cstheme="majorAscii"/>
          <w:noProof w:val="0"/>
          <w:color w:val="FF0000"/>
          <w:sz w:val="24"/>
          <w:szCs w:val="24"/>
          <w:lang w:val="en-US"/>
        </w:rPr>
        <w:t>401</w:t>
      </w:r>
    </w:p>
    <w:p w:rsidR="7B3F38DA" w:rsidP="11A3E9AF" w:rsidRDefault="7B3F38DA" w14:paraId="42C1F9F3" w14:textId="527AD2A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181A50AD" w:rsidP="11A3E9AF" w:rsidRDefault="181A50AD" w14:paraId="1A05B94C" w14:textId="7FB8723C">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the merits of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different types</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of recognition schemes offered by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organisations</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(AC 2.4)</w:t>
      </w:r>
    </w:p>
    <w:p w:rsidR="2AE4F08C" w:rsidP="11A3E9AF" w:rsidRDefault="2AE4F08C" w14:paraId="0ED8B5DF" w14:textId="7E598DD0">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 </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recognition program is a strategic method that aims to </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honour</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staff members for their accomplishments, commitment, and hard work</w:t>
      </w:r>
      <w:r w:rsidRPr="11A3E9AF" w:rsidR="41578B4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(Chown, 2023)</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want to foster a culture of appreciation where their employees feel appreciated and inspired to perform to the best of their abilities and putting in place a reward and recognition program can aid with this</w:t>
      </w:r>
      <w:r w:rsidRPr="11A3E9AF" w:rsidR="785AF90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(Chown, 2023).</w:t>
      </w:r>
      <w:r w:rsidRPr="11A3E9AF" w:rsidR="2AE4F08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There are several methods for doing this.</w:t>
      </w:r>
    </w:p>
    <w:p w:rsidR="0EFDC287" w:rsidP="11A3E9AF" w:rsidRDefault="0EFDC287" w14:paraId="37B8F4C5" w14:textId="75831EB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pPr>
      <w:r w:rsidRPr="11A3E9AF" w:rsidR="0EFDC287">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Cash rewards</w:t>
      </w:r>
    </w:p>
    <w:p w:rsidR="1D9DB9EB" w:rsidP="11A3E9AF" w:rsidRDefault="1D9DB9EB" w14:paraId="63CD5F62" w14:textId="1CA4D596">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Bonuses, pay increases, and stock options are examples of monetary incentives that can be used in recognition schemes for high performing employees. These offer immediate cash rewards, which have the power to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greatly inspire</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workers and raise their level of job satisfaction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Stajkovic</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&amp; Luthans, 2001). Performance can also increase when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good work</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is </w:t>
      </w:r>
      <w:r w:rsidRPr="11A3E9AF" w:rsidR="795B8F81">
        <w:rPr>
          <w:rFonts w:ascii="Aptos Display" w:hAnsi="Aptos Display" w:eastAsia="Aptos Display" w:cs="Aptos Display" w:asciiTheme="majorAscii" w:hAnsiTheme="majorAscii" w:eastAsiaTheme="majorAscii" w:cstheme="majorAscii"/>
          <w:noProof w:val="0"/>
          <w:color w:val="FF0000"/>
          <w:sz w:val="24"/>
          <w:szCs w:val="24"/>
          <w:lang w:val="en-US"/>
        </w:rPr>
        <w:t>recognised</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with financial benefits. Given that they can </w:t>
      </w:r>
      <w:r w:rsidRPr="11A3E9AF" w:rsidR="7FE14731">
        <w:rPr>
          <w:rFonts w:ascii="Aptos Display" w:hAnsi="Aptos Display" w:eastAsia="Aptos Display" w:cs="Aptos Display" w:asciiTheme="majorAscii" w:hAnsiTheme="majorAscii" w:eastAsiaTheme="majorAscii" w:cstheme="majorAscii"/>
          <w:noProof w:val="0"/>
          <w:color w:val="FF0000"/>
          <w:sz w:val="24"/>
          <w:szCs w:val="24"/>
          <w:lang w:val="en-US"/>
        </w:rPr>
        <w:t>fulfil</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 employees' current and future financial needs, financial awards have a high positive correlation with increased performance and productivity (Eisenberger &amp; Cameron, 1996). They could also have a significant positive effect on attraction and retention for the company. Competitive pay benefits aid in luring and keeping top personnel, increasing the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attractiveness to high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achievers</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fostering the development of a knowledgeable and skilled </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1D9DB9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force </w:t>
      </w:r>
      <w:r w:rsidRPr="11A3E9AF" w:rsidR="54785E8A">
        <w:rPr>
          <w:rFonts w:ascii="Aptos Display" w:hAnsi="Aptos Display" w:eastAsia="Aptos Display" w:cs="Aptos Display" w:asciiTheme="majorAscii" w:hAnsiTheme="majorAscii" w:eastAsiaTheme="majorAscii" w:cstheme="majorAscii"/>
          <w:noProof w:val="0"/>
          <w:color w:val="FF0000"/>
          <w:sz w:val="24"/>
          <w:szCs w:val="24"/>
          <w:lang w:val="en-US"/>
        </w:rPr>
        <w:t>(Eisenberger Cameron,1996)</w:t>
      </w:r>
      <w:r w:rsidRPr="11A3E9AF" w:rsidR="54785E8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w:t>
      </w:r>
    </w:p>
    <w:p w:rsidR="470D6F13" w:rsidP="11A3E9AF" w:rsidRDefault="470D6F13" w14:paraId="3A7A38AB" w14:textId="5F6E5305">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Peer to peer </w:t>
      </w:r>
      <w:r w:rsidRPr="11A3E9AF"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recognition</w:t>
      </w:r>
      <w:r w:rsidRPr="11A3E9AF"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FF0000"/>
          <w:sz w:val="24"/>
          <w:szCs w:val="24"/>
          <w:u w:val="none"/>
          <w:lang w:val="en-US"/>
        </w:rPr>
        <w:t xml:space="preserve"> </w:t>
      </w:r>
    </w:p>
    <w:p w:rsidR="470D6F13" w:rsidP="11A3E9AF" w:rsidRDefault="470D6F13" w14:paraId="1FC9F4C2" w14:textId="0C733A0F">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 xml:space="preserve">Peer to peer recognition is when employees acknowledge a colleague's abilities, </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contributions</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talents (Wong, 2023). Since peers are more likely to be aware of each other's daily struggles and hurdles, positive peer feedback can have an equal impact than management or senior staff input. </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Peer recognition may have extra significance due to this greater understanding of their peer's work (Wong, 2023).</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Employee spotlights, social media shoutouts, certificates or prizes, and complimentary lunch or coffee for </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recognised</w:t>
      </w:r>
      <w:r w:rsidRPr="11A3E9AF" w:rsidR="470D6F1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people or teams are a few examples of peer-to-peer recognition techniques (Wong, 2023).</w:t>
      </w:r>
    </w:p>
    <w:p w:rsidR="1EC48B26" w:rsidP="11A3E9AF" w:rsidRDefault="1EC48B26" w14:paraId="31327246" w14:textId="39AD091A">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C48B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Peer-to-peer recognition programs can promote teamwork and collaboration by enabling staff members to acknowledge and appreciate one another's accomplishments (Baker et al., 2013). Additionally, by fostering an environment where employees are motivated to express gratitude and praise, it can increase overall employee engagement leading to improved performance (Brun &amp; Dugas, 2008). Such programs may also increase job satisfaction since workers feel appreciated by both management and coworkers, boosting morale and </w:t>
      </w:r>
      <w:r w:rsidRPr="11A3E9AF" w:rsidR="1EC48B26">
        <w:rPr>
          <w:rFonts w:ascii="Aptos Display" w:hAnsi="Aptos Display" w:eastAsia="Aptos Display" w:cs="Aptos Display" w:asciiTheme="majorAscii" w:hAnsiTheme="majorAscii" w:eastAsiaTheme="majorAscii" w:cstheme="majorAscii"/>
          <w:noProof w:val="0"/>
          <w:color w:val="FF0000"/>
          <w:sz w:val="24"/>
          <w:szCs w:val="24"/>
          <w:lang w:val="en-US"/>
        </w:rPr>
        <w:t>self-confidence</w:t>
      </w:r>
      <w:r w:rsidRPr="11A3E9AF" w:rsidR="1EC48B2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(Brun &amp; Dugas, 2008).</w:t>
      </w:r>
    </w:p>
    <w:p w:rsidR="1EC48B26" w:rsidP="11A3E9AF" w:rsidRDefault="1EC48B26" w14:paraId="1B57093C" w14:textId="66658E25">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C48B26">
        <w:rPr>
          <w:rFonts w:ascii="Aptos Display" w:hAnsi="Aptos Display" w:eastAsia="Aptos Display" w:cs="Aptos Display" w:asciiTheme="majorAscii" w:hAnsiTheme="majorAscii" w:eastAsiaTheme="majorAscii" w:cstheme="majorAscii"/>
          <w:noProof w:val="0"/>
          <w:color w:val="FF0000"/>
          <w:sz w:val="24"/>
          <w:szCs w:val="24"/>
          <w:lang w:val="en-US"/>
        </w:rPr>
        <w:t>Furthermore, peer-to-peer recognition, fosters a sense of connection and belonging by encouraging staff to publicly acknowledge colleagues for the distinctive abilities and experiences they bring to the table which allows businesses to highlight and improve their diversity and inclusion initiatives (Wong, 2023).</w:t>
      </w:r>
    </w:p>
    <w:p w:rsidR="1EC48B26" w:rsidP="11A3E9AF" w:rsidRDefault="1EC48B26" w14:paraId="4DF24796" w14:textId="7BC9974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C48B26">
        <w:rPr>
          <w:rFonts w:ascii="Aptos Display" w:hAnsi="Aptos Display" w:eastAsia="Aptos Display" w:cs="Aptos Display" w:asciiTheme="majorAscii" w:hAnsiTheme="majorAscii" w:eastAsiaTheme="majorAscii" w:cstheme="majorAscii"/>
          <w:noProof w:val="0"/>
          <w:color w:val="FF0000"/>
          <w:sz w:val="24"/>
          <w:szCs w:val="24"/>
          <w:lang w:val="en-US"/>
        </w:rPr>
        <w:t>412</w:t>
      </w:r>
    </w:p>
    <w:p w:rsidR="0135C87A" w:rsidP="11A3E9AF" w:rsidRDefault="0135C87A" w14:paraId="18991913" w14:textId="0E0E24D3">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11A3E9AF" w:rsidRDefault="181A50AD" w14:paraId="49BB27C2" w14:textId="2246C54F">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Assess the business context of the reward environment. (AC 3.1)</w:t>
      </w:r>
    </w:p>
    <w:p w:rsidR="0135C87A" w:rsidP="11A3E9AF" w:rsidRDefault="0135C87A" w14:paraId="00611D25" w14:textId="7A4E041D">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 xml:space="preserve">Global, national, and corporate forces </w:t>
      </w:r>
      <w:r w:rsidRPr="11A3E9AF" w:rsidR="410D1A2E">
        <w:rPr>
          <w:rFonts w:ascii="Aptos Display" w:hAnsi="Aptos Display" w:eastAsia="Aptos Display" w:cs="Aptos Display" w:asciiTheme="majorAscii" w:hAnsiTheme="majorAscii" w:eastAsiaTheme="majorAscii" w:cstheme="majorAscii"/>
          <w:noProof w:val="0"/>
          <w:color w:val="FF0000"/>
          <w:sz w:val="24"/>
          <w:szCs w:val="24"/>
          <w:lang w:val="en-US"/>
        </w:rPr>
        <w:t>as well as internal and external factors all i</w:t>
      </w: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 xml:space="preserve">nteract intricately to shape the </w:t>
      </w: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incentiventives</w:t>
      </w: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reward packages. </w:t>
      </w: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may create incentive programs that improve employee happiness and boost revenue by taking these aspects into account.</w:t>
      </w:r>
    </w:p>
    <w:p w:rsidR="0B249E78" w:rsidP="11A3E9AF" w:rsidRDefault="0B249E78" w14:paraId="5D83C581" w14:textId="1DC189C5">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B249E78">
        <w:rPr>
          <w:rFonts w:ascii="Aptos Display" w:hAnsi="Aptos Display" w:eastAsia="Aptos Display" w:cs="Aptos Display" w:asciiTheme="majorAscii" w:hAnsiTheme="majorAscii" w:eastAsiaTheme="majorAscii" w:cstheme="majorAscii"/>
          <w:noProof w:val="0"/>
          <w:color w:val="FF0000"/>
          <w:sz w:val="24"/>
          <w:szCs w:val="24"/>
          <w:lang w:val="en-US"/>
        </w:rPr>
        <w:t>Global context</w:t>
      </w:r>
    </w:p>
    <w:p w:rsidR="2721B30D" w:rsidP="11A3E9AF" w:rsidRDefault="2721B30D" w14:paraId="705D6371" w14:textId="27099F4D">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requirement to take cultural sensitivity into account is one worldwide factor that affects the reward environment. Cultural differences can lead to considerable differences in reward preferences, thus an approach that is seen as effective and generous in one culture may not be viewed as equally valuable in another. For instance, individualistic cultures could </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favour</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individual recognition, </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whereas</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collectivist societies might </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emphasise</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team-based awards (Hofstede, 2001). Considering and </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prioritising</w:t>
      </w:r>
      <w:r w:rsidRPr="11A3E9AF" w:rsidR="2721B30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these distinctions is essential to creating incentive schemes that work.</w:t>
      </w:r>
    </w:p>
    <w:p w:rsidR="3A37E49E" w:rsidP="11A3E9AF" w:rsidRDefault="3A37E49E" w14:paraId="41E86E6A" w14:textId="17093D9F">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Global competition for products and services affects the reward environments in general and pay systems in particular in a variety of ways. To guarantee that the business can respond to fresh and escalating demands or pressure, for instance, employers may need to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provide</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their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staff</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more flexibility (Perkins and White, 2011). Additionally,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may feel compelled to implement performance-based pay plans, which reward workers more for competence and high performance.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In order to</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address skills gaps and adapt to shifting demands,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may also want to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take into account</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global talent mobility, which increases access to brilliant people worldwide (Perkins </w:t>
      </w:r>
      <w:r w:rsidRPr="11A3E9AF" w:rsidR="37A8A73C">
        <w:rPr>
          <w:rFonts w:ascii="Aptos Display" w:hAnsi="Aptos Display" w:eastAsia="Aptos Display" w:cs="Aptos Display" w:asciiTheme="majorAscii" w:hAnsiTheme="majorAscii" w:eastAsiaTheme="majorAscii" w:cstheme="majorAscii"/>
          <w:noProof w:val="0"/>
          <w:color w:val="FF0000"/>
          <w:sz w:val="24"/>
          <w:szCs w:val="24"/>
          <w:lang w:val="en-US"/>
        </w:rPr>
        <w:t xml:space="preserve">&amp; </w:t>
      </w: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White, 2011).</w:t>
      </w:r>
    </w:p>
    <w:p w:rsidR="3A37E49E" w:rsidP="11A3E9AF" w:rsidRDefault="3A37E49E" w14:paraId="43BE26EA" w14:textId="60DBF983">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A37E49E">
        <w:rPr>
          <w:rFonts w:ascii="Aptos Display" w:hAnsi="Aptos Display" w:eastAsia="Aptos Display" w:cs="Aptos Display" w:asciiTheme="majorAscii" w:hAnsiTheme="majorAscii" w:eastAsiaTheme="majorAscii" w:cstheme="majorAscii"/>
          <w:noProof w:val="0"/>
          <w:color w:val="FF0000"/>
          <w:sz w:val="24"/>
          <w:szCs w:val="24"/>
          <w:lang w:val="en-US"/>
        </w:rPr>
        <w:t>National Context</w:t>
      </w:r>
    </w:p>
    <w:p w:rsidR="508AF9B9" w:rsidP="11A3E9AF" w:rsidRDefault="508AF9B9" w14:paraId="479D33FD" w14:textId="3C4313C0">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508AF9B9">
        <w:rPr>
          <w:rFonts w:ascii="Aptos Display" w:hAnsi="Aptos Display" w:eastAsia="Aptos Display" w:cs="Aptos Display" w:asciiTheme="majorAscii" w:hAnsiTheme="majorAscii" w:eastAsiaTheme="majorAscii" w:cstheme="majorAscii"/>
          <w:noProof w:val="0"/>
          <w:color w:val="FF0000"/>
          <w:sz w:val="24"/>
          <w:szCs w:val="24"/>
          <w:lang w:val="en-US"/>
        </w:rPr>
        <w:t xml:space="preserve">Different countries have various legal frameworks and </w:t>
      </w:r>
      <w:r w:rsidRPr="11A3E9AF" w:rsidR="508AF9B9">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508AF9B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rules that companies must follow when it comes to compensation and rewards</w:t>
      </w:r>
      <w:r w:rsidRPr="11A3E9AF" w:rsidR="03BD915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for example rules and laws </w:t>
      </w:r>
      <w:r w:rsidRPr="11A3E9AF" w:rsidR="03BD9153">
        <w:rPr>
          <w:rFonts w:ascii="Aptos Display" w:hAnsi="Aptos Display" w:eastAsia="Aptos Display" w:cs="Aptos Display" w:asciiTheme="majorAscii" w:hAnsiTheme="majorAscii" w:eastAsiaTheme="majorAscii" w:cstheme="majorAscii"/>
          <w:noProof w:val="0"/>
          <w:color w:val="FF0000"/>
          <w:sz w:val="24"/>
          <w:szCs w:val="24"/>
          <w:lang w:val="en-US"/>
        </w:rPr>
        <w:t>regarding</w:t>
      </w:r>
      <w:r w:rsidRPr="11A3E9AF" w:rsidR="03BD915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working time regulations may limit the amount of paid overtime a company can offer as an </w:t>
      </w:r>
      <w:r w:rsidRPr="11A3E9AF" w:rsidR="03BD9153">
        <w:rPr>
          <w:rFonts w:ascii="Aptos Display" w:hAnsi="Aptos Display" w:eastAsia="Aptos Display" w:cs="Aptos Display" w:asciiTheme="majorAscii" w:hAnsiTheme="majorAscii" w:eastAsiaTheme="majorAscii" w:cstheme="majorAscii"/>
          <w:noProof w:val="0"/>
          <w:color w:val="FF0000"/>
          <w:sz w:val="24"/>
          <w:szCs w:val="24"/>
          <w:lang w:val="en-US"/>
        </w:rPr>
        <w:t>incentive</w:t>
      </w:r>
      <w:r w:rsidRPr="11A3E9AF" w:rsidR="508AF9B9">
        <w:rPr>
          <w:rFonts w:ascii="Aptos Display" w:hAnsi="Aptos Display" w:eastAsia="Aptos Display" w:cs="Aptos Display" w:asciiTheme="majorAscii" w:hAnsiTheme="majorAscii" w:eastAsiaTheme="majorAscii" w:cstheme="majorAscii"/>
          <w:noProof w:val="0"/>
          <w:color w:val="FF0000"/>
          <w:sz w:val="24"/>
          <w:szCs w:val="24"/>
          <w:lang w:val="en-US"/>
        </w:rPr>
        <w:t>. There may be legal repercussions and reputational harm for noncompliance (Budd &amp; Bhave, 2008).</w:t>
      </w:r>
    </w:p>
    <w:p w:rsidR="3CFAA7EB" w:rsidP="11A3E9AF" w:rsidRDefault="3CFAA7EB" w14:paraId="03A7018D" w14:textId="680B92A0">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CFAA7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As an example, a variety of variables impact reward management systems and methods in the UK. These aspects include the implementation of the National Minimum Wage, a fragmented </w:t>
      </w:r>
      <w:r w:rsidRPr="11A3E9AF" w:rsidR="3CFAA7EB">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3CFAA7EB">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market, lower rates of inflation, and significant pay scale disparities between the top and bottom (Perkins </w:t>
      </w:r>
      <w:r w:rsidRPr="11A3E9AF" w:rsidR="5AF67120">
        <w:rPr>
          <w:rFonts w:ascii="Aptos Display" w:hAnsi="Aptos Display" w:eastAsia="Aptos Display" w:cs="Aptos Display" w:asciiTheme="majorAscii" w:hAnsiTheme="majorAscii" w:eastAsiaTheme="majorAscii" w:cstheme="majorAscii"/>
          <w:noProof w:val="0"/>
          <w:color w:val="FF0000"/>
          <w:sz w:val="24"/>
          <w:szCs w:val="24"/>
          <w:lang w:val="en-US"/>
        </w:rPr>
        <w:t xml:space="preserve">&amp; </w:t>
      </w:r>
      <w:r w:rsidRPr="11A3E9AF" w:rsidR="3CFAA7EB">
        <w:rPr>
          <w:rFonts w:ascii="Aptos Display" w:hAnsi="Aptos Display" w:eastAsia="Aptos Display" w:cs="Aptos Display" w:asciiTheme="majorAscii" w:hAnsiTheme="majorAscii" w:eastAsiaTheme="majorAscii" w:cstheme="majorAscii"/>
          <w:noProof w:val="0"/>
          <w:color w:val="FF0000"/>
          <w:sz w:val="24"/>
          <w:szCs w:val="24"/>
          <w:lang w:val="en-US"/>
        </w:rPr>
        <w:t>White, 2011).</w:t>
      </w:r>
    </w:p>
    <w:p w:rsidR="3CFAA7EB" w:rsidP="11A3E9AF" w:rsidRDefault="3CFAA7EB" w14:paraId="2E7CE7B1" w14:textId="539304ED">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CFAA7EB">
        <w:rPr>
          <w:rFonts w:ascii="Aptos Display" w:hAnsi="Aptos Display" w:eastAsia="Aptos Display" w:cs="Aptos Display" w:asciiTheme="majorAscii" w:hAnsiTheme="majorAscii" w:eastAsiaTheme="majorAscii" w:cstheme="majorAscii"/>
          <w:noProof w:val="0"/>
          <w:color w:val="FF0000"/>
          <w:sz w:val="24"/>
          <w:szCs w:val="24"/>
          <w:lang w:val="en-US"/>
        </w:rPr>
        <w:t>Corporate Context</w:t>
      </w:r>
    </w:p>
    <w:p w:rsidR="0C495D9A" w:rsidP="11A3E9AF" w:rsidRDefault="0C495D9A" w14:paraId="7F29ED20" w14:textId="441E0074">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values and culture of the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should be taken into account while designing reward and recognition strategies. The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principles and culture should be reflected in and upheld by the reward structure. For example, as per Deal and Kennedy (1982), a competitive culture may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prioritise</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individual performance incentives,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whereas</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 collaborative culture would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prioritise</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team bonuses and collective recognition.</w:t>
      </w:r>
    </w:p>
    <w:p w:rsidR="0C495D9A" w:rsidP="11A3E9AF" w:rsidRDefault="0C495D9A" w14:paraId="3EC5199E" w14:textId="2152B97C">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Furthermore, motivation and satisfaction may be raised by learning about employee preferences and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customising</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rewards according to their values and beliefs.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may </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determine</w:t>
      </w:r>
      <w:r w:rsidRPr="11A3E9AF" w:rsidR="0C495D9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what matters most to their staff by using surveys and feedback systems (Twenge et al., 2010).</w:t>
      </w:r>
    </w:p>
    <w:p w:rsidR="44A238E9" w:rsidP="11A3E9AF" w:rsidRDefault="44A238E9" w14:paraId="4F247CFA" w14:textId="12F5B70F">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For </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0222C475">
        <w:rPr>
          <w:rFonts w:ascii="Aptos Display" w:hAnsi="Aptos Display" w:eastAsia="Aptos Display" w:cs="Aptos Display" w:asciiTheme="majorAscii" w:hAnsiTheme="majorAscii" w:eastAsiaTheme="majorAscii" w:cstheme="majorAscii"/>
          <w:noProof w:val="0"/>
          <w:color w:val="FF0000"/>
          <w:sz w:val="24"/>
          <w:szCs w:val="24"/>
          <w:lang w:val="en-US"/>
        </w:rPr>
        <w:t>advancements</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in technology and the move toward hybrid working and working flexibly are also considerations that </w:t>
      </w:r>
      <w:r w:rsidRPr="11A3E9AF" w:rsidR="22DF766F">
        <w:rPr>
          <w:rFonts w:ascii="Aptos Display" w:hAnsi="Aptos Display" w:eastAsia="Aptos Display" w:cs="Aptos Display" w:asciiTheme="majorAscii" w:hAnsiTheme="majorAscii" w:eastAsiaTheme="majorAscii" w:cstheme="majorAscii"/>
          <w:noProof w:val="0"/>
          <w:color w:val="FF0000"/>
          <w:sz w:val="24"/>
          <w:szCs w:val="24"/>
          <w:lang w:val="en-US"/>
        </w:rPr>
        <w:t>must</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be made </w:t>
      </w:r>
      <w:r w:rsidRPr="11A3E9AF" w:rsidR="63FAE68B">
        <w:rPr>
          <w:rFonts w:ascii="Aptos Display" w:hAnsi="Aptos Display" w:eastAsia="Aptos Display" w:cs="Aptos Display" w:asciiTheme="majorAscii" w:hAnsiTheme="majorAscii" w:eastAsiaTheme="majorAscii" w:cstheme="majorAscii"/>
          <w:noProof w:val="0"/>
          <w:color w:val="FF0000"/>
          <w:sz w:val="24"/>
          <w:szCs w:val="24"/>
          <w:lang w:val="en-US"/>
        </w:rPr>
        <w:t>to</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sha</w:t>
      </w:r>
      <w:r w:rsidRPr="11A3E9AF" w:rsidR="0247C752">
        <w:rPr>
          <w:rFonts w:ascii="Aptos Display" w:hAnsi="Aptos Display" w:eastAsia="Aptos Display" w:cs="Aptos Display" w:asciiTheme="majorAscii" w:hAnsiTheme="majorAscii" w:eastAsiaTheme="majorAscii" w:cstheme="majorAscii"/>
          <w:noProof w:val="0"/>
          <w:color w:val="FF0000"/>
          <w:sz w:val="24"/>
          <w:szCs w:val="24"/>
          <w:lang w:val="en-US"/>
        </w:rPr>
        <w:t>p</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e the reward </w:t>
      </w:r>
      <w:r w:rsidRPr="11A3E9AF" w:rsidR="37FC3FAC">
        <w:rPr>
          <w:rFonts w:ascii="Aptos Display" w:hAnsi="Aptos Display" w:eastAsia="Aptos Display" w:cs="Aptos Display" w:asciiTheme="majorAscii" w:hAnsiTheme="majorAscii" w:eastAsiaTheme="majorAscii" w:cstheme="majorAscii"/>
          <w:noProof w:val="0"/>
          <w:color w:val="FF0000"/>
          <w:sz w:val="24"/>
          <w:szCs w:val="24"/>
          <w:lang w:val="en-US"/>
        </w:rPr>
        <w:t>environment</w:t>
      </w:r>
      <w:r w:rsidRPr="11A3E9AF" w:rsidR="44A238E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11C0ECC5">
        <w:rPr>
          <w:rFonts w:ascii="Aptos Display" w:hAnsi="Aptos Display" w:eastAsia="Aptos Display" w:cs="Aptos Display" w:asciiTheme="majorAscii" w:hAnsiTheme="majorAscii" w:eastAsiaTheme="majorAscii" w:cstheme="majorAscii"/>
          <w:noProof w:val="0"/>
          <w:color w:val="FF0000"/>
          <w:sz w:val="24"/>
          <w:szCs w:val="24"/>
          <w:lang w:val="en-US"/>
        </w:rPr>
        <w:t>(Marle</w:t>
      </w:r>
      <w:r w:rsidRPr="11A3E9AF" w:rsidR="020468F6">
        <w:rPr>
          <w:rFonts w:ascii="Aptos Display" w:hAnsi="Aptos Display" w:eastAsia="Aptos Display" w:cs="Aptos Display" w:asciiTheme="majorAscii" w:hAnsiTheme="majorAscii" w:eastAsiaTheme="majorAscii" w:cstheme="majorAscii"/>
          <w:noProof w:val="0"/>
          <w:color w:val="FF0000"/>
          <w:sz w:val="24"/>
          <w:szCs w:val="24"/>
          <w:lang w:val="en-US"/>
        </w:rPr>
        <w:t>r</w:t>
      </w:r>
      <w:r w:rsidRPr="11A3E9AF" w:rsidR="11C0ECC5">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&amp; Fisher, 2015).</w:t>
      </w:r>
    </w:p>
    <w:p w:rsidR="471F892E" w:rsidP="11A3E9AF" w:rsidRDefault="471F892E" w14:paraId="15417D36" w14:textId="02629E28">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71F892E">
        <w:rPr>
          <w:rFonts w:ascii="Aptos Display" w:hAnsi="Aptos Display" w:eastAsia="Aptos Display" w:cs="Aptos Display" w:asciiTheme="majorAscii" w:hAnsiTheme="majorAscii" w:eastAsiaTheme="majorAscii" w:cstheme="majorAscii"/>
          <w:noProof w:val="0"/>
          <w:color w:val="FF0000"/>
          <w:sz w:val="24"/>
          <w:szCs w:val="24"/>
          <w:lang w:val="en-US"/>
        </w:rPr>
        <w:t>4</w:t>
      </w:r>
      <w:r w:rsidRPr="11A3E9AF" w:rsidR="6C801CA1">
        <w:rPr>
          <w:rFonts w:ascii="Aptos Display" w:hAnsi="Aptos Display" w:eastAsia="Aptos Display" w:cs="Aptos Display" w:asciiTheme="majorAscii" w:hAnsiTheme="majorAscii" w:eastAsiaTheme="majorAscii" w:cstheme="majorAscii"/>
          <w:noProof w:val="0"/>
          <w:color w:val="FF0000"/>
          <w:sz w:val="24"/>
          <w:szCs w:val="24"/>
          <w:lang w:val="en-US"/>
        </w:rPr>
        <w:t>63</w:t>
      </w:r>
    </w:p>
    <w:p w:rsidR="181A50AD" w:rsidP="11A3E9AF" w:rsidRDefault="181A50AD" w14:paraId="04758139" w14:textId="18C28504">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Evaluate the most </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appropriate ways</w:t>
      </w: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 in which benchmarking data can be gathered and   measured to develop insight. (AC 3.2)</w:t>
      </w:r>
    </w:p>
    <w:p w:rsidR="1EC625CD" w:rsidP="11A3E9AF" w:rsidRDefault="1EC625CD" w14:paraId="055C1866" w14:textId="0FF92E6C">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In order to</w:t>
      </w: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assure validity and reliability, a comprehensive strategy to data collecting and measurement that incorporates a variety of techniques and sources is necessary for effective benchmarking. Through the </w:t>
      </w: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utilisation</w:t>
      </w: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of sophisticated analytical tools, data triangulation, and primary and secondary sources, companies may </w:t>
      </w: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maintain</w:t>
      </w:r>
      <w:r w:rsidRPr="11A3E9AF" w:rsidR="1EC625C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their competitiveness, make well-informed decisions, and cultivate a culture of ongoing development.</w:t>
      </w:r>
    </w:p>
    <w:p w:rsidR="79215100" w:rsidP="11A3E9AF" w:rsidRDefault="79215100" w14:paraId="17B8058E" w14:textId="4857359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Data for benchmarking can be obtained from primary sources like questionnaires and surveys</w:t>
      </w:r>
      <w:r w:rsidRPr="11A3E9AF" w:rsidR="149CF81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which can yield </w:t>
      </w:r>
      <w:r w:rsidRPr="11A3E9AF" w:rsidR="096F73D4">
        <w:rPr>
          <w:rFonts w:ascii="Aptos Display" w:hAnsi="Aptos Display" w:eastAsia="Aptos Display" w:cs="Aptos Display" w:asciiTheme="majorAscii" w:hAnsiTheme="majorAscii" w:eastAsiaTheme="majorAscii" w:cstheme="majorAscii"/>
          <w:noProof w:val="0"/>
          <w:color w:val="FF0000"/>
          <w:sz w:val="24"/>
          <w:szCs w:val="24"/>
          <w:lang w:val="en-US"/>
        </w:rPr>
        <w:t>results</w:t>
      </w:r>
      <w:r w:rsidRPr="11A3E9AF" w:rsidR="149CF81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that </w:t>
      </w:r>
      <w:r w:rsidRPr="11A3E9AF" w:rsidR="393678F7">
        <w:rPr>
          <w:rFonts w:ascii="Aptos Display" w:hAnsi="Aptos Display" w:eastAsia="Aptos Display" w:cs="Aptos Display" w:asciiTheme="majorAscii" w:hAnsiTheme="majorAscii" w:eastAsiaTheme="majorAscii" w:cstheme="majorAscii"/>
          <w:noProof w:val="0"/>
          <w:color w:val="FF0000"/>
          <w:sz w:val="24"/>
          <w:szCs w:val="24"/>
          <w:lang w:val="en-US"/>
        </w:rPr>
        <w:t>can</w:t>
      </w:r>
      <w:r w:rsidRPr="11A3E9AF" w:rsidR="149CF81D">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be compared across the industry</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 These may be use</w:t>
      </w:r>
      <w:r w:rsidRPr="11A3E9AF" w:rsidR="03F798E5">
        <w:rPr>
          <w:rFonts w:ascii="Aptos Display" w:hAnsi="Aptos Display" w:eastAsia="Aptos Display" w:cs="Aptos Display" w:asciiTheme="majorAscii" w:hAnsiTheme="majorAscii" w:eastAsiaTheme="majorAscii" w:cstheme="majorAscii"/>
          <w:noProof w:val="0"/>
          <w:color w:val="FF0000"/>
          <w:sz w:val="24"/>
          <w:szCs w:val="24"/>
          <w:lang w:val="en-US"/>
        </w:rPr>
        <w:t>d</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to get first-hand information on a variety of benchmarks, including job satisfaction, working hours, and employee wages, all of which</w:t>
      </w:r>
      <w:r w:rsidRPr="11A3E9AF" w:rsidR="79215100">
        <w:rPr>
          <w:rFonts w:ascii="Aptos Display" w:hAnsi="Aptos Display" w:eastAsia="Aptos Display" w:cs="Aptos Display" w:asciiTheme="majorAscii" w:hAnsiTheme="majorAscii" w:eastAsiaTheme="majorAscii" w:cstheme="majorAscii"/>
          <w:noProof w:val="0"/>
          <w:sz w:val="24"/>
          <w:szCs w:val="24"/>
          <w:lang w:val="en-US"/>
        </w:rPr>
        <w:t xml:space="preserve"> </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can be used in benchmarking exercises. Well-structured surveys produce excellent reliability and validity, according to peer-reviewed research (</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Hinkin</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1995). Focus groups and interviews are two more primary sources. Deep qualitative insights may be obtained via interacting with stakeholders, workers, and industry experts. These techniques enable the verification and interpretation of quantitative data in a sophisticated </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manner</w:t>
      </w:r>
      <w:r w:rsidRPr="11A3E9AF" w:rsidR="09CC4B33">
        <w:rPr>
          <w:rFonts w:ascii="Aptos Display" w:hAnsi="Aptos Display" w:eastAsia="Aptos Display" w:cs="Aptos Display" w:asciiTheme="majorAscii" w:hAnsiTheme="majorAscii" w:eastAsiaTheme="majorAscii" w:cstheme="majorAscii"/>
          <w:noProof w:val="0"/>
          <w:color w:val="FF0000"/>
          <w:sz w:val="24"/>
          <w:szCs w:val="24"/>
          <w:lang w:val="en-US"/>
        </w:rPr>
        <w:t>,</w:t>
      </w:r>
      <w:r w:rsidRPr="11A3E9AF" w:rsidR="09CC4B3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however, they do </w:t>
      </w:r>
      <w:r w:rsidRPr="11A3E9AF" w:rsidR="09CC4B33">
        <w:rPr>
          <w:rFonts w:ascii="Aptos Display" w:hAnsi="Aptos Display" w:eastAsia="Aptos Display" w:cs="Aptos Display" w:asciiTheme="majorAscii" w:hAnsiTheme="majorAscii" w:eastAsiaTheme="majorAscii" w:cstheme="majorAscii"/>
          <w:noProof w:val="0"/>
          <w:color w:val="FF0000"/>
          <w:sz w:val="24"/>
          <w:szCs w:val="24"/>
          <w:lang w:val="en-US"/>
        </w:rPr>
        <w:t>require</w:t>
      </w:r>
      <w:r w:rsidRPr="11A3E9AF" w:rsidR="09CC4B3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 lot of time and resources</w:t>
      </w:r>
      <w:r w:rsidRPr="11A3E9AF" w:rsidR="79215100">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(Morgan, 1997).</w:t>
      </w:r>
    </w:p>
    <w:p w:rsidR="11447D4E" w:rsidP="11A3E9AF" w:rsidRDefault="11447D4E" w14:paraId="2B6CC4D2" w14:textId="66D6CB97">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1447D4E">
        <w:rPr>
          <w:rFonts w:ascii="Aptos Display" w:hAnsi="Aptos Display" w:eastAsia="Aptos Display" w:cs="Aptos Display" w:asciiTheme="majorAscii" w:hAnsiTheme="majorAscii" w:eastAsiaTheme="majorAscii" w:cstheme="majorAscii"/>
          <w:noProof w:val="0"/>
          <w:color w:val="FF0000"/>
          <w:sz w:val="24"/>
          <w:szCs w:val="24"/>
          <w:lang w:val="en-US"/>
        </w:rPr>
        <w:t>Publications and industry reports can be used as secondary sources of data when conducting benchmarking studies. By using publications, white papers, and industry studies, it is possible to gain insight into benchmarks and aggregated data from reliable sources. These sources are useful because of their thorough examination and validity (Kumar, 201</w:t>
      </w:r>
      <w:r w:rsidRPr="11A3E9AF" w:rsidR="1165DEB2">
        <w:rPr>
          <w:rFonts w:ascii="Aptos Display" w:hAnsi="Aptos Display" w:eastAsia="Aptos Display" w:cs="Aptos Display" w:asciiTheme="majorAscii" w:hAnsiTheme="majorAscii" w:eastAsiaTheme="majorAscii" w:cstheme="majorAscii"/>
          <w:noProof w:val="0"/>
          <w:color w:val="FF0000"/>
          <w:sz w:val="24"/>
          <w:szCs w:val="24"/>
          <w:lang w:val="en-US"/>
        </w:rPr>
        <w:t>9</w:t>
      </w:r>
      <w:r w:rsidRPr="11A3E9AF" w:rsidR="11447D4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Government databases are among the other helpful resources. Reliable and current information on wages, employment rates, working hours, and inflation may be found in national </w:t>
      </w:r>
      <w:r w:rsidRPr="11A3E9AF" w:rsidR="11447D4E">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11447D4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statistics and databases, such as those from the Office for National Statistics (ONS) in the UK and the Bureau of Labour Statistics (BLS) in the US (Kumar, 201</w:t>
      </w:r>
      <w:r w:rsidRPr="11A3E9AF" w:rsidR="3F1C41E0">
        <w:rPr>
          <w:rFonts w:ascii="Aptos Display" w:hAnsi="Aptos Display" w:eastAsia="Aptos Display" w:cs="Aptos Display" w:asciiTheme="majorAscii" w:hAnsiTheme="majorAscii" w:eastAsiaTheme="majorAscii" w:cstheme="majorAscii"/>
          <w:noProof w:val="0"/>
          <w:color w:val="FF0000"/>
          <w:sz w:val="24"/>
          <w:szCs w:val="24"/>
          <w:lang w:val="en-US"/>
        </w:rPr>
        <w:t>9</w:t>
      </w:r>
      <w:r w:rsidRPr="11A3E9AF" w:rsidR="11447D4E">
        <w:rPr>
          <w:rFonts w:ascii="Aptos Display" w:hAnsi="Aptos Display" w:eastAsia="Aptos Display" w:cs="Aptos Display" w:asciiTheme="majorAscii" w:hAnsiTheme="majorAscii" w:eastAsiaTheme="majorAscii" w:cstheme="majorAscii"/>
          <w:noProof w:val="0"/>
          <w:color w:val="FF0000"/>
          <w:sz w:val="24"/>
          <w:szCs w:val="24"/>
          <w:lang w:val="en-US"/>
        </w:rPr>
        <w:t>).</w:t>
      </w:r>
    </w:p>
    <w:p w:rsidR="3153FC76" w:rsidP="11A3E9AF" w:rsidRDefault="3153FC76" w14:paraId="54F51628" w14:textId="7DDA527F">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In order to</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assure the validity of the data </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acquired</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it is imperative that proper validity checks be carried out throughout benchmarking analyses </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utilising</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established measuring tools and pilot studies (Patton, 1999). Also, cross-verifying information </w:t>
      </w:r>
      <w:r w:rsidRPr="11A3E9AF" w:rsidR="118DD5E4">
        <w:rPr>
          <w:rFonts w:ascii="Aptos Display" w:hAnsi="Aptos Display" w:eastAsia="Aptos Display" w:cs="Aptos Display" w:asciiTheme="majorAscii" w:hAnsiTheme="majorAscii" w:eastAsiaTheme="majorAscii" w:cstheme="majorAscii"/>
          <w:noProof w:val="0"/>
          <w:color w:val="FF0000"/>
          <w:sz w:val="24"/>
          <w:szCs w:val="24"/>
          <w:lang w:val="en-US"/>
        </w:rPr>
        <w:t>through</w:t>
      </w:r>
      <w:r w:rsidRPr="11A3E9AF" w:rsidR="3153FC7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triangulation, the combination of several data sources, such as surveys, interviews, and secondary data, is essential for improving reliability (Patton, 1999).</w:t>
      </w:r>
    </w:p>
    <w:p w:rsidR="2ABC4FD4" w:rsidP="11A3E9AF" w:rsidRDefault="2ABC4FD4" w14:paraId="3578D3ED" w14:textId="0E3F39B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ABC4FD4">
        <w:rPr>
          <w:rFonts w:ascii="Aptos Display" w:hAnsi="Aptos Display" w:eastAsia="Aptos Display" w:cs="Aptos Display" w:asciiTheme="majorAscii" w:hAnsiTheme="majorAscii" w:eastAsiaTheme="majorAscii" w:cstheme="majorAscii"/>
          <w:noProof w:val="0"/>
          <w:color w:val="FF0000"/>
          <w:sz w:val="24"/>
          <w:szCs w:val="24"/>
          <w:lang w:val="en-US"/>
        </w:rPr>
        <w:t>335</w:t>
      </w:r>
    </w:p>
    <w:p w:rsidR="0135C87A" w:rsidP="11A3E9AF" w:rsidRDefault="0135C87A" w14:paraId="2B13DAD3" w14:textId="70046087">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11A3E9AF" w:rsidRDefault="181A50AD" w14:paraId="650F4A86" w14:textId="6AAD0D85">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Explain approaches to job evaluation. (AC 3.3)</w:t>
      </w:r>
    </w:p>
    <w:p w:rsidR="162E5C39" w:rsidP="11A3E9AF" w:rsidRDefault="162E5C39" w14:paraId="49021166" w14:textId="2544450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 xml:space="preserve">To create fair and equal pay structures, an </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organisation</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uses a systematic procedure called job evaluation to assess the relative value of </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different roles</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positions. Analytical and non-analytical procedures are the more </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general categories</w:t>
      </w:r>
      <w:r w:rsidRPr="11A3E9AF" w:rsidR="162E5C3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of job evaluation methodologies (Armstrong &amp; Taylor, 2020).</w:t>
      </w:r>
    </w:p>
    <w:p w:rsidR="2790BA5C" w:rsidP="11A3E9AF" w:rsidRDefault="2790BA5C" w14:paraId="33E5442B" w14:textId="47439680">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 xml:space="preserve">Non-analytical approaches </w:t>
      </w:r>
    </w:p>
    <w:p w:rsidR="2790BA5C" w:rsidP="11A3E9AF" w:rsidRDefault="2790BA5C" w14:paraId="7DF02355" w14:textId="76D1AAAC">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Non-analytical methods for job evaluation, assess jobs holistically as opposed to dissecting</w:t>
      </w:r>
      <w:r w:rsidRPr="11A3E9AF" w:rsidR="2790BA5C">
        <w:rPr>
          <w:rFonts w:ascii="Aptos Display" w:hAnsi="Aptos Display" w:eastAsia="Aptos Display" w:cs="Aptos Display" w:asciiTheme="majorAscii" w:hAnsiTheme="majorAscii" w:eastAsiaTheme="majorAscii" w:cstheme="majorAscii"/>
          <w:noProof w:val="0"/>
          <w:sz w:val="24"/>
          <w:szCs w:val="24"/>
          <w:lang w:val="en-US"/>
        </w:rPr>
        <w:t xml:space="preserve"> </w:t>
      </w: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them into their </w:t>
      </w: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component</w:t>
      </w: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parts. These techniques can be more subjective, but they are usually quicker and simpler to use (Armstrong &amp; Taylor, 2020).</w:t>
      </w:r>
    </w:p>
    <w:p w:rsidR="11A3E9AF" w:rsidP="11A3E9AF" w:rsidRDefault="11A3E9AF" w14:paraId="0E7DDBC4" w14:textId="15BDF9E2">
      <w:pPr>
        <w:spacing w:line="276" w:lineRule="auto"/>
        <w:rPr>
          <w:rFonts w:ascii="Aptos Display" w:hAnsi="Aptos Display" w:eastAsia="Aptos Display" w:cs="Aptos Display" w:asciiTheme="majorAscii" w:hAnsiTheme="majorAscii" w:eastAsiaTheme="majorAscii" w:cstheme="majorAscii"/>
          <w:color w:val="FF0000"/>
          <w:sz w:val="24"/>
          <w:szCs w:val="24"/>
        </w:rPr>
      </w:pPr>
    </w:p>
    <w:p w:rsidR="2790BA5C" w:rsidP="11A3E9AF" w:rsidRDefault="2790BA5C" w14:paraId="72600A4B" w14:textId="3EDBA46F">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Ranking approach, which ranks occupations according to their total worth or significance to the company, is an example of a non-analytical technique. After reviewing job descriptions, a panel of assessors ranks the positions. Since this approach is often easy to use and </w:t>
      </w: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reasonably priced</w:t>
      </w:r>
      <w:r w:rsidRPr="11A3E9AF" w:rsidR="2790BA5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it could be better suited for smaller businesses with fewer positions. Despite its advantages, this approach may also be quite subjective, which might result in inconsistent results </w:t>
      </w:r>
      <w:r w:rsidRPr="11A3E9AF" w:rsidR="2173A2C6">
        <w:rPr>
          <w:rFonts w:ascii="Aptos Display" w:hAnsi="Aptos Display" w:eastAsia="Aptos Display" w:cs="Aptos Display" w:asciiTheme="majorAscii" w:hAnsiTheme="majorAscii" w:eastAsiaTheme="majorAscii" w:cstheme="majorAscii"/>
          <w:noProof w:val="0"/>
          <w:color w:val="FF0000"/>
          <w:sz w:val="24"/>
          <w:szCs w:val="24"/>
          <w:lang w:val="en-US"/>
        </w:rPr>
        <w:t>(Armstrong &amp; Taylor, 2020).</w:t>
      </w:r>
    </w:p>
    <w:p w:rsidR="7D1EF52A" w:rsidP="11A3E9AF" w:rsidRDefault="7D1EF52A" w14:paraId="601B8204" w14:textId="2AD720A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Another non-analytical way </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for</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evaluating jobs is the </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categorisation</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method groups. Here, occupations are </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categorised</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into pre-established classes or grades according to work criteria. This approach guarantees uniformity throughout the business and its functions by offering a well-</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organised</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framework that is simple to </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comprehend</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use (Dessler, 201</w:t>
      </w:r>
      <w:r w:rsidRPr="11A3E9AF" w:rsidR="26B069D1">
        <w:rPr>
          <w:rFonts w:ascii="Aptos Display" w:hAnsi="Aptos Display" w:eastAsia="Aptos Display" w:cs="Aptos Display" w:asciiTheme="majorAscii" w:hAnsiTheme="majorAscii" w:eastAsiaTheme="majorAscii" w:cstheme="majorAscii"/>
          <w:noProof w:val="0"/>
          <w:color w:val="FF0000"/>
          <w:sz w:val="24"/>
          <w:szCs w:val="24"/>
          <w:lang w:val="en-US"/>
        </w:rPr>
        <w:t>5</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However, if job categories are not routinely evaluated and updated, this system may be rigid, difficult to adapt to new or emerging work responsibilities, and susceptible to prejudice (</w:t>
      </w:r>
      <w:r w:rsidRPr="11A3E9AF" w:rsidR="45781D31">
        <w:rPr>
          <w:rFonts w:ascii="Aptos Display" w:hAnsi="Aptos Display" w:eastAsia="Aptos Display" w:cs="Aptos Display" w:asciiTheme="majorAscii" w:hAnsiTheme="majorAscii" w:eastAsiaTheme="majorAscii" w:cstheme="majorAscii"/>
          <w:noProof w:val="0"/>
          <w:color w:val="FF0000"/>
          <w:sz w:val="24"/>
          <w:szCs w:val="24"/>
          <w:lang w:val="en-US"/>
        </w:rPr>
        <w:t>Armstrong &amp; Taylor</w:t>
      </w:r>
      <w:r w:rsidRPr="11A3E9AF" w:rsidR="7D1EF52A">
        <w:rPr>
          <w:rFonts w:ascii="Aptos Display" w:hAnsi="Aptos Display" w:eastAsia="Aptos Display" w:cs="Aptos Display" w:asciiTheme="majorAscii" w:hAnsiTheme="majorAscii" w:eastAsiaTheme="majorAscii" w:cstheme="majorAscii"/>
          <w:noProof w:val="0"/>
          <w:color w:val="FF0000"/>
          <w:sz w:val="24"/>
          <w:szCs w:val="24"/>
          <w:lang w:val="en-US"/>
        </w:rPr>
        <w:t>, 2014).</w:t>
      </w:r>
    </w:p>
    <w:p w:rsidR="49A993FC" w:rsidP="11A3E9AF" w:rsidRDefault="49A993FC" w14:paraId="4A83519E" w14:textId="2124E228">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Analytical techniques divide tasks into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important elements</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or variables, each of which is evaluated separately. These approaches offer a more thorough assessment of work functions and are more objective (Armstrong &amp; Taylor,</w:t>
      </w:r>
      <w:r w:rsidRPr="11A3E9AF" w:rsidR="0CD2DD7E">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2020).</w:t>
      </w:r>
    </w:p>
    <w:p w:rsidR="49A993FC" w:rsidP="11A3E9AF" w:rsidRDefault="49A993FC" w14:paraId="02C7FE43" w14:textId="69C6362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The Point Factor Method, which involves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recognising</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important factors</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such as competence, responsibility, effort, and skill and giving each item a point value and the sum of the points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determines</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 relative value of the work. This approach has the benefit of being extremely objective, thorough, and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accurate</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allowing for job-to-job comparisons (Milkovich et al., 2013). It can also take a lot of effort to design and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maintain</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because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to</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 level of information </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required</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 xml:space="preserve"> (Dessler, 201</w:t>
      </w:r>
      <w:r w:rsidRPr="11A3E9AF" w:rsidR="245438B2">
        <w:rPr>
          <w:rFonts w:ascii="Aptos Display" w:hAnsi="Aptos Display" w:eastAsia="Aptos Display" w:cs="Aptos Display" w:asciiTheme="majorAscii" w:hAnsiTheme="majorAscii" w:eastAsiaTheme="majorAscii" w:cstheme="majorAscii"/>
          <w:noProof w:val="0"/>
          <w:color w:val="FF0000"/>
          <w:sz w:val="24"/>
          <w:szCs w:val="24"/>
          <w:lang w:val="en-US"/>
        </w:rPr>
        <w:t>5</w:t>
      </w:r>
      <w:r w:rsidRPr="11A3E9AF" w:rsidR="49A993FC">
        <w:rPr>
          <w:rFonts w:ascii="Aptos Display" w:hAnsi="Aptos Display" w:eastAsia="Aptos Display" w:cs="Aptos Display" w:asciiTheme="majorAscii" w:hAnsiTheme="majorAscii" w:eastAsiaTheme="majorAscii" w:cstheme="majorAscii"/>
          <w:noProof w:val="0"/>
          <w:color w:val="FF0000"/>
          <w:sz w:val="24"/>
          <w:szCs w:val="24"/>
          <w:lang w:val="en-US"/>
        </w:rPr>
        <w:t>).</w:t>
      </w:r>
    </w:p>
    <w:p w:rsidR="3CE3FAFA" w:rsidP="11A3E9AF" w:rsidRDefault="3CE3FAFA" w14:paraId="41274A81" w14:textId="2112FB6D">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Establishing </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equitable</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pay structures inside </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requires effective and reliable job evaluation, and the </w:t>
      </w:r>
      <w:r w:rsidRPr="11A3E9AF" w:rsidR="3A0723C8">
        <w:rPr>
          <w:rFonts w:ascii="Aptos Display" w:hAnsi="Aptos Display" w:eastAsia="Aptos Display" w:cs="Aptos Display" w:asciiTheme="majorAscii" w:hAnsiTheme="majorAscii" w:eastAsiaTheme="majorAscii" w:cstheme="majorAscii"/>
          <w:noProof w:val="0"/>
          <w:color w:val="FF0000"/>
          <w:sz w:val="24"/>
          <w:szCs w:val="24"/>
          <w:lang w:val="en-US"/>
        </w:rPr>
        <w:t>approach</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methodology</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used should be dependent on the </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size, resources, and particular demands.</w:t>
      </w:r>
    </w:p>
    <w:p w:rsidR="3CE3FAFA" w:rsidP="11A3E9AF" w:rsidRDefault="3CE3FAFA" w14:paraId="53787D42" w14:textId="4709B04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CE3FAFA">
        <w:rPr>
          <w:rFonts w:ascii="Aptos Display" w:hAnsi="Aptos Display" w:eastAsia="Aptos Display" w:cs="Aptos Display" w:asciiTheme="majorAscii" w:hAnsiTheme="majorAscii" w:eastAsiaTheme="majorAscii" w:cstheme="majorAscii"/>
          <w:noProof w:val="0"/>
          <w:color w:val="FF0000"/>
          <w:sz w:val="24"/>
          <w:szCs w:val="24"/>
          <w:lang w:val="en-US"/>
        </w:rPr>
        <w:t>377</w:t>
      </w:r>
    </w:p>
    <w:p w:rsidR="0135C87A" w:rsidP="11A3E9AF" w:rsidRDefault="0135C87A" w14:paraId="23744A19" w14:textId="4DC32108">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11A3E9AF" w:rsidRDefault="181A50AD" w14:paraId="6E1DA2DF" w14:textId="79F0805C">
      <w:pPr>
        <w:pStyle w:val="ListParagraph"/>
        <w:numPr>
          <w:ilvl w:val="0"/>
          <w:numId w:val="1"/>
        </w:numPr>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t xml:space="preserve">Explain the legislative requirements that impact reward practice. (AC 3.4) </w:t>
      </w:r>
    </w:p>
    <w:p w:rsidR="181A50AD" w:rsidP="11A3E9AF" w:rsidRDefault="181A50AD" w14:paraId="1459F3CF" w14:textId="10443FCE">
      <w:pPr>
        <w:pStyle w:val="Normal"/>
        <w:spacing w:before="0" w:beforeAutospacing="off" w:after="0" w:afterAutospacing="off" w:line="276" w:lineRule="auto"/>
        <w:ind w:left="0" w:right="0"/>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795ED463">
        <w:rPr>
          <w:rFonts w:ascii="Aptos Display" w:hAnsi="Aptos Display" w:eastAsia="Aptos Display" w:cs="Aptos Display" w:asciiTheme="majorAscii" w:hAnsiTheme="majorAscii" w:eastAsiaTheme="majorAscii" w:cstheme="majorAscii"/>
          <w:noProof w:val="0"/>
          <w:color w:val="FF0000"/>
          <w:sz w:val="24"/>
          <w:szCs w:val="24"/>
          <w:lang w:val="en-US"/>
        </w:rPr>
        <w:t xml:space="preserve">Laws and regulations have a </w:t>
      </w:r>
      <w:r w:rsidRPr="11A3E9AF" w:rsidR="795ED463">
        <w:rPr>
          <w:rFonts w:ascii="Aptos Display" w:hAnsi="Aptos Display" w:eastAsia="Aptos Display" w:cs="Aptos Display" w:asciiTheme="majorAscii" w:hAnsiTheme="majorAscii" w:eastAsiaTheme="majorAscii" w:cstheme="majorAscii"/>
          <w:noProof w:val="0"/>
          <w:color w:val="FF0000"/>
          <w:sz w:val="24"/>
          <w:szCs w:val="24"/>
          <w:lang w:val="en-US"/>
        </w:rPr>
        <w:t>significant influence</w:t>
      </w:r>
      <w:r w:rsidRPr="11A3E9AF" w:rsidR="795ED463">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on how businesses design their reward systems. </w:t>
      </w:r>
      <w:r w:rsidRPr="11A3E9AF" w:rsidR="795ED463">
        <w:rPr>
          <w:rFonts w:ascii="Aptos Display" w:hAnsi="Aptos Display" w:eastAsia="Aptos Display" w:cs="Aptos Display" w:asciiTheme="majorAscii" w:hAnsiTheme="majorAscii" w:eastAsiaTheme="majorAscii" w:cstheme="majorAscii"/>
          <w:noProof w:val="0"/>
          <w:color w:val="FF0000"/>
          <w:sz w:val="24"/>
          <w:szCs w:val="24"/>
          <w:lang w:val="en-US"/>
        </w:rPr>
        <w:t>These specifications guarantee that awards be given out morally, legally, and equitably.</w:t>
      </w:r>
    </w:p>
    <w:p w:rsidR="11A3E9AF" w:rsidP="11A3E9AF" w:rsidRDefault="11A3E9AF" w14:paraId="3B231CFA" w14:textId="4EB3EA26">
      <w:pPr>
        <w:pStyle w:val="Normal"/>
        <w:spacing w:before="0" w:beforeAutospacing="off" w:after="0" w:afterAutospacing="off" w:line="276" w:lineRule="auto"/>
        <w:ind w:left="0" w:right="0"/>
        <w:rPr>
          <w:rFonts w:ascii="Aptos Display" w:hAnsi="Aptos Display" w:eastAsia="Aptos Display" w:cs="Aptos Display" w:asciiTheme="majorAscii" w:hAnsiTheme="majorAscii" w:eastAsiaTheme="majorAscii" w:cstheme="majorAscii"/>
          <w:noProof w:val="0"/>
          <w:color w:val="FF0000"/>
          <w:sz w:val="24"/>
          <w:szCs w:val="24"/>
          <w:lang w:val="en-US"/>
        </w:rPr>
      </w:pPr>
    </w:p>
    <w:p w:rsidR="4CF51CA9" w:rsidP="11A3E9AF" w:rsidRDefault="4CF51CA9" w14:paraId="455844B1" w14:textId="2FBB4510">
      <w:pPr>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4CF51CA9">
        <w:rPr>
          <w:rFonts w:ascii="Aptos Display" w:hAnsi="Aptos Display" w:eastAsia="Aptos Display" w:cs="Aptos Display" w:asciiTheme="majorAscii" w:hAnsiTheme="majorAscii" w:eastAsiaTheme="majorAscii" w:cstheme="majorAscii"/>
          <w:noProof w:val="0"/>
          <w:color w:val="FF0000"/>
          <w:sz w:val="24"/>
          <w:szCs w:val="24"/>
          <w:lang w:val="en-US"/>
        </w:rPr>
        <w:t xml:space="preserve">Non-discrimination laws and equal pay regulations are a couple of these legal mandates. One comprehensive piece of legislation that unifies earlier anti-discrimination regulations into a single act is The Equality Act of 2010. It requires companies to provide equal compensation for equal </w:t>
      </w:r>
      <w:r w:rsidRPr="11A3E9AF" w:rsidR="4CF51CA9">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4CF51CA9">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irrespective of age, gender, ethnicity, handicap, sexual orientation, religion, or belief (Hepple, 2010). This legislation also tackles the issue of indirect discrimination, which occurs when a specific group is disadvantaged by policies or benefits that are meant to apply to all. Another example is the 1970 Equal Pay Act. The original Equal Pay Act, which mandated equal pay for equal </w:t>
      </w:r>
      <w:r w:rsidRPr="11A3E9AF" w:rsidR="4CF51CA9">
        <w:rPr>
          <w:rFonts w:ascii="Aptos Display" w:hAnsi="Aptos Display" w:eastAsia="Aptos Display" w:cs="Aptos Display" w:asciiTheme="majorAscii" w:hAnsiTheme="majorAscii" w:eastAsiaTheme="majorAscii" w:cstheme="majorAscii"/>
          <w:noProof w:val="0"/>
          <w:color w:val="FF0000"/>
          <w:sz w:val="24"/>
          <w:szCs w:val="24"/>
          <w:lang w:val="en-US"/>
        </w:rPr>
        <w:t>labour</w:t>
      </w:r>
      <w:r w:rsidRPr="11A3E9AF" w:rsidR="4CF51CA9">
        <w:rPr>
          <w:rFonts w:ascii="Aptos Display" w:hAnsi="Aptos Display" w:eastAsia="Aptos Display" w:cs="Aptos Display" w:asciiTheme="majorAscii" w:hAnsiTheme="majorAscii" w:eastAsiaTheme="majorAscii" w:cstheme="majorAscii"/>
          <w:noProof w:val="0"/>
          <w:color w:val="FF0000"/>
          <w:sz w:val="24"/>
          <w:szCs w:val="24"/>
          <w:lang w:val="en-US"/>
        </w:rPr>
        <w:t>, explicitly addressed salary inequities between men and women, however its provisions are now included in the Equality Act 2010 (Fredman, 2011).</w:t>
      </w:r>
      <w:r w:rsidRPr="11A3E9AF" w:rsidR="1842BEF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It is vital that </w:t>
      </w:r>
      <w:r w:rsidRPr="11A3E9AF" w:rsidR="1842BEF4">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1842BEF4">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are mindful of these laws when offering rewards to certain individuals and to ensure they are not in breach of these laws by giving unfair advantages to some individuals.</w:t>
      </w:r>
    </w:p>
    <w:p w:rsidR="3AE54C91" w:rsidP="11A3E9AF" w:rsidRDefault="3AE54C91" w14:paraId="45DD9026" w14:textId="23A4260C">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Another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component</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of law influencing incentive practices is the National Minimum Wage Act of 1998. This legislation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establishes</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the minimum hourly wages that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in the UK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are required to</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pay their employees. Its goal is to give workers a living wage that is examined and adjusted regularly (Metcalf, 1999). Moreover, employees 25 years of age and older are entitled to a higher minimum salary under the National Living Wage Act, which was implemented in April 2016. Its goal is to guarantee that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labourers</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receive enough pay to meet their essential living expenses (Metcalf, 1999).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are thus prohibited from substituting awards for </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a base</w:t>
      </w:r>
      <w:r w:rsidRPr="11A3E9AF" w:rsidR="3AE54C91">
        <w:rPr>
          <w:rFonts w:ascii="Aptos Display" w:hAnsi="Aptos Display" w:eastAsia="Aptos Display" w:cs="Aptos Display" w:asciiTheme="majorAscii" w:hAnsiTheme="majorAscii" w:eastAsiaTheme="majorAscii" w:cstheme="majorAscii"/>
          <w:noProof w:val="0"/>
          <w:color w:val="FF0000"/>
          <w:sz w:val="24"/>
          <w:szCs w:val="24"/>
          <w:lang w:val="en-US"/>
        </w:rPr>
        <w:t xml:space="preserve"> pay as doing so would put them in violation of the law.</w:t>
      </w:r>
    </w:p>
    <w:p w:rsidR="2433DA06" w:rsidP="11A3E9AF" w:rsidRDefault="2433DA06" w14:paraId="3977B4B5" w14:textId="001E2527">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 xml:space="preserve">Another law that </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need to make sure they follow when it comes to awards is the Income Tax (Earnings and Pensions) Act of 2003. This legislation unifies and streamlines earlier employment- and pension-related income tax rules. It affects the taxation of several types of compensation, including salary, bonuses, and in-kind benefits (Fredman, 20</w:t>
      </w:r>
      <w:r w:rsidRPr="11A3E9AF" w:rsidR="4F97C867">
        <w:rPr>
          <w:rFonts w:ascii="Aptos Display" w:hAnsi="Aptos Display" w:eastAsia="Aptos Display" w:cs="Aptos Display" w:asciiTheme="majorAscii" w:hAnsiTheme="majorAscii" w:eastAsiaTheme="majorAscii" w:cstheme="majorAscii"/>
          <w:noProof w:val="0"/>
          <w:color w:val="FF0000"/>
          <w:sz w:val="24"/>
          <w:szCs w:val="24"/>
          <w:lang w:val="en-US"/>
        </w:rPr>
        <w:t>11</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This means that there are limits on the monetary rewards that </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are able to give employees on a </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tax free</w:t>
      </w:r>
      <w:r w:rsidRPr="11A3E9AF" w:rsidR="2433DA06">
        <w:rPr>
          <w:rFonts w:ascii="Aptos Display" w:hAnsi="Aptos Display" w:eastAsia="Aptos Display" w:cs="Aptos Display" w:asciiTheme="majorAscii" w:hAnsiTheme="majorAscii" w:eastAsiaTheme="majorAscii" w:cstheme="majorAscii"/>
          <w:noProof w:val="0"/>
          <w:color w:val="FF0000"/>
          <w:sz w:val="24"/>
          <w:szCs w:val="24"/>
          <w:lang w:val="en-US"/>
        </w:rPr>
        <w:t xml:space="preserve"> basis.</w:t>
      </w:r>
    </w:p>
    <w:p w:rsidR="64DD3C0A" w:rsidP="11A3E9AF" w:rsidRDefault="64DD3C0A" w14:paraId="758F7480" w14:textId="2A51C167">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Legislative requirements influence reward practices by enforcing equity, prohibiting discrimination, </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establishing</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minimum</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criteria for </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compensation</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and working conditions, and safeguarding employee welfare. </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In order for</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organisations</w:t>
      </w:r>
      <w:r w:rsidRPr="11A3E9AF" w:rsidR="64DD3C0A">
        <w:rPr>
          <w:rFonts w:ascii="Aptos Display" w:hAnsi="Aptos Display" w:eastAsia="Aptos Display" w:cs="Aptos Display" w:asciiTheme="majorAscii" w:hAnsiTheme="majorAscii" w:eastAsiaTheme="majorAscii" w:cstheme="majorAscii"/>
          <w:noProof w:val="0"/>
          <w:color w:val="FF0000"/>
          <w:sz w:val="24"/>
          <w:szCs w:val="24"/>
          <w:lang w:val="en-US"/>
        </w:rPr>
        <w:t xml:space="preserve"> to uphold moral and legal standards in their reward policies, compliance with these regulations is crucial.</w:t>
      </w:r>
    </w:p>
    <w:p w:rsidR="0135C87A" w:rsidP="11A3E9AF" w:rsidRDefault="0135C87A" w14:paraId="1A4B184F" w14:textId="66384864">
      <w:pPr>
        <w:spacing w:line="276" w:lineRule="auto"/>
        <w:rPr>
          <w:rFonts w:ascii="Aptos Display" w:hAnsi="Aptos Display" w:eastAsia="Aptos Display" w:cs="Aptos Display" w:asciiTheme="majorAscii" w:hAnsiTheme="majorAscii" w:eastAsiaTheme="majorAscii" w:cstheme="majorAscii"/>
          <w:sz w:val="24"/>
          <w:szCs w:val="24"/>
        </w:rPr>
      </w:pPr>
    </w:p>
    <w:p w:rsidR="0135C87A" w:rsidP="11A3E9AF" w:rsidRDefault="0135C87A" w14:paraId="3C587125" w14:textId="5FE76D9A">
      <w:pPr>
        <w:spacing w:line="276" w:lineRule="auto"/>
        <w:rPr>
          <w:rFonts w:ascii="Aptos Display" w:hAnsi="Aptos Display" w:eastAsia="Aptos Display" w:cs="Aptos Display" w:asciiTheme="majorAscii" w:hAnsiTheme="majorAscii" w:eastAsiaTheme="majorAscii" w:cstheme="majorAscii"/>
          <w:sz w:val="24"/>
          <w:szCs w:val="24"/>
        </w:rPr>
      </w:pPr>
      <w:r w:rsidRPr="11A3E9AF" w:rsidR="64DD3C0A">
        <w:rPr>
          <w:rFonts w:ascii="Aptos Display" w:hAnsi="Aptos Display" w:eastAsia="Aptos Display" w:cs="Aptos Display" w:asciiTheme="majorAscii" w:hAnsiTheme="majorAscii" w:eastAsiaTheme="majorAscii" w:cstheme="majorAscii"/>
          <w:sz w:val="24"/>
          <w:szCs w:val="24"/>
        </w:rPr>
        <w:t>420</w:t>
      </w:r>
    </w:p>
    <w:p w:rsidR="11A3E9AF" w:rsidP="11A3E9AF" w:rsidRDefault="11A3E9AF" w14:paraId="3D156A73" w14:textId="7F4F5440">
      <w:pPr>
        <w:spacing w:line="276" w:lineRule="auto"/>
        <w:rPr>
          <w:rFonts w:ascii="Aptos Display" w:hAnsi="Aptos Display" w:eastAsia="Aptos Display" w:cs="Aptos Display" w:asciiTheme="majorAscii" w:hAnsiTheme="majorAscii" w:eastAsiaTheme="majorAscii" w:cstheme="majorAscii"/>
          <w:sz w:val="24"/>
          <w:szCs w:val="24"/>
        </w:rPr>
      </w:pPr>
    </w:p>
    <w:p w:rsidR="4E06A1E1" w:rsidP="11A3E9AF" w:rsidRDefault="4E06A1E1" w14:paraId="035C1D83" w14:textId="0ACED301">
      <w:pPr>
        <w:spacing w:after="160" w:line="276"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References</w:t>
      </w:r>
    </w:p>
    <w:p w:rsidR="4E06A1E1" w:rsidP="11A3E9AF" w:rsidRDefault="4E06A1E1" w14:paraId="0C2159ED" w14:textId="0F8EFC98">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Aguinis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H.,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Kraiger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K. (2009). Benefits of training and development for individuals and teams, organizations, and society.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Annual review of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60</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(1), 451-474.</w:t>
      </w:r>
    </w:p>
    <w:p w:rsidR="4E06A1E1" w:rsidP="11A3E9AF" w:rsidRDefault="4E06A1E1" w14:paraId="0EBFB895" w14:textId="3101122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Allen, T. D., Johnson, R. C., Kiburz, K. M., &amp; Shockley, K. M. (2013). Work–family conflict and flexible work     arrangements: Deconstructing flexibility.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Personnel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66</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(2), 345-376.</w:t>
      </w:r>
    </w:p>
    <w:p w:rsidR="4E06A1E1" w:rsidP="11A3E9AF" w:rsidRDefault="4E06A1E1" w14:paraId="65B00EC6" w14:textId="5918C5E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Armstrong, M. and Brown, D. (2019)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Armstrong’s handbook of reward management practice: improving performance through reward.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6th ed. London: Kogan Page.</w:t>
      </w:r>
    </w:p>
    <w:p w:rsidR="4E06A1E1" w:rsidP="11A3E9AF" w:rsidRDefault="4E06A1E1" w14:paraId="21F26833" w14:textId="1578F905">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Armstrong, M. and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Murlis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H. (2007)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Reward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 handbook of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remuneration</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strategy and practice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Rev. 5th ed. London: Kogan Page.</w:t>
      </w:r>
    </w:p>
    <w:p w:rsidR="4E06A1E1" w:rsidP="11A3E9AF" w:rsidRDefault="4E06A1E1" w14:paraId="6680F609" w14:textId="1534BD4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Armstrong, M. and Taylor, S. (2020)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Armstrong’s handbook of human resource management practice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15th edition. London, United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Kingdom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KoganPage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F2B0525" w14:textId="3A35BD5B">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Baicker, K., Cutler, D., &amp; Song, Z. (2010). Workplace wellness programs can generate savings.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Health affairs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29</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(2), 304-311.</w:t>
      </w:r>
    </w:p>
    <w:p w:rsidR="4E06A1E1" w:rsidP="11A3E9AF" w:rsidRDefault="4E06A1E1" w14:paraId="72D9DCD7" w14:textId="49C3470E">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Baker, G., Gibbons,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and Murphy, K.J. (2002) ‘Relational Contracts and the Theory of the Firm’,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The Quarterly journal of economics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117(1), pp. 39–84. Available at: </w:t>
      </w:r>
      <w:hyperlink r:id="Rb5c20452f7584f67">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https://doi.org/10.1162/003355302753399445</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4A97BF0F" w14:textId="1E3D5B93">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Brun, J.-P. and Dugas, N. (2008) ‘An analysis of employee recognition: Perspectives on human resources practices’,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International</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journal of 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19(4), pp. 716–730. Available at: </w:t>
      </w:r>
      <w:hyperlink r:id="Rcdb6dbfab8dc4c7b">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https://doi.org/10.1080/09585190801953723</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39E645F7" w14:textId="187FCD49">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Budd, J. W., &amp; Bhave, D. (2008). Values, Ideologies, and Frames of Reference in Employment Relations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SAGE Handbook of Industrial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92-112. Available at: </w:t>
      </w:r>
      <w:hyperlink r:id="R603f19cdfde94ac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http://jbudd.csom.umn.edu/RESEARCH/buddbhave.pdf</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3 August 2024)</w:t>
      </w:r>
    </w:p>
    <w:p w:rsidR="4E06A1E1" w:rsidP="11A3E9AF" w:rsidRDefault="4E06A1E1" w14:paraId="051AD44D" w14:textId="1DE02E02">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Chown, K.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Reward and recognition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programme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Institute of Directors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It%20is%20a%20strategic%20approach,valued%20and%20motivated%20to%20excel" r:id="R8a399ea00f48417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https://www.iod.com/resources/business-advice/reward-and-recognition-programme/#:~:text=It%20is%20a%20strategic%20approach,valued%20and%20motivated%20to%20excel</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(Accessed: 28 July 2024).</w:t>
      </w:r>
    </w:p>
    <w:p w:rsidR="4E06A1E1" w:rsidP="11A3E9AF" w:rsidRDefault="4E06A1E1" w14:paraId="48B65149" w14:textId="45A263C2">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Cotton, C. (2024a)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 | Pay Structures and Pay Progression | Factsheets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A%20pay%20structure%20is%20a" r:id="Rd2bf4024cbee42ba">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https://www.cipd.org/uk/knowledge/factsheets/pay-structures-factsheet/#:~:text=A%20pay%20structure%20is%20a</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25 July 2024).</w:t>
      </w:r>
    </w:p>
    <w:p w:rsidR="4E06A1E1" w:rsidP="11A3E9AF" w:rsidRDefault="4E06A1E1" w14:paraId="6B22F7F3" w14:textId="2D13971B">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Cotton, C. (2024) CIPD,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Strategic &amp; Total Reward: Factsheets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afb69c0f6e0246b4">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https://www.cipd.org/uk/knowledge/factsheets/strategic-total-factsheet/</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June 2024).</w:t>
      </w:r>
    </w:p>
    <w:p w:rsidR="4E06A1E1" w:rsidP="11A3E9AF" w:rsidRDefault="4E06A1E1" w14:paraId="4FA0BF84" w14:textId="3A7C855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Deal, T. E., &amp; Kennedy, A. A. (1982). Corporate Cultures: The Rites and Rituals of Corporate Life. Addison-Wesley.</w:t>
      </w:r>
    </w:p>
    <w:p w:rsidR="4E06A1E1" w:rsidP="11A3E9AF" w:rsidRDefault="4E06A1E1" w14:paraId="6B08A847" w14:textId="74CC4FF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Deci, E. L., &amp; Ryan, R. M. (2000). The "what" and "why" of goal pursuits: Human needs and the self-determination of behavior.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Psychological Inquiry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11(4), 227-268.</w:t>
      </w:r>
    </w:p>
    <w:p w:rsidR="4E06A1E1" w:rsidP="11A3E9AF" w:rsidRDefault="4E06A1E1" w14:paraId="2B95D2FA" w14:textId="46C6C64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Deci, E.L., Koestner, R. and Ryan, R.M. (1999) ‘A Meta-Analytic Review of Experiments Examining the Effects of Extrinsic Rewards on Intrinsic Motivation’,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Psychological bulletin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125(6), pp. 627–668. Available at: </w:t>
      </w:r>
      <w:hyperlink r:id="R7d8ec3642706404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https://doi.org/10.1037/0033-2909.125.6.627</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8C0A5FC" w14:textId="1818078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DeMatteo, J. S., Eby, L. T., &amp; Sundstrom, E. (1998). Team-based rewards: Current empirical evidence and directions for future research.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Research in Organizational Behavior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20, 141-183.</w:t>
      </w:r>
    </w:p>
    <w:p w:rsidR="4E06A1E1" w:rsidP="11A3E9AF" w:rsidRDefault="4E06A1E1" w14:paraId="4BB80BA6" w14:textId="0E0F8564">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Dessler, G. (2015)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14th edition Global edition. Harlow: Pearson Education Limited.</w:t>
      </w:r>
    </w:p>
    <w:p w:rsidR="4E06A1E1" w:rsidP="11A3E9AF" w:rsidRDefault="4E06A1E1" w14:paraId="5C8B4887" w14:textId="55AABC4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Eisenberger, R. and Cameron, J. (1996) ‘Detrimental Effects of Reward: Reality or Myth?’,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The American psychologist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51(11), pp. 1153–1166. Available at: </w:t>
      </w:r>
      <w:hyperlink r:id="R20dcd7f996c2494c">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https://doi.org/10.1037/0003-066X.51.11.1153</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06EC2B15" w14:textId="42EF98B9">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Fredman, S. (2011).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Discrimination Law</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Oxford University Press.</w:t>
      </w:r>
    </w:p>
    <w:p w:rsidR="4E06A1E1" w:rsidP="11A3E9AF" w:rsidRDefault="4E06A1E1" w14:paraId="1E1F1252" w14:textId="47454EB2">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 xml:space="preserve">Ghosh, D., Buss, M.,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Shivhare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 xml:space="preserve">, A. (2024). Does Contingent Reward Leadership Enhance or Diminish Team Creativity? It Depends on Leader (Un-) Predictability. Journal of Leadership &amp; Organizational Studies, 31(2), 224-237. </w:t>
      </w:r>
      <w:hyperlink r:id="Re3d2886d284b41f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https://doi.org/10.1177/1548051823121686</w:t>
        </w:r>
      </w:hyperlink>
    </w:p>
    <w:p w:rsidR="4E06A1E1" w:rsidP="11A3E9AF" w:rsidRDefault="4E06A1E1" w14:paraId="2D590237" w14:textId="05C4FFD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Goetzel, R. Z., Henke, R. M., Tabrizi, M., Pelletier, K. R., Loeppke, R., Ballard, D. W., ...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Serxner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S. (2014). Do Workplace Health Promotion (Wellness) Programs Work?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Occupational and Environmental Medicine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56(9), 927-934.</w:t>
      </w:r>
    </w:p>
    <w:p w:rsidR="4E06A1E1" w:rsidP="11A3E9AF" w:rsidRDefault="4E06A1E1" w14:paraId="4816619E" w14:textId="611CDC95">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Hajduk, P. (2017)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What’s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the real value of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reward?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33161</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8f988445d07340ca">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https://www.peoplemanagement.co.uk/article/1743866/real-value-reward</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June 2024).</w:t>
      </w:r>
    </w:p>
    <w:p w:rsidR="4E06A1E1" w:rsidP="11A3E9AF" w:rsidRDefault="4E06A1E1" w14:paraId="30341093" w14:textId="3585D8D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Hausknecht, J. P., Rodda, J., &amp; Howard, M. J. (2009). Targeted employee retention: Performance-based and job-related differences in reported reasons for staying.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48(2), 269-288.</w:t>
      </w:r>
    </w:p>
    <w:p w:rsidR="4E06A1E1" w:rsidP="11A3E9AF" w:rsidRDefault="4E06A1E1" w14:paraId="72BC5AF0" w14:textId="5A1EBF9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Hepple, B.A. (2014)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Equality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the legal framework</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Second edition. Oxford, United Kingdom: Hart Publishing.</w:t>
      </w:r>
    </w:p>
    <w:p w:rsidR="4E06A1E1" w:rsidP="11A3E9AF" w:rsidRDefault="4E06A1E1" w14:paraId="0176DC49" w14:textId="6A344616">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Hinkin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T. R. (1995). A review of scale development practices in the study of organizations.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Journal of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21</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(5), 967-988.</w:t>
      </w:r>
    </w:p>
    <w:p w:rsidR="4E06A1E1" w:rsidP="11A3E9AF" w:rsidRDefault="4E06A1E1" w14:paraId="45437504" w14:textId="2630666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Hofstede, G. (2001). Culture's Consequences: Comparing Values, Behaviors, Institutions, and Organizations Across Nations. SAGE Publications.</w:t>
      </w:r>
    </w:p>
    <w:p w:rsidR="4E06A1E1" w:rsidP="11A3E9AF" w:rsidRDefault="4E06A1E1" w14:paraId="3173F8EA" w14:textId="56DEF126">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Jensen, M. C., &amp; Meckling, W. H. (1976). Theory of the firm: Managerial behavior, agency costs, and ownership structure.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Financial Economics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3(4), 305-360.</w:t>
      </w:r>
    </w:p>
    <w:p w:rsidR="4E06A1E1" w:rsidP="11A3E9AF" w:rsidRDefault="4E06A1E1" w14:paraId="1371C8BA" w14:textId="7547126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Kerr,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J.</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 and Slocum, J.W. (2005) ‘Managing Corporate Culture through Reward Systems’,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3A3A3A" w:themeColor="background2" w:themeTint="FF" w:themeShade="40"/>
          <w:sz w:val="24"/>
          <w:szCs w:val="24"/>
          <w:u w:val="none"/>
          <w:lang w:val="en-US"/>
        </w:rPr>
        <w:t>The Academy of Management executive (1993)</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 19(4), pp. 130–138. Available at: </w:t>
      </w:r>
      <w:hyperlink r:id="R738b4ce17f3242f9">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https://doi.org/10.5465/AME.2005.19417915</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w:t>
      </w:r>
    </w:p>
    <w:p w:rsidR="4E06A1E1" w:rsidP="11A3E9AF" w:rsidRDefault="4E06A1E1" w14:paraId="2917C596" w14:textId="2A85E1C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Kossek</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E., Lewis, S., &amp; Hammer, L. B. (2010). Work—life initiatives and organizational change: Overcoming mixed messages to move from the margin to the mainstream.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Human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63</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(1), 3-19.</w:t>
      </w:r>
    </w:p>
    <w:p w:rsidR="4E06A1E1" w:rsidP="11A3E9AF" w:rsidRDefault="4E06A1E1" w14:paraId="1610C3CB" w14:textId="3A3B991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Kumar, R. (2019)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Research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methodology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 step-by-step guide for beginners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Fifth edition.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London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SAGE.</w:t>
      </w:r>
    </w:p>
    <w:p w:rsidR="4E06A1E1" w:rsidP="11A3E9AF" w:rsidRDefault="4E06A1E1" w14:paraId="63434358" w14:textId="4C9630A2">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LAWLER, E.E. (2003) ‘Reward Practices and Performance Management System Effectiveness’,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Organizational dynamics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32(4), pp. 396–404. Available at: </w:t>
      </w:r>
      <w:hyperlink r:id="Rbfdfb97c1f7d4c5b">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https://doi.org/10.1016/j.orgdyn.2003.08.007</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57A5933" w14:textId="5DCCE9A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Malek, S.L., Sarin, S. and Haon, C. (2020) ‘Extrinsic rewards, intrinsic motivation, and new product development performance’,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Product Innovation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37(6), pp. 528–551. doi:10.1111/jpim.12554.</w:t>
      </w:r>
    </w:p>
    <w:p w:rsidR="4E06A1E1" w:rsidP="11A3E9AF" w:rsidRDefault="4E06A1E1" w14:paraId="7B2301DD" w14:textId="200772B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Marler, J.H. and Fisher, S.L. (2013) ‘An evidence-based review of e-HRM and strategic human resource 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Human resource management review</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23(1), pp. 18–36. Available at: </w:t>
      </w:r>
      <w:hyperlink r:id="Rca3371c0a85a430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https://doi.org/10.1016/j.hrmr.2012.06.002</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7316F535" w14:textId="56112A11">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Mayne, M.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Is work-life balance becoming more important than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pay?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hyperlink>
        <w:r w:rsidRPr="11A3E9AF" w:rsidR="4E06A1E1">
          <w:rPr>
            <w:rStyle w:val="Hyperlink"/>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US"/>
          </w:rPr>
          <w:t>www.peoplemanagement.co.uk</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4f64ae4c3c2a42b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https://www.peoplemanagement.co.uk/article/1810688/work-life-balance-becoming-important-pay</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July 2024).</w:t>
      </w:r>
    </w:p>
    <w:p w:rsidR="4E06A1E1" w:rsidP="11A3E9AF" w:rsidRDefault="4E06A1E1" w14:paraId="56080298" w14:textId="226ABDAA">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Metcalf, D. (1999) ‘The British National Minimum Wage’,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British journal of industrial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37(2), pp. 171–201. Available at: </w:t>
      </w:r>
      <w:hyperlink r:id="R71a61f8dd2c447a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https://doi.org/10.1111/1467-8543.00124</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02693A2E" w14:textId="0D65586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Morgan, D.L. (1997)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Focus groups as qualitative research.</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2nd ed. London: SAGE.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Noe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R.A. (2009) ‘Employee Training &amp; Development’,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NHRD Network Journal</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2(4), pp. 87–88. Available at: </w:t>
      </w:r>
      <w:hyperlink r:id="Rfe0aac3cc68e4cdc">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https://doi.org/10.1177/0974173920090420</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4DFCC142" w14:textId="6E81BCA0">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Perkins, S.J. and White, G. (2011)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Reward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alternatives,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consequences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and contexts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2nd ed. London: Chartered Institute of Personnel and Development.</w:t>
      </w:r>
    </w:p>
    <w:p w:rsidR="4E06A1E1" w:rsidP="11A3E9AF" w:rsidRDefault="4E06A1E1" w14:paraId="32B27B6A" w14:textId="7235722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Ryan, R.M. and Deci, E.L. (2020) ‘Intrinsic and extrinsic motivation from a self-determination theory perspective: Definitions, theory, practices, and future directions’,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Contemporary educational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61, pp. 101860-. Available at: </w:t>
      </w:r>
      <w:hyperlink r:id="R344629f2cc3d42de">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https://doi.org/10.1016/j.cedpsych.2020.101860</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9E1E312" w14:textId="6AF40305">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Stajkovic</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A. D., &amp; Luthans, F. (2001). Differential effects of incentive motivators on work performance.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Academy of management journal</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44</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(3), 580-590.</w:t>
      </w:r>
    </w:p>
    <w:p w:rsidR="4E06A1E1" w:rsidP="11A3E9AF" w:rsidRDefault="4E06A1E1" w14:paraId="4E9EBCE3" w14:textId="5AA320B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Taylor, S. and Woodhams, C. (eds). (2022)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 xml:space="preserve">Human resource management: people and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organisations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3rd ed. London: CIPD Kogan Page.</w:t>
      </w:r>
    </w:p>
    <w:p w:rsidR="4E06A1E1" w:rsidP="11A3E9AF" w:rsidRDefault="4E06A1E1" w14:paraId="5AB03FB5" w14:textId="6EF64C2A">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The Equality Act (2010) Available at: </w:t>
      </w:r>
      <w:hyperlink r:id="R86e8a687bd0e4ee4">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https://www.legislation.gov.uk/ukpga/2010/15/part/1</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(Accessed: 6 August 2024)</w:t>
      </w:r>
    </w:p>
    <w:p w:rsidR="4E06A1E1" w:rsidP="11A3E9AF" w:rsidRDefault="4E06A1E1" w14:paraId="6A70695C" w14:textId="16926A0F">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Thompson, C. A., Beauvais, L. L., &amp; Lyness, K. S. (1999). When work–family benefits are not enough: The influence of work–family culture on benefit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utilization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organizational attachment, and work–family conflict.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Journal of Vocational behavior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54</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(3), 392-415.</w:t>
      </w:r>
    </w:p>
    <w:p w:rsidR="4E06A1E1" w:rsidP="11A3E9AF" w:rsidRDefault="4E06A1E1" w14:paraId="608A518B" w14:textId="2BE6615F">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Twenge, J. M., Campbell, S. M., Hoffman, B. J., &amp; Lance, C. E. (2010). Generational Differences in Work Values: Leisure and Extrinsic Values Increasing, Social and Intrinsic Values Decreasing. Journal of Management, 36(5), 1117-1142. Available at: </w:t>
      </w:r>
      <w:hyperlink r:id="R73e30b8e1aae4176">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https://doi.org/10.1177/0149206309352246</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(Accessed: 3 August 2024)</w:t>
      </w:r>
    </w:p>
    <w:p w:rsidR="4E06A1E1" w:rsidP="11A3E9AF" w:rsidRDefault="4E06A1E1" w14:paraId="33DD3E5E" w14:textId="063C225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Vroom, V. H. (1964).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Work and Motivation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Wiley.</w:t>
      </w:r>
    </w:p>
    <w:p w:rsidR="4E06A1E1" w:rsidP="11A3E9AF" w:rsidRDefault="4E06A1E1" w14:paraId="662094AC" w14:textId="6235B6A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Wong, K.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12 Best Practices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For</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Peer-To-Peer Recognition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Achievers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Peer%2Dto%2Dpeer%20recognition%20is" r:id="Rf695a6c72ada41c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https://www.achievers.com/blog/peer-to-peer-recognition/#:~:text=Peer%2Dto%2Dpeer%20recognition%20is</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28 July 2024).</w:t>
      </w:r>
    </w:p>
    <w:p w:rsidR="4E06A1E1" w:rsidP="11A3E9AF" w:rsidRDefault="4E06A1E1" w14:paraId="07AA658F" w14:textId="7EB2F8E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Wood, S. (2018) ‘Work–life balance supports can improve employee well-being’, in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 Applied Research Conference 2018 The shifting landscape of work and working lives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pp. 1–6. Available at: </w:t>
      </w:r>
      <w:hyperlink r:id="R47270e441ef64cc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https://www.cipd.org/globalassets/media/comms/get-involved/events/work-life-balance-supports_tcm18-57294.pdf</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July 2024).</w:t>
      </w:r>
    </w:p>
    <w:p w:rsidR="11A3E9AF" w:rsidP="11A3E9AF" w:rsidRDefault="11A3E9AF" w14:paraId="3E5AD6D4" w14:textId="2D279C9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11A3E9AF" w:rsidP="11A3E9AF" w:rsidRDefault="11A3E9AF" w14:paraId="067DAF6C" w14:textId="52CDF16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11A3E9AF" w:rsidP="11A3E9AF" w:rsidRDefault="11A3E9AF" w14:paraId="07A035A7" w14:textId="630F24EB">
      <w:pPr>
        <w:spacing w:line="276" w:lineRule="auto"/>
        <w:rPr>
          <w:rFonts w:ascii="Aptos Display" w:hAnsi="Aptos Display" w:eastAsia="Aptos Display" w:cs="Aptos Display" w:asciiTheme="majorAscii" w:hAnsiTheme="majorAscii" w:eastAsiaTheme="majorAscii" w:cstheme="majorAsci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3550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5d4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dd62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F971D"/>
    <w:rsid w:val="001D2419"/>
    <w:rsid w:val="0135C87A"/>
    <w:rsid w:val="020468F6"/>
    <w:rsid w:val="022118E6"/>
    <w:rsid w:val="0222C475"/>
    <w:rsid w:val="0247C752"/>
    <w:rsid w:val="02DFF487"/>
    <w:rsid w:val="02F42EFF"/>
    <w:rsid w:val="0328EBC4"/>
    <w:rsid w:val="034E07C6"/>
    <w:rsid w:val="03869B16"/>
    <w:rsid w:val="03BD9153"/>
    <w:rsid w:val="03F798E5"/>
    <w:rsid w:val="0483FEE1"/>
    <w:rsid w:val="04D97F7E"/>
    <w:rsid w:val="04ECEEA3"/>
    <w:rsid w:val="05271F70"/>
    <w:rsid w:val="06D927F4"/>
    <w:rsid w:val="0800FA6A"/>
    <w:rsid w:val="08251631"/>
    <w:rsid w:val="08750ED3"/>
    <w:rsid w:val="087EF164"/>
    <w:rsid w:val="0882E060"/>
    <w:rsid w:val="096F73D4"/>
    <w:rsid w:val="09826016"/>
    <w:rsid w:val="09CC4B33"/>
    <w:rsid w:val="09D000A0"/>
    <w:rsid w:val="09FE123B"/>
    <w:rsid w:val="0A07AEC3"/>
    <w:rsid w:val="0A422CC2"/>
    <w:rsid w:val="0AEB91EE"/>
    <w:rsid w:val="0B249E78"/>
    <w:rsid w:val="0BA4A0F2"/>
    <w:rsid w:val="0C495D9A"/>
    <w:rsid w:val="0C563A47"/>
    <w:rsid w:val="0CD2DD7E"/>
    <w:rsid w:val="0CFB351E"/>
    <w:rsid w:val="0D87C4DE"/>
    <w:rsid w:val="0DCDAA3B"/>
    <w:rsid w:val="0DDAE1E2"/>
    <w:rsid w:val="0E404B5D"/>
    <w:rsid w:val="0EBEB167"/>
    <w:rsid w:val="0ED61AF4"/>
    <w:rsid w:val="0EFDC287"/>
    <w:rsid w:val="0F610F16"/>
    <w:rsid w:val="1038686A"/>
    <w:rsid w:val="10765C5D"/>
    <w:rsid w:val="11447D4E"/>
    <w:rsid w:val="1165DEB2"/>
    <w:rsid w:val="118DD5E4"/>
    <w:rsid w:val="118EE13D"/>
    <w:rsid w:val="11A3E9AF"/>
    <w:rsid w:val="11C0ECC5"/>
    <w:rsid w:val="1207D015"/>
    <w:rsid w:val="138C5CE5"/>
    <w:rsid w:val="1461B00E"/>
    <w:rsid w:val="149CF81D"/>
    <w:rsid w:val="14C95469"/>
    <w:rsid w:val="15972049"/>
    <w:rsid w:val="15FDEFA6"/>
    <w:rsid w:val="162E5C39"/>
    <w:rsid w:val="168DEB1E"/>
    <w:rsid w:val="17A4B42C"/>
    <w:rsid w:val="17AA1F03"/>
    <w:rsid w:val="181A50AD"/>
    <w:rsid w:val="1842BEF4"/>
    <w:rsid w:val="18C72AFE"/>
    <w:rsid w:val="19785E9D"/>
    <w:rsid w:val="1AC8E86D"/>
    <w:rsid w:val="1B19609E"/>
    <w:rsid w:val="1B70E2E8"/>
    <w:rsid w:val="1C4AE4D3"/>
    <w:rsid w:val="1D521D34"/>
    <w:rsid w:val="1D9DB9EB"/>
    <w:rsid w:val="1E0CD511"/>
    <w:rsid w:val="1E1D4711"/>
    <w:rsid w:val="1E53EF98"/>
    <w:rsid w:val="1EBF549A"/>
    <w:rsid w:val="1EC48B26"/>
    <w:rsid w:val="1EC625CD"/>
    <w:rsid w:val="20D304BF"/>
    <w:rsid w:val="20D9F97B"/>
    <w:rsid w:val="2173A2C6"/>
    <w:rsid w:val="2198B773"/>
    <w:rsid w:val="22210A83"/>
    <w:rsid w:val="2248D3E7"/>
    <w:rsid w:val="22A13F12"/>
    <w:rsid w:val="22AB0E25"/>
    <w:rsid w:val="22D485FB"/>
    <w:rsid w:val="22DF766F"/>
    <w:rsid w:val="22F2A5B6"/>
    <w:rsid w:val="22FBCA57"/>
    <w:rsid w:val="2371ABE5"/>
    <w:rsid w:val="241FF425"/>
    <w:rsid w:val="2433DA06"/>
    <w:rsid w:val="245308FC"/>
    <w:rsid w:val="245438B2"/>
    <w:rsid w:val="24A6C358"/>
    <w:rsid w:val="2582FB7D"/>
    <w:rsid w:val="2612AE0F"/>
    <w:rsid w:val="2621D9D8"/>
    <w:rsid w:val="26881210"/>
    <w:rsid w:val="26B069D1"/>
    <w:rsid w:val="2721B30D"/>
    <w:rsid w:val="27661DB8"/>
    <w:rsid w:val="2790BA5C"/>
    <w:rsid w:val="28094F35"/>
    <w:rsid w:val="280B403D"/>
    <w:rsid w:val="28451A27"/>
    <w:rsid w:val="28D7C118"/>
    <w:rsid w:val="28ED4B5E"/>
    <w:rsid w:val="29A28AA6"/>
    <w:rsid w:val="29B2CF1B"/>
    <w:rsid w:val="29F2AF56"/>
    <w:rsid w:val="29F54611"/>
    <w:rsid w:val="2A624B8E"/>
    <w:rsid w:val="2ABC4FD4"/>
    <w:rsid w:val="2AE4F08C"/>
    <w:rsid w:val="2B806B47"/>
    <w:rsid w:val="2BC7474E"/>
    <w:rsid w:val="2CA965D8"/>
    <w:rsid w:val="2D32B3CE"/>
    <w:rsid w:val="2D3C0A0A"/>
    <w:rsid w:val="2D3CB308"/>
    <w:rsid w:val="2E42E07F"/>
    <w:rsid w:val="2EBB7A49"/>
    <w:rsid w:val="2F9068D9"/>
    <w:rsid w:val="3153FC76"/>
    <w:rsid w:val="31614D79"/>
    <w:rsid w:val="319682AA"/>
    <w:rsid w:val="31E17E23"/>
    <w:rsid w:val="32BFABF3"/>
    <w:rsid w:val="33B3B3E9"/>
    <w:rsid w:val="34E7BB0D"/>
    <w:rsid w:val="34F5A146"/>
    <w:rsid w:val="34F6A421"/>
    <w:rsid w:val="35988ACD"/>
    <w:rsid w:val="36574B84"/>
    <w:rsid w:val="37A8A73C"/>
    <w:rsid w:val="37FC3FAC"/>
    <w:rsid w:val="38AEAC57"/>
    <w:rsid w:val="38CC13EF"/>
    <w:rsid w:val="38E30995"/>
    <w:rsid w:val="393678F7"/>
    <w:rsid w:val="398861C6"/>
    <w:rsid w:val="3A0723C8"/>
    <w:rsid w:val="3A32C759"/>
    <w:rsid w:val="3A37E49E"/>
    <w:rsid w:val="3ACC6725"/>
    <w:rsid w:val="3AE54C91"/>
    <w:rsid w:val="3BC4E17E"/>
    <w:rsid w:val="3BE2AB5B"/>
    <w:rsid w:val="3CB05342"/>
    <w:rsid w:val="3CE3FAFA"/>
    <w:rsid w:val="3CFAA7EB"/>
    <w:rsid w:val="3F1C41E0"/>
    <w:rsid w:val="3F6B5268"/>
    <w:rsid w:val="3F9B6D4C"/>
    <w:rsid w:val="3FC1B31D"/>
    <w:rsid w:val="405E64B0"/>
    <w:rsid w:val="410D1A2E"/>
    <w:rsid w:val="41578B46"/>
    <w:rsid w:val="42C9615E"/>
    <w:rsid w:val="43774726"/>
    <w:rsid w:val="43D85088"/>
    <w:rsid w:val="44266F7C"/>
    <w:rsid w:val="4429D6A1"/>
    <w:rsid w:val="44A238E9"/>
    <w:rsid w:val="44FCEAC6"/>
    <w:rsid w:val="45781D31"/>
    <w:rsid w:val="470D6F13"/>
    <w:rsid w:val="471F892E"/>
    <w:rsid w:val="483CEC95"/>
    <w:rsid w:val="484584E7"/>
    <w:rsid w:val="4865C5E5"/>
    <w:rsid w:val="489C8CA5"/>
    <w:rsid w:val="49A993FC"/>
    <w:rsid w:val="49D6F32E"/>
    <w:rsid w:val="4A0F1505"/>
    <w:rsid w:val="4A6DBE90"/>
    <w:rsid w:val="4B42A4A8"/>
    <w:rsid w:val="4CF3BAA5"/>
    <w:rsid w:val="4CF51CA9"/>
    <w:rsid w:val="4E06A1E1"/>
    <w:rsid w:val="4E986EE5"/>
    <w:rsid w:val="4F3072C4"/>
    <w:rsid w:val="4F4AC584"/>
    <w:rsid w:val="4F61679A"/>
    <w:rsid w:val="4F97C867"/>
    <w:rsid w:val="4FE44EDC"/>
    <w:rsid w:val="508AF9B9"/>
    <w:rsid w:val="50CA49CC"/>
    <w:rsid w:val="52192F81"/>
    <w:rsid w:val="52CD7AE3"/>
    <w:rsid w:val="534FAD8E"/>
    <w:rsid w:val="53A71856"/>
    <w:rsid w:val="53FE5EA2"/>
    <w:rsid w:val="54785E8A"/>
    <w:rsid w:val="553709CF"/>
    <w:rsid w:val="558654A8"/>
    <w:rsid w:val="56203153"/>
    <w:rsid w:val="57AA131E"/>
    <w:rsid w:val="58B65680"/>
    <w:rsid w:val="5909899C"/>
    <w:rsid w:val="59824D8D"/>
    <w:rsid w:val="5A545CB1"/>
    <w:rsid w:val="5A97F0F0"/>
    <w:rsid w:val="5AB81ED5"/>
    <w:rsid w:val="5AF67120"/>
    <w:rsid w:val="5BF383E7"/>
    <w:rsid w:val="5C09E19F"/>
    <w:rsid w:val="5D68CE12"/>
    <w:rsid w:val="5DB8B627"/>
    <w:rsid w:val="5E4551DA"/>
    <w:rsid w:val="5EBCDDAD"/>
    <w:rsid w:val="5EF32FBA"/>
    <w:rsid w:val="60D8A740"/>
    <w:rsid w:val="61165BB7"/>
    <w:rsid w:val="6217A5FE"/>
    <w:rsid w:val="624CE711"/>
    <w:rsid w:val="62C600C4"/>
    <w:rsid w:val="6372E13C"/>
    <w:rsid w:val="63FAE68B"/>
    <w:rsid w:val="6484F960"/>
    <w:rsid w:val="64DD3C0A"/>
    <w:rsid w:val="6578B3AA"/>
    <w:rsid w:val="66499AA3"/>
    <w:rsid w:val="66B3549B"/>
    <w:rsid w:val="6793919D"/>
    <w:rsid w:val="680C76E8"/>
    <w:rsid w:val="68674E11"/>
    <w:rsid w:val="68FF75E7"/>
    <w:rsid w:val="69199C73"/>
    <w:rsid w:val="6A2B8174"/>
    <w:rsid w:val="6A748674"/>
    <w:rsid w:val="6ACF6720"/>
    <w:rsid w:val="6C187FA5"/>
    <w:rsid w:val="6C801CA1"/>
    <w:rsid w:val="6CA5ADAC"/>
    <w:rsid w:val="6DA1DDFF"/>
    <w:rsid w:val="6DBC9AC2"/>
    <w:rsid w:val="6DCF971D"/>
    <w:rsid w:val="703DE0E3"/>
    <w:rsid w:val="70574A9C"/>
    <w:rsid w:val="7091132D"/>
    <w:rsid w:val="7132551E"/>
    <w:rsid w:val="7260A579"/>
    <w:rsid w:val="729A2798"/>
    <w:rsid w:val="72D2A754"/>
    <w:rsid w:val="72FFF56F"/>
    <w:rsid w:val="73A71E81"/>
    <w:rsid w:val="744D9B09"/>
    <w:rsid w:val="74970BA7"/>
    <w:rsid w:val="74E60A77"/>
    <w:rsid w:val="758C3D11"/>
    <w:rsid w:val="76DE78F6"/>
    <w:rsid w:val="778811AD"/>
    <w:rsid w:val="785AF908"/>
    <w:rsid w:val="790E3435"/>
    <w:rsid w:val="79215100"/>
    <w:rsid w:val="7943531F"/>
    <w:rsid w:val="79597B9E"/>
    <w:rsid w:val="795B8F81"/>
    <w:rsid w:val="795ED463"/>
    <w:rsid w:val="7B3F38DA"/>
    <w:rsid w:val="7B6559CD"/>
    <w:rsid w:val="7BD7B96A"/>
    <w:rsid w:val="7C0A47EA"/>
    <w:rsid w:val="7C5FF23E"/>
    <w:rsid w:val="7CFE63D5"/>
    <w:rsid w:val="7D1EF52A"/>
    <w:rsid w:val="7DC43321"/>
    <w:rsid w:val="7E205140"/>
    <w:rsid w:val="7E517A70"/>
    <w:rsid w:val="7F0CA842"/>
    <w:rsid w:val="7FE14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F971D"/>
  <w15:chartTrackingRefBased/>
  <w15:docId w15:val="{64E4FE95-3A78-43FC-BBCF-5EFBE8FA8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34a704773f04b06" /><Relationship Type="http://schemas.openxmlformats.org/officeDocument/2006/relationships/hyperlink" Target="https://doi.org/10.1162/003355302753399445" TargetMode="External" Id="Rb5c20452f7584f67" /><Relationship Type="http://schemas.openxmlformats.org/officeDocument/2006/relationships/hyperlink" Target="https://doi.org/10.1080/09585190801953723" TargetMode="External" Id="Rcdb6dbfab8dc4c7b" /><Relationship Type="http://schemas.openxmlformats.org/officeDocument/2006/relationships/hyperlink" Target="http://jbudd.csom.umn.edu/RESEARCH/buddbhave.pdf" TargetMode="External" Id="R603f19cdfde94acf" /><Relationship Type="http://schemas.openxmlformats.org/officeDocument/2006/relationships/hyperlink" Target="https://www.iod.com/resources/business-advice/reward-and-recognition-programme/" TargetMode="External" Id="R8a399ea00f484175" /><Relationship Type="http://schemas.openxmlformats.org/officeDocument/2006/relationships/hyperlink" Target="https://www.cipd.org/uk/knowledge/factsheets/pay-structures-factsheet/" TargetMode="External" Id="Rd2bf4024cbee42ba" /><Relationship Type="http://schemas.openxmlformats.org/officeDocument/2006/relationships/hyperlink" Target="https://www.cipd.org/uk/knowledge/factsheets/strategic-total-factsheet/" TargetMode="External" Id="Rafb69c0f6e0246b4" /><Relationship Type="http://schemas.openxmlformats.org/officeDocument/2006/relationships/hyperlink" Target="https://doi.org/10.1037/0033-2909.125.6.627" TargetMode="External" Id="R7d8ec36427064048" /><Relationship Type="http://schemas.openxmlformats.org/officeDocument/2006/relationships/hyperlink" Target="https://doi.org/10.1037/0003-066X.51.11.1153" TargetMode="External" Id="R20dcd7f996c2494c" /><Relationship Type="http://schemas.openxmlformats.org/officeDocument/2006/relationships/hyperlink" Target="https://doi.org/10.1177/1548051823121686" TargetMode="External" Id="Re3d2886d284b41f5" /><Relationship Type="http://schemas.openxmlformats.org/officeDocument/2006/relationships/hyperlink" Target="https://www.peoplemanagement.co.uk/article/1743866/real-value-reward" TargetMode="External" Id="R8f988445d07340ca" /><Relationship Type="http://schemas.openxmlformats.org/officeDocument/2006/relationships/hyperlink" Target="https://doi.org/10.5465/AME.2005.19417915" TargetMode="External" Id="R738b4ce17f3242f9" /><Relationship Type="http://schemas.openxmlformats.org/officeDocument/2006/relationships/hyperlink" Target="https://doi.org/10.1016/j.orgdyn.2003.08.007" TargetMode="External" Id="Rbfdfb97c1f7d4c5b" /><Relationship Type="http://schemas.openxmlformats.org/officeDocument/2006/relationships/hyperlink" Target="https://doi.org/10.1016/j.hrmr.2012.06.002" TargetMode="External" Id="Rca3371c0a85a4305" /><Relationship Type="http://schemas.openxmlformats.org/officeDocument/2006/relationships/hyperlink" Target="https://www.peoplemanagement.co.uk/article/1810688/work-life-balance-becoming-important-pay" TargetMode="External" Id="R4f64ae4c3c2a42b8" /><Relationship Type="http://schemas.openxmlformats.org/officeDocument/2006/relationships/hyperlink" Target="https://doi.org/10.1111/1467-8543.00124" TargetMode="External" Id="R71a61f8dd2c447af" /><Relationship Type="http://schemas.openxmlformats.org/officeDocument/2006/relationships/hyperlink" Target="https://doi.org/10.1177/0974173920090420" TargetMode="External" Id="Rfe0aac3cc68e4cdc" /><Relationship Type="http://schemas.openxmlformats.org/officeDocument/2006/relationships/hyperlink" Target="https://doi.org/10.1016/j.cedpsych.2020.101860" TargetMode="External" Id="R344629f2cc3d42de" /><Relationship Type="http://schemas.openxmlformats.org/officeDocument/2006/relationships/hyperlink" Target="https://www.legislation.gov.uk/ukpga/2010/15/part/1" TargetMode="External" Id="R86e8a687bd0e4ee4" /><Relationship Type="http://schemas.openxmlformats.org/officeDocument/2006/relationships/hyperlink" Target="https://doi.org/10.1177/0149206309352246" TargetMode="External" Id="R73e30b8e1aae4176" /><Relationship Type="http://schemas.openxmlformats.org/officeDocument/2006/relationships/hyperlink" Target="https://www.achievers.com/blog/peer-to-peer-recognition/" TargetMode="External" Id="Rf695a6c72ada41c8" /><Relationship Type="http://schemas.openxmlformats.org/officeDocument/2006/relationships/hyperlink" Target="https://www.cipd.org/globalassets/media/comms/get-involved/events/work-life-balance-supports_tcm18-57294.pdf" TargetMode="External" Id="R47270e441ef64c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2024-06-27T09:11:35.7901140Z</dcterms:created>
  <dcterms:modified xsi:type="dcterms:W3CDTF">2024-08-06T21:14:10.1651934Z</dcterms:modified>
  <dc:creator>Catrin Evans (2231931)</dc:creator>
  <lastModifiedBy>Catrin Evans (2231931)</lastModifiedBy>
</coreProperties>
</file>