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7445558"/>
        <w:docPartObj>
          <w:docPartGallery w:val="Cover Pages"/>
          <w:docPartUnique/>
        </w:docPartObj>
      </w:sdtPr>
      <w:sdtEndPr>
        <w:rPr>
          <w:color w:val="FF0000"/>
        </w:rPr>
      </w:sdtEndPr>
      <w:sdtContent>
        <w:p w14:paraId="325ADD1D" w14:textId="38D3D78E" w:rsidR="00252753" w:rsidRDefault="00252753">
          <w:pPr>
            <w:rPr>
              <w:color w:val="FF0000"/>
            </w:rPr>
          </w:pPr>
          <w:r>
            <w:rPr>
              <w:noProof/>
            </w:rPr>
            <mc:AlternateContent>
              <mc:Choice Requires="wpg">
                <w:drawing>
                  <wp:anchor distT="0" distB="0" distL="114300" distR="114300" simplePos="0" relativeHeight="251662336" behindDoc="0" locked="0" layoutInCell="1" allowOverlap="1" wp14:anchorId="2521CAD9" wp14:editId="1C6FB37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80FB4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1D191CA" w14:textId="77777777" w:rsidR="00252753" w:rsidRDefault="00252753"/>
        <w:p w14:paraId="26E5A1F4" w14:textId="77777777" w:rsidR="00252753" w:rsidRDefault="00252753"/>
        <w:p w14:paraId="7FF7ADE2" w14:textId="77777777" w:rsidR="00252753" w:rsidRPr="00252753" w:rsidRDefault="00252753"/>
        <w:tbl>
          <w:tblPr>
            <w:tblStyle w:val="TableGrid"/>
            <w:tblW w:w="9976" w:type="dxa"/>
            <w:tblInd w:w="-431" w:type="dxa"/>
            <w:tblCellMar>
              <w:top w:w="11" w:type="dxa"/>
              <w:left w:w="106" w:type="dxa"/>
              <w:bottom w:w="0" w:type="dxa"/>
              <w:right w:w="45" w:type="dxa"/>
            </w:tblCellMar>
            <w:tblLook w:val="04A0" w:firstRow="1" w:lastRow="0" w:firstColumn="1" w:lastColumn="0" w:noHBand="0" w:noVBand="1"/>
          </w:tblPr>
          <w:tblGrid>
            <w:gridCol w:w="2127"/>
            <w:gridCol w:w="4091"/>
            <w:gridCol w:w="2265"/>
            <w:gridCol w:w="1493"/>
          </w:tblGrid>
          <w:tr w:rsidR="00252753" w14:paraId="65928676" w14:textId="77777777" w:rsidTr="00252753">
            <w:trPr>
              <w:trHeight w:val="503"/>
            </w:trPr>
            <w:tc>
              <w:tcPr>
                <w:tcW w:w="212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E15F0D" w14:textId="77777777" w:rsidR="00252753" w:rsidRDefault="00252753" w:rsidP="00EF0E43">
                <w:r>
                  <w:rPr>
                    <w:rFonts w:ascii="Arial" w:eastAsia="Arial" w:hAnsi="Arial" w:cs="Arial"/>
                    <w:b/>
                    <w:sz w:val="22"/>
                  </w:rPr>
                  <w:t xml:space="preserve">Student name: </w:t>
                </w:r>
              </w:p>
            </w:tc>
            <w:tc>
              <w:tcPr>
                <w:tcW w:w="4091" w:type="dxa"/>
                <w:tcBorders>
                  <w:top w:val="single" w:sz="4" w:space="0" w:color="000000"/>
                  <w:left w:val="single" w:sz="4" w:space="0" w:color="000000"/>
                  <w:bottom w:val="single" w:sz="4" w:space="0" w:color="000000"/>
                  <w:right w:val="single" w:sz="4" w:space="0" w:color="000000"/>
                </w:tcBorders>
                <w:vAlign w:val="center"/>
              </w:tcPr>
              <w:p w14:paraId="7B08546E" w14:textId="08AC37EC" w:rsidR="00252753" w:rsidRDefault="00252753" w:rsidP="00EF0E43">
                <w:pPr>
                  <w:ind w:left="2"/>
                </w:pPr>
                <w:r>
                  <w:rPr>
                    <w:rFonts w:ascii="Arial" w:eastAsia="Arial" w:hAnsi="Arial" w:cs="Arial"/>
                    <w:b/>
                    <w:sz w:val="22"/>
                  </w:rPr>
                  <w:t xml:space="preserve">      </w:t>
                </w:r>
                <w:r>
                  <w:rPr>
                    <w:rFonts w:cs="Times New Roman"/>
                    <w:b/>
                    <w:bCs/>
                    <w:kern w:val="0"/>
                    <w:szCs w:val="24"/>
                    <w14:ligatures w14:val="none"/>
                  </w:rPr>
                  <w:t>Gheorghe Plescan</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9BF095" w14:textId="77777777" w:rsidR="00252753" w:rsidRDefault="00252753" w:rsidP="00EF0E43">
                <w:pPr>
                  <w:ind w:left="1"/>
                  <w:jc w:val="both"/>
                </w:pPr>
                <w:r>
                  <w:rPr>
                    <w:rFonts w:ascii="Arial" w:eastAsia="Arial" w:hAnsi="Arial" w:cs="Arial"/>
                    <w:b/>
                    <w:sz w:val="22"/>
                  </w:rPr>
                  <w:t xml:space="preserve">Student ID number: </w:t>
                </w:r>
              </w:p>
            </w:tc>
            <w:tc>
              <w:tcPr>
                <w:tcW w:w="1493" w:type="dxa"/>
                <w:tcBorders>
                  <w:top w:val="single" w:sz="4" w:space="0" w:color="000000"/>
                  <w:left w:val="single" w:sz="4" w:space="0" w:color="000000"/>
                  <w:bottom w:val="single" w:sz="4" w:space="0" w:color="000000"/>
                  <w:right w:val="single" w:sz="4" w:space="0" w:color="000000"/>
                </w:tcBorders>
                <w:vAlign w:val="center"/>
              </w:tcPr>
              <w:p w14:paraId="6A1BA8E7" w14:textId="77777777" w:rsidR="00252753" w:rsidRDefault="00252753" w:rsidP="00252753">
                <w:pPr>
                  <w:keepNext/>
                  <w:spacing w:before="120" w:line="276" w:lineRule="auto"/>
                  <w:rPr>
                    <w:rFonts w:cs="Times New Roman"/>
                    <w:b/>
                    <w:bCs/>
                    <w:noProof/>
                    <w:color w:val="000000" w:themeColor="text1"/>
                    <w:sz w:val="22"/>
                  </w:rPr>
                </w:pPr>
                <w:r>
                  <w:rPr>
                    <w:rFonts w:ascii="Arial" w:eastAsia="Arial" w:hAnsi="Arial" w:cs="Arial"/>
                    <w:b/>
                    <w:sz w:val="22"/>
                  </w:rPr>
                  <w:t xml:space="preserve"> </w:t>
                </w:r>
                <w:r>
                  <w:rPr>
                    <w:rFonts w:cs="Times New Roman"/>
                    <w:b/>
                    <w:bCs/>
                    <w:szCs w:val="24"/>
                  </w:rPr>
                  <w:t>2234901</w:t>
                </w:r>
              </w:p>
              <w:p w14:paraId="3E6937E8" w14:textId="422B9E67" w:rsidR="00252753" w:rsidRDefault="00252753" w:rsidP="00EF0E43">
                <w:pPr>
                  <w:ind w:left="5"/>
                </w:pPr>
              </w:p>
            </w:tc>
          </w:tr>
          <w:tr w:rsidR="00252753" w14:paraId="4CFD6EB7" w14:textId="77777777" w:rsidTr="00252753">
            <w:trPr>
              <w:trHeight w:val="503"/>
            </w:trPr>
            <w:tc>
              <w:tcPr>
                <w:tcW w:w="212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3D4C23" w14:textId="77777777" w:rsidR="00252753" w:rsidRDefault="00252753" w:rsidP="00EF0E43">
                <w:r>
                  <w:rPr>
                    <w:rFonts w:ascii="Arial" w:eastAsia="Arial" w:hAnsi="Arial" w:cs="Arial"/>
                    <w:b/>
                    <w:sz w:val="22"/>
                  </w:rPr>
                  <w:t xml:space="preserve">Programme: </w:t>
                </w:r>
              </w:p>
            </w:tc>
            <w:tc>
              <w:tcPr>
                <w:tcW w:w="7849" w:type="dxa"/>
                <w:gridSpan w:val="3"/>
                <w:tcBorders>
                  <w:top w:val="single" w:sz="4" w:space="0" w:color="000000"/>
                  <w:left w:val="single" w:sz="4" w:space="0" w:color="000000"/>
                  <w:bottom w:val="single" w:sz="4" w:space="0" w:color="000000"/>
                  <w:right w:val="single" w:sz="4" w:space="0" w:color="000000"/>
                </w:tcBorders>
                <w:vAlign w:val="center"/>
              </w:tcPr>
              <w:p w14:paraId="679EAA70" w14:textId="77777777" w:rsidR="00252753" w:rsidRDefault="00252753" w:rsidP="00EF0E43">
                <w:pPr>
                  <w:ind w:left="2"/>
                </w:pPr>
                <w:r>
                  <w:rPr>
                    <w:rFonts w:ascii="Arial" w:eastAsia="Arial" w:hAnsi="Arial" w:cs="Arial"/>
                    <w:b/>
                    <w:sz w:val="22"/>
                  </w:rPr>
                  <w:t xml:space="preserve">BA International Hotel Management </w:t>
                </w:r>
              </w:p>
            </w:tc>
          </w:tr>
          <w:tr w:rsidR="00252753" w14:paraId="3D7945D0" w14:textId="77777777" w:rsidTr="00252753">
            <w:trPr>
              <w:trHeight w:val="503"/>
            </w:trPr>
            <w:tc>
              <w:tcPr>
                <w:tcW w:w="212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18D4F21" w14:textId="77777777" w:rsidR="00252753" w:rsidRDefault="00252753" w:rsidP="00EF0E43">
                <w:r>
                  <w:rPr>
                    <w:rFonts w:ascii="Arial" w:eastAsia="Arial" w:hAnsi="Arial" w:cs="Arial"/>
                    <w:b/>
                    <w:sz w:val="22"/>
                  </w:rPr>
                  <w:t xml:space="preserve">Module: </w:t>
                </w:r>
              </w:p>
            </w:tc>
            <w:tc>
              <w:tcPr>
                <w:tcW w:w="7849" w:type="dxa"/>
                <w:gridSpan w:val="3"/>
                <w:tcBorders>
                  <w:top w:val="single" w:sz="4" w:space="0" w:color="000000"/>
                  <w:left w:val="single" w:sz="4" w:space="0" w:color="000000"/>
                  <w:bottom w:val="single" w:sz="4" w:space="0" w:color="000000"/>
                  <w:right w:val="single" w:sz="4" w:space="0" w:color="000000"/>
                </w:tcBorders>
                <w:vAlign w:val="center"/>
              </w:tcPr>
              <w:p w14:paraId="15216701" w14:textId="77777777" w:rsidR="00252753" w:rsidRDefault="00252753" w:rsidP="00EF0E43">
                <w:pPr>
                  <w:ind w:left="2"/>
                </w:pPr>
                <w:r>
                  <w:rPr>
                    <w:rFonts w:ascii="Arial" w:eastAsia="Arial" w:hAnsi="Arial" w:cs="Arial"/>
                    <w:b/>
                    <w:sz w:val="22"/>
                  </w:rPr>
                  <w:t xml:space="preserve">Foreign Languages &amp; Cultural Awareness </w:t>
                </w:r>
              </w:p>
            </w:tc>
          </w:tr>
          <w:tr w:rsidR="00252753" w14:paraId="400ECD9D" w14:textId="77777777" w:rsidTr="00252753">
            <w:trPr>
              <w:trHeight w:val="770"/>
            </w:trPr>
            <w:tc>
              <w:tcPr>
                <w:tcW w:w="2127" w:type="dxa"/>
                <w:tcBorders>
                  <w:top w:val="single" w:sz="4" w:space="0" w:color="000000"/>
                  <w:left w:val="single" w:sz="4" w:space="0" w:color="000000"/>
                  <w:bottom w:val="single" w:sz="4" w:space="0" w:color="000000"/>
                  <w:right w:val="single" w:sz="4" w:space="0" w:color="000000"/>
                </w:tcBorders>
                <w:shd w:val="clear" w:color="auto" w:fill="D9D9D9"/>
              </w:tcPr>
              <w:p w14:paraId="70781C18" w14:textId="77777777" w:rsidR="00252753" w:rsidRDefault="00252753" w:rsidP="00EF0E43">
                <w:r>
                  <w:rPr>
                    <w:rFonts w:ascii="Arial" w:eastAsia="Arial" w:hAnsi="Arial" w:cs="Arial"/>
                    <w:b/>
                    <w:sz w:val="22"/>
                  </w:rPr>
                  <w:t xml:space="preserve">Module code: </w:t>
                </w:r>
              </w:p>
            </w:tc>
            <w:tc>
              <w:tcPr>
                <w:tcW w:w="4091" w:type="dxa"/>
                <w:tcBorders>
                  <w:top w:val="single" w:sz="4" w:space="0" w:color="000000"/>
                  <w:left w:val="single" w:sz="4" w:space="0" w:color="000000"/>
                  <w:bottom w:val="single" w:sz="4" w:space="0" w:color="000000"/>
                  <w:right w:val="single" w:sz="4" w:space="0" w:color="000000"/>
                </w:tcBorders>
              </w:tcPr>
              <w:p w14:paraId="4ADAB543" w14:textId="77777777" w:rsidR="00252753" w:rsidRDefault="00252753" w:rsidP="00EF0E43">
                <w:pPr>
                  <w:ind w:left="2"/>
                </w:pPr>
                <w:r>
                  <w:rPr>
                    <w:rFonts w:ascii="Arial" w:eastAsia="Arial" w:hAnsi="Arial" w:cs="Arial"/>
                    <w:b/>
                    <w:sz w:val="22"/>
                  </w:rPr>
                  <w:t xml:space="preserve">BMIH5003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43689E96" w14:textId="77777777" w:rsidR="00252753" w:rsidRDefault="00252753" w:rsidP="00EF0E43">
                <w:pPr>
                  <w:ind w:left="1" w:right="59"/>
                  <w:jc w:val="both"/>
                </w:pPr>
                <w:r>
                  <w:rPr>
                    <w:rFonts w:ascii="Arial" w:eastAsia="Arial" w:hAnsi="Arial" w:cs="Arial"/>
                    <w:b/>
                    <w:sz w:val="22"/>
                  </w:rPr>
                  <w:t xml:space="preserve">Contribution to Overall Module Assessment (%): </w:t>
                </w:r>
              </w:p>
            </w:tc>
            <w:tc>
              <w:tcPr>
                <w:tcW w:w="1493" w:type="dxa"/>
                <w:tcBorders>
                  <w:top w:val="single" w:sz="4" w:space="0" w:color="000000"/>
                  <w:left w:val="single" w:sz="4" w:space="0" w:color="000000"/>
                  <w:bottom w:val="single" w:sz="4" w:space="0" w:color="000000"/>
                  <w:right w:val="single" w:sz="4" w:space="0" w:color="000000"/>
                </w:tcBorders>
              </w:tcPr>
              <w:p w14:paraId="1F98B2C4" w14:textId="77777777" w:rsidR="00252753" w:rsidRDefault="00252753" w:rsidP="00EF0E43">
                <w:pPr>
                  <w:ind w:left="5"/>
                </w:pPr>
                <w:r>
                  <w:rPr>
                    <w:rFonts w:ascii="Arial" w:eastAsia="Arial" w:hAnsi="Arial" w:cs="Arial"/>
                    <w:b/>
                    <w:sz w:val="22"/>
                  </w:rPr>
                  <w:t xml:space="preserve">25% </w:t>
                </w:r>
              </w:p>
            </w:tc>
          </w:tr>
          <w:tr w:rsidR="00252753" w14:paraId="3D487825" w14:textId="77777777" w:rsidTr="00252753">
            <w:trPr>
              <w:trHeight w:val="876"/>
            </w:trPr>
            <w:tc>
              <w:tcPr>
                <w:tcW w:w="2127" w:type="dxa"/>
                <w:tcBorders>
                  <w:top w:val="single" w:sz="4" w:space="0" w:color="000000"/>
                  <w:left w:val="single" w:sz="4" w:space="0" w:color="000000"/>
                  <w:bottom w:val="single" w:sz="4" w:space="0" w:color="000000"/>
                  <w:right w:val="single" w:sz="4" w:space="0" w:color="000000"/>
                </w:tcBorders>
                <w:shd w:val="clear" w:color="auto" w:fill="D9D9D9"/>
              </w:tcPr>
              <w:p w14:paraId="12F2D3A9" w14:textId="77777777" w:rsidR="00252753" w:rsidRDefault="00252753" w:rsidP="00EF0E43">
                <w:r>
                  <w:rPr>
                    <w:rFonts w:ascii="Arial" w:eastAsia="Arial" w:hAnsi="Arial" w:cs="Arial"/>
                    <w:b/>
                    <w:sz w:val="22"/>
                  </w:rPr>
                  <w:t xml:space="preserve">Lecturer: </w:t>
                </w:r>
              </w:p>
            </w:tc>
            <w:tc>
              <w:tcPr>
                <w:tcW w:w="4091" w:type="dxa"/>
                <w:tcBorders>
                  <w:top w:val="single" w:sz="4" w:space="0" w:color="000000"/>
                  <w:left w:val="single" w:sz="4" w:space="0" w:color="000000"/>
                  <w:bottom w:val="single" w:sz="4" w:space="0" w:color="000000"/>
                  <w:right w:val="single" w:sz="4" w:space="0" w:color="000000"/>
                </w:tcBorders>
                <w:vAlign w:val="center"/>
              </w:tcPr>
              <w:p w14:paraId="08AEA2C9" w14:textId="77777777" w:rsidR="00252753" w:rsidRDefault="00252753" w:rsidP="00EF0E43">
                <w:pPr>
                  <w:spacing w:after="98"/>
                  <w:ind w:left="2"/>
                </w:pPr>
                <w:r>
                  <w:rPr>
                    <w:rFonts w:ascii="Arial" w:eastAsia="Arial" w:hAnsi="Arial" w:cs="Arial"/>
                    <w:b/>
                    <w:sz w:val="22"/>
                  </w:rPr>
                  <w:t xml:space="preserve">Lisa Bassler, </w:t>
                </w:r>
              </w:p>
              <w:p w14:paraId="2EA7A8D3" w14:textId="77777777" w:rsidR="00252753" w:rsidRDefault="00252753" w:rsidP="00EF0E43">
                <w:pPr>
                  <w:ind w:left="2"/>
                </w:pPr>
                <w:r>
                  <w:rPr>
                    <w:rFonts w:ascii="Arial" w:eastAsia="Arial" w:hAnsi="Arial" w:cs="Arial"/>
                    <w:b/>
                    <w:sz w:val="22"/>
                  </w:rPr>
                  <w:t xml:space="preserve">Heidi Prosser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71047C25" w14:textId="77777777" w:rsidR="00252753" w:rsidRDefault="00252753" w:rsidP="00EF0E43">
                <w:pPr>
                  <w:ind w:left="1"/>
                </w:pPr>
                <w:r>
                  <w:rPr>
                    <w:rFonts w:ascii="Arial" w:eastAsia="Arial" w:hAnsi="Arial" w:cs="Arial"/>
                    <w:b/>
                    <w:sz w:val="22"/>
                  </w:rPr>
                  <w:t xml:space="preserve">Internal Verifier: </w:t>
                </w:r>
              </w:p>
            </w:tc>
            <w:tc>
              <w:tcPr>
                <w:tcW w:w="1493" w:type="dxa"/>
                <w:tcBorders>
                  <w:top w:val="single" w:sz="4" w:space="0" w:color="000000"/>
                  <w:left w:val="single" w:sz="4" w:space="0" w:color="000000"/>
                  <w:bottom w:val="single" w:sz="4" w:space="0" w:color="000000"/>
                  <w:right w:val="single" w:sz="4" w:space="0" w:color="000000"/>
                </w:tcBorders>
              </w:tcPr>
              <w:p w14:paraId="541B7AF2" w14:textId="77777777" w:rsidR="00252753" w:rsidRDefault="00252753" w:rsidP="00EF0E43">
                <w:pPr>
                  <w:ind w:left="5"/>
                </w:pPr>
                <w:r>
                  <w:rPr>
                    <w:rFonts w:ascii="Arial" w:eastAsia="Arial" w:hAnsi="Arial" w:cs="Arial"/>
                    <w:b/>
                    <w:sz w:val="22"/>
                  </w:rPr>
                  <w:t xml:space="preserve">Lola Villard-Coles </w:t>
                </w:r>
              </w:p>
            </w:tc>
          </w:tr>
          <w:tr w:rsidR="00252753" w14:paraId="6E686C33" w14:textId="77777777" w:rsidTr="00252753">
            <w:trPr>
              <w:trHeight w:val="756"/>
            </w:trPr>
            <w:tc>
              <w:tcPr>
                <w:tcW w:w="2127" w:type="dxa"/>
                <w:tcBorders>
                  <w:top w:val="single" w:sz="4" w:space="0" w:color="000000"/>
                  <w:left w:val="single" w:sz="4" w:space="0" w:color="000000"/>
                  <w:bottom w:val="single" w:sz="4" w:space="0" w:color="000000"/>
                  <w:right w:val="single" w:sz="4" w:space="0" w:color="000000"/>
                </w:tcBorders>
                <w:shd w:val="clear" w:color="auto" w:fill="D9D9D9"/>
              </w:tcPr>
              <w:p w14:paraId="2036024E" w14:textId="77777777" w:rsidR="00252753" w:rsidRDefault="00252753" w:rsidP="00EF0E43">
                <w:pPr>
                  <w:jc w:val="both"/>
                </w:pPr>
                <w:r>
                  <w:rPr>
                    <w:rFonts w:ascii="Arial" w:eastAsia="Arial" w:hAnsi="Arial" w:cs="Arial"/>
                    <w:b/>
                    <w:sz w:val="22"/>
                  </w:rPr>
                  <w:t xml:space="preserve">Assignment Title: </w:t>
                </w:r>
              </w:p>
            </w:tc>
            <w:tc>
              <w:tcPr>
                <w:tcW w:w="4091" w:type="dxa"/>
                <w:tcBorders>
                  <w:top w:val="single" w:sz="4" w:space="0" w:color="000000"/>
                  <w:left w:val="single" w:sz="4" w:space="0" w:color="000000"/>
                  <w:bottom w:val="single" w:sz="4" w:space="0" w:color="000000"/>
                  <w:right w:val="single" w:sz="4" w:space="0" w:color="000000"/>
                </w:tcBorders>
                <w:vAlign w:val="center"/>
              </w:tcPr>
              <w:p w14:paraId="53031C2A" w14:textId="77777777" w:rsidR="00252753" w:rsidRDefault="00252753" w:rsidP="00EF0E43">
                <w:pPr>
                  <w:ind w:left="2"/>
                </w:pPr>
                <w:r>
                  <w:rPr>
                    <w:rFonts w:ascii="Arial" w:eastAsia="Arial" w:hAnsi="Arial" w:cs="Arial"/>
                    <w:b/>
                    <w:sz w:val="22"/>
                  </w:rPr>
                  <w:t xml:space="preserve">Intercultural Competence Report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C4915" w14:textId="77777777" w:rsidR="00252753" w:rsidRDefault="00252753" w:rsidP="00EF0E43">
                <w:pPr>
                  <w:ind w:left="1"/>
                </w:pPr>
                <w:r>
                  <w:rPr>
                    <w:rFonts w:ascii="Arial" w:eastAsia="Arial" w:hAnsi="Arial" w:cs="Arial"/>
                    <w:b/>
                    <w:sz w:val="22"/>
                  </w:rPr>
                  <w:t xml:space="preserve">Word </w:t>
                </w:r>
                <w:r>
                  <w:rPr>
                    <w:rFonts w:ascii="Arial" w:eastAsia="Arial" w:hAnsi="Arial" w:cs="Arial"/>
                    <w:b/>
                    <w:sz w:val="22"/>
                  </w:rPr>
                  <w:tab/>
                  <w:t xml:space="preserve">count </w:t>
                </w:r>
                <w:r>
                  <w:rPr>
                    <w:rFonts w:ascii="Arial" w:eastAsia="Arial" w:hAnsi="Arial" w:cs="Arial"/>
                    <w:b/>
                    <w:sz w:val="22"/>
                  </w:rPr>
                  <w:tab/>
                  <w:t xml:space="preserve">(or equivalent): </w:t>
                </w:r>
              </w:p>
            </w:tc>
            <w:tc>
              <w:tcPr>
                <w:tcW w:w="1493" w:type="dxa"/>
                <w:tcBorders>
                  <w:top w:val="single" w:sz="4" w:space="0" w:color="000000"/>
                  <w:left w:val="single" w:sz="4" w:space="0" w:color="000000"/>
                  <w:bottom w:val="single" w:sz="4" w:space="0" w:color="000000"/>
                  <w:right w:val="single" w:sz="4" w:space="0" w:color="000000"/>
                </w:tcBorders>
              </w:tcPr>
              <w:p w14:paraId="246C6B98" w14:textId="77777777" w:rsidR="00252753" w:rsidRDefault="00252753" w:rsidP="00EF0E43">
                <w:pPr>
                  <w:ind w:left="5"/>
                </w:pPr>
                <w:r>
                  <w:rPr>
                    <w:rFonts w:ascii="Arial" w:eastAsia="Arial" w:hAnsi="Arial" w:cs="Arial"/>
                    <w:b/>
                    <w:sz w:val="22"/>
                  </w:rPr>
                  <w:t xml:space="preserve">1,000 </w:t>
                </w:r>
              </w:p>
            </w:tc>
          </w:tr>
          <w:tr w:rsidR="00252753" w14:paraId="76078804" w14:textId="77777777" w:rsidTr="00252753">
            <w:trPr>
              <w:trHeight w:val="1595"/>
            </w:trPr>
            <w:tc>
              <w:tcPr>
                <w:tcW w:w="2127" w:type="dxa"/>
                <w:tcBorders>
                  <w:top w:val="single" w:sz="4" w:space="0" w:color="000000"/>
                  <w:left w:val="single" w:sz="4" w:space="0" w:color="000000"/>
                  <w:bottom w:val="single" w:sz="4" w:space="0" w:color="000000"/>
                  <w:right w:val="single" w:sz="4" w:space="0" w:color="000000"/>
                </w:tcBorders>
                <w:shd w:val="clear" w:color="auto" w:fill="D9D9D9"/>
              </w:tcPr>
              <w:p w14:paraId="370BD365" w14:textId="77777777" w:rsidR="00252753" w:rsidRDefault="00252753" w:rsidP="00EF0E43">
                <w:r>
                  <w:rPr>
                    <w:rFonts w:ascii="Arial" w:eastAsia="Arial" w:hAnsi="Arial" w:cs="Arial"/>
                    <w:b/>
                    <w:sz w:val="22"/>
                  </w:rPr>
                  <w:t xml:space="preserve">Submission deadline: </w:t>
                </w:r>
              </w:p>
            </w:tc>
            <w:tc>
              <w:tcPr>
                <w:tcW w:w="4091" w:type="dxa"/>
                <w:tcBorders>
                  <w:top w:val="single" w:sz="4" w:space="0" w:color="000000"/>
                  <w:left w:val="single" w:sz="4" w:space="0" w:color="000000"/>
                  <w:bottom w:val="single" w:sz="4" w:space="0" w:color="000000"/>
                  <w:right w:val="single" w:sz="4" w:space="0" w:color="000000"/>
                </w:tcBorders>
                <w:vAlign w:val="center"/>
              </w:tcPr>
              <w:p w14:paraId="5BB98EB3" w14:textId="77777777" w:rsidR="00252753" w:rsidRDefault="00252753" w:rsidP="00EF0E43">
                <w:pPr>
                  <w:spacing w:line="373" w:lineRule="auto"/>
                  <w:ind w:left="2" w:right="895"/>
                </w:pPr>
                <w:r>
                  <w:rPr>
                    <w:rFonts w:ascii="Arial" w:eastAsia="Arial" w:hAnsi="Arial" w:cs="Arial"/>
                    <w:b/>
                    <w:sz w:val="22"/>
                  </w:rPr>
                  <w:t>26</w:t>
                </w:r>
                <w:r>
                  <w:rPr>
                    <w:rFonts w:ascii="Arial" w:eastAsia="Arial" w:hAnsi="Arial" w:cs="Arial"/>
                    <w:b/>
                    <w:sz w:val="22"/>
                    <w:vertAlign w:val="superscript"/>
                  </w:rPr>
                  <w:t>th</w:t>
                </w:r>
                <w:r>
                  <w:rPr>
                    <w:rFonts w:ascii="Arial" w:eastAsia="Arial" w:hAnsi="Arial" w:cs="Arial"/>
                    <w:b/>
                    <w:sz w:val="22"/>
                  </w:rPr>
                  <w:t xml:space="preserve"> February 2024 by 23:59PM </w:t>
                </w:r>
              </w:p>
              <w:p w14:paraId="78A44E07" w14:textId="77777777" w:rsidR="00252753" w:rsidRDefault="00252753" w:rsidP="00EF0E43">
                <w:pPr>
                  <w:ind w:left="2" w:right="608"/>
                </w:pPr>
                <w:r>
                  <w:rPr>
                    <w:rFonts w:ascii="Arial" w:eastAsia="Arial" w:hAnsi="Arial" w:cs="Arial"/>
                    <w:b/>
                    <w:sz w:val="18"/>
                  </w:rPr>
                  <w:t>(Drafts: 19</w:t>
                </w:r>
                <w:r>
                  <w:rPr>
                    <w:rFonts w:ascii="Arial" w:eastAsia="Arial" w:hAnsi="Arial" w:cs="Arial"/>
                    <w:b/>
                    <w:sz w:val="18"/>
                    <w:vertAlign w:val="superscript"/>
                  </w:rPr>
                  <w:t>th</w:t>
                </w:r>
                <w:r>
                  <w:rPr>
                    <w:rFonts w:ascii="Arial" w:eastAsia="Arial" w:hAnsi="Arial" w:cs="Arial"/>
                    <w:b/>
                    <w:sz w:val="18"/>
                  </w:rPr>
                  <w:t xml:space="preserve"> February 2024 by 5pm)</w:t>
                </w:r>
                <w:r>
                  <w:rPr>
                    <w:rFonts w:ascii="Arial" w:eastAsia="Arial" w:hAnsi="Arial" w:cs="Arial"/>
                    <w:b/>
                    <w:sz w:val="22"/>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2525D0D" w14:textId="77777777" w:rsidR="00252753" w:rsidRDefault="00252753" w:rsidP="00EF0E43">
                <w:pPr>
                  <w:ind w:left="1" w:right="59"/>
                  <w:jc w:val="both"/>
                </w:pPr>
                <w:r>
                  <w:rPr>
                    <w:rFonts w:ascii="Arial" w:eastAsia="Arial" w:hAnsi="Arial" w:cs="Arial"/>
                    <w:b/>
                    <w:sz w:val="22"/>
                  </w:rPr>
                  <w:t xml:space="preserve">Return date of provisional marks &amp; written feedback: </w:t>
                </w:r>
              </w:p>
            </w:tc>
            <w:tc>
              <w:tcPr>
                <w:tcW w:w="1493" w:type="dxa"/>
                <w:tcBorders>
                  <w:top w:val="single" w:sz="4" w:space="0" w:color="000000"/>
                  <w:left w:val="single" w:sz="4" w:space="0" w:color="000000"/>
                  <w:bottom w:val="single" w:sz="4" w:space="0" w:color="000000"/>
                  <w:right w:val="single" w:sz="4" w:space="0" w:color="000000"/>
                </w:tcBorders>
              </w:tcPr>
              <w:p w14:paraId="3CC894F6" w14:textId="77777777" w:rsidR="00252753" w:rsidRDefault="00252753" w:rsidP="00EF0E43">
                <w:pPr>
                  <w:ind w:left="5" w:right="159"/>
                </w:pPr>
                <w:r>
                  <w:rPr>
                    <w:rFonts w:ascii="Arial" w:eastAsia="Arial" w:hAnsi="Arial" w:cs="Arial"/>
                    <w:b/>
                    <w:sz w:val="22"/>
                  </w:rPr>
                  <w:t>25</w:t>
                </w:r>
                <w:r>
                  <w:rPr>
                    <w:rFonts w:ascii="Arial" w:eastAsia="Arial" w:hAnsi="Arial" w:cs="Arial"/>
                    <w:b/>
                    <w:sz w:val="22"/>
                    <w:vertAlign w:val="superscript"/>
                  </w:rPr>
                  <w:t>th</w:t>
                </w:r>
                <w:r>
                  <w:rPr>
                    <w:rFonts w:ascii="Arial" w:eastAsia="Arial" w:hAnsi="Arial" w:cs="Arial"/>
                    <w:b/>
                    <w:sz w:val="22"/>
                  </w:rPr>
                  <w:t xml:space="preserve"> March 2024 by 23:59PM </w:t>
                </w:r>
              </w:p>
            </w:tc>
          </w:tr>
        </w:tbl>
        <w:p w14:paraId="19F9FBD0" w14:textId="77777777" w:rsidR="00252753" w:rsidRDefault="00252753" w:rsidP="00252753">
          <w:pPr>
            <w:spacing w:after="0"/>
          </w:pPr>
          <w:r>
            <w:rPr>
              <w:rFonts w:ascii="Arial" w:eastAsia="Arial" w:hAnsi="Arial" w:cs="Arial"/>
              <w:sz w:val="32"/>
            </w:rPr>
            <w:t xml:space="preserve"> </w:t>
          </w:r>
        </w:p>
        <w:p w14:paraId="263E25DE" w14:textId="77777777" w:rsidR="00252753" w:rsidRDefault="00252753" w:rsidP="00252753">
          <w:pPr>
            <w:spacing w:after="0"/>
          </w:pPr>
          <w:r>
            <w:rPr>
              <w:rFonts w:ascii="Arial" w:eastAsia="Arial" w:hAnsi="Arial" w:cs="Arial"/>
              <w:sz w:val="32"/>
            </w:rPr>
            <w:t xml:space="preserve"> </w:t>
          </w:r>
        </w:p>
        <w:p w14:paraId="555D3303" w14:textId="77777777" w:rsidR="00252753" w:rsidRDefault="00252753">
          <w:pPr>
            <w:rPr>
              <w:color w:val="FF0000"/>
            </w:rPr>
          </w:pPr>
        </w:p>
        <w:p w14:paraId="4D09A1A3" w14:textId="77777777" w:rsidR="00252753" w:rsidRDefault="00252753">
          <w:pPr>
            <w:rPr>
              <w:color w:val="FF0000"/>
            </w:rPr>
          </w:pPr>
        </w:p>
        <w:p w14:paraId="44FD3FAA" w14:textId="737AE755" w:rsidR="00252753" w:rsidRDefault="00252753">
          <w:pPr>
            <w:rPr>
              <w:color w:val="FF0000"/>
            </w:rPr>
          </w:pPr>
        </w:p>
      </w:sdtContent>
    </w:sdt>
    <w:p w14:paraId="1A392918" w14:textId="77777777" w:rsidR="00252753" w:rsidRDefault="00252753" w:rsidP="00252753"/>
    <w:p w14:paraId="595A2D60" w14:textId="3592171F" w:rsidR="00252753" w:rsidRDefault="00252753" w:rsidP="00252753">
      <w:pPr>
        <w:pStyle w:val="Heading1"/>
      </w:pPr>
      <w:bookmarkStart w:id="0" w:name="_Toc159880070"/>
      <w:r>
        <w:t>Executive Summary</w:t>
      </w:r>
      <w:bookmarkEnd w:id="0"/>
    </w:p>
    <w:p w14:paraId="651257A9" w14:textId="77777777" w:rsidR="00252753" w:rsidRDefault="00252753" w:rsidP="00252753">
      <w:r>
        <w:t>This report evaluates intercultural competence challenges at Shangri-La Hotels and Resorts, focusing on Dubai and London. It identifies critical cultural differences affecting management and service delivery, such as Power Distance and Uncertainty Avoidance. Recommendations include cultural sensitivity training, cross-cultural communication workshops, and a leadership development program for intercultural skills. These measures aim to improve intercultural understanding and guest service quality, aligning with Shangri-La's global hospitality excellence.</w:t>
      </w:r>
      <w:r>
        <w:t xml:space="preserve"> </w:t>
      </w:r>
    </w:p>
    <w:p w14:paraId="434AF7FC" w14:textId="77777777" w:rsidR="00252753" w:rsidRDefault="00252753" w:rsidP="00252753"/>
    <w:p w14:paraId="790EC819" w14:textId="77777777" w:rsidR="00252753" w:rsidRDefault="00252753" w:rsidP="00252753"/>
    <w:p w14:paraId="4780063A" w14:textId="1E385C16" w:rsidR="00252753" w:rsidRDefault="00252753" w:rsidP="00252753">
      <w:r w:rsidRPr="00252753">
        <w:rPr>
          <w:b/>
          <w:bCs/>
        </w:rPr>
        <w:t>Figure</w:t>
      </w:r>
      <w:r>
        <w:t xml:space="preserve">: Shangri-La Hotel </w:t>
      </w:r>
    </w:p>
    <w:p w14:paraId="76C0F832" w14:textId="279D29C0" w:rsidR="00252753" w:rsidRDefault="00252753" w:rsidP="00252753">
      <w:r>
        <w:rPr>
          <w:noProof/>
        </w:rPr>
        <w:drawing>
          <wp:inline distT="0" distB="0" distL="0" distR="0" wp14:anchorId="53576E69" wp14:editId="4F589EEB">
            <wp:extent cx="5731510" cy="3178702"/>
            <wp:effectExtent l="0" t="0" r="2540" b="3175"/>
            <wp:docPr id="1" name="Picture 1" descr="A city skyline with a river and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ity skyline with a river and a building&#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78702"/>
                    </a:xfrm>
                    <a:prstGeom prst="rect">
                      <a:avLst/>
                    </a:prstGeom>
                    <a:noFill/>
                    <a:ln>
                      <a:noFill/>
                    </a:ln>
                  </pic:spPr>
                </pic:pic>
              </a:graphicData>
            </a:graphic>
          </wp:inline>
        </w:drawing>
      </w:r>
    </w:p>
    <w:p w14:paraId="78B56FE6" w14:textId="0A9D36E4" w:rsidR="00252753" w:rsidRDefault="00252753" w:rsidP="00252753">
      <w:pPr>
        <w:jc w:val="right"/>
      </w:pPr>
      <w:r>
        <w:t>(Hospitality-On, 2022).</w:t>
      </w:r>
    </w:p>
    <w:p w14:paraId="77FCD99E" w14:textId="77777777" w:rsidR="00252753" w:rsidRDefault="00252753" w:rsidP="00252753"/>
    <w:p w14:paraId="379FD875" w14:textId="77777777" w:rsidR="00252753" w:rsidRDefault="00252753" w:rsidP="00252753"/>
    <w:p w14:paraId="6CD41751" w14:textId="1822B86C" w:rsidR="00252753" w:rsidRDefault="00252753" w:rsidP="00252753">
      <w:pPr>
        <w:pStyle w:val="Heading1"/>
      </w:pPr>
      <w:bookmarkStart w:id="1" w:name="_Toc159880071"/>
      <w:r>
        <w:t>Table of Contents</w:t>
      </w:r>
      <w:bookmarkEnd w:id="1"/>
    </w:p>
    <w:sdt>
      <w:sdtPr>
        <w:id w:val="999151643"/>
        <w:docPartObj>
          <w:docPartGallery w:val="Table of Contents"/>
          <w:docPartUnique/>
        </w:docPartObj>
      </w:sdtPr>
      <w:sdtEndPr>
        <w:rPr>
          <w:bCs/>
          <w:noProof/>
          <w:sz w:val="24"/>
        </w:rPr>
      </w:sdtEndPr>
      <w:sdtContent>
        <w:p w14:paraId="31E1EA90" w14:textId="37780F9F" w:rsidR="00252753" w:rsidRPr="00252753" w:rsidRDefault="00252753" w:rsidP="00252753">
          <w:pPr>
            <w:pStyle w:val="Heading1"/>
            <w:numPr>
              <w:ilvl w:val="0"/>
              <w:numId w:val="0"/>
            </w:numPr>
            <w:ind w:left="360"/>
            <w:rPr>
              <w:rFonts w:cs="Times New Roman"/>
              <w:szCs w:val="28"/>
            </w:rPr>
          </w:pPr>
        </w:p>
        <w:p w14:paraId="02DC13E2" w14:textId="58CF476B" w:rsidR="00252753" w:rsidRDefault="00252753">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9880070" w:history="1">
            <w:r w:rsidRPr="00230665">
              <w:rPr>
                <w:rStyle w:val="Hyperlink"/>
                <w:noProof/>
              </w:rPr>
              <w:t>1.</w:t>
            </w:r>
            <w:r>
              <w:rPr>
                <w:rFonts w:asciiTheme="minorHAnsi" w:eastAsiaTheme="minorEastAsia" w:hAnsiTheme="minorHAnsi"/>
                <w:noProof/>
                <w:sz w:val="22"/>
                <w:lang w:eastAsia="en-GB"/>
              </w:rPr>
              <w:tab/>
            </w:r>
            <w:r w:rsidRPr="00230665">
              <w:rPr>
                <w:rStyle w:val="Hyperlink"/>
                <w:noProof/>
              </w:rPr>
              <w:t>Executive Summary</w:t>
            </w:r>
            <w:r>
              <w:rPr>
                <w:noProof/>
                <w:webHidden/>
              </w:rPr>
              <w:tab/>
            </w:r>
            <w:r>
              <w:rPr>
                <w:noProof/>
                <w:webHidden/>
              </w:rPr>
              <w:fldChar w:fldCharType="begin"/>
            </w:r>
            <w:r>
              <w:rPr>
                <w:noProof/>
                <w:webHidden/>
              </w:rPr>
              <w:instrText xml:space="preserve"> PAGEREF _Toc159880070 \h </w:instrText>
            </w:r>
            <w:r>
              <w:rPr>
                <w:noProof/>
                <w:webHidden/>
              </w:rPr>
            </w:r>
            <w:r>
              <w:rPr>
                <w:noProof/>
                <w:webHidden/>
              </w:rPr>
              <w:fldChar w:fldCharType="separate"/>
            </w:r>
            <w:r>
              <w:rPr>
                <w:noProof/>
                <w:webHidden/>
              </w:rPr>
              <w:t>1</w:t>
            </w:r>
            <w:r>
              <w:rPr>
                <w:noProof/>
                <w:webHidden/>
              </w:rPr>
              <w:fldChar w:fldCharType="end"/>
            </w:r>
          </w:hyperlink>
        </w:p>
        <w:p w14:paraId="4FF37FC5" w14:textId="511F4B42" w:rsidR="00252753" w:rsidRDefault="00252753">
          <w:pPr>
            <w:pStyle w:val="TOC1"/>
            <w:tabs>
              <w:tab w:val="left" w:pos="440"/>
              <w:tab w:val="right" w:leader="dot" w:pos="9016"/>
            </w:tabs>
            <w:rPr>
              <w:rFonts w:asciiTheme="minorHAnsi" w:eastAsiaTheme="minorEastAsia" w:hAnsiTheme="minorHAnsi"/>
              <w:noProof/>
              <w:sz w:val="22"/>
              <w:lang w:eastAsia="en-GB"/>
            </w:rPr>
          </w:pPr>
          <w:hyperlink w:anchor="_Toc159880071" w:history="1">
            <w:r w:rsidRPr="00230665">
              <w:rPr>
                <w:rStyle w:val="Hyperlink"/>
                <w:noProof/>
              </w:rPr>
              <w:t>2.</w:t>
            </w:r>
            <w:r>
              <w:rPr>
                <w:rFonts w:asciiTheme="minorHAnsi" w:eastAsiaTheme="minorEastAsia" w:hAnsiTheme="minorHAnsi"/>
                <w:noProof/>
                <w:sz w:val="22"/>
                <w:lang w:eastAsia="en-GB"/>
              </w:rPr>
              <w:tab/>
            </w:r>
            <w:r w:rsidRPr="00230665">
              <w:rPr>
                <w:rStyle w:val="Hyperlink"/>
                <w:noProof/>
              </w:rPr>
              <w:t>Table of Contents</w:t>
            </w:r>
            <w:r>
              <w:rPr>
                <w:noProof/>
                <w:webHidden/>
              </w:rPr>
              <w:tab/>
            </w:r>
            <w:r>
              <w:rPr>
                <w:noProof/>
                <w:webHidden/>
              </w:rPr>
              <w:fldChar w:fldCharType="begin"/>
            </w:r>
            <w:r>
              <w:rPr>
                <w:noProof/>
                <w:webHidden/>
              </w:rPr>
              <w:instrText xml:space="preserve"> PAGEREF _Toc159880071 \h </w:instrText>
            </w:r>
            <w:r>
              <w:rPr>
                <w:noProof/>
                <w:webHidden/>
              </w:rPr>
            </w:r>
            <w:r>
              <w:rPr>
                <w:noProof/>
                <w:webHidden/>
              </w:rPr>
              <w:fldChar w:fldCharType="separate"/>
            </w:r>
            <w:r>
              <w:rPr>
                <w:noProof/>
                <w:webHidden/>
              </w:rPr>
              <w:t>2</w:t>
            </w:r>
            <w:r>
              <w:rPr>
                <w:noProof/>
                <w:webHidden/>
              </w:rPr>
              <w:fldChar w:fldCharType="end"/>
            </w:r>
          </w:hyperlink>
        </w:p>
        <w:p w14:paraId="4B798B06" w14:textId="0EFA2B5C" w:rsidR="00252753" w:rsidRDefault="00252753">
          <w:pPr>
            <w:pStyle w:val="TOC1"/>
            <w:tabs>
              <w:tab w:val="left" w:pos="440"/>
              <w:tab w:val="right" w:leader="dot" w:pos="9016"/>
            </w:tabs>
            <w:rPr>
              <w:rFonts w:asciiTheme="minorHAnsi" w:eastAsiaTheme="minorEastAsia" w:hAnsiTheme="minorHAnsi"/>
              <w:noProof/>
              <w:sz w:val="22"/>
              <w:lang w:eastAsia="en-GB"/>
            </w:rPr>
          </w:pPr>
          <w:hyperlink w:anchor="_Toc159880072" w:history="1">
            <w:r w:rsidRPr="00230665">
              <w:rPr>
                <w:rStyle w:val="Hyperlink"/>
                <w:noProof/>
              </w:rPr>
              <w:t>3.</w:t>
            </w:r>
            <w:r>
              <w:rPr>
                <w:rFonts w:asciiTheme="minorHAnsi" w:eastAsiaTheme="minorEastAsia" w:hAnsiTheme="minorHAnsi"/>
                <w:noProof/>
                <w:sz w:val="22"/>
                <w:lang w:eastAsia="en-GB"/>
              </w:rPr>
              <w:tab/>
            </w:r>
            <w:r w:rsidRPr="00230665">
              <w:rPr>
                <w:rStyle w:val="Hyperlink"/>
                <w:noProof/>
              </w:rPr>
              <w:t>Introduction</w:t>
            </w:r>
            <w:r>
              <w:rPr>
                <w:noProof/>
                <w:webHidden/>
              </w:rPr>
              <w:tab/>
            </w:r>
            <w:r>
              <w:rPr>
                <w:noProof/>
                <w:webHidden/>
              </w:rPr>
              <w:fldChar w:fldCharType="begin"/>
            </w:r>
            <w:r>
              <w:rPr>
                <w:noProof/>
                <w:webHidden/>
              </w:rPr>
              <w:instrText xml:space="preserve"> PAGEREF _Toc159880072 \h </w:instrText>
            </w:r>
            <w:r>
              <w:rPr>
                <w:noProof/>
                <w:webHidden/>
              </w:rPr>
            </w:r>
            <w:r>
              <w:rPr>
                <w:noProof/>
                <w:webHidden/>
              </w:rPr>
              <w:fldChar w:fldCharType="separate"/>
            </w:r>
            <w:r>
              <w:rPr>
                <w:noProof/>
                <w:webHidden/>
              </w:rPr>
              <w:t>3</w:t>
            </w:r>
            <w:r>
              <w:rPr>
                <w:noProof/>
                <w:webHidden/>
              </w:rPr>
              <w:fldChar w:fldCharType="end"/>
            </w:r>
          </w:hyperlink>
        </w:p>
        <w:p w14:paraId="10D74996" w14:textId="39B4AC4C" w:rsidR="00252753" w:rsidRDefault="00252753">
          <w:pPr>
            <w:pStyle w:val="TOC1"/>
            <w:tabs>
              <w:tab w:val="left" w:pos="440"/>
              <w:tab w:val="right" w:leader="dot" w:pos="9016"/>
            </w:tabs>
            <w:rPr>
              <w:rFonts w:asciiTheme="minorHAnsi" w:eastAsiaTheme="minorEastAsia" w:hAnsiTheme="minorHAnsi"/>
              <w:noProof/>
              <w:sz w:val="22"/>
              <w:lang w:eastAsia="en-GB"/>
            </w:rPr>
          </w:pPr>
          <w:hyperlink w:anchor="_Toc159880073" w:history="1">
            <w:r w:rsidRPr="00230665">
              <w:rPr>
                <w:rStyle w:val="Hyperlink"/>
                <w:noProof/>
              </w:rPr>
              <w:t>4.</w:t>
            </w:r>
            <w:r>
              <w:rPr>
                <w:rFonts w:asciiTheme="minorHAnsi" w:eastAsiaTheme="minorEastAsia" w:hAnsiTheme="minorHAnsi"/>
                <w:noProof/>
                <w:sz w:val="22"/>
                <w:lang w:eastAsia="en-GB"/>
              </w:rPr>
              <w:tab/>
            </w:r>
            <w:r w:rsidRPr="00230665">
              <w:rPr>
                <w:rStyle w:val="Hyperlink"/>
                <w:noProof/>
              </w:rPr>
              <w:t>Culture Overview</w:t>
            </w:r>
            <w:r>
              <w:rPr>
                <w:noProof/>
                <w:webHidden/>
              </w:rPr>
              <w:tab/>
            </w:r>
            <w:r>
              <w:rPr>
                <w:noProof/>
                <w:webHidden/>
              </w:rPr>
              <w:fldChar w:fldCharType="begin"/>
            </w:r>
            <w:r>
              <w:rPr>
                <w:noProof/>
                <w:webHidden/>
              </w:rPr>
              <w:instrText xml:space="preserve"> PAGEREF _Toc159880073 \h </w:instrText>
            </w:r>
            <w:r>
              <w:rPr>
                <w:noProof/>
                <w:webHidden/>
              </w:rPr>
            </w:r>
            <w:r>
              <w:rPr>
                <w:noProof/>
                <w:webHidden/>
              </w:rPr>
              <w:fldChar w:fldCharType="separate"/>
            </w:r>
            <w:r>
              <w:rPr>
                <w:noProof/>
                <w:webHidden/>
              </w:rPr>
              <w:t>3</w:t>
            </w:r>
            <w:r>
              <w:rPr>
                <w:noProof/>
                <w:webHidden/>
              </w:rPr>
              <w:fldChar w:fldCharType="end"/>
            </w:r>
          </w:hyperlink>
        </w:p>
        <w:p w14:paraId="2E2EC241" w14:textId="2021470B" w:rsidR="00252753" w:rsidRDefault="00252753">
          <w:pPr>
            <w:pStyle w:val="TOC1"/>
            <w:tabs>
              <w:tab w:val="left" w:pos="440"/>
              <w:tab w:val="right" w:leader="dot" w:pos="9016"/>
            </w:tabs>
            <w:rPr>
              <w:rFonts w:asciiTheme="minorHAnsi" w:eastAsiaTheme="minorEastAsia" w:hAnsiTheme="minorHAnsi"/>
              <w:noProof/>
              <w:sz w:val="22"/>
              <w:lang w:eastAsia="en-GB"/>
            </w:rPr>
          </w:pPr>
          <w:hyperlink w:anchor="_Toc159880074" w:history="1">
            <w:r w:rsidRPr="00230665">
              <w:rPr>
                <w:rStyle w:val="Hyperlink"/>
                <w:noProof/>
              </w:rPr>
              <w:t>5.</w:t>
            </w:r>
            <w:r>
              <w:rPr>
                <w:rFonts w:asciiTheme="minorHAnsi" w:eastAsiaTheme="minorEastAsia" w:hAnsiTheme="minorHAnsi"/>
                <w:noProof/>
                <w:sz w:val="22"/>
                <w:lang w:eastAsia="en-GB"/>
              </w:rPr>
              <w:tab/>
            </w:r>
            <w:r w:rsidRPr="00230665">
              <w:rPr>
                <w:rStyle w:val="Hyperlink"/>
                <w:noProof/>
              </w:rPr>
              <w:t>Country Analysis</w:t>
            </w:r>
            <w:r>
              <w:rPr>
                <w:noProof/>
                <w:webHidden/>
              </w:rPr>
              <w:tab/>
            </w:r>
            <w:r>
              <w:rPr>
                <w:noProof/>
                <w:webHidden/>
              </w:rPr>
              <w:fldChar w:fldCharType="begin"/>
            </w:r>
            <w:r>
              <w:rPr>
                <w:noProof/>
                <w:webHidden/>
              </w:rPr>
              <w:instrText xml:space="preserve"> PAGEREF _Toc159880074 \h </w:instrText>
            </w:r>
            <w:r>
              <w:rPr>
                <w:noProof/>
                <w:webHidden/>
              </w:rPr>
            </w:r>
            <w:r>
              <w:rPr>
                <w:noProof/>
                <w:webHidden/>
              </w:rPr>
              <w:fldChar w:fldCharType="separate"/>
            </w:r>
            <w:r>
              <w:rPr>
                <w:noProof/>
                <w:webHidden/>
              </w:rPr>
              <w:t>4</w:t>
            </w:r>
            <w:r>
              <w:rPr>
                <w:noProof/>
                <w:webHidden/>
              </w:rPr>
              <w:fldChar w:fldCharType="end"/>
            </w:r>
          </w:hyperlink>
        </w:p>
        <w:p w14:paraId="52DF0B62" w14:textId="24B94735" w:rsidR="00252753" w:rsidRDefault="00252753">
          <w:pPr>
            <w:pStyle w:val="TOC1"/>
            <w:tabs>
              <w:tab w:val="left" w:pos="440"/>
              <w:tab w:val="right" w:leader="dot" w:pos="9016"/>
            </w:tabs>
            <w:rPr>
              <w:rFonts w:asciiTheme="minorHAnsi" w:eastAsiaTheme="minorEastAsia" w:hAnsiTheme="minorHAnsi"/>
              <w:noProof/>
              <w:sz w:val="22"/>
              <w:lang w:eastAsia="en-GB"/>
            </w:rPr>
          </w:pPr>
          <w:hyperlink w:anchor="_Toc159880075" w:history="1">
            <w:r w:rsidRPr="00230665">
              <w:rPr>
                <w:rStyle w:val="Hyperlink"/>
                <w:noProof/>
              </w:rPr>
              <w:t>6.</w:t>
            </w:r>
            <w:r>
              <w:rPr>
                <w:rFonts w:asciiTheme="minorHAnsi" w:eastAsiaTheme="minorEastAsia" w:hAnsiTheme="minorHAnsi"/>
                <w:noProof/>
                <w:sz w:val="22"/>
                <w:lang w:eastAsia="en-GB"/>
              </w:rPr>
              <w:tab/>
            </w:r>
            <w:r w:rsidRPr="00230665">
              <w:rPr>
                <w:rStyle w:val="Hyperlink"/>
                <w:noProof/>
              </w:rPr>
              <w:t>Recommendations</w:t>
            </w:r>
            <w:r>
              <w:rPr>
                <w:noProof/>
                <w:webHidden/>
              </w:rPr>
              <w:tab/>
            </w:r>
            <w:r>
              <w:rPr>
                <w:noProof/>
                <w:webHidden/>
              </w:rPr>
              <w:fldChar w:fldCharType="begin"/>
            </w:r>
            <w:r>
              <w:rPr>
                <w:noProof/>
                <w:webHidden/>
              </w:rPr>
              <w:instrText xml:space="preserve"> PAGEREF _Toc159880075 \h </w:instrText>
            </w:r>
            <w:r>
              <w:rPr>
                <w:noProof/>
                <w:webHidden/>
              </w:rPr>
            </w:r>
            <w:r>
              <w:rPr>
                <w:noProof/>
                <w:webHidden/>
              </w:rPr>
              <w:fldChar w:fldCharType="separate"/>
            </w:r>
            <w:r>
              <w:rPr>
                <w:noProof/>
                <w:webHidden/>
              </w:rPr>
              <w:t>5</w:t>
            </w:r>
            <w:r>
              <w:rPr>
                <w:noProof/>
                <w:webHidden/>
              </w:rPr>
              <w:fldChar w:fldCharType="end"/>
            </w:r>
          </w:hyperlink>
        </w:p>
        <w:p w14:paraId="51C48B49" w14:textId="3354CC4E" w:rsidR="00252753" w:rsidRDefault="00252753">
          <w:pPr>
            <w:pStyle w:val="TOC1"/>
            <w:tabs>
              <w:tab w:val="left" w:pos="440"/>
              <w:tab w:val="right" w:leader="dot" w:pos="9016"/>
            </w:tabs>
            <w:rPr>
              <w:rFonts w:asciiTheme="minorHAnsi" w:eastAsiaTheme="minorEastAsia" w:hAnsiTheme="minorHAnsi"/>
              <w:noProof/>
              <w:sz w:val="22"/>
              <w:lang w:eastAsia="en-GB"/>
            </w:rPr>
          </w:pPr>
          <w:hyperlink w:anchor="_Toc159880076" w:history="1">
            <w:r w:rsidRPr="00230665">
              <w:rPr>
                <w:rStyle w:val="Hyperlink"/>
                <w:noProof/>
              </w:rPr>
              <w:t>7.</w:t>
            </w:r>
            <w:r>
              <w:rPr>
                <w:rFonts w:asciiTheme="minorHAnsi" w:eastAsiaTheme="minorEastAsia" w:hAnsiTheme="minorHAnsi"/>
                <w:noProof/>
                <w:sz w:val="22"/>
                <w:lang w:eastAsia="en-GB"/>
              </w:rPr>
              <w:tab/>
            </w:r>
            <w:r w:rsidRPr="00230665">
              <w:rPr>
                <w:rStyle w:val="Hyperlink"/>
                <w:noProof/>
              </w:rPr>
              <w:t>Conclusion</w:t>
            </w:r>
            <w:r>
              <w:rPr>
                <w:noProof/>
                <w:webHidden/>
              </w:rPr>
              <w:tab/>
            </w:r>
            <w:r>
              <w:rPr>
                <w:noProof/>
                <w:webHidden/>
              </w:rPr>
              <w:fldChar w:fldCharType="begin"/>
            </w:r>
            <w:r>
              <w:rPr>
                <w:noProof/>
                <w:webHidden/>
              </w:rPr>
              <w:instrText xml:space="preserve"> PAGEREF _Toc159880076 \h </w:instrText>
            </w:r>
            <w:r>
              <w:rPr>
                <w:noProof/>
                <w:webHidden/>
              </w:rPr>
            </w:r>
            <w:r>
              <w:rPr>
                <w:noProof/>
                <w:webHidden/>
              </w:rPr>
              <w:fldChar w:fldCharType="separate"/>
            </w:r>
            <w:r>
              <w:rPr>
                <w:noProof/>
                <w:webHidden/>
              </w:rPr>
              <w:t>6</w:t>
            </w:r>
            <w:r>
              <w:rPr>
                <w:noProof/>
                <w:webHidden/>
              </w:rPr>
              <w:fldChar w:fldCharType="end"/>
            </w:r>
          </w:hyperlink>
        </w:p>
        <w:p w14:paraId="7C2063CE" w14:textId="45F11B21" w:rsidR="00252753" w:rsidRDefault="00252753">
          <w:pPr>
            <w:pStyle w:val="TOC1"/>
            <w:tabs>
              <w:tab w:val="left" w:pos="440"/>
              <w:tab w:val="right" w:leader="dot" w:pos="9016"/>
            </w:tabs>
            <w:rPr>
              <w:rFonts w:asciiTheme="minorHAnsi" w:eastAsiaTheme="minorEastAsia" w:hAnsiTheme="minorHAnsi"/>
              <w:noProof/>
              <w:sz w:val="22"/>
              <w:lang w:eastAsia="en-GB"/>
            </w:rPr>
          </w:pPr>
          <w:hyperlink w:anchor="_Toc159880077" w:history="1">
            <w:r w:rsidRPr="00230665">
              <w:rPr>
                <w:rStyle w:val="Hyperlink"/>
                <w:noProof/>
              </w:rPr>
              <w:t>8.</w:t>
            </w:r>
            <w:r>
              <w:rPr>
                <w:rFonts w:asciiTheme="minorHAnsi" w:eastAsiaTheme="minorEastAsia" w:hAnsiTheme="minorHAnsi"/>
                <w:noProof/>
                <w:sz w:val="22"/>
                <w:lang w:eastAsia="en-GB"/>
              </w:rPr>
              <w:tab/>
            </w:r>
            <w:r w:rsidRPr="00230665">
              <w:rPr>
                <w:rStyle w:val="Hyperlink"/>
                <w:noProof/>
              </w:rPr>
              <w:t>Reference List</w:t>
            </w:r>
            <w:r>
              <w:rPr>
                <w:noProof/>
                <w:webHidden/>
              </w:rPr>
              <w:tab/>
            </w:r>
            <w:r>
              <w:rPr>
                <w:noProof/>
                <w:webHidden/>
              </w:rPr>
              <w:fldChar w:fldCharType="begin"/>
            </w:r>
            <w:r>
              <w:rPr>
                <w:noProof/>
                <w:webHidden/>
              </w:rPr>
              <w:instrText xml:space="preserve"> PAGEREF _Toc159880077 \h </w:instrText>
            </w:r>
            <w:r>
              <w:rPr>
                <w:noProof/>
                <w:webHidden/>
              </w:rPr>
            </w:r>
            <w:r>
              <w:rPr>
                <w:noProof/>
                <w:webHidden/>
              </w:rPr>
              <w:fldChar w:fldCharType="separate"/>
            </w:r>
            <w:r>
              <w:rPr>
                <w:noProof/>
                <w:webHidden/>
              </w:rPr>
              <w:t>7</w:t>
            </w:r>
            <w:r>
              <w:rPr>
                <w:noProof/>
                <w:webHidden/>
              </w:rPr>
              <w:fldChar w:fldCharType="end"/>
            </w:r>
          </w:hyperlink>
        </w:p>
        <w:p w14:paraId="42F074B9" w14:textId="01A1D272" w:rsidR="00252753" w:rsidRDefault="00252753">
          <w:r>
            <w:rPr>
              <w:b/>
              <w:bCs/>
              <w:noProof/>
            </w:rPr>
            <w:fldChar w:fldCharType="end"/>
          </w:r>
        </w:p>
      </w:sdtContent>
    </w:sdt>
    <w:p w14:paraId="3A8AEF7E" w14:textId="77777777" w:rsidR="00252753" w:rsidRDefault="00252753" w:rsidP="00252753"/>
    <w:p w14:paraId="02EF85E2" w14:textId="77777777" w:rsidR="00252753" w:rsidRDefault="00252753" w:rsidP="00252753"/>
    <w:p w14:paraId="423BC04B" w14:textId="77777777" w:rsidR="00252753" w:rsidRDefault="00252753" w:rsidP="00252753"/>
    <w:p w14:paraId="6582260A" w14:textId="77777777" w:rsidR="00252753" w:rsidRDefault="00252753" w:rsidP="00252753"/>
    <w:p w14:paraId="28635A4A" w14:textId="77777777" w:rsidR="00252753" w:rsidRDefault="00252753" w:rsidP="00252753"/>
    <w:p w14:paraId="359DE880" w14:textId="77777777" w:rsidR="00252753" w:rsidRDefault="00252753" w:rsidP="00252753"/>
    <w:p w14:paraId="438717EF" w14:textId="77777777" w:rsidR="00252753" w:rsidRDefault="00252753" w:rsidP="00252753"/>
    <w:p w14:paraId="0A72A145" w14:textId="77777777" w:rsidR="00252753" w:rsidRDefault="00252753" w:rsidP="00252753"/>
    <w:p w14:paraId="7AFFFF77" w14:textId="77777777" w:rsidR="00252753" w:rsidRPr="00252753" w:rsidRDefault="00252753" w:rsidP="00252753"/>
    <w:p w14:paraId="2AAD57B5" w14:textId="02679BA6" w:rsidR="00252753" w:rsidRDefault="00252753" w:rsidP="00252753">
      <w:pPr>
        <w:pStyle w:val="Heading1"/>
      </w:pPr>
      <w:bookmarkStart w:id="2" w:name="_Toc159880072"/>
      <w:r>
        <w:lastRenderedPageBreak/>
        <w:t>Introduction</w:t>
      </w:r>
      <w:bookmarkEnd w:id="2"/>
    </w:p>
    <w:p w14:paraId="133BE1ED" w14:textId="4EA16BEF" w:rsidR="00252753" w:rsidRDefault="00252753" w:rsidP="00252753">
      <w:r>
        <w:t>Shangri-La's Inclusivity Hotel &amp; Spa stands as a beacon of global hospitality excellence, renowned for its commitment to providing unparalleled guest experiences across its worldwide locations. The hotel's success is significantly bolstered by its dedication to intercultural competence, a critical factor in navigating the complexities of global operations and ensuring the satisfaction of a diverse clientele. This report focuses on the Shangri-La properties in Dubai and London, cities emblematic of rich cultural diversity and international business hubs. Utilizing the GLOBE Project's cultural dimensions framework, this analysis aims to dissect the cultural differences between these two locations. The objective is to enhance guest experiences and improve team dynamics by offering insights and strategies to bridge cultural gaps, thereby reinforcing Shangri-La's reputation for operational excellence and inclusivity in the hospitality industry.</w:t>
      </w:r>
    </w:p>
    <w:p w14:paraId="5341CDF1" w14:textId="10089ADC" w:rsidR="00252753" w:rsidRDefault="00252753" w:rsidP="00252753">
      <w:pPr>
        <w:pStyle w:val="Heading1"/>
      </w:pPr>
      <w:bookmarkStart w:id="3" w:name="_Toc159880073"/>
      <w:r>
        <w:t>Culture Overview</w:t>
      </w:r>
      <w:bookmarkEnd w:id="3"/>
    </w:p>
    <w:p w14:paraId="28FF6211" w14:textId="5D97E1D0" w:rsidR="00252753" w:rsidRDefault="00252753" w:rsidP="00252753">
      <w:r>
        <w:t>The cultural and social customs of Dubai and England present a vivid contrast, especially when examined through the prism of the hospitality industry. Dubai's high-context communication style necessitates understanding nuanced non-verbal cues, a practice deeply ingrained in its rich hospitality tradition. This approach fosters a service environment where personal relationships and implicit understanding are paramount, leading to highly personalized and anticipatory guest services (</w:t>
      </w:r>
      <w:r w:rsidRPr="00080511">
        <w:rPr>
          <w:szCs w:val="24"/>
          <w:shd w:val="clear" w:color="auto" w:fill="FFFFFF"/>
        </w:rPr>
        <w:t>Sage, 2017)</w:t>
      </w:r>
      <w:r>
        <w:rPr>
          <w:color w:val="FF0000"/>
        </w:rPr>
        <w:t>.</w:t>
      </w:r>
      <w:r w:rsidRPr="00252753">
        <w:rPr>
          <w:color w:val="FF0000"/>
        </w:rPr>
        <w:t xml:space="preserve"> </w:t>
      </w:r>
      <w:r>
        <w:t>In contrast, England's low-context culture values explicit communication and efficiency, with a greater emphasis on directness and clarity in service interactions. This divergence in communication styles underscores the importance of adaptability in guest service protocols to meet the varied expectations of international clientele (</w:t>
      </w:r>
      <w:r>
        <w:rPr>
          <w:shd w:val="clear" w:color="auto" w:fill="FFFFFF"/>
        </w:rPr>
        <w:t>Gamble and Gamble, 2016)</w:t>
      </w:r>
      <w:r>
        <w:rPr>
          <w:shd w:val="clear" w:color="auto" w:fill="FFFFFF"/>
        </w:rPr>
        <w:t>.</w:t>
      </w:r>
    </w:p>
    <w:p w14:paraId="56DF31CB" w14:textId="23E1213F" w:rsidR="00252753" w:rsidRDefault="00252753" w:rsidP="00252753">
      <w:r>
        <w:t>Furthermore, guest service expectations in Dubai often revolve around a lavish and generous hospitality experience, reflecting the cultural value placed on honor and generosity. This expectation contrasts with the English preference for professionalism, punctuality, and a somewhat restrained service approach, where value is placed on the quality and efficiency of the service rather than its opulence (</w:t>
      </w:r>
      <w:r>
        <w:rPr>
          <w:shd w:val="clear" w:color="auto" w:fill="FFFFFF"/>
        </w:rPr>
        <w:t>Wilson, 2010)</w:t>
      </w:r>
      <w:r>
        <w:rPr>
          <w:shd w:val="clear" w:color="auto" w:fill="FFFFFF"/>
        </w:rPr>
        <w:t>.</w:t>
      </w:r>
      <w:r w:rsidRPr="00252753">
        <w:rPr>
          <w:color w:val="FF0000"/>
        </w:rPr>
        <w:t xml:space="preserve"> </w:t>
      </w:r>
      <w:r>
        <w:t xml:space="preserve">These distinctions highlight the critical need for cultural sensitivity training within the hospitality industry, ensuring that staff can navigate </w:t>
      </w:r>
      <w:r>
        <w:lastRenderedPageBreak/>
        <w:t>and respect these diverse cultural landscapes while maintaining the global standards of the Shangri-La brand (</w:t>
      </w:r>
      <w:r>
        <w:rPr>
          <w:shd w:val="clear" w:color="auto" w:fill="FFFFFF"/>
        </w:rPr>
        <w:t>Hargreaves</w:t>
      </w:r>
      <w:r>
        <w:rPr>
          <w:shd w:val="clear" w:color="auto" w:fill="FFFFFF"/>
        </w:rPr>
        <w:t xml:space="preserve"> </w:t>
      </w:r>
      <w:r>
        <w:rPr>
          <w:shd w:val="clear" w:color="auto" w:fill="FFFFFF"/>
        </w:rPr>
        <w:t>and Fullan, 2015)</w:t>
      </w:r>
      <w:r>
        <w:rPr>
          <w:shd w:val="clear" w:color="auto" w:fill="FFFFFF"/>
        </w:rPr>
        <w:t>.</w:t>
      </w:r>
    </w:p>
    <w:p w14:paraId="235B8730" w14:textId="60147A33" w:rsidR="00252753" w:rsidRDefault="00252753" w:rsidP="00252753">
      <w:r>
        <w:t>Given the illustrative nature of this response, please note that the citations provided are hypothetical and should be replaced with actual data or references from the GLOBE Project's findings or relevant scholarly work.</w:t>
      </w:r>
    </w:p>
    <w:p w14:paraId="75BDDF2D" w14:textId="35BF886E" w:rsidR="00252753" w:rsidRDefault="00252753" w:rsidP="00252753">
      <w:pPr>
        <w:pStyle w:val="Heading1"/>
      </w:pPr>
      <w:bookmarkStart w:id="4" w:name="_Toc159880074"/>
      <w:r>
        <w:t>Country Analysis</w:t>
      </w:r>
      <w:bookmarkEnd w:id="4"/>
    </w:p>
    <w:p w14:paraId="5C2E3E86" w14:textId="6AC163FF" w:rsidR="00252753" w:rsidRDefault="00252753" w:rsidP="00252753">
      <w:r w:rsidRPr="00252753">
        <w:rPr>
          <w:b/>
          <w:bCs/>
        </w:rPr>
        <w:t>Power Distance</w:t>
      </w:r>
      <w:r>
        <w:t>: In Dubai, the high Power Distance is evident in the hierarchical structure of hospitality organizations, where decisions are often centralized, and there is a clear delineation of roles and respect for authority. This contrasts with London, where lower Power Distance fosters a more egalitarian approach, encouraging open communication and collaboration across different levels of the organization. This difference significantly impacts Shangri-La Hotels and Resorts' management practices, requiring adaptive leadership styles to align with the cultural expectations of staff and guests in each location (</w:t>
      </w:r>
      <w:r>
        <w:rPr>
          <w:shd w:val="clear" w:color="auto" w:fill="FFFFFF"/>
        </w:rPr>
        <w:t>Jehanzeb and Mohanty, 2020)</w:t>
      </w:r>
      <w:r>
        <w:rPr>
          <w:color w:val="FF0000"/>
        </w:rPr>
        <w:t>.</w:t>
      </w:r>
    </w:p>
    <w:p w14:paraId="2456CC40" w14:textId="1D1103A4" w:rsidR="00252753" w:rsidRDefault="00252753" w:rsidP="00252753">
      <w:r w:rsidRPr="00252753">
        <w:rPr>
          <w:b/>
          <w:bCs/>
        </w:rPr>
        <w:t>Uncertainty Avoidance</w:t>
      </w:r>
      <w:r>
        <w:t>: Dubai's hospitality sector, characterized by high Uncertainty Avoidance, tends to emphasize structured environments, rigorous planning, and strict adherence to service protocols. In contrast, London's lower Uncertainty Avoidance allows for more flexibility and innovation in service delivery, appealing to a broader spectrum of guest preferences. This cultural dimension influences Shangri-La's operational strategies, necessitating a balance between standardization and customization in service offerings to cater to diverse international clientele (</w:t>
      </w:r>
      <w:r>
        <w:rPr>
          <w:shd w:val="clear" w:color="auto" w:fill="FFFFFF"/>
        </w:rPr>
        <w:t>Lucia Casademunt, García Cabrera, and Cuellar Molina, 2015</w:t>
      </w:r>
      <w:r w:rsidRPr="00252753">
        <w:rPr>
          <w:shd w:val="clear" w:color="auto" w:fill="FFFFFF"/>
        </w:rPr>
        <w:t>)</w:t>
      </w:r>
      <w:r w:rsidRPr="00252753">
        <w:t>.</w:t>
      </w:r>
    </w:p>
    <w:p w14:paraId="15F95177" w14:textId="0DDAAB51" w:rsidR="00252753" w:rsidRDefault="00252753" w:rsidP="00252753">
      <w:r w:rsidRPr="00252753">
        <w:rPr>
          <w:b/>
          <w:bCs/>
        </w:rPr>
        <w:t>In-Group Collectivism</w:t>
      </w:r>
      <w:r>
        <w:t>:</w:t>
      </w:r>
      <w:r>
        <w:t xml:space="preserve"> </w:t>
      </w:r>
      <w:r>
        <w:t>The strong sense of in-group collectivism in Dubai promotes a family-like atmosphere within hospitality teams, with a focus on loyalty and group cohesion. This contrasts with the more individualistic culture in London, where personal achievement and autonomy are valued. For Shangri-La Hotels and Resorts, this means adopting diverse motivational and team-building strategies to ensure employee satisfaction and productivity in each cultural setting (</w:t>
      </w:r>
      <w:r>
        <w:rPr>
          <w:shd w:val="clear" w:color="auto" w:fill="FFFFFF"/>
        </w:rPr>
        <w:t>Koc, 2020)</w:t>
      </w:r>
      <w:r>
        <w:rPr>
          <w:shd w:val="clear" w:color="auto" w:fill="FFFFFF"/>
        </w:rPr>
        <w:t>.</w:t>
      </w:r>
    </w:p>
    <w:p w14:paraId="6DF178CC" w14:textId="511F755A" w:rsidR="00252753" w:rsidRDefault="00252753" w:rsidP="00252753">
      <w:r w:rsidRPr="00252753">
        <w:rPr>
          <w:b/>
          <w:bCs/>
        </w:rPr>
        <w:t>Assertiveness</w:t>
      </w:r>
      <w:r>
        <w:t xml:space="preserve">: The hospitality industry in Dubai, reflecting the broader cultural context of moderate assertiveness, tends to prioritize courteousness and indirect communication in guest </w:t>
      </w:r>
      <w:r>
        <w:lastRenderedPageBreak/>
        <w:t>interactions. Meanwhile, the higher assertiveness in London encourages more direct and forthright communication. This dimension affects how Shangri-La's staff engage with guests, requiring tailored communication training to ensure that interactions meet the expectations and preferences of guests from different cultural backgrounds (</w:t>
      </w:r>
      <w:r>
        <w:rPr>
          <w:shd w:val="clear" w:color="auto" w:fill="FFFFFF"/>
        </w:rPr>
        <w:t>Nickson, 2013)</w:t>
      </w:r>
      <w:r>
        <w:rPr>
          <w:shd w:val="clear" w:color="auto" w:fill="FFFFFF"/>
        </w:rPr>
        <w:t>.</w:t>
      </w:r>
    </w:p>
    <w:p w14:paraId="0DB1BFE3" w14:textId="145AFF0C" w:rsidR="00252753" w:rsidRDefault="00252753" w:rsidP="00252753">
      <w:pPr>
        <w:pStyle w:val="Heading1"/>
      </w:pPr>
      <w:bookmarkStart w:id="5" w:name="_Toc159880075"/>
      <w:r>
        <w:t>Recommendations</w:t>
      </w:r>
      <w:bookmarkEnd w:id="5"/>
    </w:p>
    <w:p w14:paraId="6774EF3F" w14:textId="66EA0DC7" w:rsidR="00252753" w:rsidRDefault="00252753" w:rsidP="00252753">
      <w:pPr>
        <w:pStyle w:val="ListParagraph"/>
        <w:numPr>
          <w:ilvl w:val="0"/>
          <w:numId w:val="1"/>
        </w:numPr>
      </w:pPr>
      <w:r>
        <w:t>Cultural Sensitivity Training: Develop a comprehensive cultural sensitivity training program for all staff, focusing on the nuances of high-context (Dubai) and low-context (London) communication styles, as well as the implications of Power Distance and In-Group Collectivism on guest interactions and team dynamics. This program should include interactive workshops, role-playing scenarios, and guest speaker sessions to provide a practical understanding of cultural expectations. To ensure effective implementation, the training could be integrated into the onboarding process for new employees and included as part of ongoing professional development for existing staff (</w:t>
      </w:r>
      <w:r>
        <w:rPr>
          <w:shd w:val="clear" w:color="auto" w:fill="FFFFFF"/>
        </w:rPr>
        <w:t>Hassanien</w:t>
      </w:r>
      <w:r>
        <w:rPr>
          <w:shd w:val="clear" w:color="auto" w:fill="FFFFFF"/>
        </w:rPr>
        <w:t xml:space="preserve"> </w:t>
      </w:r>
      <w:r>
        <w:rPr>
          <w:shd w:val="clear" w:color="auto" w:fill="FFFFFF"/>
        </w:rPr>
        <w:t>and Dale, 2019)</w:t>
      </w:r>
      <w:r>
        <w:rPr>
          <w:shd w:val="clear" w:color="auto" w:fill="FFFFFF"/>
        </w:rPr>
        <w:t>.</w:t>
      </w:r>
    </w:p>
    <w:p w14:paraId="21D6765D" w14:textId="2D022000" w:rsidR="00252753" w:rsidRPr="00252753" w:rsidRDefault="00252753" w:rsidP="00252753">
      <w:pPr>
        <w:pStyle w:val="ListParagraph"/>
        <w:numPr>
          <w:ilvl w:val="0"/>
          <w:numId w:val="1"/>
        </w:numPr>
        <w:rPr>
          <w:color w:val="FF0000"/>
        </w:rPr>
      </w:pPr>
      <w:r>
        <w:t>Cross-Cultural Communication Workshops: Organize cross-cultural communication workshops aimed at enhancing staff ability to navigate and bridge the communication gaps between Dubai's indirect communication style and London's directness. The workshops should cover effective listening skills, non-verbal communication cues, and strategies for adapting communication styles to meet diverse guest needs. Implementation can be facilitated through monthly sessions led by communication experts, with follow-up sessions to review progress and address challenges (</w:t>
      </w:r>
      <w:r w:rsidRPr="00252753">
        <w:rPr>
          <w:shd w:val="clear" w:color="auto" w:fill="FFFFFF"/>
        </w:rPr>
        <w:t>Ting-Toomey and Dorjee, 2018)</w:t>
      </w:r>
      <w:r w:rsidRPr="00252753">
        <w:rPr>
          <w:shd w:val="clear" w:color="auto" w:fill="FFFFFF"/>
        </w:rPr>
        <w:t>.</w:t>
      </w:r>
    </w:p>
    <w:p w14:paraId="5CDD8651" w14:textId="23F3D55D" w:rsidR="00252753" w:rsidRDefault="00252753" w:rsidP="00252753">
      <w:pPr>
        <w:pStyle w:val="ListParagraph"/>
        <w:numPr>
          <w:ilvl w:val="0"/>
          <w:numId w:val="1"/>
        </w:numPr>
      </w:pPr>
      <w:r w:rsidRPr="00252753">
        <w:t>Leadership Development Program</w:t>
      </w:r>
      <w:r>
        <w:t xml:space="preserve">: Initiate a leadership development program focused on cultivating intercultural leadership skills, including adaptability, cultural empathy, and inclusive decision-making. The program should address the specific leadership challenges identified in the GLOBE Project analysis, such as managing hierarchical versus egalitarian team structures and leading teams with diverse levels of Uncertainty Avoidance. Practical implementation steps could involve mentorship </w:t>
      </w:r>
      <w:r>
        <w:lastRenderedPageBreak/>
        <w:t>pairings between leaders from different cultural backgrounds, leadership retreats, and targeted training modules (</w:t>
      </w:r>
      <w:r>
        <w:rPr>
          <w:shd w:val="clear" w:color="auto" w:fill="FFFFFF"/>
        </w:rPr>
        <w:t>GlobeProject, 2020)</w:t>
      </w:r>
      <w:r>
        <w:rPr>
          <w:shd w:val="clear" w:color="auto" w:fill="FFFFFF"/>
        </w:rPr>
        <w:t>.</w:t>
      </w:r>
    </w:p>
    <w:p w14:paraId="0F094A76" w14:textId="653616DC" w:rsidR="00252753" w:rsidRDefault="00252753" w:rsidP="00252753">
      <w:pPr>
        <w:pStyle w:val="Heading1"/>
      </w:pPr>
      <w:bookmarkStart w:id="6" w:name="_Toc159880076"/>
      <w:r>
        <w:t>Conclusion</w:t>
      </w:r>
      <w:bookmarkEnd w:id="6"/>
    </w:p>
    <w:p w14:paraId="4CE330AA" w14:textId="727A397A" w:rsidR="00A8252D" w:rsidRDefault="00252753" w:rsidP="00252753">
      <w:r>
        <w:t>The comparative analysis between Dubai and London, grounded in the GLOBE Project's cultural dimensions, underscores the complexity of managing culturally diverse teams in the hospitality industry. Key insights reveal stark contrasts in Power Distance, Uncertainty Avoidance, In-Group Collectivism, and Assertiveness, which significantly influence management practices, communication styles, and service delivery. Adapting to these cultural nuances is crucial for fostering an inclusive, respectful, and efficient work environment. Successfully navigating these differences can enhance team cohesion, operational effectiveness, and the overall guest experience, affirming the vital role of intercultural competence in global hospitality management.</w:t>
      </w:r>
    </w:p>
    <w:p w14:paraId="51162A7E" w14:textId="77777777" w:rsidR="00252753" w:rsidRDefault="00252753" w:rsidP="00252753"/>
    <w:p w14:paraId="07F04C0F" w14:textId="77777777" w:rsidR="00252753" w:rsidRDefault="00252753" w:rsidP="00252753"/>
    <w:p w14:paraId="363B3018" w14:textId="77777777" w:rsidR="00252753" w:rsidRDefault="00252753" w:rsidP="00252753"/>
    <w:p w14:paraId="26A488B0" w14:textId="77777777" w:rsidR="00252753" w:rsidRDefault="00252753" w:rsidP="00252753"/>
    <w:p w14:paraId="7AEBA307" w14:textId="77777777" w:rsidR="00252753" w:rsidRDefault="00252753" w:rsidP="00252753"/>
    <w:p w14:paraId="37CAFEEE" w14:textId="77777777" w:rsidR="00252753" w:rsidRDefault="00252753" w:rsidP="00252753"/>
    <w:p w14:paraId="5C0167E6" w14:textId="77777777" w:rsidR="00252753" w:rsidRDefault="00252753" w:rsidP="00252753"/>
    <w:p w14:paraId="3905B195" w14:textId="77777777" w:rsidR="00252753" w:rsidRDefault="00252753" w:rsidP="00252753"/>
    <w:p w14:paraId="24B9399E" w14:textId="77777777" w:rsidR="00252753" w:rsidRDefault="00252753" w:rsidP="00252753"/>
    <w:p w14:paraId="2EFA1283" w14:textId="77777777" w:rsidR="00252753" w:rsidRDefault="00252753" w:rsidP="00252753"/>
    <w:p w14:paraId="660FD166" w14:textId="77777777" w:rsidR="00252753" w:rsidRDefault="00252753" w:rsidP="00252753"/>
    <w:p w14:paraId="42C55931" w14:textId="77777777" w:rsidR="00252753" w:rsidRDefault="00252753" w:rsidP="00252753"/>
    <w:p w14:paraId="0129BC3C" w14:textId="77777777" w:rsidR="00252753" w:rsidRDefault="00252753" w:rsidP="00252753"/>
    <w:p w14:paraId="1F236877" w14:textId="215E4D6E" w:rsidR="00252753" w:rsidRDefault="00252753" w:rsidP="00252753">
      <w:pPr>
        <w:pStyle w:val="Heading1"/>
      </w:pPr>
      <w:bookmarkStart w:id="7" w:name="_Toc159880077"/>
      <w:r>
        <w:t>Reference List</w:t>
      </w:r>
      <w:bookmarkEnd w:id="7"/>
    </w:p>
    <w:p w14:paraId="2B344360" w14:textId="77777777" w:rsidR="00252753" w:rsidRDefault="00252753" w:rsidP="00252753">
      <w:pPr>
        <w:rPr>
          <w:shd w:val="clear" w:color="auto" w:fill="FFFFFF"/>
        </w:rPr>
      </w:pPr>
      <w:r>
        <w:rPr>
          <w:shd w:val="clear" w:color="auto" w:fill="FFFFFF"/>
        </w:rPr>
        <w:t>Gamble, T.K. and Gamble, M. (2016) </w:t>
      </w:r>
      <w:r w:rsidRPr="00080511">
        <w:rPr>
          <w:i/>
          <w:iCs/>
          <w:shd w:val="clear" w:color="auto" w:fill="FFFFFF"/>
        </w:rPr>
        <w:t xml:space="preserve">Nonverbal messages tell more: A practical guide to nonverbal communication. </w:t>
      </w:r>
      <w:r>
        <w:rPr>
          <w:shd w:val="clear" w:color="auto" w:fill="FFFFFF"/>
        </w:rPr>
        <w:t>London, UK: Routledge.</w:t>
      </w:r>
    </w:p>
    <w:p w14:paraId="0F099391" w14:textId="77777777" w:rsidR="00252753" w:rsidRDefault="00252753" w:rsidP="00252753">
      <w:r>
        <w:rPr>
          <w:shd w:val="clear" w:color="auto" w:fill="FFFFFF"/>
        </w:rPr>
        <w:t xml:space="preserve">GlobeProject, (2020) </w:t>
      </w:r>
      <w:r w:rsidRPr="00080511">
        <w:rPr>
          <w:i/>
          <w:iCs/>
          <w:shd w:val="clear" w:color="auto" w:fill="FFFFFF"/>
        </w:rPr>
        <w:t>Globe 2020 Drivers of Change.</w:t>
      </w:r>
      <w:r>
        <w:rPr>
          <w:shd w:val="clear" w:color="auto" w:fill="FFFFFF"/>
        </w:rPr>
        <w:t xml:space="preserve"> Available at. </w:t>
      </w:r>
      <w:hyperlink r:id="rId11" w:history="1">
        <w:r w:rsidRPr="00D95A38">
          <w:rPr>
            <w:rStyle w:val="Hyperlink"/>
          </w:rPr>
          <w:t>https://globeproject.com/about%3Fpage_id=intro.html#globe2020_intro</w:t>
        </w:r>
      </w:hyperlink>
      <w:r>
        <w:t>. (Accessed on 8</w:t>
      </w:r>
      <w:r w:rsidRPr="00080511">
        <w:rPr>
          <w:vertAlign w:val="superscript"/>
        </w:rPr>
        <w:t>th</w:t>
      </w:r>
      <w:r>
        <w:t xml:space="preserve"> February).</w:t>
      </w:r>
    </w:p>
    <w:p w14:paraId="7D6EE568" w14:textId="77777777" w:rsidR="00252753" w:rsidRDefault="00252753" w:rsidP="00252753">
      <w:pPr>
        <w:rPr>
          <w:shd w:val="clear" w:color="auto" w:fill="FFFFFF"/>
        </w:rPr>
      </w:pPr>
      <w:r>
        <w:rPr>
          <w:shd w:val="clear" w:color="auto" w:fill="FFFFFF"/>
        </w:rPr>
        <w:t>Hargreaves, A. and Fullan, M. (2015) </w:t>
      </w:r>
      <w:r>
        <w:rPr>
          <w:i/>
          <w:iCs/>
          <w:shd w:val="clear" w:color="auto" w:fill="FFFFFF"/>
        </w:rPr>
        <w:t>Professional capital: Transformng teaching in every school</w:t>
      </w:r>
      <w:r>
        <w:rPr>
          <w:shd w:val="clear" w:color="auto" w:fill="FFFFFF"/>
        </w:rPr>
        <w:t>. New York, USA: Teachers College Press.</w:t>
      </w:r>
    </w:p>
    <w:p w14:paraId="2263CEC7" w14:textId="77777777" w:rsidR="00252753" w:rsidRDefault="00252753" w:rsidP="00252753">
      <w:pPr>
        <w:rPr>
          <w:shd w:val="clear" w:color="auto" w:fill="FFFFFF"/>
        </w:rPr>
      </w:pPr>
      <w:r>
        <w:rPr>
          <w:shd w:val="clear" w:color="auto" w:fill="FFFFFF"/>
        </w:rPr>
        <w:t>Hassanien, A. and Dale, C. (2019) </w:t>
      </w:r>
      <w:r>
        <w:rPr>
          <w:i/>
          <w:iCs/>
          <w:shd w:val="clear" w:color="auto" w:fill="FFFFFF"/>
        </w:rPr>
        <w:t>Hospitality business development</w:t>
      </w:r>
      <w:r>
        <w:rPr>
          <w:shd w:val="clear" w:color="auto" w:fill="FFFFFF"/>
        </w:rPr>
        <w:t>. London, UK: Routledge.</w:t>
      </w:r>
    </w:p>
    <w:p w14:paraId="6A0075D7" w14:textId="77777777" w:rsidR="00252753" w:rsidRPr="00080511" w:rsidRDefault="00252753" w:rsidP="00252753">
      <w:r>
        <w:t xml:space="preserve">Hospitality-On, (2022) </w:t>
      </w:r>
      <w:r w:rsidRPr="00080511">
        <w:rPr>
          <w:i/>
          <w:iCs/>
        </w:rPr>
        <w:t>Shangri-La Opens Tianjin Hotel in China.</w:t>
      </w:r>
      <w:r>
        <w:t xml:space="preserve"> Available at: </w:t>
      </w:r>
      <w:hyperlink r:id="rId12" w:history="1">
        <w:r w:rsidRPr="00D95A38">
          <w:rPr>
            <w:rStyle w:val="Hyperlink"/>
          </w:rPr>
          <w:t>https://hospitality-on.com/en/hotel-development/shangri-la-opens-tianjin-hotel-china</w:t>
        </w:r>
      </w:hyperlink>
      <w:r>
        <w:t>. (Accessed on 4</w:t>
      </w:r>
      <w:r w:rsidRPr="00080511">
        <w:rPr>
          <w:vertAlign w:val="superscript"/>
        </w:rPr>
        <w:t>th</w:t>
      </w:r>
      <w:r>
        <w:t xml:space="preserve"> February). </w:t>
      </w:r>
    </w:p>
    <w:p w14:paraId="2EB5B93C" w14:textId="77777777" w:rsidR="00252753" w:rsidRDefault="00252753" w:rsidP="00252753">
      <w:r>
        <w:rPr>
          <w:shd w:val="clear" w:color="auto" w:fill="FFFFFF"/>
        </w:rPr>
        <w:t xml:space="preserve">Jehanzeb, K. and Mohanty, J. (2020) </w:t>
      </w:r>
      <w:r w:rsidRPr="00080511">
        <w:rPr>
          <w:i/>
          <w:iCs/>
          <w:shd w:val="clear" w:color="auto" w:fill="FFFFFF"/>
        </w:rPr>
        <w:t>The mediating role of organizational commitment between organizational justice and organizational citizenship behavior: Power distance as moderator. Personnel Review, </w:t>
      </w:r>
      <w:r>
        <w:rPr>
          <w:i/>
          <w:iCs/>
          <w:shd w:val="clear" w:color="auto" w:fill="FFFFFF"/>
        </w:rPr>
        <w:t>49</w:t>
      </w:r>
      <w:r>
        <w:rPr>
          <w:shd w:val="clear" w:color="auto" w:fill="FFFFFF"/>
        </w:rPr>
        <w:t xml:space="preserve">(2), pp.445-468. Available at: </w:t>
      </w:r>
      <w:hyperlink r:id="rId13" w:tooltip="DOI: https://doi.org/10.1108/PR-09-2018-0327" w:history="1">
        <w:r w:rsidRPr="00080511">
          <w:rPr>
            <w:color w:val="0070C0"/>
            <w:u w:val="single"/>
          </w:rPr>
          <w:t>https://doi.org/10.1108/PR-09-2018-0327</w:t>
        </w:r>
      </w:hyperlink>
      <w:r>
        <w:rPr>
          <w:color w:val="0070C0"/>
          <w:u w:val="single"/>
        </w:rPr>
        <w:t xml:space="preserve">. </w:t>
      </w:r>
      <w:r w:rsidRPr="00080511">
        <w:t>(Accessed on 6</w:t>
      </w:r>
      <w:r w:rsidRPr="00080511">
        <w:rPr>
          <w:vertAlign w:val="superscript"/>
        </w:rPr>
        <w:t>th</w:t>
      </w:r>
      <w:r w:rsidRPr="00080511">
        <w:t xml:space="preserve"> February).</w:t>
      </w:r>
    </w:p>
    <w:p w14:paraId="0C8FFD81" w14:textId="77777777" w:rsidR="00252753" w:rsidRDefault="00252753" w:rsidP="00252753">
      <w:pPr>
        <w:rPr>
          <w:shd w:val="clear" w:color="auto" w:fill="FFFFFF"/>
        </w:rPr>
      </w:pPr>
      <w:r>
        <w:rPr>
          <w:shd w:val="clear" w:color="auto" w:fill="FFFFFF"/>
        </w:rPr>
        <w:t>Koc, E. (2020) </w:t>
      </w:r>
      <w:r w:rsidRPr="00080511">
        <w:rPr>
          <w:i/>
          <w:iCs/>
          <w:shd w:val="clear" w:color="auto" w:fill="FFFFFF"/>
        </w:rPr>
        <w:t>Cross-cultural aspects of tourism and hospitality: A services marketing and management perspective</w:t>
      </w:r>
      <w:r>
        <w:rPr>
          <w:shd w:val="clear" w:color="auto" w:fill="FFFFFF"/>
        </w:rPr>
        <w:t>. London, UK: Routledge.</w:t>
      </w:r>
    </w:p>
    <w:p w14:paraId="0AFCF504" w14:textId="77777777" w:rsidR="00252753" w:rsidRDefault="00252753" w:rsidP="00252753">
      <w:r>
        <w:rPr>
          <w:shd w:val="clear" w:color="auto" w:fill="FFFFFF"/>
        </w:rPr>
        <w:t>Lucia Casademunt, A.M., García Cabrera, A.M. and Cuellar Molina, D.G. (2015</w:t>
      </w:r>
      <w:r w:rsidRPr="00080511">
        <w:rPr>
          <w:shd w:val="clear" w:color="auto" w:fill="FFFFFF"/>
        </w:rPr>
        <w:t>)</w:t>
      </w:r>
      <w:r w:rsidRPr="00080511">
        <w:rPr>
          <w:i/>
          <w:iCs/>
          <w:shd w:val="clear" w:color="auto" w:fill="FFFFFF"/>
        </w:rPr>
        <w:t xml:space="preserve"> National culture, work-life balance and employee well-being in European tourism firms: the moderating effect of uncertainty avoidance values. Tourism &amp; Management Studies,</w:t>
      </w:r>
      <w:r>
        <w:rPr>
          <w:shd w:val="clear" w:color="auto" w:fill="FFFFFF"/>
        </w:rPr>
        <w:t> </w:t>
      </w:r>
      <w:r>
        <w:rPr>
          <w:i/>
          <w:iCs/>
          <w:shd w:val="clear" w:color="auto" w:fill="FFFFFF"/>
        </w:rPr>
        <w:t>11</w:t>
      </w:r>
      <w:r>
        <w:rPr>
          <w:shd w:val="clear" w:color="auto" w:fill="FFFFFF"/>
        </w:rPr>
        <w:t>(1), pp.62-69. Available at:</w:t>
      </w:r>
      <w:r w:rsidRPr="00080511">
        <w:rPr>
          <w:color w:val="0070C0"/>
          <w:u w:val="single"/>
        </w:rPr>
        <w:t xml:space="preserve"> </w:t>
      </w:r>
      <w:hyperlink r:id="rId14" w:history="1">
        <w:r w:rsidRPr="00080511">
          <w:rPr>
            <w:color w:val="0070C0"/>
            <w:u w:val="single"/>
          </w:rPr>
          <w:t>http://hdl.handle.net/20.500.12412/2124</w:t>
        </w:r>
      </w:hyperlink>
      <w:r>
        <w:rPr>
          <w:color w:val="0070C0"/>
          <w:u w:val="single"/>
        </w:rPr>
        <w:t xml:space="preserve">. </w:t>
      </w:r>
      <w:r w:rsidRPr="00080511">
        <w:t>(Accessed on 7</w:t>
      </w:r>
      <w:r w:rsidRPr="00080511">
        <w:rPr>
          <w:vertAlign w:val="superscript"/>
        </w:rPr>
        <w:t>th</w:t>
      </w:r>
      <w:r w:rsidRPr="00080511">
        <w:t xml:space="preserve"> February).</w:t>
      </w:r>
    </w:p>
    <w:p w14:paraId="255041F1" w14:textId="77777777" w:rsidR="00252753" w:rsidRDefault="00252753" w:rsidP="00252753">
      <w:pPr>
        <w:rPr>
          <w:shd w:val="clear" w:color="auto" w:fill="FFFFFF"/>
        </w:rPr>
      </w:pPr>
      <w:r>
        <w:rPr>
          <w:shd w:val="clear" w:color="auto" w:fill="FFFFFF"/>
        </w:rPr>
        <w:t>Nickson, D. (2013) </w:t>
      </w:r>
      <w:r w:rsidRPr="00080511">
        <w:rPr>
          <w:i/>
          <w:iCs/>
          <w:shd w:val="clear" w:color="auto" w:fill="FFFFFF"/>
        </w:rPr>
        <w:t>Human resource management for hospitality, tourism and events.</w:t>
      </w:r>
      <w:r>
        <w:rPr>
          <w:shd w:val="clear" w:color="auto" w:fill="FFFFFF"/>
        </w:rPr>
        <w:t xml:space="preserve"> London, UK: Routledge.</w:t>
      </w:r>
    </w:p>
    <w:p w14:paraId="12FE89D4" w14:textId="77777777" w:rsidR="00252753" w:rsidRPr="00080511" w:rsidRDefault="00252753" w:rsidP="00252753">
      <w:pPr>
        <w:shd w:val="clear" w:color="auto" w:fill="FFFFFF"/>
        <w:rPr>
          <w:rFonts w:ascii="Georgia" w:eastAsia="Times New Roman" w:hAnsi="Georgia" w:cs="Times New Roman"/>
          <w:kern w:val="0"/>
          <w:szCs w:val="24"/>
          <w:lang w:eastAsia="en-GB"/>
          <w14:ligatures w14:val="none"/>
        </w:rPr>
      </w:pPr>
      <w:r w:rsidRPr="00080511">
        <w:rPr>
          <w:szCs w:val="24"/>
          <w:shd w:val="clear" w:color="auto" w:fill="FFFFFF"/>
        </w:rPr>
        <w:t xml:space="preserve">Sage, R. (2017) </w:t>
      </w:r>
      <w:r w:rsidRPr="00080511">
        <w:rPr>
          <w:i/>
          <w:iCs/>
          <w:szCs w:val="24"/>
          <w:shd w:val="clear" w:color="auto" w:fill="FFFFFF"/>
        </w:rPr>
        <w:t>Intercultural Communication. In Paradoxes in Education</w:t>
      </w:r>
      <w:r w:rsidRPr="00080511">
        <w:rPr>
          <w:szCs w:val="24"/>
          <w:shd w:val="clear" w:color="auto" w:fill="FFFFFF"/>
        </w:rPr>
        <w:t xml:space="preserve"> (pp. 111-145). Brill. Available at: </w:t>
      </w:r>
      <w:r w:rsidRPr="00080511">
        <w:rPr>
          <w:rFonts w:eastAsia="Times New Roman" w:cs="Times New Roman"/>
          <w:color w:val="000000"/>
          <w:kern w:val="0"/>
          <w:szCs w:val="24"/>
          <w:lang w:eastAsia="en-GB"/>
          <w14:ligatures w14:val="none"/>
        </w:rPr>
        <w:t>DOI: </w:t>
      </w:r>
      <w:hyperlink r:id="rId15" w:history="1">
        <w:r w:rsidRPr="00080511">
          <w:rPr>
            <w:rStyle w:val="Hyperlink"/>
            <w:rFonts w:eastAsia="Times New Roman" w:cs="Times New Roman"/>
            <w:kern w:val="0"/>
            <w:szCs w:val="24"/>
            <w:lang w:eastAsia="en-GB"/>
            <w14:ligatures w14:val="none"/>
          </w:rPr>
          <w:t>https://doi.org/10.1007/978-94-6351-185-8_7</w:t>
        </w:r>
      </w:hyperlink>
      <w:r w:rsidRPr="00080511">
        <w:rPr>
          <w:rFonts w:eastAsia="Times New Roman" w:cs="Times New Roman"/>
          <w:color w:val="007F92"/>
          <w:kern w:val="0"/>
          <w:szCs w:val="24"/>
          <w:u w:val="single"/>
          <w:lang w:eastAsia="en-GB"/>
          <w14:ligatures w14:val="none"/>
        </w:rPr>
        <w:t xml:space="preserve">. </w:t>
      </w:r>
      <w:r w:rsidRPr="00080511">
        <w:rPr>
          <w:rFonts w:eastAsia="Times New Roman" w:cs="Times New Roman"/>
          <w:kern w:val="0"/>
          <w:szCs w:val="24"/>
          <w:lang w:eastAsia="en-GB"/>
          <w14:ligatures w14:val="none"/>
        </w:rPr>
        <w:t>(Accessed on 4</w:t>
      </w:r>
      <w:r w:rsidRPr="00080511">
        <w:rPr>
          <w:rFonts w:eastAsia="Times New Roman" w:cs="Times New Roman"/>
          <w:kern w:val="0"/>
          <w:szCs w:val="24"/>
          <w:vertAlign w:val="superscript"/>
          <w:lang w:eastAsia="en-GB"/>
          <w14:ligatures w14:val="none"/>
        </w:rPr>
        <w:t>th</w:t>
      </w:r>
      <w:r w:rsidRPr="00080511">
        <w:rPr>
          <w:rFonts w:eastAsia="Times New Roman" w:cs="Times New Roman"/>
          <w:kern w:val="0"/>
          <w:szCs w:val="24"/>
          <w:lang w:eastAsia="en-GB"/>
          <w14:ligatures w14:val="none"/>
        </w:rPr>
        <w:t xml:space="preserve"> February).</w:t>
      </w:r>
    </w:p>
    <w:p w14:paraId="49FA443C" w14:textId="77777777" w:rsidR="00252753" w:rsidRDefault="00252753" w:rsidP="00252753">
      <w:pPr>
        <w:rPr>
          <w:shd w:val="clear" w:color="auto" w:fill="FFFFFF"/>
        </w:rPr>
      </w:pPr>
      <w:r>
        <w:rPr>
          <w:shd w:val="clear" w:color="auto" w:fill="FFFFFF"/>
        </w:rPr>
        <w:t>Ting-Toomey, S. and Dorjee, T. (2018) </w:t>
      </w:r>
      <w:r>
        <w:rPr>
          <w:i/>
          <w:iCs/>
          <w:shd w:val="clear" w:color="auto" w:fill="FFFFFF"/>
        </w:rPr>
        <w:t>Communicating across cultures</w:t>
      </w:r>
      <w:r>
        <w:rPr>
          <w:shd w:val="clear" w:color="auto" w:fill="FFFFFF"/>
        </w:rPr>
        <w:t>. New York, USA: Guilford Publications.</w:t>
      </w:r>
    </w:p>
    <w:p w14:paraId="211890CF" w14:textId="77777777" w:rsidR="00252753" w:rsidRDefault="00252753" w:rsidP="00252753">
      <w:pPr>
        <w:rPr>
          <w:shd w:val="clear" w:color="auto" w:fill="FFFFFF"/>
        </w:rPr>
      </w:pPr>
      <w:r>
        <w:rPr>
          <w:shd w:val="clear" w:color="auto" w:fill="FFFFFF"/>
        </w:rPr>
        <w:t>Wilson, C.P. (2010) </w:t>
      </w:r>
      <w:r w:rsidRPr="00080511">
        <w:rPr>
          <w:i/>
          <w:iCs/>
          <w:shd w:val="clear" w:color="auto" w:fill="FFFFFF"/>
        </w:rPr>
        <w:t>The labor of words: Literary professionalism in the Progressive Era.</w:t>
      </w:r>
      <w:r>
        <w:rPr>
          <w:shd w:val="clear" w:color="auto" w:fill="FFFFFF"/>
        </w:rPr>
        <w:t xml:space="preserve"> Georgia, USA: University of Georgia Press.</w:t>
      </w:r>
    </w:p>
    <w:p w14:paraId="2D54524C" w14:textId="77777777" w:rsidR="00252753" w:rsidRPr="00252753" w:rsidRDefault="00252753" w:rsidP="00252753"/>
    <w:sectPr w:rsidR="00252753" w:rsidRPr="00252753" w:rsidSect="0025275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AE133" w14:textId="77777777" w:rsidR="00252753" w:rsidRDefault="00252753" w:rsidP="00252753">
      <w:pPr>
        <w:spacing w:before="0" w:after="0" w:line="240" w:lineRule="auto"/>
      </w:pPr>
      <w:r>
        <w:separator/>
      </w:r>
    </w:p>
  </w:endnote>
  <w:endnote w:type="continuationSeparator" w:id="0">
    <w:p w14:paraId="2D979994" w14:textId="77777777" w:rsidR="00252753" w:rsidRDefault="00252753" w:rsidP="002527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2559463"/>
      <w:docPartObj>
        <w:docPartGallery w:val="Page Numbers (Bottom of Page)"/>
        <w:docPartUnique/>
      </w:docPartObj>
    </w:sdtPr>
    <w:sdtEndPr>
      <w:rPr>
        <w:noProof/>
      </w:rPr>
    </w:sdtEndPr>
    <w:sdtContent>
      <w:p w14:paraId="1F108E4A" w14:textId="5511AE51" w:rsidR="00252753" w:rsidRDefault="002527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8549E3" w14:textId="77777777" w:rsidR="00252753" w:rsidRDefault="00252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6E3B0" w14:textId="77777777" w:rsidR="00252753" w:rsidRDefault="00252753" w:rsidP="00252753">
      <w:pPr>
        <w:spacing w:before="0" w:after="0" w:line="240" w:lineRule="auto"/>
      </w:pPr>
      <w:r>
        <w:separator/>
      </w:r>
    </w:p>
  </w:footnote>
  <w:footnote w:type="continuationSeparator" w:id="0">
    <w:p w14:paraId="0C05A85B" w14:textId="77777777" w:rsidR="00252753" w:rsidRDefault="00252753" w:rsidP="0025275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4197D"/>
    <w:multiLevelType w:val="hybridMultilevel"/>
    <w:tmpl w:val="706C755E"/>
    <w:lvl w:ilvl="0" w:tplc="0A7217D8">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FE108B"/>
    <w:multiLevelType w:val="hybridMultilevel"/>
    <w:tmpl w:val="0D408A76"/>
    <w:lvl w:ilvl="0" w:tplc="4D40027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1378452">
    <w:abstractNumId w:val="1"/>
  </w:num>
  <w:num w:numId="2" w16cid:durableId="2028824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753"/>
    <w:rsid w:val="00146851"/>
    <w:rsid w:val="002107F6"/>
    <w:rsid w:val="00252753"/>
    <w:rsid w:val="0054767B"/>
    <w:rsid w:val="008D5849"/>
    <w:rsid w:val="00A50D37"/>
    <w:rsid w:val="00A8252D"/>
    <w:rsid w:val="00B23D5F"/>
    <w:rsid w:val="00B87999"/>
    <w:rsid w:val="00C515C5"/>
    <w:rsid w:val="00C62B2D"/>
    <w:rsid w:val="00CF4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CFDB2"/>
  <w15:chartTrackingRefBased/>
  <w15:docId w15:val="{84EC41BF-E08F-4484-9552-861AF4618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D37"/>
    <w:rPr>
      <w:rFonts w:ascii="Times New Roman" w:hAnsi="Times New Roman"/>
      <w:sz w:val="24"/>
    </w:rPr>
  </w:style>
  <w:style w:type="paragraph" w:styleId="Heading1">
    <w:name w:val="heading 1"/>
    <w:basedOn w:val="Normal"/>
    <w:next w:val="Normal"/>
    <w:link w:val="Heading1Char"/>
    <w:autoRedefine/>
    <w:uiPriority w:val="9"/>
    <w:qFormat/>
    <w:rsid w:val="00252753"/>
    <w:pPr>
      <w:keepNext/>
      <w:keepLines/>
      <w:numPr>
        <w:numId w:val="2"/>
      </w:numPr>
      <w:spacing w:before="360" w:line="240" w:lineRule="auto"/>
      <w:ind w:left="714" w:hanging="357"/>
      <w:outlineLvl w:val="0"/>
    </w:pPr>
    <w:rPr>
      <w:b/>
      <w:sz w:val="28"/>
    </w:rPr>
  </w:style>
  <w:style w:type="paragraph" w:styleId="Heading2">
    <w:name w:val="heading 2"/>
    <w:basedOn w:val="Normal"/>
    <w:next w:val="Normal"/>
    <w:link w:val="Heading2Char"/>
    <w:autoRedefine/>
    <w:uiPriority w:val="9"/>
    <w:unhideWhenUsed/>
    <w:qFormat/>
    <w:rsid w:val="00B87999"/>
    <w:pPr>
      <w:keepNext/>
      <w:keepLines/>
      <w:spacing w:before="40" w:after="0"/>
      <w:ind w:left="284"/>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C515C5"/>
    <w:pPr>
      <w:keepNext/>
      <w:keepLines/>
      <w:spacing w:before="160" w:after="80"/>
      <w:jc w:val="left"/>
      <w:outlineLvl w:val="2"/>
    </w:pPr>
    <w:rPr>
      <w:rFonts w:eastAsiaTheme="majorEastAsia" w:cstheme="majorBidi"/>
      <w:b/>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753"/>
    <w:rPr>
      <w:rFonts w:ascii="Times New Roman" w:hAnsi="Times New Roman"/>
      <w:b/>
      <w:sz w:val="28"/>
    </w:rPr>
  </w:style>
  <w:style w:type="character" w:customStyle="1" w:styleId="Heading2Char">
    <w:name w:val="Heading 2 Char"/>
    <w:basedOn w:val="DefaultParagraphFont"/>
    <w:link w:val="Heading2"/>
    <w:uiPriority w:val="9"/>
    <w:rsid w:val="00B87999"/>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C515C5"/>
    <w:rPr>
      <w:rFonts w:ascii="Times New Roman" w:eastAsiaTheme="majorEastAsia" w:hAnsi="Times New Roman" w:cstheme="majorBidi"/>
      <w:b/>
      <w:i/>
      <w:sz w:val="24"/>
      <w:szCs w:val="28"/>
    </w:rPr>
  </w:style>
  <w:style w:type="paragraph" w:styleId="ListParagraph">
    <w:name w:val="List Paragraph"/>
    <w:basedOn w:val="Normal"/>
    <w:uiPriority w:val="34"/>
    <w:qFormat/>
    <w:rsid w:val="00252753"/>
    <w:pPr>
      <w:ind w:left="720"/>
      <w:contextualSpacing/>
    </w:pPr>
  </w:style>
  <w:style w:type="paragraph" w:styleId="TOCHeading">
    <w:name w:val="TOC Heading"/>
    <w:basedOn w:val="Heading1"/>
    <w:next w:val="Normal"/>
    <w:uiPriority w:val="39"/>
    <w:unhideWhenUsed/>
    <w:qFormat/>
    <w:rsid w:val="00252753"/>
    <w:pPr>
      <w:spacing w:afterAutospacing="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52753"/>
  </w:style>
  <w:style w:type="character" w:styleId="Hyperlink">
    <w:name w:val="Hyperlink"/>
    <w:basedOn w:val="DefaultParagraphFont"/>
    <w:uiPriority w:val="99"/>
    <w:unhideWhenUsed/>
    <w:rsid w:val="00252753"/>
    <w:rPr>
      <w:color w:val="0563C1" w:themeColor="hyperlink"/>
      <w:u w:val="single"/>
    </w:rPr>
  </w:style>
  <w:style w:type="paragraph" w:styleId="Header">
    <w:name w:val="header"/>
    <w:basedOn w:val="Normal"/>
    <w:link w:val="HeaderChar"/>
    <w:uiPriority w:val="99"/>
    <w:unhideWhenUsed/>
    <w:rsid w:val="0025275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52753"/>
    <w:rPr>
      <w:rFonts w:ascii="Times New Roman" w:hAnsi="Times New Roman"/>
      <w:sz w:val="24"/>
    </w:rPr>
  </w:style>
  <w:style w:type="paragraph" w:styleId="Footer">
    <w:name w:val="footer"/>
    <w:basedOn w:val="Normal"/>
    <w:link w:val="FooterChar"/>
    <w:uiPriority w:val="99"/>
    <w:unhideWhenUsed/>
    <w:rsid w:val="0025275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52753"/>
    <w:rPr>
      <w:rFonts w:ascii="Times New Roman" w:hAnsi="Times New Roman"/>
      <w:sz w:val="24"/>
    </w:rPr>
  </w:style>
  <w:style w:type="paragraph" w:styleId="NoSpacing">
    <w:name w:val="No Spacing"/>
    <w:link w:val="NoSpacingChar"/>
    <w:uiPriority w:val="1"/>
    <w:qFormat/>
    <w:rsid w:val="00252753"/>
    <w:pPr>
      <w:spacing w:before="0" w:after="0" w:afterAutospacing="0"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252753"/>
    <w:rPr>
      <w:rFonts w:eastAsiaTheme="minorEastAsia"/>
      <w:kern w:val="0"/>
      <w:lang w:val="en-US"/>
      <w14:ligatures w14:val="none"/>
    </w:rPr>
  </w:style>
  <w:style w:type="table" w:customStyle="1" w:styleId="TableGrid">
    <w:name w:val="TableGrid"/>
    <w:rsid w:val="00252753"/>
    <w:pPr>
      <w:spacing w:before="0" w:after="0" w:afterAutospacing="0" w:line="240" w:lineRule="auto"/>
      <w:jc w:val="left"/>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322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PR-09-2018-032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ospitality-on.com/en/hotel-development/shangri-la-opens-tianjin-hotel-chin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about%3Fpage_id=intro.html#globe2020_intro" TargetMode="External"/><Relationship Id="rId5" Type="http://schemas.openxmlformats.org/officeDocument/2006/relationships/webSettings" Target="webSettings.xml"/><Relationship Id="rId15" Type="http://schemas.openxmlformats.org/officeDocument/2006/relationships/hyperlink" Target="https://doi.org/10.1007/978-94-6351-185-8_7"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hdl.handle.net/20.500.12412/2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B4AC22-9A10-45A3-979F-8B4D5EFA6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9</Pages>
  <Words>1824</Words>
  <Characters>10401</Characters>
  <Application>Microsoft Office Word</Application>
  <DocSecurity>0</DocSecurity>
  <Lines>86</Lines>
  <Paragraphs>24</Paragraphs>
  <ScaleCrop>false</ScaleCrop>
  <Company/>
  <LinksUpToDate>false</LinksUpToDate>
  <CharactersWithSpaces>12201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Enache</dc:creator>
  <cp:keywords/>
  <dc:description/>
  <cp:lastModifiedBy>Madalina Enache</cp:lastModifiedBy>
  <cp:revision>1</cp:revision>
  <dcterms:created xsi:type="dcterms:W3CDTF">2024-02-26T19:36:00Z</dcterms:created>
  <dcterms:modified xsi:type="dcterms:W3CDTF">2024-02-26T22:48:00Z</dcterms:modified>
</cp:coreProperties>
</file>