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64230" w14:textId="513238F9" w:rsidR="005D3045" w:rsidRDefault="005D3045" w:rsidP="00C11681">
      <w:pPr>
        <w:spacing w:line="480" w:lineRule="auto"/>
        <w:jc w:val="center"/>
        <w:rPr>
          <w:b/>
          <w:bCs/>
          <w:u w:val="single"/>
        </w:rPr>
      </w:pPr>
      <w:r>
        <w:rPr>
          <w:b/>
          <w:bCs/>
          <w:u w:val="single"/>
        </w:rPr>
        <w:t xml:space="preserve">On </w:t>
      </w:r>
      <w:r w:rsidRPr="005D3045">
        <w:rPr>
          <w:b/>
          <w:bCs/>
          <w:u w:val="single"/>
        </w:rPr>
        <w:t xml:space="preserve">The </w:t>
      </w:r>
      <w:r>
        <w:rPr>
          <w:b/>
          <w:bCs/>
          <w:u w:val="single"/>
        </w:rPr>
        <w:t>S</w:t>
      </w:r>
      <w:r w:rsidRPr="005D3045">
        <w:rPr>
          <w:b/>
          <w:bCs/>
          <w:u w:val="single"/>
        </w:rPr>
        <w:t xml:space="preserve">ignificance </w:t>
      </w:r>
      <w:r>
        <w:rPr>
          <w:b/>
          <w:bCs/>
          <w:u w:val="single"/>
        </w:rPr>
        <w:t>O</w:t>
      </w:r>
      <w:r w:rsidRPr="005D3045">
        <w:rPr>
          <w:b/>
          <w:bCs/>
          <w:u w:val="single"/>
        </w:rPr>
        <w:t xml:space="preserve">f </w:t>
      </w:r>
      <w:r>
        <w:rPr>
          <w:b/>
          <w:bCs/>
          <w:u w:val="single"/>
        </w:rPr>
        <w:t>T</w:t>
      </w:r>
      <w:r w:rsidRPr="005D3045">
        <w:rPr>
          <w:b/>
          <w:bCs/>
          <w:u w:val="single"/>
        </w:rPr>
        <w:t xml:space="preserve">rees </w:t>
      </w:r>
      <w:r>
        <w:rPr>
          <w:b/>
          <w:bCs/>
          <w:u w:val="single"/>
        </w:rPr>
        <w:t>I</w:t>
      </w:r>
      <w:r w:rsidRPr="005D3045">
        <w:rPr>
          <w:b/>
          <w:bCs/>
          <w:u w:val="single"/>
        </w:rPr>
        <w:t xml:space="preserve">n </w:t>
      </w:r>
      <w:r>
        <w:rPr>
          <w:b/>
          <w:bCs/>
          <w:u w:val="single"/>
        </w:rPr>
        <w:t>St. Augustine’s</w:t>
      </w:r>
      <w:r w:rsidRPr="005D3045">
        <w:rPr>
          <w:b/>
          <w:bCs/>
          <w:u w:val="single"/>
        </w:rPr>
        <w:t xml:space="preserve"> </w:t>
      </w:r>
      <w:r>
        <w:rPr>
          <w:b/>
          <w:bCs/>
          <w:u w:val="single"/>
        </w:rPr>
        <w:t>‘</w:t>
      </w:r>
      <w:r w:rsidRPr="005D3045">
        <w:rPr>
          <w:b/>
          <w:bCs/>
          <w:u w:val="single"/>
        </w:rPr>
        <w:t>Confessions</w:t>
      </w:r>
      <w:r>
        <w:rPr>
          <w:b/>
          <w:bCs/>
          <w:u w:val="single"/>
        </w:rPr>
        <w:t>’</w:t>
      </w:r>
    </w:p>
    <w:p w14:paraId="0EC088E5" w14:textId="77AAA329" w:rsidR="005D3045" w:rsidRDefault="005D3045" w:rsidP="00C11681">
      <w:pPr>
        <w:spacing w:line="480" w:lineRule="auto"/>
        <w:jc w:val="both"/>
      </w:pPr>
      <w:r>
        <w:tab/>
        <w:t>St. Augustine’s ‘Confessions’</w:t>
      </w:r>
      <w:r w:rsidR="00E54D9B">
        <w:t xml:space="preserve"> </w:t>
      </w:r>
      <w:r>
        <w:t>is often considered to be one of the earliest, extant, autobiographical works</w:t>
      </w:r>
      <w:r w:rsidR="002F4138">
        <w:rPr>
          <w:rStyle w:val="FootnoteReference"/>
        </w:rPr>
        <w:footnoteReference w:id="1"/>
      </w:r>
      <w:r w:rsidR="002F4138">
        <w:t xml:space="preserve">. With this in mind, a reader unfamiliar with this work might consider ‘Confessions’ to be barren of deeper meaning, and significance, a tree representing nothing more than a literal tree. An autobiography, by definition, </w:t>
      </w:r>
      <w:r w:rsidR="00045649">
        <w:t>is an account of a</w:t>
      </w:r>
      <w:r w:rsidR="002F4138">
        <w:t xml:space="preserve"> person’s life, and </w:t>
      </w:r>
      <w:r w:rsidR="00045649">
        <w:t>no more, meaning that events described in them are often accepted at face value, without any interpretation beyond, possibly, the author’s</w:t>
      </w:r>
      <w:r w:rsidR="00045649">
        <w:rPr>
          <w:rStyle w:val="FootnoteReference"/>
        </w:rPr>
        <w:footnoteReference w:id="2"/>
      </w:r>
      <w:r w:rsidR="00045649">
        <w:t xml:space="preserve">. However this is not the case with Augustine’s ‘Confessions which, while it </w:t>
      </w:r>
      <w:r w:rsidR="008220DC">
        <w:t>contains</w:t>
      </w:r>
      <w:r w:rsidR="00045649">
        <w:t xml:space="preserve"> </w:t>
      </w:r>
      <w:r w:rsidR="008220DC">
        <w:t xml:space="preserve">a significant amount of autobiography, is moreover a work of philosophy, and theology, as Fredriksen discusses in her </w:t>
      </w:r>
      <w:r w:rsidR="00562D17">
        <w:t xml:space="preserve">2012 chapter </w:t>
      </w:r>
      <w:r w:rsidR="008220DC">
        <w:t>on the text</w:t>
      </w:r>
      <w:r w:rsidR="00562D17">
        <w:t>, and as is apparent from Augustine’s frequent pontification on the nature of God, and His relationship with humans, which take up whole books towards the end of the text</w:t>
      </w:r>
      <w:r w:rsidR="008220DC">
        <w:rPr>
          <w:rStyle w:val="FootnoteReference"/>
        </w:rPr>
        <w:footnoteReference w:id="3"/>
      </w:r>
      <w:r w:rsidR="00562D17">
        <w:t>.</w:t>
      </w:r>
      <w:r w:rsidR="00D04ABE">
        <w:t xml:space="preserve"> When considered as a theological, or philosophical work, the possibility, and range of interpretation becomes far greater, as the possibility of deeper meaning becomes more apparent. With this in mind, this essay intends to interpret the significance of trees in ‘Confessions, within the context of Augustine’s philosophy, early Christian theology, and Graeco-Roman</w:t>
      </w:r>
      <w:r w:rsidR="00A43B37">
        <w:t xml:space="preserve"> literary</w:t>
      </w:r>
      <w:r w:rsidR="00D04ABE">
        <w:t xml:space="preserve"> traditions.</w:t>
      </w:r>
    </w:p>
    <w:p w14:paraId="22F734D0" w14:textId="689FD65A" w:rsidR="00F90D17" w:rsidRDefault="00F90D17" w:rsidP="00C11681">
      <w:pPr>
        <w:spacing w:line="480" w:lineRule="auto"/>
        <w:jc w:val="both"/>
      </w:pPr>
      <w:r>
        <w:tab/>
        <w:t>Key to Augustinian philosophy is the idea of use, and enjoyment</w:t>
      </w:r>
      <w:r w:rsidR="00157C7F">
        <w:t>, essentially that some things are to be used to an end, and others to be enjoyed without an end in mind</w:t>
      </w:r>
      <w:r w:rsidR="00157C7F">
        <w:rPr>
          <w:rStyle w:val="FootnoteReference"/>
        </w:rPr>
        <w:footnoteReference w:id="4"/>
      </w:r>
      <w:r w:rsidR="00157C7F">
        <w:t>. In his ‘On Christian Doctrine’ he determines that the only thing which truly can be enjoyed is God, and His aspects, while all other things are to be used</w:t>
      </w:r>
      <w:r w:rsidR="00B11DFE">
        <w:t>, and used to the end of enjoying God</w:t>
      </w:r>
      <w:r w:rsidR="00157C7F">
        <w:rPr>
          <w:rStyle w:val="FootnoteReference"/>
        </w:rPr>
        <w:footnoteReference w:id="5"/>
      </w:r>
      <w:r w:rsidR="00B11DFE">
        <w:t xml:space="preserve">. Trees are a ubiquitous example of </w:t>
      </w:r>
      <w:r w:rsidR="001973E9">
        <w:t>a thing, which – not being an aspect of the trinity – are meant to be used rather than enjoyed, and as such Augustine’s interaction with them in ‘Confessions’ may be significant of his state of grace, whether – as Augustine himself asserts in ‘On Christian Doctrine’ – he is ‘</w:t>
      </w:r>
      <w:r w:rsidR="001973E9" w:rsidRPr="001973E9">
        <w:rPr>
          <w:i/>
          <w:iCs/>
        </w:rPr>
        <w:t xml:space="preserve">becoming engrossed in a factitious </w:t>
      </w:r>
      <w:r w:rsidR="001973E9">
        <w:rPr>
          <w:i/>
          <w:iCs/>
        </w:rPr>
        <w:t>delight</w:t>
      </w:r>
      <w:r w:rsidR="001973E9" w:rsidRPr="001973E9">
        <w:t xml:space="preserve">, </w:t>
      </w:r>
      <w:r w:rsidR="001973E9" w:rsidRPr="001973E9">
        <w:rPr>
          <w:rStyle w:val="FootnoteReference"/>
        </w:rPr>
        <w:footnoteReference w:id="6"/>
      </w:r>
      <w:r w:rsidR="001973E9" w:rsidRPr="001973E9">
        <w:t>’</w:t>
      </w:r>
      <w:r w:rsidR="00673941">
        <w:t>in that which should be used, using things to enjoy God. A notable example of improper use of a thing is the pear tree incident in Book II of ‘Confessions’</w:t>
      </w:r>
      <w:r w:rsidR="00673941">
        <w:rPr>
          <w:rStyle w:val="FootnoteReference"/>
        </w:rPr>
        <w:footnoteReference w:id="7"/>
      </w:r>
      <w:r w:rsidR="00673941">
        <w:t>. In this section an adolescent Augustine, and his friends, steal pears from a tree, as seen in ‘</w:t>
      </w:r>
      <w:r w:rsidR="00673941">
        <w:rPr>
          <w:i/>
          <w:iCs/>
        </w:rPr>
        <w:t xml:space="preserve">There was a pear tree </w:t>
      </w:r>
      <w:r w:rsidR="00B91377">
        <w:rPr>
          <w:i/>
          <w:iCs/>
        </w:rPr>
        <w:t xml:space="preserve">near our vineyard laden with fruit, though attractive in neither colour nor taste… We Carried off a huge load of pears. But they were </w:t>
      </w:r>
      <w:r w:rsidR="00B91377">
        <w:rPr>
          <w:i/>
          <w:iCs/>
        </w:rPr>
        <w:lastRenderedPageBreak/>
        <w:t>not for our feasts but merely to throw to the pigs.</w:t>
      </w:r>
      <w:r w:rsidR="00B91377">
        <w:rPr>
          <w:rStyle w:val="FootnoteReference"/>
          <w:i/>
          <w:iCs/>
        </w:rPr>
        <w:footnoteReference w:id="8"/>
      </w:r>
      <w:r w:rsidR="00B91377">
        <w:t>’</w:t>
      </w:r>
      <w:r w:rsidR="00C11681">
        <w:t>.</w:t>
      </w:r>
      <w:r w:rsidR="00B91377">
        <w:t xml:space="preserve"> We see the misuse, and enjoyment of these pears in the fact that Augustine, and his cronies, do not eat them, ‘</w:t>
      </w:r>
      <w:r w:rsidR="00B91377">
        <w:rPr>
          <w:i/>
          <w:iCs/>
        </w:rPr>
        <w:t xml:space="preserve">not for our </w:t>
      </w:r>
      <w:r w:rsidR="00B91377" w:rsidRPr="00B91377">
        <w:t>feasts</w:t>
      </w:r>
      <w:r w:rsidR="00B91377">
        <w:rPr>
          <w:rStyle w:val="FootnoteReference"/>
        </w:rPr>
        <w:footnoteReference w:id="9"/>
      </w:r>
      <w:r w:rsidR="00B91377">
        <w:t xml:space="preserve">’ </w:t>
      </w:r>
      <w:r w:rsidR="00B91377" w:rsidRPr="00B91377">
        <w:t>as</w:t>
      </w:r>
      <w:r w:rsidR="00B91377">
        <w:t xml:space="preserve"> would – under Augustine’s philosophy of use, and enjoyment – be proper use, as a means of sustenance in pursuit of God, instead they take them</w:t>
      </w:r>
      <w:r w:rsidR="009E05A7">
        <w:t xml:space="preserve"> for</w:t>
      </w:r>
      <w:r w:rsidR="00B91377">
        <w:t xml:space="preserve"> the enjoyment of it, ‘</w:t>
      </w:r>
      <w:r w:rsidR="009E05A7">
        <w:rPr>
          <w:i/>
          <w:iCs/>
        </w:rPr>
        <w:t>our pleasure lay in doing what was not allowed</w:t>
      </w:r>
      <w:r w:rsidR="009E05A7" w:rsidRPr="009E05A7">
        <w:t>.</w:t>
      </w:r>
      <w:r w:rsidR="009E05A7" w:rsidRPr="009E05A7">
        <w:rPr>
          <w:rStyle w:val="FootnoteReference"/>
        </w:rPr>
        <w:footnoteReference w:id="10"/>
      </w:r>
      <w:r w:rsidR="00682670">
        <w:t xml:space="preserve">’ </w:t>
      </w:r>
      <w:r w:rsidR="009E05A7">
        <w:rPr>
          <w:rStyle w:val="FootnoteReference"/>
        </w:rPr>
        <w:footnoteReference w:id="11"/>
      </w:r>
      <w:r w:rsidR="009E05A7">
        <w:t>.</w:t>
      </w:r>
      <w:r w:rsidR="00682670">
        <w:t xml:space="preserve">This is </w:t>
      </w:r>
      <w:r w:rsidR="00682670" w:rsidRPr="00682670">
        <w:t>a perfect example of improper enjoyment</w:t>
      </w:r>
      <w:r w:rsidR="00682670">
        <w:t>;</w:t>
      </w:r>
      <w:r w:rsidR="00682670" w:rsidRPr="00682670">
        <w:t xml:space="preserve"> Augustine steals for the sake of stealing, </w:t>
      </w:r>
      <w:r w:rsidR="00682670">
        <w:t>much in the same way that enjoyment, in this sense, as O’Donovan in his article of this philosophy, is to love something for its own sake, and the stolen pears are not used for any purpose which might lead to God</w:t>
      </w:r>
      <w:r w:rsidR="00682670">
        <w:rPr>
          <w:rStyle w:val="FootnoteReference"/>
        </w:rPr>
        <w:footnoteReference w:id="12"/>
      </w:r>
      <w:r w:rsidR="00245FC7">
        <w:t xml:space="preserve">. </w:t>
      </w:r>
      <w:r w:rsidR="009E05A7">
        <w:t>Indeed, as Augustine describes the incident, this is worse than the</w:t>
      </w:r>
      <w:r w:rsidR="00245FC7">
        <w:t xml:space="preserve"> </w:t>
      </w:r>
      <w:r w:rsidR="009E05A7">
        <w:t>distract</w:t>
      </w:r>
      <w:r w:rsidR="00245FC7">
        <w:t>ions to</w:t>
      </w:r>
      <w:r w:rsidR="009E05A7">
        <w:t xml:space="preserve"> people, described in ‘On Christian Doctrine’, there </w:t>
      </w:r>
      <w:r w:rsidR="00245FC7">
        <w:t>Augustine</w:t>
      </w:r>
      <w:r w:rsidR="009E05A7">
        <w:t xml:space="preserve"> discussed the</w:t>
      </w:r>
      <w:r w:rsidR="00682670">
        <w:t xml:space="preserve"> particular</w:t>
      </w:r>
      <w:r w:rsidR="009E05A7">
        <w:t xml:space="preserve"> dangers of</w:t>
      </w:r>
      <w:r w:rsidR="00682670">
        <w:t xml:space="preserve"> things of beauty</w:t>
      </w:r>
      <w:r w:rsidR="00245FC7">
        <w:t>, but these pears</w:t>
      </w:r>
      <w:r w:rsidR="00C11681">
        <w:t xml:space="preserve"> are not beautiful, ‘</w:t>
      </w:r>
      <w:r w:rsidR="00C11681">
        <w:rPr>
          <w:i/>
          <w:iCs/>
        </w:rPr>
        <w:t>laden with fruit, though attractive in neither colour nor taste</w:t>
      </w:r>
      <w:r w:rsidR="00C11681" w:rsidRPr="00C11681">
        <w:t>.</w:t>
      </w:r>
      <w:r w:rsidR="00C11681" w:rsidRPr="00C11681">
        <w:rPr>
          <w:rStyle w:val="FootnoteReference"/>
        </w:rPr>
        <w:footnoteReference w:id="13"/>
      </w:r>
      <w:r w:rsidR="00C11681">
        <w:t>’, and, in the light of this fact, in ‘Confessions’ Augustine talks at length about the great wickedness, even compared to killing, of doing this crime without a good motive</w:t>
      </w:r>
      <w:r w:rsidR="00C11681">
        <w:rPr>
          <w:rStyle w:val="FootnoteReference"/>
        </w:rPr>
        <w:footnoteReference w:id="14"/>
      </w:r>
      <w:r w:rsidR="00C11681">
        <w:t>. With a mind to the fact that these pears were misused, and the theft enjoyed, and thus a distraction away from God, and a poor one at that, one might see this pear tree as significant of Augustine’s poor virtue at this point in his life.</w:t>
      </w:r>
    </w:p>
    <w:p w14:paraId="41268848" w14:textId="67CCF2B3" w:rsidR="00C11681" w:rsidRDefault="00C11681" w:rsidP="00C11681">
      <w:pPr>
        <w:spacing w:line="480" w:lineRule="auto"/>
        <w:jc w:val="both"/>
      </w:pPr>
      <w:r>
        <w:tab/>
        <w:t xml:space="preserve">Under the same </w:t>
      </w:r>
      <w:r w:rsidR="001A3EE9">
        <w:t>philosophy of use, and enjoyment, with trees as an example of things to be used, we see more proper use in the fig tree incident in Book VIII of ‘Confessions’</w:t>
      </w:r>
      <w:r w:rsidR="001A3EE9">
        <w:rPr>
          <w:rStyle w:val="FootnoteReference"/>
        </w:rPr>
        <w:footnoteReference w:id="15"/>
      </w:r>
      <w:r w:rsidR="001A3EE9">
        <w:t xml:space="preserve">. </w:t>
      </w:r>
      <w:r w:rsidR="00A17A92">
        <w:t>This tree plays a part in the narrative of Augustine’s conversion to Catholicism, as Augustine describes ‘</w:t>
      </w:r>
      <w:r w:rsidR="00A17A92">
        <w:rPr>
          <w:i/>
          <w:iCs/>
        </w:rPr>
        <w:t>I threw myself down somehow under a certain fig tree, and let my tears flow freely… As I was saying this and weeping in the bitter agony of my heart. Suddenly I heard a voice from the nearby house… saying and repeating… ‘Pick up and read, pick up and read.’</w:t>
      </w:r>
      <w:r w:rsidR="00A17A92" w:rsidRPr="00A17A92">
        <w:rPr>
          <w:rStyle w:val="FootnoteReference"/>
        </w:rPr>
        <w:footnoteReference w:id="16"/>
      </w:r>
      <w:r w:rsidR="00A17A92">
        <w:t xml:space="preserve">’. In essence we see Augustine use the fig tree, </w:t>
      </w:r>
      <w:r w:rsidR="004454DD">
        <w:t xml:space="preserve">as a shelter under which to weep, in a correct way, and – as a result of weeping in that spot – he hears the child’s voice, and is guided to God, exactly as the philosophy would have it. Possibly this guidance to God is even more direct, as – according to the notes in the Chadwick translation of ‘Confessions’ – some early versions of this text </w:t>
      </w:r>
      <w:r w:rsidR="00DE654D">
        <w:t>describe the voice as coming from the house of God, which makes clear the association between correct usage and the way to God</w:t>
      </w:r>
      <w:r w:rsidR="00DE654D">
        <w:rPr>
          <w:rStyle w:val="FootnoteReference"/>
        </w:rPr>
        <w:footnoteReference w:id="17"/>
      </w:r>
      <w:r w:rsidR="00DE654D">
        <w:t xml:space="preserve">. </w:t>
      </w:r>
      <w:r w:rsidR="004454DD">
        <w:t xml:space="preserve">He does not enjoy this, the grief he experiences </w:t>
      </w:r>
      <w:r w:rsidR="004454DD">
        <w:lastRenderedPageBreak/>
        <w:t>beneath the tree overwhelms him so much that he wishes to die, ‘</w:t>
      </w:r>
      <w:r w:rsidR="004454DD">
        <w:rPr>
          <w:i/>
          <w:iCs/>
        </w:rPr>
        <w:t>Why not put an end to my impure life in this very hour</w:t>
      </w:r>
      <w:r w:rsidR="004454DD">
        <w:t>.</w:t>
      </w:r>
      <w:r w:rsidR="004454DD">
        <w:rPr>
          <w:rStyle w:val="FootnoteReference"/>
        </w:rPr>
        <w:footnoteReference w:id="18"/>
      </w:r>
      <w:r w:rsidR="004454DD">
        <w:t xml:space="preserve">’, showing clearly that he is using, not enjoying, this thing. In parallel with the pear tree episode, as discussed a prime example of misuse, </w:t>
      </w:r>
      <w:r w:rsidR="00DE654D">
        <w:t>this proper use of a thing shows how Augustine has changed over the course of his life, so far, and moved towards grace; in the first instance he enjoyed stealing fruit from an undesirable tree which did not belong to him, in the second he took no fruit from a</w:t>
      </w:r>
      <w:r w:rsidR="00896CDF">
        <w:t xml:space="preserve"> more</w:t>
      </w:r>
      <w:r w:rsidR="00DE654D">
        <w:t xml:space="preserve"> desirable tree he had legal right to, by renting, and used it properly,</w:t>
      </w:r>
      <w:r w:rsidR="00896CDF">
        <w:t xml:space="preserve"> by weeping beneath it, </w:t>
      </w:r>
      <w:r w:rsidR="00DE654D">
        <w:t xml:space="preserve"> and directly so he might enjoy God</w:t>
      </w:r>
      <w:r w:rsidR="00DE654D">
        <w:rPr>
          <w:rStyle w:val="FootnoteReference"/>
        </w:rPr>
        <w:footnoteReference w:id="19"/>
      </w:r>
      <w:r w:rsidR="00896CDF">
        <w:t>. In this way, we see the virtuous man Augustine became</w:t>
      </w:r>
      <w:r w:rsidR="003C6A31">
        <w:t>, and</w:t>
      </w:r>
      <w:r w:rsidR="009D5407">
        <w:t xml:space="preserve"> the trees in ‘Confessions’ might be said to be significant of</w:t>
      </w:r>
      <w:r w:rsidR="003C6A31">
        <w:t xml:space="preserve"> the journey he took to become so</w:t>
      </w:r>
      <w:r w:rsidR="00896CDF">
        <w:t>.</w:t>
      </w:r>
    </w:p>
    <w:p w14:paraId="4CE75F34" w14:textId="5B677A2F" w:rsidR="00A16CCE" w:rsidRDefault="003C6A31" w:rsidP="00C11681">
      <w:pPr>
        <w:spacing w:line="480" w:lineRule="auto"/>
        <w:jc w:val="both"/>
      </w:pPr>
      <w:r>
        <w:tab/>
        <w:t>Early Christian theology also places significant emphasis on trees, as can be seen from the forbidden fruit, and the tree of knowledge</w:t>
      </w:r>
      <w:r w:rsidR="00927E3F">
        <w:t>, and the tree of life</w:t>
      </w:r>
      <w:r>
        <w:t xml:space="preserve"> in Genesis</w:t>
      </w:r>
      <w:r w:rsidR="00927E3F">
        <w:t xml:space="preserve"> the range of ways in which early theologians discussed them, such as Theophilus of Antioch’s take in his ‘Writing To Autolycus’</w:t>
      </w:r>
      <w:r w:rsidR="00971DA8">
        <w:t>, wherein he addresses the natures of the trees as a primary feature of the Garden of Eden</w:t>
      </w:r>
      <w:r w:rsidR="00971DA8">
        <w:rPr>
          <w:rStyle w:val="FootnoteReference"/>
        </w:rPr>
        <w:footnoteReference w:id="20"/>
      </w:r>
      <w:r w:rsidR="00084A38">
        <w:t>. Looking, again, at the pear tree episode, discussed above, certain parallels between this, and the eating of the forbidden fruit</w:t>
      </w:r>
      <w:r w:rsidR="00840713">
        <w:t xml:space="preserve"> of the</w:t>
      </w:r>
      <w:r w:rsidR="00084A38">
        <w:t xml:space="preserve"> tree of knowledge in Genesis, can be drawn.</w:t>
      </w:r>
      <w:r w:rsidR="00F67659">
        <w:t xml:space="preserve"> On a basic level</w:t>
      </w:r>
      <w:r w:rsidR="00E376D3">
        <w:t xml:space="preserve"> this is seen in that</w:t>
      </w:r>
      <w:r w:rsidR="005A1611">
        <w:t>,</w:t>
      </w:r>
      <w:r w:rsidR="00840713">
        <w:t xml:space="preserve"> like Adam in Genesis, the young Augustine was tempted to sin by</w:t>
      </w:r>
      <w:r w:rsidR="00E376D3">
        <w:t xml:space="preserve"> eating fruit to which he had not right, by his</w:t>
      </w:r>
      <w:r w:rsidR="00840713">
        <w:t xml:space="preserve"> intimates, ‘</w:t>
      </w:r>
      <w:r w:rsidR="00840713">
        <w:rPr>
          <w:i/>
          <w:iCs/>
        </w:rPr>
        <w:t>Alone I would not have committed that crime, in which my pleasure lay not in what I was stealing but in the act of theft… Friendship can be a dangerous enemy</w:t>
      </w:r>
      <w:r w:rsidR="00840713" w:rsidRPr="00840713">
        <w:t>.</w:t>
      </w:r>
      <w:r w:rsidR="00840713" w:rsidRPr="00840713">
        <w:rPr>
          <w:rStyle w:val="FootnoteReference"/>
        </w:rPr>
        <w:footnoteReference w:id="21"/>
      </w:r>
      <w:r w:rsidR="00840713">
        <w:t>’, and ‘</w:t>
      </w:r>
      <w:r w:rsidR="00A16CCE" w:rsidRPr="00A16CCE">
        <w:rPr>
          <w:i/>
          <w:iCs/>
        </w:rPr>
        <w:t>And the woman saw that the tree was good to eat, and fair to the eyes, and delightful to behold: and she took of the fruit thereof, and did eat, and gave to her husband who did eat</w:t>
      </w:r>
      <w:r w:rsidR="00A16CCE" w:rsidRPr="00A16CCE">
        <w:t>.</w:t>
      </w:r>
      <w:r w:rsidR="00A16CCE" w:rsidRPr="00A16CCE">
        <w:rPr>
          <w:rStyle w:val="FootnoteReference"/>
        </w:rPr>
        <w:footnoteReference w:id="22"/>
      </w:r>
      <w:r w:rsidR="00A16CCE">
        <w:t xml:space="preserve">’. Augustine makes it clear that he was tempted into his theft by his friends, </w:t>
      </w:r>
      <w:r w:rsidR="00A16CCE">
        <w:rPr>
          <w:i/>
          <w:iCs/>
        </w:rPr>
        <w:t>‘Friendship can be a dangerous enemy</w:t>
      </w:r>
      <w:r w:rsidR="00A16CCE">
        <w:t>.</w:t>
      </w:r>
      <w:r w:rsidR="00A16CCE">
        <w:rPr>
          <w:rStyle w:val="FootnoteReference"/>
        </w:rPr>
        <w:footnoteReference w:id="23"/>
      </w:r>
      <w:r w:rsidR="00A16CCE">
        <w:t>’, which – especially given the level of intimacy, as Augustine explores later, he had with his friends – is comparable to Adam’s temptation by Eve, his wife</w:t>
      </w:r>
      <w:r w:rsidR="00A16CCE">
        <w:rPr>
          <w:rStyle w:val="FootnoteReference"/>
        </w:rPr>
        <w:footnoteReference w:id="24"/>
      </w:r>
      <w:r w:rsidR="00A16CCE">
        <w:t>.</w:t>
      </w:r>
      <w:r w:rsidR="005A1611">
        <w:t xml:space="preserve"> On a deeper level, t</w:t>
      </w:r>
      <w:r w:rsidR="00A16CCE">
        <w:t>he circumstances of each sin</w:t>
      </w:r>
      <w:r w:rsidR="005A1611">
        <w:t xml:space="preserve"> are similar</w:t>
      </w:r>
      <w:r w:rsidR="00A16CCE">
        <w:t>, like Augustine – who stole for the sake of stealing – Adam had no proper motive to eat of the fruit, Eve did not tell him the nature of the fruit</w:t>
      </w:r>
      <w:r w:rsidR="00F67659">
        <w:t>, suggesting that he did it for the sake of doing it</w:t>
      </w:r>
      <w:r w:rsidR="00F67659">
        <w:rPr>
          <w:rStyle w:val="FootnoteReference"/>
        </w:rPr>
        <w:footnoteReference w:id="25"/>
      </w:r>
      <w:r w:rsidR="00F67659">
        <w:t xml:space="preserve">. Further the way in which Augustine portrays this act as his first, conscious </w:t>
      </w:r>
      <w:r w:rsidR="00F67659">
        <w:lastRenderedPageBreak/>
        <w:t>sin – the gluttony of his infancy being involuntary – and the damnation</w:t>
      </w:r>
      <w:r w:rsidR="005A1611">
        <w:t xml:space="preserve"> to which he would assign himself for it – ties this firmly to the concept of original sin, and the taint thereof, </w:t>
      </w:r>
      <w:r w:rsidR="00A503FA">
        <w:t>described in Genesis</w:t>
      </w:r>
      <w:r w:rsidR="00A503FA">
        <w:rPr>
          <w:rStyle w:val="FootnoteReference"/>
        </w:rPr>
        <w:footnoteReference w:id="26"/>
      </w:r>
      <w:r w:rsidR="00A503FA">
        <w:t xml:space="preserve">. Evoking original sin both on a surface level, which puts a reader in mind of it, and on a deeper level echoing it, the pear tree might be interpreted as a didactic tool – showing how original sin relate to people living in Augustine’s day – or as demonstration of Augustine’s original fall, which trigger the journey back to God which was the story of </w:t>
      </w:r>
      <w:r w:rsidR="00E376D3">
        <w:t>Augustine’s life, and the autobiographical portion of confessions.</w:t>
      </w:r>
      <w:r w:rsidR="00A503FA">
        <w:t xml:space="preserve"> </w:t>
      </w:r>
      <w:r w:rsidR="009D5407">
        <w:t>The pear tree, then, is significant of Augustine’s fall, which is the same as the fall of Adam, and all his descendants.</w:t>
      </w:r>
    </w:p>
    <w:p w14:paraId="19CE9918" w14:textId="726BD520" w:rsidR="00E376D3" w:rsidRDefault="00E376D3" w:rsidP="00C11681">
      <w:pPr>
        <w:spacing w:line="480" w:lineRule="auto"/>
        <w:jc w:val="both"/>
      </w:pPr>
      <w:r>
        <w:tab/>
        <w:t xml:space="preserve">Trees in ‘Confessions’ being established as parallels for biblical trees, consider the fig tree in </w:t>
      </w:r>
      <w:r w:rsidR="00CE5929">
        <w:t xml:space="preserve">Book VIII. </w:t>
      </w:r>
      <w:r w:rsidR="005907B0">
        <w:t>Considered as a second stand</w:t>
      </w:r>
      <w:r w:rsidR="00E54D9B">
        <w:t>-</w:t>
      </w:r>
      <w:r w:rsidR="005907B0">
        <w:t>in for the tree of knowledge, it might be significant of Augustine’s redemption, of himself, and his part of the original sin, which – as Augustine states in Book I – is in all people from infancy, as here he does not take any fruit, and instead repents beneath it, ‘</w:t>
      </w:r>
      <w:r w:rsidR="005907B0">
        <w:rPr>
          <w:i/>
          <w:iCs/>
        </w:rPr>
        <w:t>Rivers streamed from my eyes, a sacrifice acceptable to you</w:t>
      </w:r>
      <w:r w:rsidR="005907B0">
        <w:t>,</w:t>
      </w:r>
      <w:r w:rsidR="005907B0">
        <w:rPr>
          <w:rStyle w:val="FootnoteReference"/>
        </w:rPr>
        <w:footnoteReference w:id="27"/>
      </w:r>
      <w:r w:rsidR="005907B0">
        <w:t xml:space="preserve">’, and – quite the opposite of what happened to Adam, and Eve – </w:t>
      </w:r>
      <w:r w:rsidR="00046D26">
        <w:t>is guided towards God, and instructed to read the Bible</w:t>
      </w:r>
      <w:r w:rsidR="00046D26">
        <w:rPr>
          <w:rStyle w:val="FootnoteReference"/>
        </w:rPr>
        <w:footnoteReference w:id="28"/>
      </w:r>
      <w:r w:rsidR="00046D26">
        <w:t>. Another possible interpretation is of the fig tree as the tree of life, a tree which – as Rosenak discusses – was for people to use freely, per God’s instruction, prior to the fall</w:t>
      </w:r>
      <w:r w:rsidR="00046D26">
        <w:rPr>
          <w:rStyle w:val="FootnoteReference"/>
        </w:rPr>
        <w:footnoteReference w:id="29"/>
      </w:r>
      <w:r w:rsidR="00046D26">
        <w:t>. With this interpretation in mind, we can see – as discussed above – how Augustine uses it correctly – as God would intend – and comes to know God, and through the baptism which this, his final conversion, sets him on the road to, receives the eternal life, in heaven, which Theophilus interprets as this tree’s significance</w:t>
      </w:r>
      <w:r w:rsidR="00046D26">
        <w:rPr>
          <w:rStyle w:val="FootnoteReference"/>
        </w:rPr>
        <w:footnoteReference w:id="30"/>
      </w:r>
      <w:r w:rsidR="005E48F8">
        <w:t xml:space="preserve">. Either was, the second tree is – again – significant of Augustine’s journey towards God, </w:t>
      </w:r>
      <w:r w:rsidR="009D5407">
        <w:t xml:space="preserve">being in  position to refuse the fruit, or to use the tree of life, shows that Augustine is in a greater state of grace than Adam, who ate the fruit, and could not return to Eden, was, </w:t>
      </w:r>
      <w:r w:rsidR="005E48F8">
        <w:t>and – further – the possible journey of any reader. Augustine’s fall in the pear tree debacle, being an allegory for the original sin, is reflective of the common guilt share by all of mankind as Adam’s descendants, it is a common starting point from which – Augustine demonstrates – it is possible to rise back to virtue, with the aid of God</w:t>
      </w:r>
      <w:r w:rsidR="005E48F8">
        <w:rPr>
          <w:rStyle w:val="FootnoteReference"/>
        </w:rPr>
        <w:footnoteReference w:id="31"/>
      </w:r>
      <w:r w:rsidR="005E48F8">
        <w:t xml:space="preserve">. In this way trees in ‘Confessions’ might be said to have didactic </w:t>
      </w:r>
      <w:r w:rsidR="009D5407">
        <w:t>significance</w:t>
      </w:r>
      <w:r w:rsidR="005E48F8">
        <w:t xml:space="preserve">, </w:t>
      </w:r>
      <w:r w:rsidR="009D5407">
        <w:t>being symbolic of the journey towards redemption.</w:t>
      </w:r>
    </w:p>
    <w:p w14:paraId="14AF8ED6" w14:textId="00BEE99C" w:rsidR="00D20D4A" w:rsidRDefault="00D20D4A" w:rsidP="00C11681">
      <w:pPr>
        <w:spacing w:line="480" w:lineRule="auto"/>
        <w:jc w:val="both"/>
      </w:pPr>
      <w:r>
        <w:lastRenderedPageBreak/>
        <w:tab/>
        <w:t>In addition to the Christian theology, which Augustine would later come to embrace, and his own philosophies, Augustine’s background, and classical education must be considered. In ‘Confessions’ Augustine details how, at a young age, he received a literary education, including the works of Virgil, and Homer, and though – even as a child – Augustine considered these to be fictions, the influence that they would have had on a child, and had on the wider societ</w:t>
      </w:r>
      <w:r w:rsidR="004561C9">
        <w:t>y, cannot be understated – modern studies have seen how a child’s perception of abstract concepts can be influenced by literature, and how these perceptions maintained into later life, and thence be reflected in wider society</w:t>
      </w:r>
      <w:r w:rsidR="004561C9">
        <w:rPr>
          <w:rStyle w:val="FootnoteReference"/>
        </w:rPr>
        <w:footnoteReference w:id="32"/>
      </w:r>
      <w:r w:rsidR="00A43B37">
        <w:t>. As such, the trees in ‘Confessions’ might be interpreted within the context of Graeco-Roman literary tradition. Within this context the pear</w:t>
      </w:r>
      <w:r w:rsidR="00523E63">
        <w:t xml:space="preserve"> tree, and fig tree</w:t>
      </w:r>
      <w:r w:rsidR="00A43B37">
        <w:t xml:space="preserve">, might be said to relate to the myth of Tantalus, a man cursed by the gods to starve for eternity with food, and drink, always just beyond his reach, </w:t>
      </w:r>
      <w:r w:rsidR="0062473C">
        <w:t xml:space="preserve">notably </w:t>
      </w:r>
      <w:r w:rsidR="00523E63">
        <w:t xml:space="preserve">figs, and </w:t>
      </w:r>
      <w:r w:rsidR="0062473C">
        <w:t>pears are amongst the fruit</w:t>
      </w:r>
      <w:r w:rsidR="00523E63">
        <w:t xml:space="preserve"> trees</w:t>
      </w:r>
      <w:r w:rsidR="0062473C">
        <w:t xml:space="preserve"> meant to taunt Tantalus from beyond his reach, according to Homer’s ‘Odyssey’, ‘</w:t>
      </w:r>
      <w:r w:rsidR="00523E63">
        <w:rPr>
          <w:i/>
          <w:iCs/>
        </w:rPr>
        <w:t xml:space="preserve">There figs, sky-dyed, a purple hue disclose… </w:t>
      </w:r>
      <w:r w:rsidR="0062473C">
        <w:rPr>
          <w:i/>
          <w:iCs/>
        </w:rPr>
        <w:t>There dangling pears exalting scents unfold</w:t>
      </w:r>
      <w:r w:rsidR="0062473C" w:rsidRPr="0062473C">
        <w:t>,</w:t>
      </w:r>
      <w:r w:rsidR="0062473C" w:rsidRPr="0062473C">
        <w:rPr>
          <w:rStyle w:val="FootnoteReference"/>
        </w:rPr>
        <w:footnoteReference w:id="33"/>
      </w:r>
      <w:r w:rsidR="0062473C">
        <w:t xml:space="preserve">’, with which – given Homer’s mention in Book I of ‘Confessions – Augustine was likely familiar. </w:t>
      </w:r>
      <w:r w:rsidR="00B80E01">
        <w:t xml:space="preserve">Here we see a clear connection between </w:t>
      </w:r>
      <w:r w:rsidR="00523E63">
        <w:t xml:space="preserve">figs, and </w:t>
      </w:r>
      <w:r w:rsidR="00B80E01">
        <w:t>pears, and great sin, Tantalus being punished for filicide, albeit as an aspect of punishment rather than sin itself, which is consistent with the way in which Augustine portrays his theft</w:t>
      </w:r>
      <w:r w:rsidR="0058143A">
        <w:t xml:space="preserve"> of the pears</w:t>
      </w:r>
      <w:r w:rsidR="003E4596">
        <w:t xml:space="preserve"> as a terrible crime</w:t>
      </w:r>
      <w:r w:rsidR="00B80E01">
        <w:rPr>
          <w:rStyle w:val="FootnoteReference"/>
        </w:rPr>
        <w:footnoteReference w:id="34"/>
      </w:r>
      <w:r w:rsidR="003E4596">
        <w:t>. Given the attitude Augustine takes, that all men are tainted with Adam’s sin, and the Biblical notion that the world beyond Eden is God’s punishment on mankind, it might be reasoned that the myth of Tantalus, evoked by the specified pears</w:t>
      </w:r>
      <w:r w:rsidR="00523E63">
        <w:t>, and figs</w:t>
      </w:r>
      <w:r w:rsidR="003E4596">
        <w:t>, is a</w:t>
      </w:r>
      <w:r w:rsidR="00523E63">
        <w:t>n</w:t>
      </w:r>
      <w:r w:rsidR="003E4596">
        <w:t xml:space="preserve"> allegory for</w:t>
      </w:r>
      <w:r w:rsidR="00523E63">
        <w:t xml:space="preserve"> humanities punished state</w:t>
      </w:r>
      <w:r w:rsidR="00523E63">
        <w:rPr>
          <w:rStyle w:val="FootnoteReference"/>
        </w:rPr>
        <w:footnoteReference w:id="35"/>
      </w:r>
      <w:r w:rsidR="00523E63">
        <w:t xml:space="preserve">. By taking the pears, within the context of this allegory, Augustine becomes guilty of hubris, </w:t>
      </w:r>
      <w:r w:rsidR="0058143A">
        <w:t>a sin of excessive pride, typically used to describe actions contrary to some deities will, taking that which it is ordained – in his punished state – he should not take, which he would repeat in his later rejection of the Old Testament</w:t>
      </w:r>
      <w:r w:rsidR="0058143A">
        <w:rPr>
          <w:rStyle w:val="FootnoteReference"/>
        </w:rPr>
        <w:footnoteReference w:id="36"/>
      </w:r>
      <w:r w:rsidR="0058143A">
        <w:t xml:space="preserve">. In this way Augustine, in his early life, is shown as an archetypal sinner, and might serve a didactic purpose in illustrating the possibility of </w:t>
      </w:r>
      <w:r w:rsidR="0058143A">
        <w:lastRenderedPageBreak/>
        <w:t>redemption. A didactic which is fulfilled when one considers Augustine’s interaction with the figs, within the same Tantalus allegory, he does not take them, and does not long for them, and is shown to obey God’s will.</w:t>
      </w:r>
    </w:p>
    <w:p w14:paraId="3714AA63" w14:textId="255CAEF6" w:rsidR="0058143A" w:rsidRPr="00046D26" w:rsidRDefault="0058143A" w:rsidP="00C11681">
      <w:pPr>
        <w:spacing w:line="480" w:lineRule="auto"/>
        <w:jc w:val="both"/>
      </w:pPr>
      <w:r>
        <w:tab/>
        <w:t xml:space="preserve">Over the course of this essay, we have seen </w:t>
      </w:r>
      <w:r w:rsidR="00977E52">
        <w:t>an array of interpretations of the significances of trees in Augustine’s ‘Confessions’. Quite contrary to the idea of this as a typical, dry autobiography, this essay has shown that, even using only two examples, one in which the tree was a focal point, and another in which it was a more minor feature, a lot of significance can be drawn from Augustine’s references to trees, depending on the kind of reading used. This shows that trees in ‘Confessions’ are of great significance, philosophically, theologically, and literarily</w:t>
      </w:r>
      <w:r w:rsidR="00A11604">
        <w:t>, which speaks of the richness of interpretation possible from this text</w:t>
      </w:r>
      <w:r w:rsidR="00977E52">
        <w:t xml:space="preserve">. Ultimately, and universally to all readings, this significance is didactic, with trees being significant of one man’s journey of redemption towards God, the common journey of redemption of all people towards God, and of the range of </w:t>
      </w:r>
      <w:r w:rsidR="00A11604">
        <w:t>redemption possible with God, which is appropriate to Augustine’s position as a Bishop. To conclude, this essay finds Augustine’s Confessions to be of great didactic significance.</w:t>
      </w:r>
    </w:p>
    <w:p w14:paraId="2B86DD8F" w14:textId="63F4B3B5" w:rsidR="00971DA8" w:rsidRDefault="00971DA8" w:rsidP="00A43B37">
      <w:pPr>
        <w:spacing w:line="480" w:lineRule="auto"/>
        <w:jc w:val="both"/>
        <w:rPr>
          <w:b/>
          <w:bCs/>
          <w:u w:val="single"/>
        </w:rPr>
      </w:pPr>
      <w:r w:rsidRPr="00971DA8">
        <w:rPr>
          <w:b/>
          <w:bCs/>
          <w:u w:val="single"/>
        </w:rPr>
        <w:t>Bibliography</w:t>
      </w:r>
    </w:p>
    <w:p w14:paraId="33D67853" w14:textId="45D2CCDD" w:rsidR="007C7637" w:rsidRPr="007C7637" w:rsidRDefault="00971DA8" w:rsidP="00A43B37">
      <w:pPr>
        <w:spacing w:line="480" w:lineRule="auto"/>
        <w:jc w:val="both"/>
        <w:rPr>
          <w:b/>
          <w:bCs/>
        </w:rPr>
      </w:pPr>
      <w:r>
        <w:rPr>
          <w:b/>
          <w:bCs/>
        </w:rPr>
        <w:t>Primary Sources</w:t>
      </w:r>
      <w:bookmarkStart w:id="9" w:name="_Hlk63362356"/>
    </w:p>
    <w:p w14:paraId="4D2E2B19" w14:textId="0269E72E" w:rsidR="00971DA8" w:rsidRDefault="00971DA8" w:rsidP="00A43B37">
      <w:pPr>
        <w:spacing w:line="480" w:lineRule="auto"/>
        <w:jc w:val="both"/>
      </w:pPr>
      <w:r w:rsidRPr="00DE654D">
        <w:t>Aurelius Augustinus Hipponensis</w:t>
      </w:r>
      <w:bookmarkEnd w:id="9"/>
      <w:r>
        <w:t xml:space="preserve">, </w:t>
      </w:r>
      <w:r>
        <w:rPr>
          <w:i/>
          <w:iCs/>
        </w:rPr>
        <w:t>Confessions</w:t>
      </w:r>
      <w:r>
        <w:t>, trans. by Chadwick, H., (Oxford, Oxford University Press, 2008).</w:t>
      </w:r>
    </w:p>
    <w:p w14:paraId="341D450A" w14:textId="6E86EF4D" w:rsidR="00971DA8" w:rsidRDefault="00971DA8" w:rsidP="00A43B37">
      <w:pPr>
        <w:spacing w:line="480" w:lineRule="auto"/>
        <w:jc w:val="both"/>
      </w:pPr>
      <w:r w:rsidRPr="00971DA8">
        <w:t>Aurelius Augustinus Hipponensis</w:t>
      </w:r>
      <w:r>
        <w:t xml:space="preserve">, </w:t>
      </w:r>
      <w:r>
        <w:rPr>
          <w:i/>
          <w:iCs/>
        </w:rPr>
        <w:t>On Christian Doctrine</w:t>
      </w:r>
      <w:r>
        <w:t>, trans. by Shaw. J. F., (London, Aeterna Press, 2014).</w:t>
      </w:r>
    </w:p>
    <w:p w14:paraId="49974E30" w14:textId="47652788" w:rsidR="0062473C" w:rsidRPr="0062473C" w:rsidRDefault="0062473C" w:rsidP="00A43B37">
      <w:pPr>
        <w:spacing w:line="480" w:lineRule="auto"/>
        <w:jc w:val="both"/>
      </w:pPr>
      <w:r>
        <w:t xml:space="preserve">Homer, </w:t>
      </w:r>
      <w:r>
        <w:rPr>
          <w:i/>
          <w:iCs/>
        </w:rPr>
        <w:t>The Odyssey of Homer</w:t>
      </w:r>
      <w:r>
        <w:t>, trans. by Pope, A., (London, Henry G. Bohn, 1858).</w:t>
      </w:r>
    </w:p>
    <w:p w14:paraId="75A4566E" w14:textId="4BFB5AB7" w:rsidR="007C7637" w:rsidRPr="007C7637" w:rsidRDefault="007C7637" w:rsidP="00A43B37">
      <w:pPr>
        <w:spacing w:line="480" w:lineRule="auto"/>
        <w:jc w:val="both"/>
      </w:pPr>
      <w:r w:rsidRPr="007C7637">
        <w:rPr>
          <w:rFonts w:eastAsia="Times New Roman"/>
          <w:i/>
          <w:iCs/>
          <w:color w:val="000000"/>
          <w:kern w:val="28"/>
          <w:lang w:eastAsia="en-GB"/>
          <w14:cntxtAlts/>
        </w:rPr>
        <w:t>The Catholic Bible: Douay-Rheims Version</w:t>
      </w:r>
      <w:r w:rsidRPr="007C7637">
        <w:rPr>
          <w:rFonts w:eastAsia="Times New Roman"/>
          <w:color w:val="000000"/>
          <w:kern w:val="28"/>
          <w:lang w:eastAsia="en-GB"/>
          <w14:cntxtAlts/>
        </w:rPr>
        <w:t>, (Cobh, St. Benedict's Priory, 2009).</w:t>
      </w:r>
    </w:p>
    <w:p w14:paraId="664771E3" w14:textId="2AC3141B" w:rsidR="007A7357" w:rsidRPr="007A7357" w:rsidRDefault="007A7357" w:rsidP="00A43B37">
      <w:pPr>
        <w:spacing w:line="480" w:lineRule="auto"/>
        <w:jc w:val="both"/>
      </w:pPr>
      <w:bookmarkStart w:id="10" w:name="_Hlk63366629"/>
      <w:r>
        <w:t xml:space="preserve">Theophilus of Antioch, </w:t>
      </w:r>
      <w:r>
        <w:rPr>
          <w:i/>
          <w:iCs/>
        </w:rPr>
        <w:t>Writings To Autolycus</w:t>
      </w:r>
      <w:r>
        <w:t xml:space="preserve">, in </w:t>
      </w:r>
      <w:r>
        <w:rPr>
          <w:i/>
          <w:iCs/>
        </w:rPr>
        <w:t>The Writings of the Early Christians of the Second Century; Namely, Athenagoras, Tatian, Theophilus, Hermias, Papias, Aristides, Quadratus, &amp;c.</w:t>
      </w:r>
      <w:r>
        <w:t>, trans. by Giles, J. A., (London, John Russel Smith, 1857).</w:t>
      </w:r>
      <w:r w:rsidR="007C7637">
        <w:t xml:space="preserve"> Pp. 119-192.</w:t>
      </w:r>
      <w:bookmarkEnd w:id="10"/>
    </w:p>
    <w:p w14:paraId="479D24B5" w14:textId="2F8BB71F" w:rsidR="00971DA8" w:rsidRDefault="00971DA8" w:rsidP="00A43B37">
      <w:pPr>
        <w:spacing w:line="480" w:lineRule="auto"/>
        <w:jc w:val="both"/>
        <w:rPr>
          <w:b/>
          <w:bCs/>
        </w:rPr>
      </w:pPr>
      <w:r>
        <w:rPr>
          <w:b/>
          <w:bCs/>
        </w:rPr>
        <w:t>Secondary Sources</w:t>
      </w:r>
    </w:p>
    <w:p w14:paraId="1DFCFC0E" w14:textId="5E5DE66E" w:rsidR="007C7637" w:rsidRDefault="007C7637" w:rsidP="00A43B37">
      <w:pPr>
        <w:spacing w:line="480" w:lineRule="auto"/>
        <w:jc w:val="both"/>
      </w:pPr>
      <w:r>
        <w:t xml:space="preserve">Becker, A. H., ‘Augustine’s Confessions’, in </w:t>
      </w:r>
      <w:r w:rsidRPr="002F4138">
        <w:rPr>
          <w:i/>
          <w:iCs/>
        </w:rPr>
        <w:t>The Cambridge Companion to Autobiography</w:t>
      </w:r>
      <w:r>
        <w:t>, ed. by M. DiBattista, M., and Wittman, E. O., (Cambridge, Cambridge University Press, 2014). Pp. 23-34.</w:t>
      </w:r>
    </w:p>
    <w:p w14:paraId="7DFFB992" w14:textId="77777777" w:rsidR="007C7637" w:rsidRDefault="007C7637" w:rsidP="00A43B37">
      <w:pPr>
        <w:spacing w:line="480" w:lineRule="auto"/>
        <w:jc w:val="both"/>
      </w:pPr>
      <w:r>
        <w:t xml:space="preserve">Fredriksen, P., ‘Confessions As Autobiography’, in </w:t>
      </w:r>
      <w:r w:rsidRPr="00562D17">
        <w:t xml:space="preserve">A </w:t>
      </w:r>
      <w:r w:rsidRPr="00562D17">
        <w:rPr>
          <w:i/>
          <w:iCs/>
        </w:rPr>
        <w:t>Companion to Augustine</w:t>
      </w:r>
      <w:r>
        <w:t>, ed. by Vessey, M., (Chichester, Blackwell Publishing Limited, 2012). Pp. 87-98.</w:t>
      </w:r>
    </w:p>
    <w:p w14:paraId="535DE705" w14:textId="1F165860" w:rsidR="007C7637" w:rsidRDefault="007C7637" w:rsidP="00A43B37">
      <w:pPr>
        <w:spacing w:line="480" w:lineRule="auto"/>
        <w:jc w:val="both"/>
      </w:pPr>
      <w:r>
        <w:lastRenderedPageBreak/>
        <w:t>O’Donovan, O., ‘</w:t>
      </w:r>
      <w:r w:rsidRPr="00245FC7">
        <w:t>"U</w:t>
      </w:r>
      <w:r>
        <w:t>sus</w:t>
      </w:r>
      <w:r w:rsidRPr="00245FC7">
        <w:t xml:space="preserve">" </w:t>
      </w:r>
      <w:r>
        <w:t>and</w:t>
      </w:r>
      <w:r w:rsidRPr="00245FC7">
        <w:t xml:space="preserve"> "F</w:t>
      </w:r>
      <w:r>
        <w:t>ruitio</w:t>
      </w:r>
      <w:r w:rsidRPr="00245FC7">
        <w:t xml:space="preserve">" </w:t>
      </w:r>
      <w:r>
        <w:t>in</w:t>
      </w:r>
      <w:r w:rsidRPr="00245FC7">
        <w:t xml:space="preserve"> A</w:t>
      </w:r>
      <w:r>
        <w:t>ugustine</w:t>
      </w:r>
      <w:r w:rsidRPr="00245FC7">
        <w:t>, "D</w:t>
      </w:r>
      <w:r>
        <w:t xml:space="preserve">e </w:t>
      </w:r>
      <w:r w:rsidRPr="00245FC7">
        <w:t>D</w:t>
      </w:r>
      <w:r>
        <w:t>octrina</w:t>
      </w:r>
      <w:r w:rsidRPr="00245FC7">
        <w:t xml:space="preserve"> C</w:t>
      </w:r>
      <w:r>
        <w:t>hristiania</w:t>
      </w:r>
      <w:r w:rsidRPr="00245FC7">
        <w:t>"</w:t>
      </w:r>
      <w:r>
        <w:t xml:space="preserve">’, </w:t>
      </w:r>
      <w:r w:rsidRPr="00245FC7">
        <w:rPr>
          <w:i/>
          <w:iCs/>
        </w:rPr>
        <w:t>The Journal of Theological Studies</w:t>
      </w:r>
      <w:r>
        <w:t>, 33(2), (1982). Pp. 361-397.</w:t>
      </w:r>
    </w:p>
    <w:p w14:paraId="21613AAF" w14:textId="64C9D1C2" w:rsidR="007C7637" w:rsidRDefault="007C7637" w:rsidP="00A43B37">
      <w:pPr>
        <w:spacing w:line="480" w:lineRule="auto"/>
        <w:jc w:val="both"/>
      </w:pPr>
      <w:r>
        <w:t xml:space="preserve">Oxford Languages, </w:t>
      </w:r>
      <w:r>
        <w:rPr>
          <w:i/>
          <w:iCs/>
        </w:rPr>
        <w:t>Oxford English Dictionary</w:t>
      </w:r>
      <w:r>
        <w:t>, (Oxford, Oxford University Press, 2012).</w:t>
      </w:r>
    </w:p>
    <w:p w14:paraId="2D80F591" w14:textId="44ADD0F9" w:rsidR="003E4596" w:rsidRDefault="003E4596" w:rsidP="00A43B37">
      <w:pPr>
        <w:spacing w:line="480" w:lineRule="auto"/>
        <w:jc w:val="both"/>
      </w:pPr>
      <w:r>
        <w:t>Robbins,</w:t>
      </w:r>
      <w:r>
        <w:t xml:space="preserve"> E.,</w:t>
      </w:r>
      <w:r>
        <w:t xml:space="preserve"> </w:t>
      </w:r>
      <w:r>
        <w:rPr>
          <w:i/>
          <w:iCs/>
        </w:rPr>
        <w:t>Elements Of Mythology; Or, Classical Fables Of The Greeks And Romans: To Which Are Added, Some Notices Of Syrian, Hindu, and Scandinavian Superstitions, Together With Those Of The American Nations: The Whole Comparing Polytheism With True Religion</w:t>
      </w:r>
      <w:r>
        <w:t>, (Pennsylvania, Moss, Brother &amp; Co., 1860).</w:t>
      </w:r>
    </w:p>
    <w:p w14:paraId="5B36B43A" w14:textId="459A972C" w:rsidR="00E53C44" w:rsidRDefault="00E53C44" w:rsidP="00A43B37">
      <w:pPr>
        <w:spacing w:line="480" w:lineRule="auto"/>
        <w:jc w:val="both"/>
      </w:pPr>
      <w:r>
        <w:t>Rosenak,</w:t>
      </w:r>
      <w:r>
        <w:t xml:space="preserve"> M.,</w:t>
      </w:r>
      <w:r>
        <w:t xml:space="preserve"> </w:t>
      </w:r>
      <w:r w:rsidRPr="00046D26">
        <w:rPr>
          <w:i/>
          <w:iCs/>
        </w:rPr>
        <w:t>Tree Of Life, Tree Of Knowledge: Conversations With The Torah</w:t>
      </w:r>
      <w:r>
        <w:rPr>
          <w:i/>
          <w:iCs/>
        </w:rPr>
        <w:t xml:space="preserve">, </w:t>
      </w:r>
      <w:r>
        <w:t>(Oxford, Routledge, 2018).</w:t>
      </w:r>
    </w:p>
    <w:p w14:paraId="7E032CB9" w14:textId="3BD58D2D" w:rsidR="00D20D4A" w:rsidRDefault="00D20D4A" w:rsidP="00A43B37">
      <w:pPr>
        <w:spacing w:line="480" w:lineRule="auto"/>
        <w:jc w:val="both"/>
        <w:rPr>
          <w:b/>
          <w:bCs/>
        </w:rPr>
      </w:pPr>
      <w:r>
        <w:rPr>
          <w:b/>
          <w:bCs/>
        </w:rPr>
        <w:t>Electronic Sources</w:t>
      </w:r>
    </w:p>
    <w:p w14:paraId="6F157635" w14:textId="6FEED41A" w:rsidR="00A43B37" w:rsidRPr="00A43B37" w:rsidRDefault="00A43B37" w:rsidP="00A43B37">
      <w:pPr>
        <w:pStyle w:val="FootnoteText"/>
        <w:spacing w:line="480" w:lineRule="auto"/>
        <w:rPr>
          <w:i/>
          <w:iCs/>
        </w:rPr>
      </w:pPr>
      <w:r>
        <w:t>Kneeskern,</w:t>
      </w:r>
      <w:r>
        <w:t xml:space="preserve"> E. E.,</w:t>
      </w:r>
      <w:r>
        <w:t xml:space="preserve"> &amp; Reeder, </w:t>
      </w:r>
      <w:r>
        <w:t xml:space="preserve">P. A., </w:t>
      </w:r>
      <w:r>
        <w:t>‘</w:t>
      </w:r>
      <w:r w:rsidRPr="004561C9">
        <w:t>Examining the impact of fiction literature on children’s gender stereotypes</w:t>
      </w:r>
      <w:r>
        <w:t xml:space="preserve">’, </w:t>
      </w:r>
      <w:r>
        <w:rPr>
          <w:i/>
          <w:iCs/>
        </w:rPr>
        <w:t>Current Psychology</w:t>
      </w:r>
      <w:r>
        <w:t xml:space="preserve">, (2020). Available from: </w:t>
      </w:r>
      <w:r w:rsidRPr="00A43B37">
        <w:t>https://link.springer.com/article/10.1007/s12144-020-00686-4</w:t>
      </w:r>
      <w:r>
        <w:t>. [Accessed: 06/02/2021]</w:t>
      </w:r>
    </w:p>
    <w:p w14:paraId="0A95C4E7" w14:textId="77777777" w:rsidR="00A43B37" w:rsidRDefault="00A43B37" w:rsidP="00C11681">
      <w:pPr>
        <w:spacing w:line="480" w:lineRule="auto"/>
        <w:jc w:val="both"/>
        <w:rPr>
          <w:b/>
          <w:bCs/>
        </w:rPr>
      </w:pPr>
    </w:p>
    <w:p w14:paraId="53273CF0" w14:textId="77777777" w:rsidR="00D20D4A" w:rsidRPr="00D20D4A" w:rsidRDefault="00D20D4A" w:rsidP="00C11681">
      <w:pPr>
        <w:spacing w:line="480" w:lineRule="auto"/>
        <w:jc w:val="both"/>
      </w:pPr>
    </w:p>
    <w:sectPr w:rsidR="00D20D4A" w:rsidRPr="00D20D4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32FE40" w14:textId="77777777" w:rsidR="00B652F6" w:rsidRDefault="00B652F6" w:rsidP="005D3045">
      <w:pPr>
        <w:spacing w:after="0" w:line="240" w:lineRule="auto"/>
      </w:pPr>
      <w:r>
        <w:separator/>
      </w:r>
    </w:p>
  </w:endnote>
  <w:endnote w:type="continuationSeparator" w:id="0">
    <w:p w14:paraId="4055CA77" w14:textId="77777777" w:rsidR="00B652F6" w:rsidRDefault="00B652F6" w:rsidP="005D3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6809A" w14:textId="77777777" w:rsidR="00B652F6" w:rsidRDefault="00B652F6" w:rsidP="005D3045">
      <w:pPr>
        <w:spacing w:after="0" w:line="240" w:lineRule="auto"/>
      </w:pPr>
      <w:r>
        <w:separator/>
      </w:r>
    </w:p>
  </w:footnote>
  <w:footnote w:type="continuationSeparator" w:id="0">
    <w:p w14:paraId="4D039966" w14:textId="77777777" w:rsidR="00B652F6" w:rsidRDefault="00B652F6" w:rsidP="005D3045">
      <w:pPr>
        <w:spacing w:after="0" w:line="240" w:lineRule="auto"/>
      </w:pPr>
      <w:r>
        <w:continuationSeparator/>
      </w:r>
    </w:p>
  </w:footnote>
  <w:footnote w:id="1">
    <w:p w14:paraId="6B5D2907" w14:textId="2BE45B14" w:rsidR="002F4138" w:rsidRPr="002F4138" w:rsidRDefault="002F4138" w:rsidP="00562D17">
      <w:pPr>
        <w:pStyle w:val="FootnoteText"/>
        <w:jc w:val="both"/>
      </w:pPr>
      <w:r>
        <w:rPr>
          <w:rStyle w:val="FootnoteReference"/>
        </w:rPr>
        <w:footnoteRef/>
      </w:r>
      <w:r>
        <w:t xml:space="preserve"> </w:t>
      </w:r>
      <w:bookmarkStart w:id="0" w:name="_Hlk63363466"/>
      <w:r w:rsidR="00245FC7">
        <w:t xml:space="preserve">A. H. </w:t>
      </w:r>
      <w:r>
        <w:t xml:space="preserve">Becker, ‘Augustine’s Confessions’, in </w:t>
      </w:r>
      <w:r w:rsidRPr="002F4138">
        <w:rPr>
          <w:i/>
          <w:iCs/>
        </w:rPr>
        <w:t>The Cambridge Companion to Autobiography</w:t>
      </w:r>
      <w:r>
        <w:t>, ed. by</w:t>
      </w:r>
      <w:r w:rsidR="00245FC7">
        <w:t xml:space="preserve"> M.</w:t>
      </w:r>
      <w:r>
        <w:t xml:space="preserve"> DiBattista, and </w:t>
      </w:r>
      <w:r w:rsidR="00245FC7">
        <w:t xml:space="preserve">E. O. </w:t>
      </w:r>
      <w:r>
        <w:t>Wittman, (Cambridge, Cambridge University Press, 2014). Pp. 23-34</w:t>
      </w:r>
      <w:bookmarkEnd w:id="0"/>
      <w:r>
        <w:t>, (P.23).</w:t>
      </w:r>
    </w:p>
  </w:footnote>
  <w:footnote w:id="2">
    <w:p w14:paraId="57D57D3C" w14:textId="79E45227" w:rsidR="00045649" w:rsidRPr="00045649" w:rsidRDefault="00045649" w:rsidP="00562D17">
      <w:pPr>
        <w:pStyle w:val="FootnoteText"/>
        <w:jc w:val="both"/>
      </w:pPr>
      <w:r>
        <w:rPr>
          <w:rStyle w:val="FootnoteReference"/>
        </w:rPr>
        <w:footnoteRef/>
      </w:r>
      <w:r>
        <w:t xml:space="preserve"> </w:t>
      </w:r>
      <w:bookmarkStart w:id="1" w:name="_Hlk63363547"/>
      <w:r>
        <w:t xml:space="preserve">Oxford Languages, </w:t>
      </w:r>
      <w:r>
        <w:rPr>
          <w:i/>
          <w:iCs/>
        </w:rPr>
        <w:t>Oxford English Dictionary</w:t>
      </w:r>
      <w:r>
        <w:t>, (Oxford, Oxford University Press, 2012)</w:t>
      </w:r>
      <w:bookmarkEnd w:id="1"/>
      <w:r>
        <w:t>. P. 42.</w:t>
      </w:r>
    </w:p>
  </w:footnote>
  <w:footnote w:id="3">
    <w:p w14:paraId="24B9650A" w14:textId="5988F8BE" w:rsidR="008220DC" w:rsidRDefault="008220DC" w:rsidP="00562D17">
      <w:pPr>
        <w:pStyle w:val="FootnoteText"/>
        <w:jc w:val="both"/>
      </w:pPr>
      <w:r>
        <w:rPr>
          <w:rStyle w:val="FootnoteReference"/>
        </w:rPr>
        <w:footnoteRef/>
      </w:r>
      <w:r>
        <w:t xml:space="preserve"> </w:t>
      </w:r>
      <w:bookmarkStart w:id="2" w:name="_Hlk63363718"/>
      <w:r w:rsidR="00245FC7">
        <w:t xml:space="preserve">P. </w:t>
      </w:r>
      <w:r>
        <w:t>Fredriksen, ‘Confessions As Autobiography</w:t>
      </w:r>
      <w:r w:rsidR="00562D17">
        <w:t xml:space="preserve">’, in </w:t>
      </w:r>
      <w:r w:rsidR="00562D17" w:rsidRPr="00562D17">
        <w:t xml:space="preserve">A </w:t>
      </w:r>
      <w:r w:rsidR="00562D17" w:rsidRPr="00562D17">
        <w:rPr>
          <w:i/>
          <w:iCs/>
        </w:rPr>
        <w:t>Companion to Augustine</w:t>
      </w:r>
      <w:r w:rsidR="00562D17">
        <w:t xml:space="preserve">, ed. by </w:t>
      </w:r>
      <w:r w:rsidR="00245FC7">
        <w:t xml:space="preserve">M. </w:t>
      </w:r>
      <w:r w:rsidR="00562D17">
        <w:t>Vessey, (Chichester, Blackwell Publishing Limited, 2012). Pp. 87-98</w:t>
      </w:r>
      <w:bookmarkEnd w:id="2"/>
      <w:r w:rsidR="00562D17">
        <w:t>, (P. 91).</w:t>
      </w:r>
    </w:p>
    <w:p w14:paraId="0981052F" w14:textId="0BE74081" w:rsidR="00562D17" w:rsidRPr="00562D17" w:rsidRDefault="00562D17" w:rsidP="00562D17">
      <w:pPr>
        <w:pStyle w:val="FootnoteText"/>
        <w:jc w:val="both"/>
      </w:pPr>
      <w:r>
        <w:t xml:space="preserve">&amp; </w:t>
      </w:r>
      <w:r w:rsidR="00D04ABE">
        <w:t>Aug</w:t>
      </w:r>
      <w:r w:rsidR="00927E3F">
        <w:t>ustine of Hippo</w:t>
      </w:r>
      <w:r w:rsidR="00D04ABE">
        <w:t xml:space="preserve">. </w:t>
      </w:r>
      <w:r w:rsidR="00D04ABE" w:rsidRPr="00927E3F">
        <w:rPr>
          <w:i/>
          <w:iCs/>
        </w:rPr>
        <w:t>Conf</w:t>
      </w:r>
      <w:r w:rsidR="00927E3F" w:rsidRPr="00927E3F">
        <w:rPr>
          <w:i/>
          <w:iCs/>
        </w:rPr>
        <w:t>essions</w:t>
      </w:r>
      <w:r w:rsidR="00D04ABE">
        <w:t xml:space="preserve">. </w:t>
      </w:r>
      <w:r w:rsidR="00B91377">
        <w:t>II: ix</w:t>
      </w:r>
      <w:r w:rsidR="00D04ABE">
        <w:t xml:space="preserve">-x, &amp; </w:t>
      </w:r>
      <w:r w:rsidR="00B91377">
        <w:t>X: i.</w:t>
      </w:r>
    </w:p>
  </w:footnote>
  <w:footnote w:id="4">
    <w:p w14:paraId="5CF199BE" w14:textId="6514B25F" w:rsidR="00157C7F" w:rsidRDefault="00157C7F">
      <w:pPr>
        <w:pStyle w:val="FootnoteText"/>
      </w:pPr>
      <w:r>
        <w:rPr>
          <w:rStyle w:val="FootnoteReference"/>
        </w:rPr>
        <w:footnoteRef/>
      </w:r>
      <w:r>
        <w:t xml:space="preserve"> Aug</w:t>
      </w:r>
      <w:r w:rsidR="00927E3F">
        <w:t>ustine of Hippo</w:t>
      </w:r>
      <w:r w:rsidR="00673941">
        <w:t>.</w:t>
      </w:r>
      <w:r w:rsidR="00927E3F">
        <w:t xml:space="preserve"> </w:t>
      </w:r>
      <w:r w:rsidR="00927E3F" w:rsidRPr="00927E3F">
        <w:rPr>
          <w:i/>
          <w:iCs/>
        </w:rPr>
        <w:t>On</w:t>
      </w:r>
      <w:r w:rsidRPr="00927E3F">
        <w:rPr>
          <w:i/>
          <w:iCs/>
        </w:rPr>
        <w:t xml:space="preserve"> </w:t>
      </w:r>
      <w:r w:rsidR="00927E3F" w:rsidRPr="00927E3F">
        <w:rPr>
          <w:i/>
          <w:iCs/>
        </w:rPr>
        <w:t xml:space="preserve">Christian </w:t>
      </w:r>
      <w:r w:rsidRPr="00927E3F">
        <w:rPr>
          <w:i/>
          <w:iCs/>
        </w:rPr>
        <w:t>Doct</w:t>
      </w:r>
      <w:r w:rsidR="00927E3F" w:rsidRPr="00927E3F">
        <w:rPr>
          <w:i/>
          <w:iCs/>
        </w:rPr>
        <w:t>rine</w:t>
      </w:r>
      <w:r>
        <w:t xml:space="preserve">. </w:t>
      </w:r>
      <w:r w:rsidR="00B91377">
        <w:t>I: iii</w:t>
      </w:r>
      <w:r>
        <w:t>-v.</w:t>
      </w:r>
    </w:p>
  </w:footnote>
  <w:footnote w:id="5">
    <w:p w14:paraId="04537458" w14:textId="2A647C8C" w:rsidR="00157C7F" w:rsidRDefault="00157C7F">
      <w:pPr>
        <w:pStyle w:val="FootnoteText"/>
      </w:pPr>
      <w:r>
        <w:rPr>
          <w:rStyle w:val="FootnoteReference"/>
        </w:rPr>
        <w:footnoteRef/>
      </w:r>
      <w:r>
        <w:t xml:space="preserve"> </w:t>
      </w:r>
      <w:r w:rsidR="00927E3F">
        <w:t xml:space="preserve">Aug. </w:t>
      </w:r>
      <w:r w:rsidR="00927E3F" w:rsidRPr="00927E3F">
        <w:rPr>
          <w:i/>
          <w:iCs/>
        </w:rPr>
        <w:t>Doct</w:t>
      </w:r>
      <w:r w:rsidR="00927E3F">
        <w:t>.</w:t>
      </w:r>
      <w:r>
        <w:t xml:space="preserve"> </w:t>
      </w:r>
      <w:r w:rsidR="00B91377">
        <w:t>I: v.</w:t>
      </w:r>
    </w:p>
  </w:footnote>
  <w:footnote w:id="6">
    <w:p w14:paraId="46873582" w14:textId="4FF1072C" w:rsidR="001973E9" w:rsidRDefault="001973E9">
      <w:pPr>
        <w:pStyle w:val="FootnoteText"/>
      </w:pPr>
      <w:r>
        <w:rPr>
          <w:rStyle w:val="FootnoteReference"/>
        </w:rPr>
        <w:footnoteRef/>
      </w:r>
      <w:r>
        <w:t xml:space="preserve"> Ibid, </w:t>
      </w:r>
      <w:r w:rsidR="00B91377">
        <w:t>I: iv</w:t>
      </w:r>
    </w:p>
  </w:footnote>
  <w:footnote w:id="7">
    <w:p w14:paraId="79DF247E" w14:textId="63770E9B" w:rsidR="00673941" w:rsidRDefault="00673941">
      <w:pPr>
        <w:pStyle w:val="FootnoteText"/>
      </w:pPr>
      <w:r>
        <w:rPr>
          <w:rStyle w:val="FootnoteReference"/>
        </w:rPr>
        <w:footnoteRef/>
      </w:r>
      <w:r>
        <w:t xml:space="preserve"> Aug. </w:t>
      </w:r>
      <w:r w:rsidRPr="00927E3F">
        <w:rPr>
          <w:i/>
          <w:iCs/>
        </w:rPr>
        <w:t>Conf</w:t>
      </w:r>
      <w:r>
        <w:t xml:space="preserve">. </w:t>
      </w:r>
      <w:r w:rsidR="00B91377">
        <w:t>II: iv</w:t>
      </w:r>
      <w:r>
        <w:t>-vi.</w:t>
      </w:r>
    </w:p>
  </w:footnote>
  <w:footnote w:id="8">
    <w:p w14:paraId="3E1E69AB" w14:textId="254373CA" w:rsidR="00B91377" w:rsidRDefault="00B91377">
      <w:pPr>
        <w:pStyle w:val="FootnoteText"/>
      </w:pPr>
      <w:r>
        <w:rPr>
          <w:rStyle w:val="FootnoteReference"/>
        </w:rPr>
        <w:footnoteRef/>
      </w:r>
      <w:r>
        <w:t xml:space="preserve"> </w:t>
      </w:r>
      <w:r w:rsidR="00C11681">
        <w:t xml:space="preserve">Aug. </w:t>
      </w:r>
      <w:r w:rsidR="00C11681" w:rsidRPr="00927E3F">
        <w:rPr>
          <w:i/>
          <w:iCs/>
        </w:rPr>
        <w:t>Conf</w:t>
      </w:r>
      <w:r w:rsidR="00C11681">
        <w:t>.</w:t>
      </w:r>
      <w:r>
        <w:t xml:space="preserve"> II: iv.</w:t>
      </w:r>
    </w:p>
  </w:footnote>
  <w:footnote w:id="9">
    <w:p w14:paraId="4744956A" w14:textId="0B365083" w:rsidR="00B91377" w:rsidRDefault="00B91377">
      <w:pPr>
        <w:pStyle w:val="FootnoteText"/>
      </w:pPr>
      <w:r>
        <w:rPr>
          <w:rStyle w:val="FootnoteReference"/>
        </w:rPr>
        <w:footnoteRef/>
      </w:r>
      <w:r>
        <w:t xml:space="preserve"> Ibid, II: iv.</w:t>
      </w:r>
    </w:p>
  </w:footnote>
  <w:footnote w:id="10">
    <w:p w14:paraId="06ADFCF7" w14:textId="6A37F877" w:rsidR="009E05A7" w:rsidRDefault="009E05A7">
      <w:pPr>
        <w:pStyle w:val="FootnoteText"/>
      </w:pPr>
      <w:r>
        <w:rPr>
          <w:rStyle w:val="FootnoteReference"/>
        </w:rPr>
        <w:footnoteRef/>
      </w:r>
      <w:r>
        <w:t xml:space="preserve"> Ibid, II: iv.</w:t>
      </w:r>
    </w:p>
  </w:footnote>
  <w:footnote w:id="11">
    <w:p w14:paraId="7A9F7BAA" w14:textId="04DE12ED" w:rsidR="009E05A7" w:rsidRDefault="009E05A7">
      <w:pPr>
        <w:pStyle w:val="FootnoteText"/>
      </w:pPr>
      <w:r>
        <w:rPr>
          <w:rStyle w:val="FootnoteReference"/>
        </w:rPr>
        <w:footnoteRef/>
      </w:r>
      <w:r>
        <w:t xml:space="preserve"> Aug. </w:t>
      </w:r>
      <w:r w:rsidRPr="00927E3F">
        <w:rPr>
          <w:i/>
          <w:iCs/>
        </w:rPr>
        <w:t>Doct</w:t>
      </w:r>
      <w:r>
        <w:t>. I: iv.</w:t>
      </w:r>
    </w:p>
  </w:footnote>
  <w:footnote w:id="12">
    <w:p w14:paraId="2E795F37" w14:textId="448FEE5B" w:rsidR="00682670" w:rsidRPr="00245FC7" w:rsidRDefault="00682670">
      <w:pPr>
        <w:pStyle w:val="FootnoteText"/>
      </w:pPr>
      <w:r>
        <w:rPr>
          <w:rStyle w:val="FootnoteReference"/>
        </w:rPr>
        <w:footnoteRef/>
      </w:r>
      <w:r>
        <w:t xml:space="preserve"> </w:t>
      </w:r>
      <w:r w:rsidR="00245FC7">
        <w:t xml:space="preserve">O. </w:t>
      </w:r>
      <w:r>
        <w:t>O’Donova</w:t>
      </w:r>
      <w:r w:rsidR="00245FC7">
        <w:t>n, ‘</w:t>
      </w:r>
      <w:r w:rsidR="00245FC7" w:rsidRPr="00245FC7">
        <w:t>"U</w:t>
      </w:r>
      <w:r w:rsidR="00245FC7">
        <w:t>sus</w:t>
      </w:r>
      <w:r w:rsidR="00245FC7" w:rsidRPr="00245FC7">
        <w:t xml:space="preserve">" </w:t>
      </w:r>
      <w:r w:rsidR="00245FC7">
        <w:t>and</w:t>
      </w:r>
      <w:r w:rsidR="00245FC7" w:rsidRPr="00245FC7">
        <w:t xml:space="preserve"> "F</w:t>
      </w:r>
      <w:r w:rsidR="00245FC7">
        <w:t>ruitio</w:t>
      </w:r>
      <w:r w:rsidR="00245FC7" w:rsidRPr="00245FC7">
        <w:t xml:space="preserve">" </w:t>
      </w:r>
      <w:r w:rsidR="00245FC7">
        <w:t>in</w:t>
      </w:r>
      <w:r w:rsidR="00245FC7" w:rsidRPr="00245FC7">
        <w:t xml:space="preserve"> A</w:t>
      </w:r>
      <w:r w:rsidR="00245FC7">
        <w:t>ugustine</w:t>
      </w:r>
      <w:r w:rsidR="00245FC7" w:rsidRPr="00245FC7">
        <w:t>, "D</w:t>
      </w:r>
      <w:r w:rsidR="00245FC7">
        <w:t xml:space="preserve">e </w:t>
      </w:r>
      <w:r w:rsidR="00245FC7" w:rsidRPr="00245FC7">
        <w:t>D</w:t>
      </w:r>
      <w:r w:rsidR="00245FC7">
        <w:t>octrina</w:t>
      </w:r>
      <w:r w:rsidR="00245FC7" w:rsidRPr="00245FC7">
        <w:t xml:space="preserve"> C</w:t>
      </w:r>
      <w:r w:rsidR="00245FC7">
        <w:t>hristiania</w:t>
      </w:r>
      <w:r w:rsidR="00245FC7" w:rsidRPr="00245FC7">
        <w:t>"</w:t>
      </w:r>
      <w:r w:rsidR="00245FC7">
        <w:t xml:space="preserve">’, </w:t>
      </w:r>
      <w:r w:rsidR="00245FC7" w:rsidRPr="00245FC7">
        <w:rPr>
          <w:i/>
          <w:iCs/>
        </w:rPr>
        <w:t>The Journal of Theological Studies</w:t>
      </w:r>
      <w:r w:rsidR="00245FC7">
        <w:t>, 33(2), (1982). Pp. 361-397 (P. 361).</w:t>
      </w:r>
    </w:p>
  </w:footnote>
  <w:footnote w:id="13">
    <w:p w14:paraId="74DC7BCE" w14:textId="4FAE6E8F" w:rsidR="00C11681" w:rsidRDefault="00C11681">
      <w:pPr>
        <w:pStyle w:val="FootnoteText"/>
      </w:pPr>
      <w:r>
        <w:rPr>
          <w:rStyle w:val="FootnoteReference"/>
        </w:rPr>
        <w:footnoteRef/>
      </w:r>
      <w:r>
        <w:t xml:space="preserve"> Aug. </w:t>
      </w:r>
      <w:r w:rsidRPr="00927E3F">
        <w:rPr>
          <w:i/>
          <w:iCs/>
        </w:rPr>
        <w:t>Conf</w:t>
      </w:r>
      <w:r>
        <w:t>. II: iv.</w:t>
      </w:r>
    </w:p>
  </w:footnote>
  <w:footnote w:id="14">
    <w:p w14:paraId="7A32E0FB" w14:textId="60216787" w:rsidR="00C11681" w:rsidRDefault="00C11681">
      <w:pPr>
        <w:pStyle w:val="FootnoteText"/>
      </w:pPr>
      <w:r>
        <w:rPr>
          <w:rStyle w:val="FootnoteReference"/>
        </w:rPr>
        <w:footnoteRef/>
      </w:r>
      <w:r>
        <w:t xml:space="preserve"> Ibid, II: v.</w:t>
      </w:r>
    </w:p>
  </w:footnote>
  <w:footnote w:id="15">
    <w:p w14:paraId="7249B66B" w14:textId="2EA189DE" w:rsidR="001A3EE9" w:rsidRDefault="001A3EE9">
      <w:pPr>
        <w:pStyle w:val="FootnoteText"/>
      </w:pPr>
      <w:r>
        <w:rPr>
          <w:rStyle w:val="FootnoteReference"/>
        </w:rPr>
        <w:footnoteRef/>
      </w:r>
      <w:r>
        <w:t xml:space="preserve"> Ibid, VIII: xii.</w:t>
      </w:r>
    </w:p>
  </w:footnote>
  <w:footnote w:id="16">
    <w:p w14:paraId="7D39A8CA" w14:textId="44FE1704" w:rsidR="00A17A92" w:rsidRDefault="00A17A92">
      <w:pPr>
        <w:pStyle w:val="FootnoteText"/>
      </w:pPr>
      <w:r>
        <w:rPr>
          <w:rStyle w:val="FootnoteReference"/>
        </w:rPr>
        <w:footnoteRef/>
      </w:r>
      <w:r>
        <w:t xml:space="preserve"> Ibid, VIII: xii.</w:t>
      </w:r>
    </w:p>
  </w:footnote>
  <w:footnote w:id="17">
    <w:p w14:paraId="0BF1B6BE" w14:textId="3F4D1297" w:rsidR="00DE654D" w:rsidRPr="00DE654D" w:rsidRDefault="00DE654D">
      <w:pPr>
        <w:pStyle w:val="FootnoteText"/>
      </w:pPr>
      <w:r>
        <w:rPr>
          <w:rStyle w:val="FootnoteReference"/>
        </w:rPr>
        <w:footnoteRef/>
      </w:r>
      <w:r>
        <w:t xml:space="preserve"> </w:t>
      </w:r>
      <w:bookmarkStart w:id="3" w:name="_Hlk63362274"/>
      <w:r w:rsidRPr="00DE654D">
        <w:t>Aurelius Augustinus Hipponensis</w:t>
      </w:r>
      <w:r>
        <w:t xml:space="preserve">, </w:t>
      </w:r>
      <w:r>
        <w:rPr>
          <w:i/>
          <w:iCs/>
        </w:rPr>
        <w:t>Confessions</w:t>
      </w:r>
      <w:r>
        <w:t>, trans. by H. Chadwick, (Oxford, Oxford University Press, 2008)</w:t>
      </w:r>
      <w:bookmarkEnd w:id="3"/>
      <w:r>
        <w:t>. P. 152.</w:t>
      </w:r>
    </w:p>
  </w:footnote>
  <w:footnote w:id="18">
    <w:p w14:paraId="0AE419D5" w14:textId="76C2BEF3" w:rsidR="004454DD" w:rsidRDefault="004454DD">
      <w:pPr>
        <w:pStyle w:val="FootnoteText"/>
      </w:pPr>
      <w:r>
        <w:rPr>
          <w:rStyle w:val="FootnoteReference"/>
        </w:rPr>
        <w:footnoteRef/>
      </w:r>
      <w:r>
        <w:t xml:space="preserve"> </w:t>
      </w:r>
      <w:r w:rsidR="00DE654D">
        <w:t xml:space="preserve">Aug. </w:t>
      </w:r>
      <w:r w:rsidR="00DE654D" w:rsidRPr="00927E3F">
        <w:rPr>
          <w:i/>
          <w:iCs/>
        </w:rPr>
        <w:t>Conf</w:t>
      </w:r>
      <w:r w:rsidR="00DE654D">
        <w:t>.</w:t>
      </w:r>
      <w:r>
        <w:t xml:space="preserve"> VIII; xii</w:t>
      </w:r>
    </w:p>
  </w:footnote>
  <w:footnote w:id="19">
    <w:p w14:paraId="2E1C2EFE" w14:textId="7D1D0082" w:rsidR="00DE654D" w:rsidRDefault="00DE654D">
      <w:pPr>
        <w:pStyle w:val="FootnoteText"/>
      </w:pPr>
      <w:r>
        <w:rPr>
          <w:rStyle w:val="FootnoteReference"/>
        </w:rPr>
        <w:footnoteRef/>
      </w:r>
      <w:r>
        <w:t xml:space="preserve"> </w:t>
      </w:r>
      <w:r w:rsidR="00896CDF">
        <w:t>Ibid, II: iv &amp; VIII: xii</w:t>
      </w:r>
    </w:p>
  </w:footnote>
  <w:footnote w:id="20">
    <w:p w14:paraId="378981E7" w14:textId="78605328" w:rsidR="00971DA8" w:rsidRDefault="00971DA8">
      <w:pPr>
        <w:pStyle w:val="FootnoteText"/>
      </w:pPr>
      <w:r>
        <w:rPr>
          <w:rStyle w:val="FootnoteReference"/>
        </w:rPr>
        <w:footnoteRef/>
      </w:r>
      <w:r>
        <w:t xml:space="preserve"> </w:t>
      </w:r>
      <w:r w:rsidRPr="00971DA8">
        <w:rPr>
          <w:i/>
          <w:iCs/>
        </w:rPr>
        <w:t>Gen</w:t>
      </w:r>
      <w:r w:rsidR="00A16CCE">
        <w:rPr>
          <w:i/>
          <w:iCs/>
        </w:rPr>
        <w:t>esis</w:t>
      </w:r>
      <w:r>
        <w:t>. 3: 1-24.</w:t>
      </w:r>
    </w:p>
    <w:p w14:paraId="59FA478A" w14:textId="7A858CA0" w:rsidR="00971DA8" w:rsidRPr="00971DA8" w:rsidRDefault="00971DA8">
      <w:pPr>
        <w:pStyle w:val="FootnoteText"/>
      </w:pPr>
      <w:r>
        <w:t xml:space="preserve">&amp; Theophilus of Antioch, </w:t>
      </w:r>
      <w:r>
        <w:rPr>
          <w:i/>
          <w:iCs/>
        </w:rPr>
        <w:t>Writing To Autolycus</w:t>
      </w:r>
      <w:r>
        <w:t xml:space="preserve">, II: </w:t>
      </w:r>
      <w:r w:rsidR="005E48F8">
        <w:t>x</w:t>
      </w:r>
      <w:r>
        <w:t>xiv-</w:t>
      </w:r>
      <w:r w:rsidR="005E48F8">
        <w:t>x</w:t>
      </w:r>
      <w:r>
        <w:t>xvii</w:t>
      </w:r>
    </w:p>
  </w:footnote>
  <w:footnote w:id="21">
    <w:p w14:paraId="13BEED65" w14:textId="7485E3E9" w:rsidR="00840713" w:rsidRDefault="00840713">
      <w:pPr>
        <w:pStyle w:val="FootnoteText"/>
      </w:pPr>
      <w:r>
        <w:rPr>
          <w:rStyle w:val="FootnoteReference"/>
        </w:rPr>
        <w:footnoteRef/>
      </w:r>
      <w:r>
        <w:t xml:space="preserve"> Aug. </w:t>
      </w:r>
      <w:r w:rsidRPr="00A16CCE">
        <w:rPr>
          <w:i/>
          <w:iCs/>
        </w:rPr>
        <w:t>Conf</w:t>
      </w:r>
      <w:r>
        <w:t>. II: ix.</w:t>
      </w:r>
    </w:p>
  </w:footnote>
  <w:footnote w:id="22">
    <w:p w14:paraId="2CB04657" w14:textId="07035655" w:rsidR="00A16CCE" w:rsidRPr="00A16CCE" w:rsidRDefault="00A16CCE">
      <w:pPr>
        <w:pStyle w:val="FootnoteText"/>
      </w:pPr>
      <w:r>
        <w:rPr>
          <w:rStyle w:val="FootnoteReference"/>
        </w:rPr>
        <w:footnoteRef/>
      </w:r>
      <w:r>
        <w:t xml:space="preserve"> </w:t>
      </w:r>
      <w:r>
        <w:rPr>
          <w:i/>
          <w:iCs/>
        </w:rPr>
        <w:t>Gen</w:t>
      </w:r>
      <w:r>
        <w:t>. 3: 6.</w:t>
      </w:r>
    </w:p>
  </w:footnote>
  <w:footnote w:id="23">
    <w:p w14:paraId="6373E76D" w14:textId="53B1CFB7" w:rsidR="00A16CCE" w:rsidRPr="00A16CCE" w:rsidRDefault="00A16CCE">
      <w:pPr>
        <w:pStyle w:val="FootnoteText"/>
      </w:pPr>
      <w:r>
        <w:rPr>
          <w:rStyle w:val="FootnoteReference"/>
        </w:rPr>
        <w:footnoteRef/>
      </w:r>
      <w:r>
        <w:t xml:space="preserve"> Aug. </w:t>
      </w:r>
      <w:r>
        <w:rPr>
          <w:i/>
          <w:iCs/>
        </w:rPr>
        <w:t>Conf</w:t>
      </w:r>
      <w:r>
        <w:t>. II: i</w:t>
      </w:r>
      <w:r w:rsidR="00F67659">
        <w:t>x</w:t>
      </w:r>
      <w:r>
        <w:t>.</w:t>
      </w:r>
    </w:p>
  </w:footnote>
  <w:footnote w:id="24">
    <w:p w14:paraId="298D55E1" w14:textId="6514A8CC" w:rsidR="00A16CCE" w:rsidRDefault="00A16CCE">
      <w:pPr>
        <w:pStyle w:val="FootnoteText"/>
      </w:pPr>
      <w:r>
        <w:rPr>
          <w:rStyle w:val="FootnoteReference"/>
        </w:rPr>
        <w:footnoteRef/>
      </w:r>
      <w:r>
        <w:t xml:space="preserve"> Aug. </w:t>
      </w:r>
      <w:r>
        <w:rPr>
          <w:i/>
          <w:iCs/>
        </w:rPr>
        <w:t>Conf</w:t>
      </w:r>
      <w:r>
        <w:t xml:space="preserve">. </w:t>
      </w:r>
      <w:r w:rsidR="00F67659">
        <w:t>IV: ix.</w:t>
      </w:r>
    </w:p>
    <w:p w14:paraId="649C906B" w14:textId="69243D2D" w:rsidR="00F67659" w:rsidRPr="00F67659" w:rsidRDefault="00F67659">
      <w:pPr>
        <w:pStyle w:val="FootnoteText"/>
      </w:pPr>
      <w:r>
        <w:t xml:space="preserve">&amp; </w:t>
      </w:r>
      <w:r>
        <w:rPr>
          <w:i/>
          <w:iCs/>
        </w:rPr>
        <w:t>Gen</w:t>
      </w:r>
      <w:r>
        <w:t>. 3: 6.</w:t>
      </w:r>
    </w:p>
  </w:footnote>
  <w:footnote w:id="25">
    <w:p w14:paraId="2E026B92" w14:textId="24B8278B" w:rsidR="00F67659" w:rsidRDefault="00F67659">
      <w:pPr>
        <w:pStyle w:val="FootnoteText"/>
      </w:pPr>
      <w:r>
        <w:rPr>
          <w:rStyle w:val="FootnoteReference"/>
        </w:rPr>
        <w:footnoteRef/>
      </w:r>
      <w:r>
        <w:t xml:space="preserve"> Aug. </w:t>
      </w:r>
      <w:r>
        <w:rPr>
          <w:i/>
          <w:iCs/>
        </w:rPr>
        <w:t xml:space="preserve">Conf. </w:t>
      </w:r>
      <w:r>
        <w:t>II: ix</w:t>
      </w:r>
    </w:p>
    <w:p w14:paraId="47D1C10F" w14:textId="4839C434" w:rsidR="00F67659" w:rsidRPr="00F67659" w:rsidRDefault="00F67659">
      <w:pPr>
        <w:pStyle w:val="FootnoteText"/>
      </w:pPr>
      <w:r>
        <w:t xml:space="preserve">&amp; </w:t>
      </w:r>
      <w:r w:rsidRPr="00A503FA">
        <w:rPr>
          <w:i/>
          <w:iCs/>
        </w:rPr>
        <w:t>Gen</w:t>
      </w:r>
      <w:r>
        <w:t>, 3: 12.</w:t>
      </w:r>
    </w:p>
  </w:footnote>
  <w:footnote w:id="26">
    <w:p w14:paraId="62D96855" w14:textId="4966165A" w:rsidR="00A503FA" w:rsidRDefault="00A503FA">
      <w:pPr>
        <w:pStyle w:val="FootnoteText"/>
      </w:pPr>
      <w:r>
        <w:rPr>
          <w:rStyle w:val="FootnoteReference"/>
        </w:rPr>
        <w:footnoteRef/>
      </w:r>
      <w:r>
        <w:t xml:space="preserve"> Aug. </w:t>
      </w:r>
      <w:r>
        <w:rPr>
          <w:i/>
          <w:iCs/>
        </w:rPr>
        <w:t>Conf</w:t>
      </w:r>
      <w:r>
        <w:t>. I: vii, &amp; II: iv</w:t>
      </w:r>
    </w:p>
    <w:p w14:paraId="499354A1" w14:textId="298861C6" w:rsidR="00A503FA" w:rsidRPr="00A503FA" w:rsidRDefault="00A503FA">
      <w:pPr>
        <w:pStyle w:val="FootnoteText"/>
      </w:pPr>
      <w:r>
        <w:t xml:space="preserve">&amp; </w:t>
      </w:r>
      <w:r>
        <w:rPr>
          <w:i/>
          <w:iCs/>
        </w:rPr>
        <w:t>Gen</w:t>
      </w:r>
      <w:r>
        <w:t>, 3: 16-19.</w:t>
      </w:r>
    </w:p>
  </w:footnote>
  <w:footnote w:id="27">
    <w:p w14:paraId="0A78C2DD" w14:textId="28DE3446" w:rsidR="005907B0" w:rsidRPr="005907B0" w:rsidRDefault="005907B0">
      <w:pPr>
        <w:pStyle w:val="FootnoteText"/>
      </w:pPr>
      <w:r>
        <w:rPr>
          <w:rStyle w:val="FootnoteReference"/>
        </w:rPr>
        <w:footnoteRef/>
      </w:r>
      <w:r>
        <w:t xml:space="preserve"> Aug. </w:t>
      </w:r>
      <w:r w:rsidRPr="005907B0">
        <w:rPr>
          <w:i/>
          <w:iCs/>
        </w:rPr>
        <w:t>Conf</w:t>
      </w:r>
      <w:r>
        <w:t xml:space="preserve">. </w:t>
      </w:r>
      <w:r w:rsidRPr="005907B0">
        <w:t>VIII</w:t>
      </w:r>
      <w:r>
        <w:t>: xii.</w:t>
      </w:r>
    </w:p>
  </w:footnote>
  <w:footnote w:id="28">
    <w:p w14:paraId="511D8D9E" w14:textId="5397CC75" w:rsidR="00046D26" w:rsidRDefault="00046D26">
      <w:pPr>
        <w:pStyle w:val="FootnoteText"/>
      </w:pPr>
      <w:r>
        <w:rPr>
          <w:rStyle w:val="FootnoteReference"/>
        </w:rPr>
        <w:footnoteRef/>
      </w:r>
      <w:r>
        <w:t xml:space="preserve"> Ibid, I: vii, &amp; VIII: xii.</w:t>
      </w:r>
    </w:p>
  </w:footnote>
  <w:footnote w:id="29">
    <w:p w14:paraId="2BA08235" w14:textId="15C91FFF" w:rsidR="00046D26" w:rsidRPr="00046D26" w:rsidRDefault="00046D26">
      <w:pPr>
        <w:pStyle w:val="FootnoteText"/>
      </w:pPr>
      <w:r>
        <w:rPr>
          <w:rStyle w:val="FootnoteReference"/>
        </w:rPr>
        <w:footnoteRef/>
      </w:r>
      <w:r>
        <w:t xml:space="preserve"> M. Rosenak, </w:t>
      </w:r>
      <w:r w:rsidRPr="00046D26">
        <w:rPr>
          <w:i/>
          <w:iCs/>
        </w:rPr>
        <w:t>Tree Of Life, Tree Of Knowledge: Conversations With The Torah</w:t>
      </w:r>
      <w:r w:rsidR="00E53C44">
        <w:rPr>
          <w:i/>
          <w:iCs/>
        </w:rPr>
        <w:t xml:space="preserve">, </w:t>
      </w:r>
      <w:r>
        <w:t>(Oxford, Routledge, 2018).</w:t>
      </w:r>
      <w:r w:rsidR="00E53C44">
        <w:t xml:space="preserve"> P. 14.</w:t>
      </w:r>
    </w:p>
  </w:footnote>
  <w:footnote w:id="30">
    <w:p w14:paraId="552F249C" w14:textId="2D7E0100" w:rsidR="00046D26" w:rsidRDefault="00046D26">
      <w:pPr>
        <w:pStyle w:val="FootnoteText"/>
      </w:pPr>
      <w:r>
        <w:rPr>
          <w:rStyle w:val="FootnoteReference"/>
        </w:rPr>
        <w:footnoteRef/>
      </w:r>
      <w:r>
        <w:t xml:space="preserve"> </w:t>
      </w:r>
      <w:r w:rsidR="005E48F8">
        <w:t xml:space="preserve">Aug. </w:t>
      </w:r>
      <w:r w:rsidR="005E48F8">
        <w:rPr>
          <w:i/>
          <w:iCs/>
        </w:rPr>
        <w:t>Conf.</w:t>
      </w:r>
      <w:r w:rsidR="005E48F8">
        <w:t xml:space="preserve"> IX: iv-vi</w:t>
      </w:r>
    </w:p>
    <w:p w14:paraId="55F92501" w14:textId="279C06B4" w:rsidR="005E48F8" w:rsidRPr="005E48F8" w:rsidRDefault="005E48F8">
      <w:pPr>
        <w:pStyle w:val="FootnoteText"/>
      </w:pPr>
      <w:r>
        <w:t xml:space="preserve">&amp; Theo. </w:t>
      </w:r>
      <w:r>
        <w:rPr>
          <w:i/>
          <w:iCs/>
        </w:rPr>
        <w:t>Aut</w:t>
      </w:r>
      <w:r>
        <w:t>. II: xxvii.</w:t>
      </w:r>
    </w:p>
  </w:footnote>
  <w:footnote w:id="31">
    <w:p w14:paraId="62A554E7" w14:textId="7ED567A1" w:rsidR="005E48F8" w:rsidRPr="005E48F8" w:rsidRDefault="005E48F8">
      <w:pPr>
        <w:pStyle w:val="FootnoteText"/>
      </w:pPr>
      <w:r>
        <w:rPr>
          <w:rStyle w:val="FootnoteReference"/>
        </w:rPr>
        <w:footnoteRef/>
      </w:r>
      <w:r>
        <w:t xml:space="preserve"> Aug. </w:t>
      </w:r>
      <w:r>
        <w:rPr>
          <w:i/>
          <w:iCs/>
        </w:rPr>
        <w:t>Conf.</w:t>
      </w:r>
      <w:r>
        <w:t xml:space="preserve"> I: vii.</w:t>
      </w:r>
    </w:p>
  </w:footnote>
  <w:footnote w:id="32">
    <w:p w14:paraId="60B7187F" w14:textId="0053C8D6" w:rsidR="004561C9" w:rsidRDefault="004561C9">
      <w:pPr>
        <w:pStyle w:val="FootnoteText"/>
      </w:pPr>
      <w:r>
        <w:rPr>
          <w:rStyle w:val="FootnoteReference"/>
        </w:rPr>
        <w:footnoteRef/>
      </w:r>
      <w:r>
        <w:t xml:space="preserve"> Aug. </w:t>
      </w:r>
      <w:r>
        <w:rPr>
          <w:i/>
          <w:iCs/>
        </w:rPr>
        <w:t>Conf</w:t>
      </w:r>
      <w:r>
        <w:t>. I: xiii-xiv.</w:t>
      </w:r>
    </w:p>
    <w:p w14:paraId="294C5B03" w14:textId="447A322E" w:rsidR="004561C9" w:rsidRPr="00A43B37" w:rsidRDefault="004561C9">
      <w:pPr>
        <w:pStyle w:val="FootnoteText"/>
        <w:rPr>
          <w:i/>
          <w:iCs/>
        </w:rPr>
      </w:pPr>
      <w:bookmarkStart w:id="4" w:name="_Hlk63531202"/>
      <w:bookmarkStart w:id="5" w:name="_Hlk63531203"/>
      <w:bookmarkStart w:id="6" w:name="_Hlk63531204"/>
      <w:bookmarkStart w:id="7" w:name="_Hlk63531205"/>
      <w:r>
        <w:t>&amp; E. E. Kneeskern, &amp; P. A. Reeder, ‘</w:t>
      </w:r>
      <w:r w:rsidRPr="004561C9">
        <w:t>Examining the impact of fiction literature on children’s gender stereotypes</w:t>
      </w:r>
      <w:r>
        <w:t xml:space="preserve">’, </w:t>
      </w:r>
      <w:r w:rsidR="00A43B37">
        <w:rPr>
          <w:i/>
          <w:iCs/>
        </w:rPr>
        <w:t>Current Psychology</w:t>
      </w:r>
      <w:r w:rsidR="00A43B37">
        <w:t xml:space="preserve">, (2020). Available from: </w:t>
      </w:r>
      <w:r w:rsidR="00A43B37" w:rsidRPr="00A43B37">
        <w:t>https://link.springer.com/article/10.1007/s12144-020-00686-4</w:t>
      </w:r>
      <w:r w:rsidR="00A43B37">
        <w:t>. [Accessed: 06/02/2021]</w:t>
      </w:r>
      <w:bookmarkEnd w:id="4"/>
      <w:bookmarkEnd w:id="5"/>
      <w:bookmarkEnd w:id="6"/>
      <w:bookmarkEnd w:id="7"/>
    </w:p>
  </w:footnote>
  <w:footnote w:id="33">
    <w:p w14:paraId="3AFB8734" w14:textId="06A79A4E" w:rsidR="0062473C" w:rsidRPr="0062473C" w:rsidRDefault="0062473C">
      <w:pPr>
        <w:pStyle w:val="FootnoteText"/>
      </w:pPr>
      <w:r>
        <w:rPr>
          <w:rStyle w:val="FootnoteReference"/>
        </w:rPr>
        <w:footnoteRef/>
      </w:r>
      <w:r>
        <w:t xml:space="preserve"> Homer, </w:t>
      </w:r>
      <w:r>
        <w:rPr>
          <w:i/>
          <w:iCs/>
        </w:rPr>
        <w:t>Odyssey</w:t>
      </w:r>
      <w:r>
        <w:t xml:space="preserve">, XI: </w:t>
      </w:r>
      <w:r w:rsidR="00523E63">
        <w:t>727-</w:t>
      </w:r>
      <w:r>
        <w:t>729.</w:t>
      </w:r>
    </w:p>
  </w:footnote>
  <w:footnote w:id="34">
    <w:p w14:paraId="75C0D727" w14:textId="1A4B5520" w:rsidR="00B80E01" w:rsidRDefault="00B80E01">
      <w:pPr>
        <w:pStyle w:val="FootnoteText"/>
      </w:pPr>
      <w:r>
        <w:rPr>
          <w:rStyle w:val="FootnoteReference"/>
        </w:rPr>
        <w:footnoteRef/>
      </w:r>
      <w:bookmarkStart w:id="8" w:name="_Hlk63532881"/>
      <w:r>
        <w:t xml:space="preserve"> E. Robbins, </w:t>
      </w:r>
      <w:r>
        <w:rPr>
          <w:i/>
          <w:iCs/>
        </w:rPr>
        <w:t>Elements Of Mythology; Or, Classical Fables Of The Greeks And Romans: To Which Are Added, Some Notices Of Syrian, Hindu, and Scandinavian Superstitions, Together With Those Of The American Nations: The Whole Comparing Polytheism With True Religion</w:t>
      </w:r>
      <w:r>
        <w:t>, (Pennsylvania</w:t>
      </w:r>
      <w:r w:rsidR="003E4596">
        <w:t xml:space="preserve">, Moss, Brother &amp; Co., 1860). </w:t>
      </w:r>
      <w:bookmarkEnd w:id="8"/>
      <w:r w:rsidR="003E4596">
        <w:t>P. 110.</w:t>
      </w:r>
      <w:r>
        <w:t xml:space="preserve"> </w:t>
      </w:r>
    </w:p>
    <w:p w14:paraId="570D77ED" w14:textId="4F491253" w:rsidR="003E4596" w:rsidRPr="003E4596" w:rsidRDefault="003E4596">
      <w:pPr>
        <w:pStyle w:val="FootnoteText"/>
      </w:pPr>
      <w:r>
        <w:t xml:space="preserve">&amp; Aug. </w:t>
      </w:r>
      <w:r>
        <w:rPr>
          <w:i/>
          <w:iCs/>
        </w:rPr>
        <w:t>Conf</w:t>
      </w:r>
      <w:r>
        <w:t>. II: v-x.</w:t>
      </w:r>
    </w:p>
  </w:footnote>
  <w:footnote w:id="35">
    <w:p w14:paraId="56B4AF0A" w14:textId="531DADB3" w:rsidR="00523E63" w:rsidRDefault="00523E63">
      <w:pPr>
        <w:pStyle w:val="FootnoteText"/>
      </w:pPr>
      <w:r>
        <w:rPr>
          <w:rStyle w:val="FootnoteReference"/>
        </w:rPr>
        <w:footnoteRef/>
      </w:r>
      <w:r>
        <w:t xml:space="preserve"> Aug. </w:t>
      </w:r>
      <w:r>
        <w:rPr>
          <w:i/>
          <w:iCs/>
        </w:rPr>
        <w:t>Conf</w:t>
      </w:r>
      <w:r>
        <w:t>. I: vii</w:t>
      </w:r>
    </w:p>
    <w:p w14:paraId="349D9826" w14:textId="6DCC2787" w:rsidR="00523E63" w:rsidRPr="00523E63" w:rsidRDefault="00523E63">
      <w:pPr>
        <w:pStyle w:val="FootnoteText"/>
      </w:pPr>
      <w:r>
        <w:t xml:space="preserve">&amp; </w:t>
      </w:r>
      <w:r>
        <w:rPr>
          <w:i/>
          <w:iCs/>
        </w:rPr>
        <w:t>Gen</w:t>
      </w:r>
      <w:r>
        <w:t>. 3: 17-19</w:t>
      </w:r>
    </w:p>
  </w:footnote>
  <w:footnote w:id="36">
    <w:p w14:paraId="6E190974" w14:textId="63A8DEC9" w:rsidR="0058143A" w:rsidRDefault="0058143A">
      <w:pPr>
        <w:pStyle w:val="FootnoteText"/>
      </w:pPr>
      <w:r>
        <w:rPr>
          <w:rStyle w:val="FootnoteReference"/>
        </w:rPr>
        <w:footnoteRef/>
      </w:r>
      <w:r>
        <w:t xml:space="preserve"> Oxford Languages, </w:t>
      </w:r>
      <w:r>
        <w:rPr>
          <w:i/>
          <w:iCs/>
        </w:rPr>
        <w:t>Dictionary</w:t>
      </w:r>
      <w:r>
        <w:t>, P.351.</w:t>
      </w:r>
    </w:p>
    <w:p w14:paraId="6077A3A7" w14:textId="0D0303AB" w:rsidR="0058143A" w:rsidRPr="0058143A" w:rsidRDefault="0058143A">
      <w:pPr>
        <w:pStyle w:val="FootnoteText"/>
      </w:pPr>
      <w:r>
        <w:t xml:space="preserve">&amp; Aug. </w:t>
      </w:r>
      <w:r>
        <w:rPr>
          <w:i/>
          <w:iCs/>
        </w:rPr>
        <w:t>Conf</w:t>
      </w:r>
      <w:r>
        <w:t>. III: v-vi.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750D1" w14:textId="52AB2DB1" w:rsidR="005D3045" w:rsidRDefault="005D3045" w:rsidP="005D3045">
    <w:pPr>
      <w:pStyle w:val="Header"/>
      <w:jc w:val="center"/>
    </w:pPr>
    <w:r>
      <w:t>Samuel Lawrence – Confessing With Saint Augustine – Essay Task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045"/>
    <w:rsid w:val="00045649"/>
    <w:rsid w:val="00046D26"/>
    <w:rsid w:val="00084A38"/>
    <w:rsid w:val="00157C7F"/>
    <w:rsid w:val="001973E9"/>
    <w:rsid w:val="001A3EE9"/>
    <w:rsid w:val="00245FC7"/>
    <w:rsid w:val="002F4138"/>
    <w:rsid w:val="003C6A31"/>
    <w:rsid w:val="003E4596"/>
    <w:rsid w:val="004454DD"/>
    <w:rsid w:val="004561C9"/>
    <w:rsid w:val="00523E63"/>
    <w:rsid w:val="00562D17"/>
    <w:rsid w:val="0058143A"/>
    <w:rsid w:val="005907B0"/>
    <w:rsid w:val="005A1611"/>
    <w:rsid w:val="005D3045"/>
    <w:rsid w:val="005E48F8"/>
    <w:rsid w:val="005F3E2C"/>
    <w:rsid w:val="0062473C"/>
    <w:rsid w:val="00673941"/>
    <w:rsid w:val="00682670"/>
    <w:rsid w:val="006874BA"/>
    <w:rsid w:val="007A7357"/>
    <w:rsid w:val="007C7637"/>
    <w:rsid w:val="008220DC"/>
    <w:rsid w:val="00840713"/>
    <w:rsid w:val="00896CDF"/>
    <w:rsid w:val="00927E3F"/>
    <w:rsid w:val="00971DA8"/>
    <w:rsid w:val="00977E52"/>
    <w:rsid w:val="009D5407"/>
    <w:rsid w:val="009E05A7"/>
    <w:rsid w:val="00A11604"/>
    <w:rsid w:val="00A16CCE"/>
    <w:rsid w:val="00A17A92"/>
    <w:rsid w:val="00A43B37"/>
    <w:rsid w:val="00A503FA"/>
    <w:rsid w:val="00B11DFE"/>
    <w:rsid w:val="00B652F6"/>
    <w:rsid w:val="00B80E01"/>
    <w:rsid w:val="00B91377"/>
    <w:rsid w:val="00C11681"/>
    <w:rsid w:val="00CE5929"/>
    <w:rsid w:val="00D04ABE"/>
    <w:rsid w:val="00D20D4A"/>
    <w:rsid w:val="00D87389"/>
    <w:rsid w:val="00DE654D"/>
    <w:rsid w:val="00E376D3"/>
    <w:rsid w:val="00E53C44"/>
    <w:rsid w:val="00E54D9B"/>
    <w:rsid w:val="00EB2A0A"/>
    <w:rsid w:val="00F67659"/>
    <w:rsid w:val="00F90D17"/>
    <w:rsid w:val="00FC0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BE15"/>
  <w15:chartTrackingRefBased/>
  <w15:docId w15:val="{A2309BB1-6AC9-4EF1-A223-33E476D14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045"/>
  </w:style>
  <w:style w:type="paragraph" w:styleId="Footer">
    <w:name w:val="footer"/>
    <w:basedOn w:val="Normal"/>
    <w:link w:val="FooterChar"/>
    <w:uiPriority w:val="99"/>
    <w:unhideWhenUsed/>
    <w:rsid w:val="005D3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045"/>
  </w:style>
  <w:style w:type="paragraph" w:styleId="FootnoteText">
    <w:name w:val="footnote text"/>
    <w:basedOn w:val="Normal"/>
    <w:link w:val="FootnoteTextChar"/>
    <w:uiPriority w:val="99"/>
    <w:semiHidden/>
    <w:unhideWhenUsed/>
    <w:rsid w:val="002F4138"/>
    <w:pPr>
      <w:spacing w:after="0" w:line="240" w:lineRule="auto"/>
    </w:pPr>
  </w:style>
  <w:style w:type="character" w:customStyle="1" w:styleId="FootnoteTextChar">
    <w:name w:val="Footnote Text Char"/>
    <w:basedOn w:val="DefaultParagraphFont"/>
    <w:link w:val="FootnoteText"/>
    <w:uiPriority w:val="99"/>
    <w:semiHidden/>
    <w:rsid w:val="002F4138"/>
  </w:style>
  <w:style w:type="character" w:styleId="FootnoteReference">
    <w:name w:val="footnote reference"/>
    <w:basedOn w:val="DefaultParagraphFont"/>
    <w:uiPriority w:val="99"/>
    <w:semiHidden/>
    <w:unhideWhenUsed/>
    <w:rsid w:val="002F4138"/>
    <w:rPr>
      <w:vertAlign w:val="superscript"/>
    </w:rPr>
  </w:style>
  <w:style w:type="character" w:styleId="Hyperlink">
    <w:name w:val="Hyperlink"/>
    <w:basedOn w:val="DefaultParagraphFont"/>
    <w:uiPriority w:val="99"/>
    <w:unhideWhenUsed/>
    <w:rsid w:val="00A43B37"/>
    <w:rPr>
      <w:color w:val="0563C1" w:themeColor="hyperlink"/>
      <w:u w:val="single"/>
    </w:rPr>
  </w:style>
  <w:style w:type="character" w:styleId="UnresolvedMention">
    <w:name w:val="Unresolved Mention"/>
    <w:basedOn w:val="DefaultParagraphFont"/>
    <w:uiPriority w:val="99"/>
    <w:semiHidden/>
    <w:unhideWhenUsed/>
    <w:rsid w:val="00A43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F087B-A014-4B92-B496-AD8E1B0AA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7</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6</cp:revision>
  <dcterms:created xsi:type="dcterms:W3CDTF">2021-02-01T20:00:00Z</dcterms:created>
  <dcterms:modified xsi:type="dcterms:W3CDTF">2021-02-06T20:34:00Z</dcterms:modified>
</cp:coreProperties>
</file>