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3339" w14:textId="77777777" w:rsidR="007C4BE9" w:rsidRPr="007C4BE9" w:rsidRDefault="007C4BE9" w:rsidP="007C4BE9">
      <w:pPr>
        <w:spacing w:line="360" w:lineRule="auto"/>
        <w:jc w:val="both"/>
      </w:pPr>
    </w:p>
    <w:p w14:paraId="762371FF" w14:textId="77777777" w:rsidR="007C4BE9" w:rsidRPr="007C4BE9" w:rsidRDefault="007C4BE9" w:rsidP="007C4BE9">
      <w:pPr>
        <w:spacing w:line="360" w:lineRule="auto"/>
        <w:jc w:val="both"/>
      </w:pPr>
    </w:p>
    <w:p w14:paraId="4E5D8B45" w14:textId="77777777" w:rsidR="007C4BE9" w:rsidRPr="007C4BE9" w:rsidRDefault="007C4BE9" w:rsidP="007C4BE9">
      <w:pPr>
        <w:spacing w:line="360" w:lineRule="auto"/>
        <w:jc w:val="both"/>
      </w:pPr>
    </w:p>
    <w:p w14:paraId="32202E2F" w14:textId="77777777" w:rsidR="007C4BE9" w:rsidRPr="007C4BE9" w:rsidRDefault="007C4BE9" w:rsidP="007C4BE9">
      <w:pPr>
        <w:spacing w:line="360" w:lineRule="auto"/>
        <w:jc w:val="both"/>
      </w:pPr>
    </w:p>
    <w:p w14:paraId="5311A4F9" w14:textId="77777777" w:rsidR="007C4BE9" w:rsidRPr="007C4BE9" w:rsidRDefault="007C4BE9" w:rsidP="007C4BE9">
      <w:pPr>
        <w:spacing w:line="360" w:lineRule="auto"/>
        <w:jc w:val="both"/>
      </w:pPr>
    </w:p>
    <w:p w14:paraId="0C7D98A0" w14:textId="77777777" w:rsidR="007C4BE9" w:rsidRPr="007C4BE9" w:rsidRDefault="007C4BE9" w:rsidP="007C4BE9">
      <w:pPr>
        <w:spacing w:line="360" w:lineRule="auto"/>
        <w:jc w:val="both"/>
      </w:pPr>
    </w:p>
    <w:p w14:paraId="5A1E496D" w14:textId="77777777" w:rsidR="007C4BE9" w:rsidRPr="007C4BE9" w:rsidRDefault="007C4BE9" w:rsidP="007C4BE9">
      <w:pPr>
        <w:spacing w:line="360" w:lineRule="auto"/>
        <w:jc w:val="both"/>
      </w:pPr>
    </w:p>
    <w:p w14:paraId="5E8BFC4A" w14:textId="77777777" w:rsidR="007C4BE9" w:rsidRPr="007C4BE9" w:rsidRDefault="007C4BE9" w:rsidP="007C4BE9">
      <w:pPr>
        <w:spacing w:line="360" w:lineRule="auto"/>
        <w:jc w:val="both"/>
      </w:pPr>
    </w:p>
    <w:p w14:paraId="798F33B3" w14:textId="0E6B650F" w:rsidR="007C4BE9" w:rsidRPr="007C4BE9" w:rsidRDefault="007C4BE9" w:rsidP="007C4BE9">
      <w:pPr>
        <w:spacing w:line="360" w:lineRule="auto"/>
        <w:jc w:val="center"/>
      </w:pPr>
      <w:r w:rsidRPr="007C4BE9">
        <w:t xml:space="preserve">Assignment Title: </w:t>
      </w:r>
      <w:r w:rsidR="00F3205D">
        <w:t>Task one and Two Written Assignment</w:t>
      </w:r>
    </w:p>
    <w:p w14:paraId="05BF4242" w14:textId="77777777" w:rsidR="007C4BE9" w:rsidRPr="007C4BE9" w:rsidRDefault="007C4BE9" w:rsidP="007C4BE9">
      <w:pPr>
        <w:spacing w:line="360" w:lineRule="auto"/>
        <w:jc w:val="center"/>
      </w:pPr>
      <w:r w:rsidRPr="007C4BE9">
        <w:t>Module code:</w:t>
      </w:r>
    </w:p>
    <w:p w14:paraId="155D8491" w14:textId="3829D391" w:rsidR="007C4BE9" w:rsidRPr="007C4BE9" w:rsidRDefault="007C4BE9" w:rsidP="007C4BE9">
      <w:pPr>
        <w:spacing w:line="360" w:lineRule="auto"/>
        <w:jc w:val="center"/>
      </w:pPr>
      <w:r w:rsidRPr="007C4BE9">
        <w:t>Student id:</w:t>
      </w:r>
      <w:r w:rsidR="00971271" w:rsidRPr="00971271">
        <w:t xml:space="preserve"> </w:t>
      </w:r>
      <w:r w:rsidR="00971271">
        <w:t>2534726.</w:t>
      </w:r>
    </w:p>
    <w:p w14:paraId="3FB3770F" w14:textId="77777777" w:rsidR="007C4BE9" w:rsidRPr="007C4BE9" w:rsidRDefault="007C4BE9" w:rsidP="007C4BE9">
      <w:pPr>
        <w:spacing w:line="360" w:lineRule="auto"/>
        <w:jc w:val="center"/>
      </w:pPr>
      <w:r w:rsidRPr="007C4BE9">
        <w:t>Lecture Name:</w:t>
      </w:r>
    </w:p>
    <w:p w14:paraId="62EB3FC2" w14:textId="77777777" w:rsidR="007C4BE9" w:rsidRPr="007C4BE9" w:rsidRDefault="007C4BE9" w:rsidP="007C4BE9">
      <w:pPr>
        <w:spacing w:line="360" w:lineRule="auto"/>
        <w:jc w:val="center"/>
      </w:pPr>
      <w:r w:rsidRPr="007C4BE9">
        <w:t>Submission Date:</w:t>
      </w:r>
    </w:p>
    <w:p w14:paraId="7DD54399" w14:textId="77777777" w:rsidR="007C4BE9" w:rsidRPr="007C4BE9" w:rsidRDefault="007C4BE9" w:rsidP="007C4BE9">
      <w:pPr>
        <w:spacing w:after="80" w:line="360" w:lineRule="auto"/>
        <w:jc w:val="both"/>
        <w:rPr>
          <w:b/>
          <w:bCs/>
          <w:color w:val="1F3A5F"/>
        </w:rPr>
      </w:pPr>
    </w:p>
    <w:p w14:paraId="11EFB190" w14:textId="77777777" w:rsidR="007C4BE9" w:rsidRPr="007C4BE9" w:rsidRDefault="007C4BE9" w:rsidP="007C4BE9">
      <w:pPr>
        <w:spacing w:line="360" w:lineRule="auto"/>
        <w:rPr>
          <w:b/>
          <w:bCs/>
          <w:color w:val="1F3A5F"/>
        </w:rPr>
      </w:pPr>
      <w:r w:rsidRPr="007C4BE9">
        <w:rPr>
          <w:b/>
          <w:bCs/>
          <w:color w:val="1F3A5F"/>
        </w:rPr>
        <w:br w:type="page"/>
      </w:r>
    </w:p>
    <w:p w14:paraId="62C34ECE" w14:textId="235BC05F" w:rsidR="00EA1A97" w:rsidRPr="007C4BE9" w:rsidRDefault="00000000" w:rsidP="007C4BE9">
      <w:pPr>
        <w:spacing w:after="80" w:line="360" w:lineRule="auto"/>
        <w:jc w:val="both"/>
      </w:pPr>
      <w:r w:rsidRPr="007C4BE9">
        <w:rPr>
          <w:b/>
          <w:bCs/>
          <w:color w:val="1F3A5F"/>
        </w:rPr>
        <w:lastRenderedPageBreak/>
        <w:t>Task 1: Guided Scenario Response</w:t>
      </w:r>
    </w:p>
    <w:p w14:paraId="79B31A23" w14:textId="319D97C0" w:rsidR="00EA1A97" w:rsidRPr="007C4BE9" w:rsidRDefault="00230CDA" w:rsidP="007C4BE9">
      <w:pPr>
        <w:spacing w:after="200" w:line="360" w:lineRule="auto"/>
        <w:jc w:val="both"/>
      </w:pPr>
      <w:r w:rsidRPr="007C4BE9">
        <w:rPr>
          <w:color w:val="444444"/>
        </w:rPr>
        <w:t>Mini report</w:t>
      </w:r>
      <w:r w:rsidR="00000000" w:rsidRPr="007C4BE9">
        <w:rPr>
          <w:color w:val="444444"/>
        </w:rPr>
        <w:t>: community mental health services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7026"/>
      </w:tblGrid>
      <w:tr w:rsidR="00EA1A97" w:rsidRPr="007C4BE9" w14:paraId="47597BDF" w14:textId="77777777">
        <w:tc>
          <w:tcPr>
            <w:tcW w:w="2000" w:type="dxa"/>
            <w:tcBorders>
              <w:top w:val="single" w:sz="4" w:space="0" w:color="B8C4D4"/>
              <w:left w:val="single" w:sz="4" w:space="0" w:color="B8C4D4"/>
              <w:bottom w:val="single" w:sz="4" w:space="0" w:color="B8C4D4"/>
              <w:right w:val="single" w:sz="4" w:space="0" w:color="B8C4D4"/>
            </w:tcBorders>
            <w:shd w:val="clear" w:color="auto" w:fill="E8EEF5"/>
            <w:tcMar>
              <w:top w:w="70" w:type="dxa"/>
              <w:left w:w="110" w:type="dxa"/>
              <w:bottom w:w="70" w:type="dxa"/>
              <w:right w:w="110" w:type="dxa"/>
            </w:tcMar>
          </w:tcPr>
          <w:p w14:paraId="66FEA0BB" w14:textId="77777777" w:rsidR="00EA1A97" w:rsidRPr="007C4BE9" w:rsidRDefault="00000000" w:rsidP="007C4BE9">
            <w:pPr>
              <w:spacing w:line="360" w:lineRule="auto"/>
              <w:jc w:val="both"/>
            </w:pPr>
            <w:r w:rsidRPr="007C4BE9">
              <w:rPr>
                <w:b/>
                <w:bCs/>
              </w:rPr>
              <w:t>To</w:t>
            </w:r>
          </w:p>
        </w:tc>
        <w:tc>
          <w:tcPr>
            <w:tcW w:w="7026" w:type="dxa"/>
            <w:tcBorders>
              <w:top w:val="single" w:sz="4" w:space="0" w:color="B8C4D4"/>
              <w:left w:val="single" w:sz="4" w:space="0" w:color="B8C4D4"/>
              <w:bottom w:val="single" w:sz="4" w:space="0" w:color="B8C4D4"/>
              <w:right w:val="single" w:sz="4" w:space="0" w:color="B8C4D4"/>
            </w:tcBorders>
            <w:shd w:val="clear" w:color="auto" w:fill="FFFFFF"/>
            <w:tcMar>
              <w:top w:w="70" w:type="dxa"/>
              <w:left w:w="110" w:type="dxa"/>
              <w:bottom w:w="70" w:type="dxa"/>
              <w:right w:w="110" w:type="dxa"/>
            </w:tcMar>
          </w:tcPr>
          <w:p w14:paraId="5169150D" w14:textId="77777777" w:rsidR="00EA1A97" w:rsidRPr="007C4BE9" w:rsidRDefault="00000000" w:rsidP="007C4BE9">
            <w:pPr>
              <w:spacing w:line="360" w:lineRule="auto"/>
              <w:jc w:val="both"/>
            </w:pPr>
            <w:r w:rsidRPr="007C4BE9">
              <w:t>Councillor Jamil Khan, Sparkbrook &amp; Balsall Heath East Ward; Deputy Cabinet Member for Equalities, Communities and Social Justice, Birmingham City Council</w:t>
            </w:r>
          </w:p>
        </w:tc>
      </w:tr>
      <w:tr w:rsidR="00EA1A97" w:rsidRPr="007C4BE9" w14:paraId="1C24B625" w14:textId="77777777">
        <w:tc>
          <w:tcPr>
            <w:tcW w:w="2000" w:type="dxa"/>
            <w:tcBorders>
              <w:top w:val="single" w:sz="4" w:space="0" w:color="B8C4D4"/>
              <w:left w:val="single" w:sz="4" w:space="0" w:color="B8C4D4"/>
              <w:bottom w:val="single" w:sz="4" w:space="0" w:color="B8C4D4"/>
              <w:right w:val="single" w:sz="4" w:space="0" w:color="B8C4D4"/>
            </w:tcBorders>
            <w:shd w:val="clear" w:color="auto" w:fill="E8EEF5"/>
            <w:tcMar>
              <w:top w:w="70" w:type="dxa"/>
              <w:left w:w="110" w:type="dxa"/>
              <w:bottom w:w="70" w:type="dxa"/>
              <w:right w:w="110" w:type="dxa"/>
            </w:tcMar>
          </w:tcPr>
          <w:p w14:paraId="4EF20648" w14:textId="77777777" w:rsidR="00EA1A97" w:rsidRPr="007C4BE9" w:rsidRDefault="00000000" w:rsidP="007C4BE9">
            <w:pPr>
              <w:spacing w:line="360" w:lineRule="auto"/>
              <w:jc w:val="both"/>
            </w:pPr>
            <w:r w:rsidRPr="007C4BE9">
              <w:rPr>
                <w:b/>
                <w:bCs/>
              </w:rPr>
              <w:t>From</w:t>
            </w:r>
          </w:p>
        </w:tc>
        <w:tc>
          <w:tcPr>
            <w:tcW w:w="7026" w:type="dxa"/>
            <w:tcBorders>
              <w:top w:val="single" w:sz="4" w:space="0" w:color="B8C4D4"/>
              <w:left w:val="single" w:sz="4" w:space="0" w:color="B8C4D4"/>
              <w:bottom w:val="single" w:sz="4" w:space="0" w:color="B8C4D4"/>
              <w:right w:val="single" w:sz="4" w:space="0" w:color="B8C4D4"/>
            </w:tcBorders>
            <w:shd w:val="clear" w:color="auto" w:fill="FFFFFF"/>
            <w:tcMar>
              <w:top w:w="70" w:type="dxa"/>
              <w:left w:w="110" w:type="dxa"/>
              <w:bottom w:w="70" w:type="dxa"/>
              <w:right w:w="110" w:type="dxa"/>
            </w:tcMar>
          </w:tcPr>
          <w:p w14:paraId="35E7E40E" w14:textId="75DA100D" w:rsidR="00EA1A97" w:rsidRPr="007C4BE9" w:rsidRDefault="00BD359E" w:rsidP="007C4BE9">
            <w:pPr>
              <w:spacing w:line="360" w:lineRule="auto"/>
              <w:jc w:val="both"/>
            </w:pPr>
            <w:r>
              <w:t>Rosebina Ali- Student id- 2534726.</w:t>
            </w:r>
          </w:p>
        </w:tc>
      </w:tr>
      <w:tr w:rsidR="00EA1A97" w:rsidRPr="007C4BE9" w14:paraId="4CDF18CF" w14:textId="77777777">
        <w:tc>
          <w:tcPr>
            <w:tcW w:w="2000" w:type="dxa"/>
            <w:tcBorders>
              <w:top w:val="single" w:sz="4" w:space="0" w:color="B8C4D4"/>
              <w:left w:val="single" w:sz="4" w:space="0" w:color="B8C4D4"/>
              <w:bottom w:val="single" w:sz="4" w:space="0" w:color="B8C4D4"/>
              <w:right w:val="single" w:sz="4" w:space="0" w:color="B8C4D4"/>
            </w:tcBorders>
            <w:shd w:val="clear" w:color="auto" w:fill="E8EEF5"/>
            <w:tcMar>
              <w:top w:w="70" w:type="dxa"/>
              <w:left w:w="110" w:type="dxa"/>
              <w:bottom w:w="70" w:type="dxa"/>
              <w:right w:w="110" w:type="dxa"/>
            </w:tcMar>
          </w:tcPr>
          <w:p w14:paraId="476C60BD" w14:textId="77777777" w:rsidR="00EA1A97" w:rsidRPr="007C4BE9" w:rsidRDefault="00000000" w:rsidP="007C4BE9">
            <w:pPr>
              <w:spacing w:line="360" w:lineRule="auto"/>
              <w:jc w:val="both"/>
            </w:pPr>
            <w:r w:rsidRPr="007C4BE9">
              <w:rPr>
                <w:b/>
                <w:bCs/>
              </w:rPr>
              <w:t>Date</w:t>
            </w:r>
          </w:p>
        </w:tc>
        <w:tc>
          <w:tcPr>
            <w:tcW w:w="7026" w:type="dxa"/>
            <w:tcBorders>
              <w:top w:val="single" w:sz="4" w:space="0" w:color="B8C4D4"/>
              <w:left w:val="single" w:sz="4" w:space="0" w:color="B8C4D4"/>
              <w:bottom w:val="single" w:sz="4" w:space="0" w:color="B8C4D4"/>
              <w:right w:val="single" w:sz="4" w:space="0" w:color="B8C4D4"/>
            </w:tcBorders>
            <w:shd w:val="clear" w:color="auto" w:fill="FFFFFF"/>
            <w:tcMar>
              <w:top w:w="70" w:type="dxa"/>
              <w:left w:w="110" w:type="dxa"/>
              <w:bottom w:w="70" w:type="dxa"/>
              <w:right w:w="110" w:type="dxa"/>
            </w:tcMar>
          </w:tcPr>
          <w:p w14:paraId="23C80E73" w14:textId="77777777" w:rsidR="00EA1A97" w:rsidRPr="007C4BE9" w:rsidRDefault="00000000" w:rsidP="007C4BE9">
            <w:pPr>
              <w:spacing w:line="360" w:lineRule="auto"/>
              <w:jc w:val="both"/>
            </w:pPr>
            <w:r w:rsidRPr="007C4BE9">
              <w:t>29 September 2026</w:t>
            </w:r>
          </w:p>
        </w:tc>
      </w:tr>
      <w:tr w:rsidR="00EA1A97" w:rsidRPr="007C4BE9" w14:paraId="5003E2CB" w14:textId="77777777">
        <w:tc>
          <w:tcPr>
            <w:tcW w:w="2000" w:type="dxa"/>
            <w:tcBorders>
              <w:top w:val="single" w:sz="4" w:space="0" w:color="B8C4D4"/>
              <w:left w:val="single" w:sz="4" w:space="0" w:color="B8C4D4"/>
              <w:bottom w:val="single" w:sz="4" w:space="0" w:color="B8C4D4"/>
              <w:right w:val="single" w:sz="4" w:space="0" w:color="B8C4D4"/>
            </w:tcBorders>
            <w:shd w:val="clear" w:color="auto" w:fill="E8EEF5"/>
            <w:tcMar>
              <w:top w:w="70" w:type="dxa"/>
              <w:left w:w="110" w:type="dxa"/>
              <w:bottom w:w="70" w:type="dxa"/>
              <w:right w:w="110" w:type="dxa"/>
            </w:tcMar>
          </w:tcPr>
          <w:p w14:paraId="25C79E88" w14:textId="77777777" w:rsidR="00EA1A97" w:rsidRPr="007C4BE9" w:rsidRDefault="00000000" w:rsidP="007C4BE9">
            <w:pPr>
              <w:spacing w:line="360" w:lineRule="auto"/>
              <w:jc w:val="both"/>
            </w:pPr>
            <w:r w:rsidRPr="007C4BE9">
              <w:rPr>
                <w:b/>
                <w:bCs/>
              </w:rPr>
              <w:t>Subject</w:t>
            </w:r>
          </w:p>
        </w:tc>
        <w:tc>
          <w:tcPr>
            <w:tcW w:w="7026" w:type="dxa"/>
            <w:tcBorders>
              <w:top w:val="single" w:sz="4" w:space="0" w:color="B8C4D4"/>
              <w:left w:val="single" w:sz="4" w:space="0" w:color="B8C4D4"/>
              <w:bottom w:val="single" w:sz="4" w:space="0" w:color="B8C4D4"/>
              <w:right w:val="single" w:sz="4" w:space="0" w:color="B8C4D4"/>
            </w:tcBorders>
            <w:shd w:val="clear" w:color="auto" w:fill="FFFFFF"/>
            <w:tcMar>
              <w:top w:w="70" w:type="dxa"/>
              <w:left w:w="110" w:type="dxa"/>
              <w:bottom w:w="70" w:type="dxa"/>
              <w:right w:w="110" w:type="dxa"/>
            </w:tcMar>
          </w:tcPr>
          <w:p w14:paraId="76199F5E" w14:textId="77777777" w:rsidR="00EA1A97" w:rsidRPr="007C4BE9" w:rsidRDefault="00000000" w:rsidP="007C4BE9">
            <w:pPr>
              <w:spacing w:line="360" w:lineRule="auto"/>
              <w:jc w:val="both"/>
            </w:pPr>
            <w:r w:rsidRPr="007C4BE9">
              <w:t>Addressing the shortage of accessible, culturally appropriate community mental health support in Sparkbrook &amp; Balsall Heath East</w:t>
            </w:r>
          </w:p>
        </w:tc>
      </w:tr>
    </w:tbl>
    <w:p w14:paraId="40205326" w14:textId="77777777" w:rsidR="00EA1A97" w:rsidRPr="007C4BE9" w:rsidRDefault="00EA1A97" w:rsidP="007C4BE9">
      <w:pPr>
        <w:spacing w:after="120" w:line="360" w:lineRule="auto"/>
        <w:jc w:val="both"/>
      </w:pPr>
    </w:p>
    <w:p w14:paraId="5D16DF43" w14:textId="77777777" w:rsidR="007C4BE9" w:rsidRPr="007C4BE9" w:rsidRDefault="007C4BE9" w:rsidP="007C4BE9">
      <w:pPr>
        <w:spacing w:after="160" w:line="360" w:lineRule="auto"/>
        <w:jc w:val="both"/>
        <w:rPr>
          <w:b/>
          <w:bCs/>
        </w:rPr>
      </w:pPr>
      <w:r w:rsidRPr="007C4BE9">
        <w:rPr>
          <w:b/>
          <w:bCs/>
        </w:rPr>
        <w:t>1. Introduction</w:t>
      </w:r>
    </w:p>
    <w:p w14:paraId="517FEAC6" w14:textId="77777777" w:rsidR="007C4BE9" w:rsidRPr="007C4BE9" w:rsidRDefault="007C4BE9" w:rsidP="007C4BE9">
      <w:pPr>
        <w:spacing w:after="160" w:line="360" w:lineRule="auto"/>
        <w:jc w:val="both"/>
      </w:pPr>
      <w:r w:rsidRPr="007C4BE9">
        <w:t>This report responds to the lack of community based mental health provision in Sparkbrook and Balsall Heath East. Community mental health services provide support to adults with depression, anxiety and psychosis to manage their condition at home. There has been an increase in demand for these services in Birmingham and Solihull that outstrips the capacity for services to meet the need (BSMHFT, 2025). Long wait times, lack of culturally responsive care and access to services are reported to be problematic for residents (BSMHFT, 2025). This report suggests a response which could be implemented under the Care Act 2014, Part 1.</w:t>
      </w:r>
    </w:p>
    <w:p w14:paraId="335E9B2D" w14:textId="0783B402" w:rsidR="007C4BE9" w:rsidRPr="007C4BE9" w:rsidRDefault="007C4BE9" w:rsidP="007C4BE9">
      <w:pPr>
        <w:spacing w:after="160" w:line="360" w:lineRule="auto"/>
        <w:jc w:val="both"/>
        <w:rPr>
          <w:b/>
          <w:bCs/>
        </w:rPr>
      </w:pPr>
      <w:r w:rsidRPr="007C4BE9">
        <w:rPr>
          <w:b/>
          <w:bCs/>
        </w:rPr>
        <w:t>2. The need for the service under the Care Act 2014</w:t>
      </w:r>
    </w:p>
    <w:p w14:paraId="4F73E0BE" w14:textId="77777777" w:rsidR="007C4BE9" w:rsidRPr="007C4BE9" w:rsidRDefault="007C4BE9" w:rsidP="007C4BE9">
      <w:pPr>
        <w:spacing w:after="160" w:line="360" w:lineRule="auto"/>
        <w:jc w:val="both"/>
      </w:pPr>
      <w:r w:rsidRPr="007C4BE9">
        <w:t>The Care Act 2014 lays specific requirements on the Council in Part 1. It provides a clear definition of wellbeing which explicitly includes 'physical and mental health and emotional well-being' (s.1). The Council has a duty to prevent or delay the development of care needs (s.2). It must encourage the integration of care and support and health services (s.3). It also needs to be able to give information and advice that is accessible (s.4). If an adult who appears to require care is found, the Council is required to assess them (s.9) and to meet their eligible needs (s.18). Independent advocate (s.67) may need to be facilitated for individuals who struggle with these processes.</w:t>
      </w:r>
    </w:p>
    <w:p w14:paraId="2B81B93C" w14:textId="77777777" w:rsidR="007C4BE9" w:rsidRPr="007C4BE9" w:rsidRDefault="007C4BE9" w:rsidP="007C4BE9">
      <w:pPr>
        <w:spacing w:after="160" w:line="360" w:lineRule="auto"/>
        <w:jc w:val="both"/>
      </w:pPr>
      <w:r w:rsidRPr="007C4BE9">
        <w:t xml:space="preserve">There is a great need for this service in the area. There are 27,338 people living in Sparkbrook and Balsall Heath East and it is Birmingham's most deprived ward (Birmingham City Council, no date). The employment rate is low at 42% and more than 90% of residents are minority ethnic, predominantly from the Pakistani and Bangladeshi communities. Mental health is </w:t>
      </w:r>
      <w:r w:rsidRPr="007C4BE9">
        <w:lastRenderedPageBreak/>
        <w:t>highlighted in the local needs assessment as a significant material disadvantage and unemployment (BSMHFT 2025). Also mentioned is the lack of access to services between communities and the lack of cultural competence.</w:t>
      </w:r>
    </w:p>
    <w:p w14:paraId="2AABEEF7" w14:textId="77777777" w:rsidR="007C4BE9" w:rsidRPr="007C4BE9" w:rsidRDefault="007C4BE9" w:rsidP="007C4BE9">
      <w:pPr>
        <w:spacing w:after="160" w:line="360" w:lineRule="auto"/>
        <w:jc w:val="both"/>
      </w:pPr>
      <w:r w:rsidRPr="007C4BE9">
        <w:t>Working in partnership, communicating and keeping records are vital in mental health care. The Council will need to work with NHS partners (s.6), underpinned by the new concept of integrated care boards (HCA 2022). People with communication needs must have access to information (Health and Social Care Act 2012 s.250). There are also legal obligations to share information where this is for the benefit of the person's care (Health and Social Care (Safety and Quality) Act 2015). Data Protection law ensures that there are shared records which prevent people from having to repeat their story to every service (Data Protection Act 2018).</w:t>
      </w:r>
    </w:p>
    <w:p w14:paraId="20FB4E1A" w14:textId="6950EEA9" w:rsidR="007C4BE9" w:rsidRPr="007C4BE9" w:rsidRDefault="007C4BE9" w:rsidP="007C4BE9">
      <w:pPr>
        <w:spacing w:after="160" w:line="360" w:lineRule="auto"/>
        <w:jc w:val="both"/>
        <w:rPr>
          <w:b/>
          <w:bCs/>
        </w:rPr>
      </w:pPr>
      <w:r w:rsidRPr="007C4BE9">
        <w:rPr>
          <w:b/>
          <w:bCs/>
        </w:rPr>
        <w:t>3. Impact if the issues on the community</w:t>
      </w:r>
    </w:p>
    <w:p w14:paraId="63F00326" w14:textId="77777777" w:rsidR="007C4BE9" w:rsidRPr="007C4BE9" w:rsidRDefault="007C4BE9" w:rsidP="007C4BE9">
      <w:pPr>
        <w:spacing w:after="160" w:line="360" w:lineRule="auto"/>
        <w:jc w:val="both"/>
      </w:pPr>
      <w:r w:rsidRPr="007C4BE9">
        <w:t xml:space="preserve">Three main impacts from the shortage. </w:t>
      </w:r>
      <w:proofErr w:type="gramStart"/>
      <w:r w:rsidRPr="007C4BE9">
        <w:t>First of all</w:t>
      </w:r>
      <w:proofErr w:type="gramEnd"/>
      <w:r w:rsidRPr="007C4BE9">
        <w:t xml:space="preserve">, many tend to delay help for too long. 22% of people took three to six months for their first appointment (Healthwatch Birmingham, 2023). Almost one in two (46%) reported that they </w:t>
      </w:r>
      <w:proofErr w:type="gramStart"/>
      <w:r w:rsidRPr="007C4BE9">
        <w:t>were not able to</w:t>
      </w:r>
      <w:proofErr w:type="gramEnd"/>
      <w:r w:rsidRPr="007C4BE9">
        <w:t xml:space="preserve"> reach the service for assistance when required. Talking therapy was provided to those with depression (57%) and was provided to only 19% of those with depression (Healthwatch Birmingham, 2023). Studies have demonstrated that delays in accessing mental health services can also be an anxiety provoking experience (</w:t>
      </w:r>
      <w:proofErr w:type="spellStart"/>
      <w:r w:rsidRPr="007C4BE9">
        <w:t>Punton</w:t>
      </w:r>
      <w:proofErr w:type="spellEnd"/>
      <w:r w:rsidRPr="007C4BE9">
        <w:t>, Dodd and McNeill, 2022).</w:t>
      </w:r>
    </w:p>
    <w:p w14:paraId="09B5C27E" w14:textId="77777777" w:rsidR="007C4BE9" w:rsidRPr="007C4BE9" w:rsidRDefault="007C4BE9" w:rsidP="007C4BE9">
      <w:pPr>
        <w:spacing w:after="160" w:line="360" w:lineRule="auto"/>
        <w:jc w:val="both"/>
      </w:pPr>
      <w:r w:rsidRPr="007C4BE9">
        <w:t>Second, there are additional barriers for South Asian residents. A review of the literature identified that British South Asian service users are often subjected to a disempowering experience of services and lack confidence in service providers (Prajapati and Liebling, 2022). Many others believe that services are not sensitive to their cultural and religious identity. This can prevent people from getting help before it is an emergency.</w:t>
      </w:r>
    </w:p>
    <w:p w14:paraId="1CF30EA7" w14:textId="77777777" w:rsidR="007C4BE9" w:rsidRPr="007C4BE9" w:rsidRDefault="007C4BE9" w:rsidP="007C4BE9">
      <w:pPr>
        <w:spacing w:after="160" w:line="360" w:lineRule="auto"/>
        <w:jc w:val="both"/>
      </w:pPr>
      <w:r w:rsidRPr="007C4BE9">
        <w:t xml:space="preserve">Thirdly, there are pressure effects on families, and other services, because of the lack. Family members usually do the support on their own and this can impact their health and job. High proportions of referrals were also discharged without any contact (BSMHFT, 2025) as identified in the local needs assessment. Without timely assistance, their need for crisis care or hospital admission is increased. </w:t>
      </w:r>
    </w:p>
    <w:p w14:paraId="3385DCF5" w14:textId="77777777" w:rsidR="007C4BE9" w:rsidRPr="007C4BE9" w:rsidRDefault="007C4BE9" w:rsidP="007C4BE9">
      <w:pPr>
        <w:spacing w:after="160" w:line="360" w:lineRule="auto"/>
        <w:jc w:val="both"/>
        <w:rPr>
          <w:b/>
          <w:bCs/>
        </w:rPr>
      </w:pPr>
      <w:r w:rsidRPr="007C4BE9">
        <w:rPr>
          <w:b/>
          <w:bCs/>
        </w:rPr>
        <w:t>4. Recommended response</w:t>
      </w:r>
    </w:p>
    <w:p w14:paraId="317A7700" w14:textId="77777777" w:rsidR="007C4BE9" w:rsidRPr="007C4BE9" w:rsidRDefault="007C4BE9" w:rsidP="007C4BE9">
      <w:pPr>
        <w:spacing w:after="160" w:line="360" w:lineRule="auto"/>
        <w:jc w:val="both"/>
      </w:pPr>
      <w:r w:rsidRPr="007C4BE9">
        <w:t>I suggest that the Council has a targeted response, based on NHS and community partners, with financial constraints.</w:t>
      </w:r>
    </w:p>
    <w:p w14:paraId="4234063A" w14:textId="6CD740F3" w:rsidR="007C4BE9" w:rsidRPr="007C4BE9" w:rsidRDefault="007C4BE9" w:rsidP="007C4BE9">
      <w:pPr>
        <w:pStyle w:val="ListParagraph"/>
        <w:numPr>
          <w:ilvl w:val="0"/>
          <w:numId w:val="3"/>
        </w:numPr>
        <w:spacing w:after="160" w:line="360" w:lineRule="auto"/>
        <w:jc w:val="both"/>
      </w:pPr>
      <w:r w:rsidRPr="007C4BE9">
        <w:t>Integrate support (s.3). Work with the NHS trust to establish a shared community mental health hub in or close to the ward to combine health and social care staff.</w:t>
      </w:r>
    </w:p>
    <w:p w14:paraId="60DFC6FF" w14:textId="51C3430C" w:rsidR="007C4BE9" w:rsidRPr="007C4BE9" w:rsidRDefault="007C4BE9" w:rsidP="007C4BE9">
      <w:pPr>
        <w:pStyle w:val="ListParagraph"/>
        <w:numPr>
          <w:ilvl w:val="0"/>
          <w:numId w:val="3"/>
        </w:numPr>
        <w:spacing w:after="160" w:line="360" w:lineRule="auto"/>
        <w:jc w:val="both"/>
      </w:pPr>
      <w:r w:rsidRPr="007C4BE9">
        <w:lastRenderedPageBreak/>
        <w:t xml:space="preserve">Prevent crises (s.2). Provide early help to people via </w:t>
      </w:r>
      <w:proofErr w:type="spellStart"/>
      <w:r w:rsidRPr="007C4BE9">
        <w:t>well known</w:t>
      </w:r>
      <w:proofErr w:type="spellEnd"/>
      <w:r w:rsidRPr="007C4BE9">
        <w:t xml:space="preserve"> community organisations, mosques and GP surgeries, such as peer support and wellbeing activities.</w:t>
      </w:r>
    </w:p>
    <w:p w14:paraId="03E1FC02" w14:textId="5866CBC7" w:rsidR="007C4BE9" w:rsidRPr="007C4BE9" w:rsidRDefault="007C4BE9" w:rsidP="007C4BE9">
      <w:pPr>
        <w:pStyle w:val="ListParagraph"/>
        <w:numPr>
          <w:ilvl w:val="0"/>
          <w:numId w:val="3"/>
        </w:numPr>
        <w:spacing w:after="160" w:line="360" w:lineRule="auto"/>
        <w:jc w:val="both"/>
      </w:pPr>
      <w:r w:rsidRPr="007C4BE9">
        <w:t>Improve information (s.4). Provide clear, multilingual information on how to get help, through trusted community channels.</w:t>
      </w:r>
    </w:p>
    <w:p w14:paraId="0F8D8443" w14:textId="22FDE6E1" w:rsidR="007C4BE9" w:rsidRPr="007C4BE9" w:rsidRDefault="007C4BE9" w:rsidP="007C4BE9">
      <w:pPr>
        <w:pStyle w:val="ListParagraph"/>
        <w:numPr>
          <w:ilvl w:val="0"/>
          <w:numId w:val="3"/>
        </w:numPr>
        <w:spacing w:after="160" w:line="360" w:lineRule="auto"/>
        <w:jc w:val="both"/>
      </w:pPr>
      <w:r w:rsidRPr="007C4BE9">
        <w:t xml:space="preserve">Build cultural competence. Employ bilingual staff and educate employees on the needs of faith, family and culture of the </w:t>
      </w:r>
      <w:proofErr w:type="spellStart"/>
      <w:r w:rsidRPr="007C4BE9">
        <w:t>neighborhood</w:t>
      </w:r>
      <w:proofErr w:type="spellEnd"/>
      <w:r w:rsidRPr="007C4BE9">
        <w:t xml:space="preserve"> population.</w:t>
      </w:r>
    </w:p>
    <w:p w14:paraId="4317C645" w14:textId="55E1E892" w:rsidR="007C4BE9" w:rsidRPr="007C4BE9" w:rsidRDefault="007C4BE9" w:rsidP="007C4BE9">
      <w:pPr>
        <w:pStyle w:val="ListParagraph"/>
        <w:numPr>
          <w:ilvl w:val="0"/>
          <w:numId w:val="3"/>
        </w:numPr>
        <w:spacing w:after="160" w:line="360" w:lineRule="auto"/>
        <w:jc w:val="both"/>
      </w:pPr>
      <w:r w:rsidRPr="007C4BE9">
        <w:t>Strengthen advocacy (s.67). Provide independent advocates; such as community language advocates.</w:t>
      </w:r>
    </w:p>
    <w:p w14:paraId="021E2D4C" w14:textId="6ADE50F0" w:rsidR="007C4BE9" w:rsidRPr="007C4BE9" w:rsidRDefault="007C4BE9" w:rsidP="007C4BE9">
      <w:pPr>
        <w:pStyle w:val="ListParagraph"/>
        <w:numPr>
          <w:ilvl w:val="0"/>
          <w:numId w:val="3"/>
        </w:numPr>
        <w:spacing w:after="160" w:line="360" w:lineRule="auto"/>
        <w:jc w:val="both"/>
      </w:pPr>
      <w:r w:rsidRPr="007C4BE9">
        <w:t>Assist carers and keep records. Report ethnicity waiting times to scrutiny, provide carers' assessments (s.10) and have shared care records.</w:t>
      </w:r>
    </w:p>
    <w:p w14:paraId="5ABC631F" w14:textId="77777777" w:rsidR="007C4BE9" w:rsidRPr="007C4BE9" w:rsidRDefault="007C4BE9" w:rsidP="007C4BE9">
      <w:pPr>
        <w:spacing w:after="160" w:line="360" w:lineRule="auto"/>
        <w:jc w:val="both"/>
        <w:rPr>
          <w:b/>
          <w:bCs/>
        </w:rPr>
      </w:pPr>
      <w:r w:rsidRPr="007C4BE9">
        <w:rPr>
          <w:b/>
          <w:bCs/>
        </w:rPr>
        <w:t>5. Conclusion</w:t>
      </w:r>
    </w:p>
    <w:p w14:paraId="0456AE4F" w14:textId="0833840B" w:rsidR="00EA1A97" w:rsidRPr="007C4BE9" w:rsidRDefault="007C4BE9" w:rsidP="007C4BE9">
      <w:pPr>
        <w:spacing w:after="160" w:line="360" w:lineRule="auto"/>
        <w:jc w:val="both"/>
      </w:pPr>
      <w:r w:rsidRPr="007C4BE9">
        <w:t>Support for mental health in the community is not adequately addressing local needs in this ward. Under Part 1 of the Care Act 2014, the Council has a clear set of duties which include promoting mental wellbeing, preventing needs and integrating care with health services. To meet these duties a joint local hub, culturally competent staff and improved prevention would help. They would also help to alleviate inequity and demand on crisis services. I would be happy to talk to you about these suggestions.</w:t>
      </w:r>
    </w:p>
    <w:p w14:paraId="4DAB4ACA" w14:textId="77777777" w:rsidR="00EA1A97" w:rsidRPr="007C4BE9" w:rsidRDefault="00000000" w:rsidP="007C4BE9">
      <w:pPr>
        <w:pStyle w:val="Heading2"/>
        <w:spacing w:line="360" w:lineRule="auto"/>
        <w:jc w:val="both"/>
        <w:rPr>
          <w:sz w:val="22"/>
          <w:szCs w:val="22"/>
        </w:rPr>
      </w:pPr>
      <w:r w:rsidRPr="007C4BE9">
        <w:rPr>
          <w:sz w:val="22"/>
          <w:szCs w:val="22"/>
        </w:rPr>
        <w:t>References</w:t>
      </w:r>
    </w:p>
    <w:p w14:paraId="3F6109D7" w14:textId="77777777" w:rsidR="00EA1A97" w:rsidRPr="007C4BE9" w:rsidRDefault="00000000" w:rsidP="007C4BE9">
      <w:pPr>
        <w:spacing w:after="120" w:line="360" w:lineRule="auto"/>
        <w:ind w:left="567" w:hanging="567"/>
        <w:jc w:val="both"/>
      </w:pPr>
      <w:r w:rsidRPr="007C4BE9">
        <w:t xml:space="preserve">Birmingham City Council (no date) </w:t>
      </w:r>
      <w:r w:rsidRPr="007C4BE9">
        <w:rPr>
          <w:i/>
          <w:iCs/>
        </w:rPr>
        <w:t>Sparkbrook &amp; Balsall Heath East ward factsheet</w:t>
      </w:r>
      <w:r w:rsidRPr="007C4BE9">
        <w:t>. Available at: https://www.birmingham.gov.uk/download/downloads/id/15502/sparkbrook_and_balsall_heath_east_profile.pdf (Accessed: 29 September 2026).</w:t>
      </w:r>
    </w:p>
    <w:p w14:paraId="08C34A83" w14:textId="77777777" w:rsidR="00EA1A97" w:rsidRPr="007C4BE9" w:rsidRDefault="00000000" w:rsidP="007C4BE9">
      <w:pPr>
        <w:spacing w:after="120" w:line="360" w:lineRule="auto"/>
        <w:ind w:left="567" w:hanging="567"/>
        <w:jc w:val="both"/>
      </w:pPr>
      <w:r w:rsidRPr="007C4BE9">
        <w:t xml:space="preserve">Birmingham and Solihull Mental Health NHS Foundation Trust (2025) </w:t>
      </w:r>
      <w:r w:rsidRPr="007C4BE9">
        <w:rPr>
          <w:i/>
          <w:iCs/>
        </w:rPr>
        <w:t>Birmingham and Solihull mental health needs assessment</w:t>
      </w:r>
      <w:r w:rsidRPr="007C4BE9">
        <w:t>. Available at: https://www.bsmhft.nhs.uk/wp-content/uploads/2026/05/MHNA-final-full-version-JAN-26.pdf (Accessed: 29 September 2026).</w:t>
      </w:r>
    </w:p>
    <w:p w14:paraId="470E290E" w14:textId="77777777" w:rsidR="00EA1A97" w:rsidRPr="007C4BE9" w:rsidRDefault="00000000" w:rsidP="007C4BE9">
      <w:pPr>
        <w:spacing w:after="120" w:line="360" w:lineRule="auto"/>
        <w:ind w:left="567" w:hanging="567"/>
        <w:jc w:val="both"/>
      </w:pPr>
      <w:r w:rsidRPr="007C4BE9">
        <w:t>Care Act 2014, c. 23. Available at: https://www.legislation.gov.uk/ukpga/2014/23/contents (Accessed: 29 September 2026).</w:t>
      </w:r>
    </w:p>
    <w:p w14:paraId="0549D109" w14:textId="77777777" w:rsidR="00EA1A97" w:rsidRPr="007C4BE9" w:rsidRDefault="00000000" w:rsidP="007C4BE9">
      <w:pPr>
        <w:spacing w:after="120" w:line="360" w:lineRule="auto"/>
        <w:ind w:left="567" w:hanging="567"/>
        <w:jc w:val="both"/>
      </w:pPr>
      <w:r w:rsidRPr="007C4BE9">
        <w:t>Data Protection Act 2018, c. 12.</w:t>
      </w:r>
    </w:p>
    <w:p w14:paraId="7BE4FCAA" w14:textId="77777777" w:rsidR="00EA1A97" w:rsidRPr="007C4BE9" w:rsidRDefault="00000000" w:rsidP="007C4BE9">
      <w:pPr>
        <w:spacing w:after="120" w:line="360" w:lineRule="auto"/>
        <w:ind w:left="567" w:hanging="567"/>
        <w:jc w:val="both"/>
      </w:pPr>
      <w:r w:rsidRPr="007C4BE9">
        <w:t>Health and Care Act 2022, c. 31.</w:t>
      </w:r>
    </w:p>
    <w:p w14:paraId="1ABE0104" w14:textId="77777777" w:rsidR="00EA1A97" w:rsidRPr="007C4BE9" w:rsidRDefault="00000000" w:rsidP="007C4BE9">
      <w:pPr>
        <w:spacing w:after="120" w:line="360" w:lineRule="auto"/>
        <w:ind w:left="567" w:hanging="567"/>
        <w:jc w:val="both"/>
      </w:pPr>
      <w:r w:rsidRPr="007C4BE9">
        <w:t>Health and Social Care Act 2012, c. 7.</w:t>
      </w:r>
    </w:p>
    <w:p w14:paraId="0639C8A7" w14:textId="77777777" w:rsidR="00EA1A97" w:rsidRPr="007C4BE9" w:rsidRDefault="00000000" w:rsidP="007C4BE9">
      <w:pPr>
        <w:spacing w:after="120" w:line="360" w:lineRule="auto"/>
        <w:ind w:left="567" w:hanging="567"/>
        <w:jc w:val="both"/>
      </w:pPr>
      <w:r w:rsidRPr="007C4BE9">
        <w:lastRenderedPageBreak/>
        <w:t>Health and Social Care (Safety and Quality) Act 2015, c. 28.</w:t>
      </w:r>
    </w:p>
    <w:p w14:paraId="71D36C1B" w14:textId="77777777" w:rsidR="00EA1A97" w:rsidRPr="007C4BE9" w:rsidRDefault="00000000" w:rsidP="007C4BE9">
      <w:pPr>
        <w:spacing w:after="120" w:line="360" w:lineRule="auto"/>
        <w:ind w:left="567" w:hanging="567"/>
        <w:jc w:val="both"/>
      </w:pPr>
      <w:r w:rsidRPr="007C4BE9">
        <w:t xml:space="preserve">Healthwatch Birmingham (2023) </w:t>
      </w:r>
      <w:r w:rsidRPr="007C4BE9">
        <w:rPr>
          <w:i/>
          <w:iCs/>
        </w:rPr>
        <w:t>Experiences of NHS community mental health services in South and East Birmingham</w:t>
      </w:r>
      <w:r w:rsidRPr="007C4BE9">
        <w:t>. Available at: https://healthwatchbsol.org.uk/report/community-mental-health/ (Accessed: 29 September 2026).</w:t>
      </w:r>
    </w:p>
    <w:p w14:paraId="56E745E9" w14:textId="77777777" w:rsidR="00EA1A97" w:rsidRPr="007C4BE9" w:rsidRDefault="00000000" w:rsidP="007C4BE9">
      <w:pPr>
        <w:spacing w:after="120" w:line="360" w:lineRule="auto"/>
        <w:ind w:left="567" w:hanging="567"/>
        <w:jc w:val="both"/>
      </w:pPr>
      <w:r w:rsidRPr="007C4BE9">
        <w:t xml:space="preserve">Prajapati, R. and Liebling, H. (2022) 'Accessing mental health services: a systematic review and meta-ethnography of the experiences of South Asian service users in the UK', </w:t>
      </w:r>
      <w:r w:rsidRPr="007C4BE9">
        <w:rPr>
          <w:i/>
          <w:iCs/>
        </w:rPr>
        <w:t>Journal of Racial and Ethnic Health Disparities</w:t>
      </w:r>
      <w:r w:rsidRPr="007C4BE9">
        <w:t>, 9(2), pp. 598–619.</w:t>
      </w:r>
    </w:p>
    <w:p w14:paraId="0171F076" w14:textId="77777777" w:rsidR="00EA1A97" w:rsidRPr="007C4BE9" w:rsidRDefault="00000000" w:rsidP="007C4BE9">
      <w:pPr>
        <w:spacing w:after="120" w:line="360" w:lineRule="auto"/>
        <w:ind w:left="567" w:hanging="567"/>
        <w:jc w:val="both"/>
      </w:pPr>
      <w:proofErr w:type="spellStart"/>
      <w:r w:rsidRPr="007C4BE9">
        <w:t>Punton</w:t>
      </w:r>
      <w:proofErr w:type="spellEnd"/>
      <w:r w:rsidRPr="007C4BE9">
        <w:t xml:space="preserve">, G., Dodd, A.L. and McNeill, A. (2022) ''You're on the waiting list': an interpretive phenomenological analysis of young adults' experiences of waiting lists within mental health services in the UK', </w:t>
      </w:r>
      <w:proofErr w:type="spellStart"/>
      <w:r w:rsidRPr="007C4BE9">
        <w:rPr>
          <w:i/>
          <w:iCs/>
        </w:rPr>
        <w:t>PLoS</w:t>
      </w:r>
      <w:proofErr w:type="spellEnd"/>
      <w:r w:rsidRPr="007C4BE9">
        <w:rPr>
          <w:i/>
          <w:iCs/>
        </w:rPr>
        <w:t xml:space="preserve"> ONE</w:t>
      </w:r>
      <w:r w:rsidRPr="007C4BE9">
        <w:t>, 17(3), article e0265542.</w:t>
      </w:r>
    </w:p>
    <w:p w14:paraId="0B22992A" w14:textId="77777777" w:rsidR="00EA1A97" w:rsidRPr="007C4BE9" w:rsidRDefault="00000000" w:rsidP="007C4BE9">
      <w:pPr>
        <w:spacing w:line="360" w:lineRule="auto"/>
        <w:jc w:val="both"/>
      </w:pPr>
      <w:r w:rsidRPr="007C4BE9">
        <w:br w:type="page"/>
      </w:r>
    </w:p>
    <w:p w14:paraId="495A9FDF" w14:textId="77777777" w:rsidR="00EA1A97" w:rsidRPr="007C4BE9" w:rsidRDefault="00000000" w:rsidP="001752B3">
      <w:pPr>
        <w:spacing w:after="80" w:line="360" w:lineRule="auto"/>
        <w:jc w:val="center"/>
      </w:pPr>
      <w:r w:rsidRPr="007C4BE9">
        <w:rPr>
          <w:b/>
          <w:bCs/>
          <w:color w:val="1F3A5F"/>
        </w:rPr>
        <w:lastRenderedPageBreak/>
        <w:t>Task 2: Essay</w:t>
      </w:r>
    </w:p>
    <w:p w14:paraId="34B41B85" w14:textId="77777777" w:rsidR="00EA1A97" w:rsidRPr="007C4BE9" w:rsidRDefault="00000000" w:rsidP="007C4BE9">
      <w:pPr>
        <w:spacing w:after="240" w:line="360" w:lineRule="auto"/>
        <w:jc w:val="both"/>
        <w:rPr>
          <w:color w:val="444444"/>
        </w:rPr>
      </w:pPr>
      <w:r w:rsidRPr="007C4BE9">
        <w:rPr>
          <w:color w:val="444444"/>
        </w:rPr>
        <w:t>NHS dentistry in England: origins, present function and contribution to quality of life</w:t>
      </w:r>
    </w:p>
    <w:p w14:paraId="01622A33" w14:textId="7E71A174" w:rsidR="007C4BE9" w:rsidRPr="007C4BE9" w:rsidRDefault="007C4BE9" w:rsidP="007C4BE9">
      <w:pPr>
        <w:spacing w:after="240" w:line="360" w:lineRule="auto"/>
        <w:jc w:val="both"/>
      </w:pPr>
      <w:r w:rsidRPr="007C4BE9">
        <w:t xml:space="preserve">Dentistry preserves and improves the health of the teeth, gums and the ability to eat, speak and smile comfortably. This is supposed to be possible for all in the UK through NHS dental services, which are funded by the government. This should be possible in England for everyone, regardless of their income, through their dental services from the NHS, funded by the government. But in contrast to </w:t>
      </w:r>
      <w:proofErr w:type="gramStart"/>
      <w:r w:rsidRPr="007C4BE9">
        <w:t>the majority of</w:t>
      </w:r>
      <w:proofErr w:type="gramEnd"/>
      <w:r w:rsidRPr="007C4BE9">
        <w:t xml:space="preserve"> NHS services, many adults incur charges when they attend for NHS dental care. This essay begins with a brief history of the origins of dental services and a history of its development. It then critically analyses the current working of NHS dentistry. Lastly, it touches on the benefits that dental services bring to the user of services.</w:t>
      </w:r>
    </w:p>
    <w:p w14:paraId="2DF98E8A" w14:textId="77777777" w:rsidR="007C4BE9" w:rsidRPr="007C4BE9" w:rsidRDefault="007C4BE9" w:rsidP="007C4BE9">
      <w:pPr>
        <w:spacing w:after="240" w:line="360" w:lineRule="auto"/>
        <w:jc w:val="both"/>
      </w:pPr>
      <w:r w:rsidRPr="007C4BE9">
        <w:t xml:space="preserve">Until late nineteenth century, dentistry was not highly regulated. Roughly unqualified barbers, chemists or travelling ‘tooth-drawers' would pull teeth. The Dentists Act 1878 established a list of qualified dentists and limits the use of the title of dentist. </w:t>
      </w:r>
      <w:proofErr w:type="gramStart"/>
      <w:r w:rsidRPr="007C4BE9">
        <w:t>But,</w:t>
      </w:r>
      <w:proofErr w:type="gramEnd"/>
      <w:r w:rsidRPr="007C4BE9">
        <w:t xml:space="preserve"> the unregistered could still lawfully practice dental work. This had been filled by the Dentists Act 1921 which prohibited the practice of dentistry by unregistered persons. This had fixed the profession of dentistry as a regulated profession with protected standards.</w:t>
      </w:r>
    </w:p>
    <w:p w14:paraId="59DE1DD2" w14:textId="77777777" w:rsidR="007C4BE9" w:rsidRPr="007C4BE9" w:rsidRDefault="007C4BE9" w:rsidP="007C4BE9">
      <w:pPr>
        <w:spacing w:after="240" w:line="360" w:lineRule="auto"/>
        <w:jc w:val="both"/>
      </w:pPr>
      <w:r w:rsidRPr="007C4BE9">
        <w:t>The biggest change was the establishment of the NHS. Dental treatment became free at the point of delivery from 1948 with the introduction of the National Health Service Act 1946 including dentures. There was a tremendous need for the services, since so many people were suffering with untreated dental issues for years. The expense to satisfy this demand quickly became a political matter. First time dentures were charged for, under the National Health Service Act 1951. Since then, cost control and patient charges have influenced NHS dentistry.</w:t>
      </w:r>
    </w:p>
    <w:p w14:paraId="392AF6E4" w14:textId="77777777" w:rsidR="007C4BE9" w:rsidRPr="007C4BE9" w:rsidRDefault="007C4BE9" w:rsidP="007C4BE9">
      <w:pPr>
        <w:spacing w:after="240" w:line="360" w:lineRule="auto"/>
        <w:jc w:val="both"/>
      </w:pPr>
      <w:r w:rsidRPr="007C4BE9">
        <w:t xml:space="preserve">Most NHS dental care is now delivered by high street practices that are NHS contracted. Many of these practices also serve private patients; and patients not exempted pay a charge. This hybrid option provides dentists with an option as to the extent of the NHS work. It is </w:t>
      </w:r>
      <w:proofErr w:type="gramStart"/>
      <w:r w:rsidRPr="007C4BE9">
        <w:t>flexible, but</w:t>
      </w:r>
      <w:proofErr w:type="gramEnd"/>
      <w:r w:rsidRPr="007C4BE9">
        <w:t xml:space="preserve"> also provides for practices to limit the NHS work when contracts are not financially advantageous. A recent study indicates that English NHS dental capacity is not growing in line with population growth (Clark, 2024). The same study revealed that distribution of capacity is not even and can lead to 'dental deserts' in certain neighbourhoods.</w:t>
      </w:r>
    </w:p>
    <w:p w14:paraId="404E52B5" w14:textId="77777777" w:rsidR="007C4BE9" w:rsidRPr="007C4BE9" w:rsidRDefault="007C4BE9" w:rsidP="007C4BE9">
      <w:pPr>
        <w:spacing w:after="240" w:line="360" w:lineRule="auto"/>
        <w:jc w:val="both"/>
      </w:pPr>
      <w:r w:rsidRPr="007C4BE9">
        <w:t xml:space="preserve">Recent studies have shown the extent of this issue. In England, there are approximately two million people whose neighbourhoods lack an NHS dentist within five kilometres (Devlin, </w:t>
      </w:r>
      <w:r w:rsidRPr="007C4BE9">
        <w:lastRenderedPageBreak/>
        <w:t>2026). Of these, about 190,000 live in the most deprived areas. These are deprived dental deserts and surprisingly they are predominantly rural and not inner city (Devlin 2026). This demonstrates that access challenges do not just exist in urban areas and can be concealed in rural areas. In these more arid regions, approximately 27% of the population was elderly (aged 65 and above) (Devlin, 2026). Distance can be a major hinderance for older persons who have complex needs.</w:t>
      </w:r>
    </w:p>
    <w:p w14:paraId="17C7C758" w14:textId="77777777" w:rsidR="007C4BE9" w:rsidRPr="007C4BE9" w:rsidRDefault="007C4BE9" w:rsidP="007C4BE9">
      <w:pPr>
        <w:spacing w:after="240" w:line="360" w:lineRule="auto"/>
        <w:jc w:val="both"/>
      </w:pPr>
      <w:r w:rsidRPr="007C4BE9">
        <w:t xml:space="preserve">One of the main causes, workforce distribution. The inequitable distribution of the dental workforce is a significant challenge in most countries, as described in a systematic review (Edwards, Bogale and Gallagher, 2025). The review also described England as having a crisis in </w:t>
      </w:r>
      <w:proofErr w:type="gramStart"/>
      <w:r w:rsidRPr="007C4BE9">
        <w:t>access</w:t>
      </w:r>
      <w:proofErr w:type="gramEnd"/>
      <w:r w:rsidRPr="007C4BE9">
        <w:t xml:space="preserve"> of NHS dental care. Devlin (2026) suggests satellite clinics and incentives for outlying </w:t>
      </w:r>
      <w:proofErr w:type="spellStart"/>
      <w:r w:rsidRPr="007C4BE9">
        <w:t>labor</w:t>
      </w:r>
      <w:proofErr w:type="spellEnd"/>
      <w:r w:rsidRPr="007C4BE9">
        <w:t xml:space="preserve"> force participation may help to reach underserved regions. These solutions involve investment, however, and require long-term planning, something that often hasn't occurred. Local integrated care boards have been tasked with planning dental services since the Health and Care Act 2022. This provides a chance for a partnership between the dentist, council and services in the community. Patients are also served by safe and continuous care due to clear communication about charges and accurate, shared dental records.</w:t>
      </w:r>
    </w:p>
    <w:p w14:paraId="6637296C" w14:textId="77777777" w:rsidR="007C4BE9" w:rsidRPr="007C4BE9" w:rsidRDefault="007C4BE9" w:rsidP="007C4BE9">
      <w:pPr>
        <w:spacing w:after="240" w:line="360" w:lineRule="auto"/>
        <w:jc w:val="both"/>
      </w:pPr>
      <w:r w:rsidRPr="007C4BE9">
        <w:t>There are several important ways dental services bring about a better quality of life. Proper care will help to avoid tooth decay and gum disease, which can lead to pain, infection and tooth loss. Healthy oral health enables individuals to have a good diet, be able to speak clearly and feel confident about their appearance.</w:t>
      </w:r>
    </w:p>
    <w:p w14:paraId="6D3D05C0" w14:textId="77777777" w:rsidR="007C4BE9" w:rsidRPr="007C4BE9" w:rsidRDefault="007C4BE9" w:rsidP="007C4BE9">
      <w:pPr>
        <w:spacing w:after="240" w:line="360" w:lineRule="auto"/>
        <w:jc w:val="both"/>
      </w:pPr>
      <w:r w:rsidRPr="007C4BE9">
        <w:t>If access cannot be achieved, these benefits go away. Those without a dentist at the NHS may put off going for treatment until the next level of emergencies. Low-income people can't afford to hire private care options either, leading to further disparities in health. Residents of rural areas who do not own a vehicle have long travel times to access a practice (Devlin, 2026). In these communities, a lack of services can make small issues become big and ongoing issues.</w:t>
      </w:r>
    </w:p>
    <w:p w14:paraId="1A74AE86" w14:textId="3ECD3266" w:rsidR="007C4BE9" w:rsidRPr="007C4BE9" w:rsidRDefault="007C4BE9" w:rsidP="007C4BE9">
      <w:pPr>
        <w:spacing w:after="240" w:line="360" w:lineRule="auto"/>
        <w:jc w:val="both"/>
      </w:pPr>
      <w:r w:rsidRPr="007C4BE9">
        <w:t>To highlight the changeover, dentistry is an unregulated trade today and since 1948 has become a regulated profession and a service provided by the NHS. But since the early days, charges and cost pressures have determined the service. There are many people today having limited access to NHS dental services, particularly in deprived areas and rural locations that are under-resourced. This restricts the capacity of the service to ensure the quality of life. A better balance of the workforce and continued investment will be critical to restore access to all. If these changes were not made the original promise of NHS dentistry, which is care for those who need it and can't pay for it, would not be available to many.</w:t>
      </w:r>
    </w:p>
    <w:p w14:paraId="581F223F" w14:textId="3EF364F4" w:rsidR="00EA1A97" w:rsidRPr="007C4BE9" w:rsidRDefault="00000000" w:rsidP="007C4BE9">
      <w:pPr>
        <w:pStyle w:val="Heading2"/>
        <w:spacing w:line="360" w:lineRule="auto"/>
        <w:jc w:val="both"/>
        <w:rPr>
          <w:sz w:val="22"/>
          <w:szCs w:val="22"/>
        </w:rPr>
      </w:pPr>
      <w:r w:rsidRPr="007C4BE9">
        <w:rPr>
          <w:sz w:val="22"/>
          <w:szCs w:val="22"/>
        </w:rPr>
        <w:lastRenderedPageBreak/>
        <w:t>References</w:t>
      </w:r>
    </w:p>
    <w:p w14:paraId="3D71B91B" w14:textId="77777777" w:rsidR="00EA1A97" w:rsidRPr="007C4BE9" w:rsidRDefault="00000000" w:rsidP="007C4BE9">
      <w:pPr>
        <w:spacing w:after="120" w:line="360" w:lineRule="auto"/>
        <w:ind w:left="567" w:hanging="567"/>
        <w:jc w:val="both"/>
      </w:pPr>
      <w:r w:rsidRPr="007C4BE9">
        <w:t xml:space="preserve">Clark, S. (2024) 'The contract between NHS dentistry and communities and how this varies by neighbourhood types', </w:t>
      </w:r>
      <w:r w:rsidRPr="007C4BE9">
        <w:rPr>
          <w:i/>
          <w:iCs/>
        </w:rPr>
        <w:t>British Dental Journal</w:t>
      </w:r>
      <w:r w:rsidRPr="007C4BE9">
        <w:t>. Available at: https://doi.org/10.1038/s41415-024-7520-7 (Accessed: 29 September 2026).</w:t>
      </w:r>
    </w:p>
    <w:p w14:paraId="4ED72211" w14:textId="77777777" w:rsidR="00EA1A97" w:rsidRPr="007C4BE9" w:rsidRDefault="00000000" w:rsidP="007C4BE9">
      <w:pPr>
        <w:spacing w:after="120" w:line="360" w:lineRule="auto"/>
        <w:ind w:left="567" w:hanging="567"/>
        <w:jc w:val="both"/>
      </w:pPr>
      <w:r w:rsidRPr="007C4BE9">
        <w:t>Dentists Act 1878 (41 &amp; 42 Vict. c. 33).</w:t>
      </w:r>
    </w:p>
    <w:p w14:paraId="2E42B72D" w14:textId="77777777" w:rsidR="00EA1A97" w:rsidRPr="007C4BE9" w:rsidRDefault="00000000" w:rsidP="007C4BE9">
      <w:pPr>
        <w:spacing w:after="120" w:line="360" w:lineRule="auto"/>
        <w:ind w:left="567" w:hanging="567"/>
        <w:jc w:val="both"/>
      </w:pPr>
      <w:r w:rsidRPr="007C4BE9">
        <w:t>Dentists Act 1921 (11 &amp; 12 Geo. 5 c. 21).</w:t>
      </w:r>
    </w:p>
    <w:p w14:paraId="5079FA62" w14:textId="77777777" w:rsidR="00EA1A97" w:rsidRPr="007C4BE9" w:rsidRDefault="00000000" w:rsidP="007C4BE9">
      <w:pPr>
        <w:spacing w:after="120" w:line="360" w:lineRule="auto"/>
        <w:ind w:left="567" w:hanging="567"/>
        <w:jc w:val="both"/>
      </w:pPr>
      <w:r w:rsidRPr="007C4BE9">
        <w:t xml:space="preserve">Devlin, H. (2026) 'High-need dental deserts in England: a national spatial analysis of NHS access and deprivation', </w:t>
      </w:r>
      <w:r w:rsidRPr="007C4BE9">
        <w:rPr>
          <w:i/>
          <w:iCs/>
        </w:rPr>
        <w:t>British Dental Journal</w:t>
      </w:r>
      <w:r w:rsidRPr="007C4BE9">
        <w:t>. Available at: https://doi.org/10.1038/s41415-026-9877-2 (Accessed: 29 September 2026).</w:t>
      </w:r>
    </w:p>
    <w:p w14:paraId="728774EA" w14:textId="77777777" w:rsidR="00EA1A97" w:rsidRPr="007C4BE9" w:rsidRDefault="00000000" w:rsidP="007C4BE9">
      <w:pPr>
        <w:spacing w:after="120" w:line="360" w:lineRule="auto"/>
        <w:ind w:left="567" w:hanging="567"/>
        <w:jc w:val="both"/>
      </w:pPr>
      <w:r w:rsidRPr="007C4BE9">
        <w:t xml:space="preserve">Edwards, J.W., Bogale, B. and Gallagher, J.E. (2025) 'Tackling geographic barriers to primary dental care (dental deserts): a systematic review', </w:t>
      </w:r>
      <w:r w:rsidRPr="007C4BE9">
        <w:rPr>
          <w:i/>
          <w:iCs/>
        </w:rPr>
        <w:t>British Dental Journal</w:t>
      </w:r>
      <w:r w:rsidRPr="007C4BE9">
        <w:t>. Available at: https://doi.org/10.1038/s41415-025-8487-8 (Accessed: 29 September 2026).</w:t>
      </w:r>
    </w:p>
    <w:p w14:paraId="519D23C0" w14:textId="77777777" w:rsidR="00EA1A97" w:rsidRPr="007C4BE9" w:rsidRDefault="00000000" w:rsidP="007C4BE9">
      <w:pPr>
        <w:spacing w:after="120" w:line="360" w:lineRule="auto"/>
        <w:ind w:left="567" w:hanging="567"/>
        <w:jc w:val="both"/>
      </w:pPr>
      <w:r w:rsidRPr="007C4BE9">
        <w:t>Health and Care Act 2022, c. 31.</w:t>
      </w:r>
    </w:p>
    <w:p w14:paraId="14716893" w14:textId="77777777" w:rsidR="00EA1A97" w:rsidRPr="007C4BE9" w:rsidRDefault="00000000" w:rsidP="007C4BE9">
      <w:pPr>
        <w:spacing w:after="120" w:line="360" w:lineRule="auto"/>
        <w:ind w:left="567" w:hanging="567"/>
        <w:jc w:val="both"/>
      </w:pPr>
      <w:r w:rsidRPr="007C4BE9">
        <w:t>National Health Service Act 1946 (9 &amp; 10 Geo. 6 c. 81).</w:t>
      </w:r>
    </w:p>
    <w:p w14:paraId="5DC5917D" w14:textId="77777777" w:rsidR="00EA1A97" w:rsidRPr="007C4BE9" w:rsidRDefault="00000000" w:rsidP="007C4BE9">
      <w:pPr>
        <w:spacing w:after="120" w:line="360" w:lineRule="auto"/>
        <w:ind w:left="567" w:hanging="567"/>
        <w:jc w:val="both"/>
      </w:pPr>
      <w:r w:rsidRPr="007C4BE9">
        <w:t>National Health Service Act 1951 (14 &amp; 15 Geo. 6 c. 31).</w:t>
      </w:r>
    </w:p>
    <w:sectPr w:rsidR="00EA1A97" w:rsidRPr="007C4BE9">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6FFF8" w14:textId="77777777" w:rsidR="00AE0B31" w:rsidRDefault="00AE0B31">
      <w:r>
        <w:separator/>
      </w:r>
    </w:p>
  </w:endnote>
  <w:endnote w:type="continuationSeparator" w:id="0">
    <w:p w14:paraId="041C88C2" w14:textId="77777777" w:rsidR="00AE0B31" w:rsidRDefault="00AE0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65852" w14:textId="77777777" w:rsidR="00EA1A97" w:rsidRDefault="00000000">
    <w:pPr>
      <w:jc w:val="center"/>
    </w:pPr>
    <w:r>
      <w:rPr>
        <w:color w:val="777777"/>
        <w:sz w:val="16"/>
        <w:szCs w:val="16"/>
      </w:rPr>
      <w:t xml:space="preserve">Page </w:t>
    </w:r>
    <w:r>
      <w:rPr>
        <w:color w:val="777777"/>
        <w:sz w:val="16"/>
        <w:szCs w:val="16"/>
      </w:rPr>
      <w:fldChar w:fldCharType="begin"/>
    </w:r>
    <w:r>
      <w:rPr>
        <w:color w:val="777777"/>
        <w:sz w:val="16"/>
        <w:szCs w:val="16"/>
      </w:rPr>
      <w:instrText>PAGE</w:instrText>
    </w:r>
    <w:r>
      <w:rPr>
        <w:color w:val="777777"/>
        <w:sz w:val="16"/>
        <w:szCs w:val="16"/>
      </w:rPr>
      <w:fldChar w:fldCharType="separate"/>
    </w:r>
    <w:r w:rsidR="007C4BE9">
      <w:rPr>
        <w:noProof/>
        <w:color w:val="777777"/>
        <w:sz w:val="16"/>
        <w:szCs w:val="16"/>
      </w:rPr>
      <w:t>1</w:t>
    </w:r>
    <w:r>
      <w:rPr>
        <w:color w:val="777777"/>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B2491" w14:textId="77777777" w:rsidR="00AE0B31" w:rsidRDefault="00AE0B31">
      <w:r>
        <w:separator/>
      </w:r>
    </w:p>
  </w:footnote>
  <w:footnote w:type="continuationSeparator" w:id="0">
    <w:p w14:paraId="23EFCD06" w14:textId="77777777" w:rsidR="00AE0B31" w:rsidRDefault="00AE0B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1DCB"/>
    <w:multiLevelType w:val="hybridMultilevel"/>
    <w:tmpl w:val="5E4AB4FE"/>
    <w:lvl w:ilvl="0" w:tplc="0CAA17BE">
      <w:start w:val="1"/>
      <w:numFmt w:val="decimal"/>
      <w:lvlText w:val="%1."/>
      <w:lvlJc w:val="left"/>
      <w:pPr>
        <w:ind w:left="720" w:hanging="360"/>
      </w:pPr>
    </w:lvl>
    <w:lvl w:ilvl="1" w:tplc="167CED44">
      <w:numFmt w:val="decimal"/>
      <w:lvlText w:val=""/>
      <w:lvlJc w:val="left"/>
    </w:lvl>
    <w:lvl w:ilvl="2" w:tplc="08086F76">
      <w:numFmt w:val="decimal"/>
      <w:lvlText w:val=""/>
      <w:lvlJc w:val="left"/>
    </w:lvl>
    <w:lvl w:ilvl="3" w:tplc="8482DBE4">
      <w:numFmt w:val="decimal"/>
      <w:lvlText w:val=""/>
      <w:lvlJc w:val="left"/>
    </w:lvl>
    <w:lvl w:ilvl="4" w:tplc="4AC847D2">
      <w:numFmt w:val="decimal"/>
      <w:lvlText w:val=""/>
      <w:lvlJc w:val="left"/>
    </w:lvl>
    <w:lvl w:ilvl="5" w:tplc="BE72B0FA">
      <w:numFmt w:val="decimal"/>
      <w:lvlText w:val=""/>
      <w:lvlJc w:val="left"/>
    </w:lvl>
    <w:lvl w:ilvl="6" w:tplc="EAFEC878">
      <w:numFmt w:val="decimal"/>
      <w:lvlText w:val=""/>
      <w:lvlJc w:val="left"/>
    </w:lvl>
    <w:lvl w:ilvl="7" w:tplc="3872CEA8">
      <w:numFmt w:val="decimal"/>
      <w:lvlText w:val=""/>
      <w:lvlJc w:val="left"/>
    </w:lvl>
    <w:lvl w:ilvl="8" w:tplc="C100B1DC">
      <w:numFmt w:val="decimal"/>
      <w:lvlText w:val=""/>
      <w:lvlJc w:val="left"/>
    </w:lvl>
  </w:abstractNum>
  <w:abstractNum w:abstractNumId="1" w15:restartNumberingAfterBreak="0">
    <w:nsid w:val="111201BB"/>
    <w:multiLevelType w:val="hybridMultilevel"/>
    <w:tmpl w:val="0E344D52"/>
    <w:lvl w:ilvl="0" w:tplc="AC1AFF6E">
      <w:start w:val="1"/>
      <w:numFmt w:val="bullet"/>
      <w:lvlText w:val="●"/>
      <w:lvlJc w:val="left"/>
      <w:pPr>
        <w:ind w:left="720" w:hanging="360"/>
      </w:pPr>
    </w:lvl>
    <w:lvl w:ilvl="1" w:tplc="ACB07368">
      <w:start w:val="1"/>
      <w:numFmt w:val="bullet"/>
      <w:lvlText w:val="○"/>
      <w:lvlJc w:val="left"/>
      <w:pPr>
        <w:ind w:left="1440" w:hanging="360"/>
      </w:pPr>
    </w:lvl>
    <w:lvl w:ilvl="2" w:tplc="F56CF1AE">
      <w:start w:val="1"/>
      <w:numFmt w:val="bullet"/>
      <w:lvlText w:val="■"/>
      <w:lvlJc w:val="left"/>
      <w:pPr>
        <w:ind w:left="2160" w:hanging="360"/>
      </w:pPr>
    </w:lvl>
    <w:lvl w:ilvl="3" w:tplc="52EA6DC0">
      <w:start w:val="1"/>
      <w:numFmt w:val="bullet"/>
      <w:lvlText w:val="●"/>
      <w:lvlJc w:val="left"/>
      <w:pPr>
        <w:ind w:left="2880" w:hanging="360"/>
      </w:pPr>
    </w:lvl>
    <w:lvl w:ilvl="4" w:tplc="FEB2A5C2">
      <w:start w:val="1"/>
      <w:numFmt w:val="bullet"/>
      <w:lvlText w:val="○"/>
      <w:lvlJc w:val="left"/>
      <w:pPr>
        <w:ind w:left="3600" w:hanging="360"/>
      </w:pPr>
    </w:lvl>
    <w:lvl w:ilvl="5" w:tplc="7DF80C5E">
      <w:start w:val="1"/>
      <w:numFmt w:val="bullet"/>
      <w:lvlText w:val="■"/>
      <w:lvlJc w:val="left"/>
      <w:pPr>
        <w:ind w:left="4320" w:hanging="360"/>
      </w:pPr>
    </w:lvl>
    <w:lvl w:ilvl="6" w:tplc="BA90B9DC">
      <w:start w:val="1"/>
      <w:numFmt w:val="bullet"/>
      <w:lvlText w:val="●"/>
      <w:lvlJc w:val="left"/>
      <w:pPr>
        <w:ind w:left="5040" w:hanging="360"/>
      </w:pPr>
    </w:lvl>
    <w:lvl w:ilvl="7" w:tplc="B1DCCE34">
      <w:start w:val="1"/>
      <w:numFmt w:val="bullet"/>
      <w:lvlText w:val="●"/>
      <w:lvlJc w:val="left"/>
      <w:pPr>
        <w:ind w:left="5760" w:hanging="360"/>
      </w:pPr>
    </w:lvl>
    <w:lvl w:ilvl="8" w:tplc="5B2ABDCE">
      <w:start w:val="1"/>
      <w:numFmt w:val="bullet"/>
      <w:lvlText w:val="●"/>
      <w:lvlJc w:val="left"/>
      <w:pPr>
        <w:ind w:left="6480" w:hanging="360"/>
      </w:pPr>
    </w:lvl>
  </w:abstractNum>
  <w:abstractNum w:abstractNumId="2" w15:restartNumberingAfterBreak="0">
    <w:nsid w:val="1A346040"/>
    <w:multiLevelType w:val="hybridMultilevel"/>
    <w:tmpl w:val="9F9466DA"/>
    <w:lvl w:ilvl="0" w:tplc="07ACBB4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0A246B"/>
    <w:multiLevelType w:val="hybridMultilevel"/>
    <w:tmpl w:val="C40CA7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4282817">
    <w:abstractNumId w:val="1"/>
    <w:lvlOverride w:ilvl="0">
      <w:startOverride w:val="1"/>
    </w:lvlOverride>
  </w:num>
  <w:num w:numId="2" w16cid:durableId="258492972">
    <w:abstractNumId w:val="0"/>
    <w:lvlOverride w:ilvl="0">
      <w:startOverride w:val="1"/>
    </w:lvlOverride>
  </w:num>
  <w:num w:numId="3" w16cid:durableId="1639408814">
    <w:abstractNumId w:val="3"/>
  </w:num>
  <w:num w:numId="4" w16cid:durableId="12782146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A97"/>
    <w:rsid w:val="001752B3"/>
    <w:rsid w:val="00230CDA"/>
    <w:rsid w:val="003E5207"/>
    <w:rsid w:val="005E25AC"/>
    <w:rsid w:val="006610D5"/>
    <w:rsid w:val="007C4BE9"/>
    <w:rsid w:val="008B763F"/>
    <w:rsid w:val="00971271"/>
    <w:rsid w:val="00AE0B31"/>
    <w:rsid w:val="00BD359E"/>
    <w:rsid w:val="00CB04CF"/>
    <w:rsid w:val="00EA1A97"/>
    <w:rsid w:val="00F3094D"/>
    <w:rsid w:val="00F3205D"/>
    <w:rsid w:val="00F56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E4567"/>
  <w15:docId w15:val="{C56F88E3-1E7D-45AB-8504-8BBAFE957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1F3A5F"/>
      <w:sz w:val="26"/>
      <w:szCs w:val="26"/>
    </w:rPr>
  </w:style>
  <w:style w:type="paragraph" w:styleId="Heading2">
    <w:name w:val="heading 2"/>
    <w:uiPriority w:val="9"/>
    <w:unhideWhenUsed/>
    <w:qFormat/>
    <w:pPr>
      <w:spacing w:before="200" w:after="100"/>
      <w:outlineLvl w:val="1"/>
    </w:pPr>
    <w:rPr>
      <w:b/>
      <w:bCs/>
      <w:color w:val="2A6F97"/>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8</Pages>
  <Words>2125</Words>
  <Characters>12115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Rosebina Ali (2534726)</cp:lastModifiedBy>
  <cp:revision>7</cp:revision>
  <dcterms:created xsi:type="dcterms:W3CDTF">2026-09-29T08:02:00Z</dcterms:created>
  <dcterms:modified xsi:type="dcterms:W3CDTF">2026-10-12T11:42:00Z</dcterms:modified>
</cp:coreProperties>
</file>