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73022E7D" w14:textId="77777777" w:rsidR="000E2E7E" w:rsidRDefault="000E2E7E"/>
    <w:p w14:paraId="095321BC" w14:textId="77777777" w:rsidR="001028E7" w:rsidRDefault="001028E7">
      <w:pPr>
        <w:rPr>
          <w:sz w:val="52"/>
          <w:szCs w:val="52"/>
        </w:rPr>
      </w:pPr>
    </w:p>
    <w:p w14:paraId="0C87A799" w14:textId="634E05D9" w:rsidR="000E2E7E" w:rsidRPr="00C173D6" w:rsidRDefault="000E2E7E">
      <w:pPr>
        <w:rPr>
          <w:rFonts w:ascii="Arial" w:hAnsi="Arial" w:cs="Arial"/>
          <w:b/>
          <w:bCs/>
          <w:sz w:val="52"/>
          <w:szCs w:val="52"/>
        </w:rPr>
      </w:pPr>
      <w:r w:rsidRPr="00C173D6">
        <w:rPr>
          <w:rFonts w:ascii="Arial" w:hAnsi="Arial" w:cs="Arial"/>
          <w:b/>
          <w:bCs/>
          <w:sz w:val="52"/>
          <w:szCs w:val="52"/>
        </w:rPr>
        <w:t xml:space="preserve">Module Code:  </w:t>
      </w:r>
      <w:r w:rsidRPr="00C173D6">
        <w:rPr>
          <w:rFonts w:ascii="Arial" w:hAnsi="Arial" w:cs="Arial"/>
          <w:b/>
          <w:bCs/>
          <w:sz w:val="48"/>
          <w:szCs w:val="48"/>
        </w:rPr>
        <w:t>ECAD6017</w:t>
      </w:r>
    </w:p>
    <w:p w14:paraId="10FFAE95" w14:textId="77777777" w:rsidR="000E2E7E" w:rsidRPr="00C173D6" w:rsidRDefault="000E2E7E">
      <w:pPr>
        <w:rPr>
          <w:rFonts w:ascii="Arial" w:hAnsi="Arial" w:cs="Arial"/>
          <w:b/>
          <w:bCs/>
          <w:sz w:val="52"/>
          <w:szCs w:val="52"/>
        </w:rPr>
      </w:pPr>
    </w:p>
    <w:p w14:paraId="12C585B1" w14:textId="77777777" w:rsidR="000E2E7E" w:rsidRPr="00C173D6" w:rsidRDefault="000E2E7E">
      <w:pPr>
        <w:rPr>
          <w:rFonts w:ascii="Arial" w:hAnsi="Arial" w:cs="Arial"/>
          <w:b/>
          <w:bCs/>
          <w:sz w:val="52"/>
          <w:szCs w:val="52"/>
        </w:rPr>
      </w:pPr>
      <w:r w:rsidRPr="00C173D6">
        <w:rPr>
          <w:rFonts w:ascii="Arial" w:hAnsi="Arial" w:cs="Arial"/>
          <w:b/>
          <w:bCs/>
          <w:sz w:val="52"/>
          <w:szCs w:val="52"/>
        </w:rPr>
        <w:t xml:space="preserve">Assignment Title: </w:t>
      </w:r>
    </w:p>
    <w:p w14:paraId="1648AA10" w14:textId="0515074B" w:rsidR="000E2E7E" w:rsidRPr="00C173D6" w:rsidRDefault="000E2E7E">
      <w:pPr>
        <w:rPr>
          <w:rFonts w:ascii="Arial" w:hAnsi="Arial" w:cs="Arial"/>
          <w:b/>
          <w:bCs/>
          <w:sz w:val="52"/>
          <w:szCs w:val="52"/>
        </w:rPr>
      </w:pPr>
      <w:r w:rsidRPr="00C173D6">
        <w:rPr>
          <w:rFonts w:ascii="Arial" w:hAnsi="Arial" w:cs="Arial"/>
          <w:b/>
          <w:bCs/>
          <w:sz w:val="44"/>
          <w:szCs w:val="44"/>
        </w:rPr>
        <w:t>Research Project: Case Study based on Electives Experience</w:t>
      </w:r>
    </w:p>
    <w:p w14:paraId="78DCE9B9" w14:textId="77777777" w:rsidR="000E2E7E" w:rsidRPr="00C173D6" w:rsidRDefault="000E2E7E">
      <w:pPr>
        <w:rPr>
          <w:rFonts w:ascii="Arial" w:hAnsi="Arial" w:cs="Arial"/>
          <w:b/>
          <w:bCs/>
          <w:sz w:val="52"/>
          <w:szCs w:val="52"/>
        </w:rPr>
      </w:pPr>
    </w:p>
    <w:p w14:paraId="5873F84A" w14:textId="4C448D84" w:rsidR="000E2E7E" w:rsidRPr="00C173D6" w:rsidRDefault="000E2E7E">
      <w:pPr>
        <w:rPr>
          <w:rFonts w:ascii="Arial" w:hAnsi="Arial" w:cs="Arial"/>
          <w:b/>
          <w:bCs/>
          <w:sz w:val="52"/>
          <w:szCs w:val="52"/>
        </w:rPr>
      </w:pPr>
      <w:r w:rsidRPr="00C173D6">
        <w:rPr>
          <w:rFonts w:ascii="Arial" w:hAnsi="Arial" w:cs="Arial"/>
          <w:b/>
          <w:bCs/>
          <w:sz w:val="52"/>
          <w:szCs w:val="52"/>
        </w:rPr>
        <w:t>Student Name:</w:t>
      </w:r>
      <w:r w:rsidR="00C173D6" w:rsidRPr="00C173D6">
        <w:rPr>
          <w:rFonts w:ascii="Arial" w:hAnsi="Arial" w:cs="Arial"/>
          <w:b/>
          <w:bCs/>
          <w:sz w:val="52"/>
          <w:szCs w:val="52"/>
        </w:rPr>
        <w:t xml:space="preserve"> Phoebe Preece</w:t>
      </w:r>
    </w:p>
    <w:p w14:paraId="47D65DC0" w14:textId="77777777" w:rsidR="000E2E7E" w:rsidRPr="00C173D6" w:rsidRDefault="000E2E7E">
      <w:pPr>
        <w:rPr>
          <w:rFonts w:ascii="Arial" w:hAnsi="Arial" w:cs="Arial"/>
          <w:b/>
          <w:bCs/>
          <w:sz w:val="52"/>
          <w:szCs w:val="52"/>
        </w:rPr>
      </w:pPr>
    </w:p>
    <w:p w14:paraId="1025240F" w14:textId="781C312C" w:rsidR="000E2E7E" w:rsidRPr="00C173D6" w:rsidRDefault="000E2E7E">
      <w:pPr>
        <w:rPr>
          <w:rFonts w:ascii="Arial" w:hAnsi="Arial" w:cs="Arial"/>
          <w:b/>
          <w:bCs/>
          <w:sz w:val="52"/>
          <w:szCs w:val="52"/>
        </w:rPr>
      </w:pPr>
      <w:r w:rsidRPr="00C173D6">
        <w:rPr>
          <w:rFonts w:ascii="Arial" w:hAnsi="Arial" w:cs="Arial"/>
          <w:b/>
          <w:bCs/>
          <w:sz w:val="52"/>
          <w:szCs w:val="52"/>
        </w:rPr>
        <w:t>Student Number:</w:t>
      </w:r>
      <w:r w:rsidR="00C173D6" w:rsidRPr="00C173D6">
        <w:rPr>
          <w:rFonts w:ascii="Arial" w:hAnsi="Arial" w:cs="Arial"/>
          <w:b/>
          <w:bCs/>
          <w:sz w:val="52"/>
          <w:szCs w:val="52"/>
        </w:rPr>
        <w:t xml:space="preserve"> 2200807</w:t>
      </w:r>
    </w:p>
    <w:p w14:paraId="33CB9AEB" w14:textId="77777777" w:rsidR="000E2E7E" w:rsidRPr="00C173D6" w:rsidRDefault="000E2E7E">
      <w:pPr>
        <w:rPr>
          <w:rFonts w:ascii="Arial" w:hAnsi="Arial" w:cs="Arial"/>
          <w:b/>
          <w:bCs/>
          <w:sz w:val="52"/>
          <w:szCs w:val="52"/>
        </w:rPr>
      </w:pPr>
    </w:p>
    <w:p w14:paraId="504508FC" w14:textId="77777777" w:rsidR="000E2E7E" w:rsidRPr="00C173D6" w:rsidRDefault="000E2E7E">
      <w:pPr>
        <w:rPr>
          <w:rFonts w:ascii="Arial" w:hAnsi="Arial" w:cs="Arial"/>
          <w:b/>
          <w:bCs/>
          <w:sz w:val="52"/>
          <w:szCs w:val="52"/>
        </w:rPr>
      </w:pPr>
    </w:p>
    <w:p w14:paraId="49120FEE" w14:textId="77777777" w:rsidR="00C173D6" w:rsidRPr="00C173D6" w:rsidRDefault="000E2E7E" w:rsidP="000E2E7E">
      <w:pPr>
        <w:rPr>
          <w:rFonts w:ascii="Arial" w:hAnsi="Arial" w:cs="Arial"/>
          <w:b/>
          <w:bCs/>
          <w:sz w:val="52"/>
          <w:szCs w:val="52"/>
        </w:rPr>
      </w:pPr>
      <w:r w:rsidRPr="00C173D6">
        <w:rPr>
          <w:rFonts w:ascii="Arial" w:hAnsi="Arial" w:cs="Arial"/>
          <w:b/>
          <w:bCs/>
          <w:sz w:val="52"/>
          <w:szCs w:val="52"/>
        </w:rPr>
        <w:t>BA Primary Education (QTS)</w:t>
      </w:r>
    </w:p>
    <w:p w14:paraId="311990D1" w14:textId="54F9F221" w:rsidR="000E2E7E" w:rsidRPr="00C173D6" w:rsidRDefault="000E2E7E" w:rsidP="000E2E7E">
      <w:pPr>
        <w:rPr>
          <w:rFonts w:ascii="Arial" w:hAnsi="Arial" w:cs="Arial"/>
          <w:b/>
          <w:bCs/>
          <w:sz w:val="52"/>
          <w:szCs w:val="52"/>
        </w:rPr>
      </w:pPr>
      <w:r w:rsidRPr="00C173D6">
        <w:rPr>
          <w:rFonts w:ascii="Arial" w:hAnsi="Arial" w:cs="Arial"/>
          <w:b/>
          <w:bCs/>
          <w:sz w:val="32"/>
          <w:szCs w:val="32"/>
          <w:u w:val="single"/>
        </w:rPr>
        <w:lastRenderedPageBreak/>
        <w:t>AI Acknowledgement</w:t>
      </w:r>
    </w:p>
    <w:p w14:paraId="514C5B4D" w14:textId="1ADC4C99" w:rsidR="003F64A4" w:rsidRPr="003F64A4" w:rsidRDefault="003F64A4" w:rsidP="000E2E7E">
      <w:pPr>
        <w:rPr>
          <w:rFonts w:ascii="Arial" w:hAnsi="Arial" w:cs="Arial"/>
        </w:rPr>
      </w:pPr>
      <w:r w:rsidRPr="003F64A4">
        <w:rPr>
          <w:rFonts w:ascii="Arial" w:hAnsi="Arial" w:cs="Arial"/>
        </w:rPr>
        <w:t>I acknowledge the use of ChatGPT on 19 December 2024 to confirm my understanding of Thematic Analysis before writing up the section. I used the prompts:</w:t>
      </w:r>
    </w:p>
    <w:p w14:paraId="625D5716" w14:textId="7A82E19F" w:rsidR="003F64A4" w:rsidRPr="003F64A4" w:rsidRDefault="003F64A4" w:rsidP="003F64A4">
      <w:pPr>
        <w:pStyle w:val="ListParagraph"/>
        <w:numPr>
          <w:ilvl w:val="0"/>
          <w:numId w:val="6"/>
        </w:numPr>
        <w:rPr>
          <w:rFonts w:ascii="Arial" w:hAnsi="Arial" w:cs="Arial"/>
        </w:rPr>
      </w:pPr>
      <w:r w:rsidRPr="003F64A4">
        <w:rPr>
          <w:rFonts w:ascii="Arial" w:hAnsi="Arial" w:cs="Arial"/>
        </w:rPr>
        <w:t xml:space="preserve">Summarise Braun and Clarkes Thematic Analysis. </w:t>
      </w:r>
    </w:p>
    <w:p w14:paraId="1B7CCB3E" w14:textId="4DC2AC9B" w:rsidR="003F64A4" w:rsidRPr="003F64A4" w:rsidRDefault="003F64A4" w:rsidP="003F64A4">
      <w:pPr>
        <w:rPr>
          <w:rFonts w:ascii="Arial" w:hAnsi="Arial" w:cs="Arial"/>
        </w:rPr>
      </w:pPr>
      <w:r w:rsidRPr="003F64A4">
        <w:rPr>
          <w:rFonts w:ascii="Arial" w:hAnsi="Arial" w:cs="Arial"/>
        </w:rPr>
        <w:t xml:space="preserve">I confirm that I have not presented any AI generated text as my own work. </w:t>
      </w:r>
    </w:p>
    <w:p w14:paraId="6ECF5E65" w14:textId="620A1E15" w:rsidR="003F64A4" w:rsidRDefault="003F64A4" w:rsidP="003F64A4">
      <w:pPr>
        <w:rPr>
          <w:rFonts w:ascii="Arial" w:hAnsi="Arial" w:cs="Arial"/>
        </w:rPr>
      </w:pPr>
      <w:r w:rsidRPr="003F64A4">
        <w:rPr>
          <w:rFonts w:ascii="Arial" w:hAnsi="Arial" w:cs="Arial"/>
        </w:rPr>
        <w:t xml:space="preserve">I can confirm that I have copies of my notes and library receipts of Braun and Clarke’s book which I used before and after the use of AI tools which I may be asked to provide in evidence. </w:t>
      </w:r>
    </w:p>
    <w:p w14:paraId="34A32474" w14:textId="77777777" w:rsidR="003F64A4" w:rsidRDefault="003F64A4" w:rsidP="003F64A4">
      <w:pPr>
        <w:rPr>
          <w:rFonts w:ascii="Arial" w:hAnsi="Arial" w:cs="Arial"/>
        </w:rPr>
      </w:pPr>
    </w:p>
    <w:p w14:paraId="65DDD5EF" w14:textId="77777777" w:rsidR="003F64A4" w:rsidRDefault="003F64A4" w:rsidP="003F64A4">
      <w:pPr>
        <w:rPr>
          <w:rFonts w:ascii="Arial" w:hAnsi="Arial" w:cs="Arial"/>
        </w:rPr>
      </w:pPr>
    </w:p>
    <w:p w14:paraId="6B7851CD" w14:textId="77777777" w:rsidR="001146DC" w:rsidRDefault="001146DC" w:rsidP="003F64A4">
      <w:pPr>
        <w:rPr>
          <w:rFonts w:ascii="Arial" w:hAnsi="Arial" w:cs="Arial"/>
        </w:rPr>
      </w:pPr>
    </w:p>
    <w:p w14:paraId="637173ED" w14:textId="17396EC8" w:rsidR="003F64A4" w:rsidRPr="00032D46" w:rsidRDefault="00032D46" w:rsidP="003F64A4">
      <w:pPr>
        <w:rPr>
          <w:rFonts w:ascii="Arial" w:hAnsi="Arial" w:cs="Arial"/>
          <w:b/>
          <w:bCs/>
          <w:sz w:val="32"/>
          <w:szCs w:val="32"/>
        </w:rPr>
      </w:pPr>
      <w:r w:rsidRPr="00032D46">
        <w:rPr>
          <w:rFonts w:ascii="Arial" w:hAnsi="Arial" w:cs="Arial"/>
          <w:b/>
          <w:bCs/>
          <w:sz w:val="32"/>
          <w:szCs w:val="32"/>
        </w:rPr>
        <w:t xml:space="preserve">Word Count: </w:t>
      </w:r>
      <w:r w:rsidR="0070018B">
        <w:rPr>
          <w:rFonts w:ascii="Arial" w:hAnsi="Arial" w:cs="Arial"/>
          <w:b/>
          <w:bCs/>
          <w:sz w:val="32"/>
          <w:szCs w:val="32"/>
        </w:rPr>
        <w:t>439</w:t>
      </w:r>
      <w:r w:rsidR="0020000F">
        <w:rPr>
          <w:rFonts w:ascii="Arial" w:hAnsi="Arial" w:cs="Arial"/>
          <w:b/>
          <w:bCs/>
          <w:sz w:val="32"/>
          <w:szCs w:val="32"/>
        </w:rPr>
        <w:t>7</w:t>
      </w:r>
    </w:p>
    <w:p w14:paraId="576F22A4" w14:textId="77777777" w:rsidR="000E2E7E" w:rsidRDefault="000E2E7E" w:rsidP="000E2E7E">
      <w:pPr>
        <w:rPr>
          <w:rFonts w:ascii="Arial" w:hAnsi="Arial" w:cs="Arial"/>
          <w:sz w:val="16"/>
          <w:szCs w:val="16"/>
        </w:rPr>
      </w:pPr>
    </w:p>
    <w:p w14:paraId="625E669D" w14:textId="77777777" w:rsidR="00032D46" w:rsidRDefault="00032D46" w:rsidP="000E2E7E">
      <w:pPr>
        <w:rPr>
          <w:rFonts w:ascii="Arial" w:hAnsi="Arial" w:cs="Arial"/>
          <w:sz w:val="16"/>
          <w:szCs w:val="16"/>
        </w:rPr>
      </w:pPr>
    </w:p>
    <w:p w14:paraId="6564B54B" w14:textId="77777777" w:rsidR="00032D46" w:rsidRDefault="00032D46" w:rsidP="000E2E7E">
      <w:pPr>
        <w:rPr>
          <w:rFonts w:ascii="Arial" w:hAnsi="Arial" w:cs="Arial"/>
          <w:sz w:val="16"/>
          <w:szCs w:val="16"/>
        </w:rPr>
      </w:pPr>
    </w:p>
    <w:p w14:paraId="0BF27BDC" w14:textId="77777777" w:rsidR="00032D46" w:rsidRDefault="00032D46" w:rsidP="000E2E7E">
      <w:pPr>
        <w:rPr>
          <w:rFonts w:ascii="Arial" w:hAnsi="Arial" w:cs="Arial"/>
          <w:sz w:val="16"/>
          <w:szCs w:val="16"/>
        </w:rPr>
      </w:pPr>
    </w:p>
    <w:p w14:paraId="6D1BAEAA" w14:textId="77777777" w:rsidR="00032D46" w:rsidRPr="00C173D6" w:rsidRDefault="00032D46" w:rsidP="000E2E7E">
      <w:pPr>
        <w:rPr>
          <w:rFonts w:ascii="Arial" w:hAnsi="Arial" w:cs="Arial"/>
          <w:sz w:val="16"/>
          <w:szCs w:val="16"/>
        </w:rPr>
      </w:pPr>
    </w:p>
    <w:tbl>
      <w:tblPr>
        <w:tblStyle w:val="TableGrid"/>
        <w:tblW w:w="9282" w:type="dxa"/>
        <w:tblLook w:val="04A0" w:firstRow="1" w:lastRow="0" w:firstColumn="1" w:lastColumn="0" w:noHBand="0" w:noVBand="1"/>
      </w:tblPr>
      <w:tblGrid>
        <w:gridCol w:w="4390"/>
        <w:gridCol w:w="1984"/>
        <w:gridCol w:w="2908"/>
      </w:tblGrid>
      <w:tr w:rsidR="000E2E7E" w:rsidRPr="00C173D6" w14:paraId="0ADB3F25" w14:textId="77777777" w:rsidTr="0087734E">
        <w:trPr>
          <w:trHeight w:val="360"/>
        </w:trPr>
        <w:tc>
          <w:tcPr>
            <w:tcW w:w="4390" w:type="dxa"/>
          </w:tcPr>
          <w:p w14:paraId="2110C93E" w14:textId="45B7432A" w:rsidR="000E2E7E" w:rsidRPr="00C173D6" w:rsidRDefault="000E2E7E" w:rsidP="00AE36BB">
            <w:pPr>
              <w:rPr>
                <w:rFonts w:ascii="Arial" w:hAnsi="Arial" w:cs="Arial"/>
                <w:b/>
                <w:bCs/>
                <w:color w:val="FFFFFF"/>
                <w:sz w:val="28"/>
                <w:szCs w:val="28"/>
                <w:lang w:val="cy-GB"/>
              </w:rPr>
            </w:pPr>
            <w:r w:rsidRPr="00C173D6">
              <w:rPr>
                <w:rFonts w:ascii="Arial" w:hAnsi="Arial" w:cs="Arial"/>
                <w:b/>
                <w:bCs/>
                <w:sz w:val="28"/>
                <w:szCs w:val="28"/>
                <w:lang w:val="cy-GB"/>
              </w:rPr>
              <w:t>Targets from previous module</w:t>
            </w:r>
          </w:p>
        </w:tc>
        <w:tc>
          <w:tcPr>
            <w:tcW w:w="1984" w:type="dxa"/>
          </w:tcPr>
          <w:p w14:paraId="1C0504E0" w14:textId="648CF4FC" w:rsidR="000E2E7E" w:rsidRPr="00C173D6" w:rsidRDefault="000E2E7E" w:rsidP="00AE36BB">
            <w:pPr>
              <w:rPr>
                <w:rFonts w:ascii="Arial" w:hAnsi="Arial" w:cs="Arial"/>
                <w:b/>
                <w:bCs/>
                <w:color w:val="FFFFFF"/>
                <w:sz w:val="28"/>
                <w:szCs w:val="28"/>
                <w:lang w:val="cy-GB"/>
              </w:rPr>
            </w:pPr>
            <w:r w:rsidRPr="00C173D6">
              <w:rPr>
                <w:rFonts w:ascii="Arial" w:hAnsi="Arial" w:cs="Arial"/>
                <w:b/>
                <w:bCs/>
                <w:sz w:val="28"/>
                <w:szCs w:val="28"/>
                <w:lang w:val="cy-GB"/>
              </w:rPr>
              <w:t>How I have worked on these?</w:t>
            </w:r>
          </w:p>
        </w:tc>
        <w:tc>
          <w:tcPr>
            <w:tcW w:w="2908" w:type="dxa"/>
          </w:tcPr>
          <w:p w14:paraId="0ED8A1ED" w14:textId="77777777" w:rsidR="000E2E7E" w:rsidRPr="00C173D6" w:rsidRDefault="000E2E7E" w:rsidP="00AE36BB">
            <w:pPr>
              <w:rPr>
                <w:rFonts w:ascii="Arial" w:hAnsi="Arial" w:cs="Arial"/>
                <w:b/>
                <w:bCs/>
                <w:sz w:val="28"/>
                <w:szCs w:val="28"/>
                <w:lang w:val="cy-GB"/>
              </w:rPr>
            </w:pPr>
            <w:r w:rsidRPr="00C173D6">
              <w:rPr>
                <w:rFonts w:ascii="Arial" w:hAnsi="Arial" w:cs="Arial"/>
                <w:b/>
                <w:bCs/>
                <w:sz w:val="28"/>
                <w:szCs w:val="28"/>
                <w:lang w:val="cy-GB"/>
              </w:rPr>
              <w:t>An example can be seen on…</w:t>
            </w:r>
          </w:p>
          <w:p w14:paraId="0798C571" w14:textId="146BBBF0" w:rsidR="000E2E7E" w:rsidRPr="00C173D6" w:rsidRDefault="000E2E7E" w:rsidP="00AE36BB">
            <w:pPr>
              <w:rPr>
                <w:rFonts w:ascii="Arial" w:hAnsi="Arial" w:cs="Arial"/>
                <w:b/>
                <w:bCs/>
                <w:color w:val="FFFFFF"/>
                <w:sz w:val="28"/>
                <w:szCs w:val="28"/>
                <w:lang w:val="cy-GB"/>
              </w:rPr>
            </w:pPr>
          </w:p>
        </w:tc>
      </w:tr>
      <w:tr w:rsidR="000E2E7E" w:rsidRPr="00C173D6" w14:paraId="0EC7171C" w14:textId="77777777" w:rsidTr="0087734E">
        <w:trPr>
          <w:trHeight w:val="338"/>
        </w:trPr>
        <w:tc>
          <w:tcPr>
            <w:tcW w:w="4390" w:type="dxa"/>
          </w:tcPr>
          <w:p w14:paraId="18121FAC" w14:textId="4EEB804D" w:rsidR="000E2E7E" w:rsidRPr="0087734E" w:rsidRDefault="0087734E" w:rsidP="0087734E">
            <w:pPr>
              <w:pStyle w:val="ListParagraph"/>
              <w:numPr>
                <w:ilvl w:val="0"/>
                <w:numId w:val="4"/>
              </w:numPr>
              <w:rPr>
                <w:rFonts w:ascii="Arial" w:hAnsi="Arial" w:cs="Arial"/>
                <w:lang w:val="cy-GB"/>
              </w:rPr>
            </w:pPr>
            <w:r w:rsidRPr="0087734E">
              <w:rPr>
                <w:rFonts w:ascii="Arial" w:hAnsi="Arial" w:cs="Arial"/>
              </w:rPr>
              <w:t>Moving forward, continue identifying practical day-to-day solutions for your own future practice. Despite the challenges schools face with staffing and funding, consider the strategies you would implement both inside and outside the classroom.</w:t>
            </w:r>
          </w:p>
        </w:tc>
        <w:tc>
          <w:tcPr>
            <w:tcW w:w="1984" w:type="dxa"/>
          </w:tcPr>
          <w:p w14:paraId="0A55C9ED" w14:textId="2E34AA23" w:rsidR="000E2E7E" w:rsidRPr="00C173D6" w:rsidRDefault="000C0ADE" w:rsidP="00AE36BB">
            <w:pPr>
              <w:rPr>
                <w:rFonts w:ascii="Arial" w:hAnsi="Arial" w:cs="Arial"/>
                <w:lang w:val="cy-GB"/>
              </w:rPr>
            </w:pPr>
            <w:r>
              <w:rPr>
                <w:rFonts w:ascii="Arial" w:hAnsi="Arial" w:cs="Arial"/>
                <w:lang w:val="cy-GB"/>
              </w:rPr>
              <w:t xml:space="preserve">I have suggested practical solutions to implementing outdoor learning that reduces the barriers so it can be applied more effectively within education. </w:t>
            </w:r>
          </w:p>
        </w:tc>
        <w:tc>
          <w:tcPr>
            <w:tcW w:w="2908" w:type="dxa"/>
          </w:tcPr>
          <w:p w14:paraId="183044AB" w14:textId="55F6576A" w:rsidR="007A4F2A" w:rsidRPr="00C173D6" w:rsidRDefault="000C0ADE" w:rsidP="00AE36BB">
            <w:pPr>
              <w:rPr>
                <w:rFonts w:ascii="Arial" w:hAnsi="Arial" w:cs="Arial"/>
                <w:lang w:val="cy-GB"/>
              </w:rPr>
            </w:pPr>
            <w:r w:rsidRPr="003F64A4">
              <w:rPr>
                <w:rFonts w:ascii="Arial" w:hAnsi="Arial" w:cs="Arial"/>
                <w:lang w:val="cy-GB"/>
              </w:rPr>
              <w:t>Within the literature review</w:t>
            </w:r>
            <w:r w:rsidR="007A4F2A">
              <w:rPr>
                <w:rFonts w:ascii="Arial" w:hAnsi="Arial" w:cs="Arial"/>
                <w:lang w:val="cy-GB"/>
              </w:rPr>
              <w:t xml:space="preserve"> and in the reccommendations section.  </w:t>
            </w:r>
          </w:p>
        </w:tc>
      </w:tr>
      <w:tr w:rsidR="000E2E7E" w:rsidRPr="00C173D6" w14:paraId="388E36FE" w14:textId="77777777" w:rsidTr="0087734E">
        <w:trPr>
          <w:trHeight w:val="338"/>
        </w:trPr>
        <w:tc>
          <w:tcPr>
            <w:tcW w:w="4390" w:type="dxa"/>
          </w:tcPr>
          <w:p w14:paraId="2740262D" w14:textId="2953006B" w:rsidR="000E2E7E" w:rsidRPr="0087734E" w:rsidRDefault="0087734E" w:rsidP="0087734E">
            <w:pPr>
              <w:pStyle w:val="ListParagraph"/>
              <w:numPr>
                <w:ilvl w:val="0"/>
                <w:numId w:val="3"/>
              </w:numPr>
              <w:rPr>
                <w:rFonts w:ascii="Arial" w:hAnsi="Arial" w:cs="Arial"/>
                <w:lang w:val="cy-GB"/>
              </w:rPr>
            </w:pPr>
            <w:r>
              <w:rPr>
                <w:rFonts w:ascii="Arial" w:hAnsi="Arial" w:cs="Arial"/>
              </w:rPr>
              <w:t>I</w:t>
            </w:r>
            <w:r w:rsidRPr="0087734E">
              <w:rPr>
                <w:rFonts w:ascii="Arial" w:hAnsi="Arial" w:cs="Arial"/>
              </w:rPr>
              <w:t>n future research and academic writing, aim to synthesise information from a variety of sources to present a well-rounded evidence-based argument. Rather than relying on a single perspective per time, consider drawing from multiple authors/cite different studies to deepen your analysis.</w:t>
            </w:r>
          </w:p>
          <w:p w14:paraId="06CE4F7D" w14:textId="77777777" w:rsidR="000E2E7E" w:rsidRPr="00C173D6" w:rsidRDefault="000E2E7E" w:rsidP="00AE36BB">
            <w:pPr>
              <w:rPr>
                <w:rFonts w:ascii="Arial" w:hAnsi="Arial" w:cs="Arial"/>
                <w:lang w:val="cy-GB"/>
              </w:rPr>
            </w:pPr>
          </w:p>
        </w:tc>
        <w:tc>
          <w:tcPr>
            <w:tcW w:w="1984" w:type="dxa"/>
          </w:tcPr>
          <w:p w14:paraId="33CC185F" w14:textId="0A72FD0F" w:rsidR="000E2E7E" w:rsidRPr="00C173D6" w:rsidRDefault="00C74DD9" w:rsidP="00AE36BB">
            <w:pPr>
              <w:rPr>
                <w:rFonts w:ascii="Arial" w:hAnsi="Arial" w:cs="Arial"/>
                <w:lang w:val="cy-GB"/>
              </w:rPr>
            </w:pPr>
            <w:r>
              <w:rPr>
                <w:rFonts w:ascii="Arial" w:hAnsi="Arial" w:cs="Arial"/>
                <w:lang w:val="cy-GB"/>
              </w:rPr>
              <w:t xml:space="preserve">I have ensured to include more than one source to support each argument made throughout my assignment. </w:t>
            </w:r>
          </w:p>
        </w:tc>
        <w:tc>
          <w:tcPr>
            <w:tcW w:w="2908" w:type="dxa"/>
          </w:tcPr>
          <w:p w14:paraId="37CFC390" w14:textId="2BAB9633" w:rsidR="000E2E7E" w:rsidRPr="00C173D6" w:rsidRDefault="00C74DD9" w:rsidP="00AE36BB">
            <w:pPr>
              <w:rPr>
                <w:rFonts w:ascii="Arial" w:hAnsi="Arial" w:cs="Arial"/>
                <w:lang w:val="cy-GB"/>
              </w:rPr>
            </w:pPr>
            <w:r>
              <w:rPr>
                <w:rFonts w:ascii="Arial" w:hAnsi="Arial" w:cs="Arial"/>
                <w:lang w:val="cy-GB"/>
              </w:rPr>
              <w:t>Throughout the assignemnt, but partic</w:t>
            </w:r>
            <w:r w:rsidR="00C91A5B">
              <w:rPr>
                <w:rFonts w:ascii="Arial" w:hAnsi="Arial" w:cs="Arial"/>
                <w:lang w:val="cy-GB"/>
              </w:rPr>
              <w:t xml:space="preserve">ularly </w:t>
            </w:r>
            <w:r>
              <w:rPr>
                <w:rFonts w:ascii="Arial" w:hAnsi="Arial" w:cs="Arial"/>
                <w:lang w:val="cy-GB"/>
              </w:rPr>
              <w:t xml:space="preserve">within the </w:t>
            </w:r>
            <w:r w:rsidR="007A4F2A">
              <w:rPr>
                <w:rFonts w:ascii="Arial" w:hAnsi="Arial" w:cs="Arial"/>
                <w:lang w:val="cy-GB"/>
              </w:rPr>
              <w:t>l</w:t>
            </w:r>
            <w:r>
              <w:rPr>
                <w:rFonts w:ascii="Arial" w:hAnsi="Arial" w:cs="Arial"/>
                <w:lang w:val="cy-GB"/>
              </w:rPr>
              <w:t xml:space="preserve">iterature </w:t>
            </w:r>
            <w:r w:rsidR="007A4F2A">
              <w:rPr>
                <w:rFonts w:ascii="Arial" w:hAnsi="Arial" w:cs="Arial"/>
                <w:lang w:val="cy-GB"/>
              </w:rPr>
              <w:t>r</w:t>
            </w:r>
            <w:r>
              <w:rPr>
                <w:rFonts w:ascii="Arial" w:hAnsi="Arial" w:cs="Arial"/>
                <w:lang w:val="cy-GB"/>
              </w:rPr>
              <w:t xml:space="preserve">eview and </w:t>
            </w:r>
            <w:r w:rsidR="007A4F2A">
              <w:rPr>
                <w:rFonts w:ascii="Arial" w:hAnsi="Arial" w:cs="Arial"/>
                <w:lang w:val="cy-GB"/>
              </w:rPr>
              <w:t>r</w:t>
            </w:r>
            <w:r>
              <w:rPr>
                <w:rFonts w:ascii="Arial" w:hAnsi="Arial" w:cs="Arial"/>
                <w:lang w:val="cy-GB"/>
              </w:rPr>
              <w:t xml:space="preserve">esearch </w:t>
            </w:r>
            <w:r w:rsidR="007A4F2A">
              <w:rPr>
                <w:rFonts w:ascii="Arial" w:hAnsi="Arial" w:cs="Arial"/>
                <w:lang w:val="cy-GB"/>
              </w:rPr>
              <w:t>m</w:t>
            </w:r>
            <w:r>
              <w:rPr>
                <w:rFonts w:ascii="Arial" w:hAnsi="Arial" w:cs="Arial"/>
                <w:lang w:val="cy-GB"/>
              </w:rPr>
              <w:t xml:space="preserve">ethods section. </w:t>
            </w:r>
          </w:p>
        </w:tc>
      </w:tr>
    </w:tbl>
    <w:p w14:paraId="4CF6C14B" w14:textId="77777777" w:rsidR="000E2E7E" w:rsidRPr="00C173D6" w:rsidRDefault="000E2E7E" w:rsidP="000E2E7E">
      <w:pPr>
        <w:rPr>
          <w:rFonts w:ascii="Arial" w:hAnsi="Arial" w:cs="Arial"/>
          <w:sz w:val="16"/>
          <w:szCs w:val="16"/>
        </w:rPr>
      </w:pPr>
    </w:p>
    <w:p w14:paraId="3A25638B" w14:textId="12793054" w:rsidR="00C173D6" w:rsidRPr="00C173D6" w:rsidRDefault="00C173D6" w:rsidP="00C173D6">
      <w:pPr>
        <w:rPr>
          <w:rFonts w:ascii="Arial" w:hAnsi="Arial" w:cs="Arial"/>
          <w:b/>
          <w:bCs/>
          <w:sz w:val="28"/>
          <w:szCs w:val="28"/>
        </w:rPr>
      </w:pPr>
      <w:r w:rsidRPr="00C173D6">
        <w:rPr>
          <w:rFonts w:ascii="Arial" w:hAnsi="Arial" w:cs="Arial"/>
          <w:b/>
          <w:bCs/>
          <w:sz w:val="28"/>
          <w:szCs w:val="28"/>
        </w:rPr>
        <w:lastRenderedPageBreak/>
        <w:t>‘In what ways does outdoor learning impact the engagement and wellbeing of children in Foundation Phase?’</w:t>
      </w:r>
    </w:p>
    <w:p w14:paraId="0A78E3A1" w14:textId="195A596D" w:rsidR="00C173D6" w:rsidRPr="00C173D6" w:rsidRDefault="00C173D6" w:rsidP="00C173D6">
      <w:pPr>
        <w:rPr>
          <w:rFonts w:ascii="Arial" w:hAnsi="Arial" w:cs="Arial"/>
          <w:b/>
          <w:bCs/>
          <w:sz w:val="28"/>
          <w:szCs w:val="28"/>
        </w:rPr>
      </w:pPr>
      <w:r w:rsidRPr="00C173D6">
        <w:rPr>
          <w:rFonts w:ascii="Arial" w:hAnsi="Arial" w:cs="Arial"/>
          <w:b/>
          <w:bCs/>
          <w:sz w:val="28"/>
          <w:szCs w:val="28"/>
        </w:rPr>
        <w:t>Introduction</w:t>
      </w:r>
    </w:p>
    <w:p w14:paraId="6234F26D" w14:textId="5B0B5299" w:rsidR="00322AB7" w:rsidRDefault="00C173D6" w:rsidP="000E2E7E">
      <w:pPr>
        <w:rPr>
          <w:rFonts w:ascii="Arial" w:hAnsi="Arial" w:cs="Arial"/>
        </w:rPr>
      </w:pPr>
      <w:r w:rsidRPr="00C173D6">
        <w:rPr>
          <w:rFonts w:ascii="Arial" w:hAnsi="Arial" w:cs="Arial"/>
        </w:rPr>
        <w:t xml:space="preserve">Children in Wales have a significant amount to cope with during their development, without the added pressures of external circumstances (Welsh Government, 2021). </w:t>
      </w:r>
      <w:r w:rsidR="005C1830">
        <w:rPr>
          <w:rFonts w:ascii="Arial" w:hAnsi="Arial" w:cs="Arial"/>
        </w:rPr>
        <w:t xml:space="preserve">As a result of circumstances, </w:t>
      </w:r>
      <w:r w:rsidR="006667D3">
        <w:rPr>
          <w:rFonts w:ascii="Arial" w:hAnsi="Arial" w:cs="Arial"/>
        </w:rPr>
        <w:t>children in Wales have a low</w:t>
      </w:r>
      <w:r w:rsidR="005C1830">
        <w:rPr>
          <w:rFonts w:ascii="Arial" w:hAnsi="Arial" w:cs="Arial"/>
        </w:rPr>
        <w:t>er</w:t>
      </w:r>
      <w:r w:rsidR="006667D3">
        <w:rPr>
          <w:rFonts w:ascii="Arial" w:hAnsi="Arial" w:cs="Arial"/>
        </w:rPr>
        <w:t xml:space="preserve"> level </w:t>
      </w:r>
      <w:r w:rsidR="005C1830">
        <w:rPr>
          <w:rFonts w:ascii="Arial" w:hAnsi="Arial" w:cs="Arial"/>
        </w:rPr>
        <w:t xml:space="preserve">of </w:t>
      </w:r>
      <w:r w:rsidR="006667D3">
        <w:rPr>
          <w:rFonts w:ascii="Arial" w:hAnsi="Arial" w:cs="Arial"/>
        </w:rPr>
        <w:t>wellbeing (C</w:t>
      </w:r>
      <w:r w:rsidR="004873EE">
        <w:rPr>
          <w:rFonts w:ascii="Arial" w:hAnsi="Arial" w:cs="Arial"/>
        </w:rPr>
        <w:t>ardiff University</w:t>
      </w:r>
      <w:r w:rsidR="006667D3">
        <w:rPr>
          <w:rFonts w:ascii="Arial" w:hAnsi="Arial" w:cs="Arial"/>
        </w:rPr>
        <w:t xml:space="preserve">, 2020). </w:t>
      </w:r>
      <w:r w:rsidRPr="00C173D6">
        <w:rPr>
          <w:rFonts w:ascii="Arial" w:hAnsi="Arial" w:cs="Arial"/>
        </w:rPr>
        <w:t>The Wellbeing of Future Generations Act provides a legally binding purpose that specifies public bodies working together to improve the well-being in Wales (Welsh Government, 2024a). However, implications such as the COVID-19 pandemic suggest that children and young people are struggling more so, resulting in</w:t>
      </w:r>
      <w:r w:rsidR="005C1830">
        <w:rPr>
          <w:rFonts w:ascii="Arial" w:hAnsi="Arial" w:cs="Arial"/>
        </w:rPr>
        <w:t xml:space="preserve"> promoting</w:t>
      </w:r>
      <w:r w:rsidRPr="00C173D6">
        <w:rPr>
          <w:rFonts w:ascii="Arial" w:hAnsi="Arial" w:cs="Arial"/>
        </w:rPr>
        <w:t xml:space="preserve"> positive wellbeing habits in education (Welsh Government, 2024b). </w:t>
      </w:r>
      <w:r w:rsidR="009B7662">
        <w:rPr>
          <w:rFonts w:ascii="Arial" w:hAnsi="Arial" w:cs="Arial"/>
        </w:rPr>
        <w:t xml:space="preserve">The </w:t>
      </w:r>
      <w:r w:rsidRPr="00C173D6">
        <w:rPr>
          <w:rFonts w:ascii="Arial" w:hAnsi="Arial" w:cs="Arial"/>
        </w:rPr>
        <w:t xml:space="preserve">role of the outdoors became increasingly important, since the pandemic (Welsh Government, 2023a). As a part of an enquiring profession, it </w:t>
      </w:r>
      <w:r w:rsidR="00F372F1">
        <w:rPr>
          <w:rFonts w:ascii="Arial" w:hAnsi="Arial" w:cs="Arial"/>
        </w:rPr>
        <w:t xml:space="preserve">is </w:t>
      </w:r>
      <w:r w:rsidRPr="00C173D6">
        <w:rPr>
          <w:rFonts w:ascii="Arial" w:hAnsi="Arial" w:cs="Arial"/>
        </w:rPr>
        <w:t xml:space="preserve">vital </w:t>
      </w:r>
      <w:r w:rsidR="00F372F1">
        <w:rPr>
          <w:rFonts w:ascii="Arial" w:hAnsi="Arial" w:cs="Arial"/>
        </w:rPr>
        <w:t>to</w:t>
      </w:r>
      <w:r w:rsidRPr="00C173D6">
        <w:rPr>
          <w:rFonts w:ascii="Arial" w:hAnsi="Arial" w:cs="Arial"/>
        </w:rPr>
        <w:t xml:space="preserve"> develop pedagogical skills </w:t>
      </w:r>
      <w:r w:rsidR="009B7662">
        <w:rPr>
          <w:rFonts w:ascii="Arial" w:hAnsi="Arial" w:cs="Arial"/>
        </w:rPr>
        <w:t xml:space="preserve">to </w:t>
      </w:r>
      <w:r w:rsidRPr="00C173D6">
        <w:rPr>
          <w:rFonts w:ascii="Arial" w:hAnsi="Arial" w:cs="Arial"/>
        </w:rPr>
        <w:t>improve the holistic development of pupils in Wales</w:t>
      </w:r>
      <w:r w:rsidR="009B7662">
        <w:rPr>
          <w:rFonts w:ascii="Arial" w:hAnsi="Arial" w:cs="Arial"/>
        </w:rPr>
        <w:t xml:space="preserve"> </w:t>
      </w:r>
      <w:r w:rsidRPr="00C173D6">
        <w:rPr>
          <w:rFonts w:ascii="Arial" w:hAnsi="Arial" w:cs="Arial"/>
        </w:rPr>
        <w:t xml:space="preserve">(Welsh Government, 2023b). </w:t>
      </w:r>
      <w:r w:rsidR="00D46024">
        <w:rPr>
          <w:rFonts w:ascii="Arial" w:hAnsi="Arial" w:cs="Arial"/>
        </w:rPr>
        <w:t xml:space="preserve">Considering the current state of wellbeing in Wales, </w:t>
      </w:r>
      <w:r w:rsidR="00322AB7" w:rsidRPr="00C173D6">
        <w:rPr>
          <w:rFonts w:ascii="Arial" w:hAnsi="Arial" w:cs="Arial"/>
        </w:rPr>
        <w:t xml:space="preserve">I decided to research ‘In what ways does outdoor learning </w:t>
      </w:r>
      <w:r w:rsidR="00C91A5B">
        <w:rPr>
          <w:rFonts w:ascii="Arial" w:hAnsi="Arial" w:cs="Arial"/>
        </w:rPr>
        <w:t>a</w:t>
      </w:r>
      <w:r w:rsidR="00322AB7" w:rsidRPr="00C173D6">
        <w:rPr>
          <w:rFonts w:ascii="Arial" w:hAnsi="Arial" w:cs="Arial"/>
        </w:rPr>
        <w:t>ffect the wellbeing and engagement of children in Foundation Phase?’</w:t>
      </w:r>
      <w:r w:rsidR="00322AB7">
        <w:rPr>
          <w:rFonts w:ascii="Arial" w:hAnsi="Arial" w:cs="Arial"/>
        </w:rPr>
        <w:t xml:space="preserve">. </w:t>
      </w:r>
      <w:r w:rsidR="00322AB7">
        <w:rPr>
          <w:rFonts w:ascii="Arial" w:hAnsi="Arial" w:cs="Arial"/>
        </w:rPr>
        <w:t xml:space="preserve">Yet, </w:t>
      </w:r>
      <w:r w:rsidR="00912F9B">
        <w:rPr>
          <w:rFonts w:ascii="Arial" w:hAnsi="Arial" w:cs="Arial"/>
        </w:rPr>
        <w:t xml:space="preserve">ensuring ethical considerations </w:t>
      </w:r>
      <w:r w:rsidR="00571717">
        <w:rPr>
          <w:rFonts w:ascii="Arial" w:hAnsi="Arial" w:cs="Arial"/>
        </w:rPr>
        <w:t xml:space="preserve">(Appendix One) </w:t>
      </w:r>
      <w:r w:rsidR="00912F9B">
        <w:rPr>
          <w:rFonts w:ascii="Arial" w:hAnsi="Arial" w:cs="Arial"/>
        </w:rPr>
        <w:t xml:space="preserve">were a priority as stated within the </w:t>
      </w:r>
      <w:r w:rsidR="00322AB7" w:rsidRPr="00322AB7">
        <w:rPr>
          <w:rFonts w:ascii="Arial" w:hAnsi="Arial" w:cs="Arial"/>
        </w:rPr>
        <w:t xml:space="preserve">University of Wales Trinity Saint David </w:t>
      </w:r>
      <w:r w:rsidR="00322AB7">
        <w:rPr>
          <w:rFonts w:ascii="Arial" w:hAnsi="Arial" w:cs="Arial"/>
        </w:rPr>
        <w:t>r</w:t>
      </w:r>
      <w:r w:rsidR="00322AB7" w:rsidRPr="00322AB7">
        <w:rPr>
          <w:rFonts w:ascii="Arial" w:hAnsi="Arial" w:cs="Arial"/>
        </w:rPr>
        <w:t xml:space="preserve">esearch </w:t>
      </w:r>
      <w:r w:rsidR="00322AB7">
        <w:rPr>
          <w:rFonts w:ascii="Arial" w:hAnsi="Arial" w:cs="Arial"/>
        </w:rPr>
        <w:t>e</w:t>
      </w:r>
      <w:r w:rsidR="00322AB7" w:rsidRPr="00322AB7">
        <w:rPr>
          <w:rFonts w:ascii="Arial" w:hAnsi="Arial" w:cs="Arial"/>
        </w:rPr>
        <w:t xml:space="preserve">thics &amp; </w:t>
      </w:r>
      <w:r w:rsidR="00322AB7">
        <w:rPr>
          <w:rFonts w:ascii="Arial" w:hAnsi="Arial" w:cs="Arial"/>
        </w:rPr>
        <w:t>i</w:t>
      </w:r>
      <w:r w:rsidR="00322AB7" w:rsidRPr="00322AB7">
        <w:rPr>
          <w:rFonts w:ascii="Arial" w:hAnsi="Arial" w:cs="Arial"/>
        </w:rPr>
        <w:t xml:space="preserve">ntegrity </w:t>
      </w:r>
      <w:r w:rsidR="00322AB7">
        <w:rPr>
          <w:rFonts w:ascii="Arial" w:hAnsi="Arial" w:cs="Arial"/>
        </w:rPr>
        <w:t>c</w:t>
      </w:r>
      <w:r w:rsidR="00322AB7" w:rsidRPr="00322AB7">
        <w:rPr>
          <w:rFonts w:ascii="Arial" w:hAnsi="Arial" w:cs="Arial"/>
        </w:rPr>
        <w:t xml:space="preserve">ode of </w:t>
      </w:r>
      <w:r w:rsidR="00322AB7">
        <w:rPr>
          <w:rFonts w:ascii="Arial" w:hAnsi="Arial" w:cs="Arial"/>
        </w:rPr>
        <w:t>p</w:t>
      </w:r>
      <w:r w:rsidR="00322AB7" w:rsidRPr="00322AB7">
        <w:rPr>
          <w:rFonts w:ascii="Arial" w:hAnsi="Arial" w:cs="Arial"/>
        </w:rPr>
        <w:t>ractice</w:t>
      </w:r>
      <w:r w:rsidR="00322AB7">
        <w:rPr>
          <w:rFonts w:ascii="Arial" w:hAnsi="Arial" w:cs="Arial"/>
        </w:rPr>
        <w:t xml:space="preserve"> (University of Wales Trinity Saint Daivd, 2022) as well as the British Educational Research Association ethical guidelines (BERA, 2024).</w:t>
      </w:r>
    </w:p>
    <w:p w14:paraId="74F4E629" w14:textId="471D36FB" w:rsidR="000E2E7E" w:rsidRDefault="000E2E7E" w:rsidP="000E2E7E">
      <w:pPr>
        <w:rPr>
          <w:rFonts w:ascii="Arial" w:hAnsi="Arial" w:cs="Arial"/>
          <w:b/>
          <w:bCs/>
          <w:sz w:val="28"/>
          <w:szCs w:val="28"/>
        </w:rPr>
      </w:pPr>
      <w:r w:rsidRPr="00C173D6">
        <w:rPr>
          <w:rFonts w:ascii="Arial" w:hAnsi="Arial" w:cs="Arial"/>
          <w:b/>
          <w:bCs/>
          <w:sz w:val="28"/>
          <w:szCs w:val="28"/>
        </w:rPr>
        <w:t>Literature Review</w:t>
      </w:r>
    </w:p>
    <w:p w14:paraId="26963448" w14:textId="4CB1186F" w:rsidR="00AD168D" w:rsidRDefault="00AD168D" w:rsidP="000E2E7E">
      <w:pPr>
        <w:rPr>
          <w:rFonts w:ascii="Arial" w:hAnsi="Arial" w:cs="Arial"/>
        </w:rPr>
      </w:pPr>
      <w:r>
        <w:rPr>
          <w:rFonts w:ascii="Arial" w:hAnsi="Arial" w:cs="Arial"/>
        </w:rPr>
        <w:t xml:space="preserve">The Oxford English Dictionary defines wellbeing as “the state of being comfortable, healthy, or happy” (Oxford English Dictionary, </w:t>
      </w:r>
      <w:r w:rsidR="009C111C">
        <w:rPr>
          <w:rFonts w:ascii="Arial" w:hAnsi="Arial" w:cs="Arial"/>
        </w:rPr>
        <w:t>2024). However, the Welsh Government suggest that there are components that are directly connected to wellbeing, and they play an important role to enable successful learning</w:t>
      </w:r>
      <w:r w:rsidR="00DC2C07">
        <w:rPr>
          <w:rFonts w:ascii="Arial" w:hAnsi="Arial" w:cs="Arial"/>
        </w:rPr>
        <w:t xml:space="preserve">, </w:t>
      </w:r>
      <w:r w:rsidR="00693531">
        <w:rPr>
          <w:rFonts w:ascii="Arial" w:hAnsi="Arial" w:cs="Arial"/>
        </w:rPr>
        <w:t>one being</w:t>
      </w:r>
      <w:r w:rsidR="00DC2C07">
        <w:rPr>
          <w:rFonts w:ascii="Arial" w:hAnsi="Arial" w:cs="Arial"/>
        </w:rPr>
        <w:t xml:space="preserve"> </w:t>
      </w:r>
      <w:r w:rsidR="009C111C">
        <w:rPr>
          <w:rFonts w:ascii="Arial" w:hAnsi="Arial" w:cs="Arial"/>
        </w:rPr>
        <w:t xml:space="preserve">engagement (Welsh Government, 2020). </w:t>
      </w:r>
      <w:r w:rsidR="00DE0861">
        <w:rPr>
          <w:rFonts w:ascii="Arial" w:hAnsi="Arial" w:cs="Arial"/>
        </w:rPr>
        <w:t xml:space="preserve">Therefore, the purpose of this research project is to explore the effectiveness of outdoor learning on wellbeing and engagement of foundation phase learners in a </w:t>
      </w:r>
      <w:r w:rsidR="00DF64F5">
        <w:rPr>
          <w:rFonts w:ascii="Arial" w:hAnsi="Arial" w:cs="Arial"/>
        </w:rPr>
        <w:t xml:space="preserve">Welsh </w:t>
      </w:r>
      <w:r w:rsidR="00DE0861">
        <w:rPr>
          <w:rFonts w:ascii="Arial" w:hAnsi="Arial" w:cs="Arial"/>
        </w:rPr>
        <w:t xml:space="preserve">primary school. </w:t>
      </w:r>
    </w:p>
    <w:p w14:paraId="0EEBE133" w14:textId="634D4C3E" w:rsidR="006750EB" w:rsidRDefault="00A21FDE" w:rsidP="000E2E7E">
      <w:pPr>
        <w:rPr>
          <w:rFonts w:ascii="Arial" w:hAnsi="Arial" w:cs="Arial"/>
        </w:rPr>
      </w:pPr>
      <w:r w:rsidRPr="00A21FDE">
        <w:rPr>
          <w:rFonts w:ascii="Arial" w:hAnsi="Arial" w:cs="Arial"/>
        </w:rPr>
        <w:t>The Foundation phase in Wales, a play-based curriculum</w:t>
      </w:r>
      <w:r w:rsidR="00DF64F5">
        <w:rPr>
          <w:rFonts w:ascii="Arial" w:hAnsi="Arial" w:cs="Arial"/>
        </w:rPr>
        <w:t xml:space="preserve">, </w:t>
      </w:r>
      <w:r w:rsidRPr="00A21FDE">
        <w:rPr>
          <w:rFonts w:ascii="Arial" w:hAnsi="Arial" w:cs="Arial"/>
        </w:rPr>
        <w:t>emphasises the significance of the outdoors. Research suggests that there are many benefits contributing to a child’s holistic development when engaging in outdoor learning (Wainwright, 2021, p. 567)</w:t>
      </w:r>
      <w:r>
        <w:rPr>
          <w:rFonts w:ascii="Arial" w:hAnsi="Arial" w:cs="Arial"/>
        </w:rPr>
        <w:t xml:space="preserve">. </w:t>
      </w:r>
      <w:r w:rsidR="006750EB">
        <w:rPr>
          <w:rFonts w:ascii="Arial" w:hAnsi="Arial" w:cs="Arial"/>
        </w:rPr>
        <w:t xml:space="preserve">This is </w:t>
      </w:r>
      <w:r w:rsidR="00A533A7">
        <w:rPr>
          <w:rFonts w:ascii="Arial" w:hAnsi="Arial" w:cs="Arial"/>
        </w:rPr>
        <w:t>in support of Welsh policy who have recognised the importance of utilising the outdoors for health, fitness, and promoting positive wellbeing (Welsh Assembly Government, 2005).</w:t>
      </w:r>
      <w:r w:rsidR="00B009D8">
        <w:rPr>
          <w:rFonts w:ascii="Arial" w:hAnsi="Arial" w:cs="Arial"/>
        </w:rPr>
        <w:t xml:space="preserve"> For example, Estyn</w:t>
      </w:r>
      <w:r w:rsidR="00AC2D03">
        <w:rPr>
          <w:rFonts w:ascii="Arial" w:hAnsi="Arial" w:cs="Arial"/>
        </w:rPr>
        <w:t>, the Welsh inspectorate for education,</w:t>
      </w:r>
      <w:r w:rsidR="00B009D8">
        <w:rPr>
          <w:rFonts w:ascii="Arial" w:hAnsi="Arial" w:cs="Arial"/>
        </w:rPr>
        <w:t xml:space="preserve"> found that regular outdoor learning can increase child confidence, self-awareness, collaboration, adaptability, and</w:t>
      </w:r>
      <w:r w:rsidR="00DF64F5">
        <w:rPr>
          <w:rFonts w:ascii="Arial" w:hAnsi="Arial" w:cs="Arial"/>
        </w:rPr>
        <w:t xml:space="preserve"> one’s</w:t>
      </w:r>
      <w:r w:rsidR="00B009D8">
        <w:rPr>
          <w:rFonts w:ascii="Arial" w:hAnsi="Arial" w:cs="Arial"/>
        </w:rPr>
        <w:t xml:space="preserve"> ability to regulate their emotions</w:t>
      </w:r>
      <w:r w:rsidR="00215775">
        <w:rPr>
          <w:rFonts w:ascii="Arial" w:hAnsi="Arial" w:cs="Arial"/>
        </w:rPr>
        <w:t xml:space="preserve"> </w:t>
      </w:r>
      <w:r w:rsidR="00B009D8">
        <w:rPr>
          <w:rFonts w:ascii="Arial" w:hAnsi="Arial" w:cs="Arial"/>
        </w:rPr>
        <w:t>(Estyn, 2023</w:t>
      </w:r>
      <w:r w:rsidR="00812773">
        <w:rPr>
          <w:rFonts w:ascii="Arial" w:hAnsi="Arial" w:cs="Arial"/>
        </w:rPr>
        <w:t>a</w:t>
      </w:r>
      <w:r w:rsidR="00B009D8">
        <w:rPr>
          <w:rFonts w:ascii="Arial" w:hAnsi="Arial" w:cs="Arial"/>
        </w:rPr>
        <w:t xml:space="preserve">). </w:t>
      </w:r>
      <w:r w:rsidR="00C51E4C">
        <w:rPr>
          <w:rFonts w:ascii="Arial" w:hAnsi="Arial" w:cs="Arial"/>
        </w:rPr>
        <w:t>Similarly, Estyn</w:t>
      </w:r>
      <w:r w:rsidR="004A3390">
        <w:rPr>
          <w:rFonts w:ascii="Arial" w:hAnsi="Arial" w:cs="Arial"/>
        </w:rPr>
        <w:t xml:space="preserve"> (2023a)</w:t>
      </w:r>
      <w:r w:rsidR="00C51E4C">
        <w:rPr>
          <w:rFonts w:ascii="Arial" w:hAnsi="Arial" w:cs="Arial"/>
        </w:rPr>
        <w:t xml:space="preserve"> also suggest that </w:t>
      </w:r>
      <w:r w:rsidR="007F2962">
        <w:rPr>
          <w:rFonts w:ascii="Arial" w:hAnsi="Arial" w:cs="Arial"/>
        </w:rPr>
        <w:t xml:space="preserve">an </w:t>
      </w:r>
      <w:r w:rsidR="00C51E4C">
        <w:rPr>
          <w:rFonts w:ascii="Arial" w:hAnsi="Arial" w:cs="Arial"/>
        </w:rPr>
        <w:t>unstructured outdoor setting promotes resilience and a child’s motivation to succeed</w:t>
      </w:r>
      <w:r w:rsidR="004A3390">
        <w:rPr>
          <w:rFonts w:ascii="Arial" w:hAnsi="Arial" w:cs="Arial"/>
        </w:rPr>
        <w:t xml:space="preserve">. </w:t>
      </w:r>
      <w:r w:rsidR="00512008">
        <w:rPr>
          <w:rFonts w:ascii="Arial" w:hAnsi="Arial" w:cs="Arial"/>
        </w:rPr>
        <w:lastRenderedPageBreak/>
        <w:t>Thus,</w:t>
      </w:r>
      <w:r w:rsidR="0072027C">
        <w:rPr>
          <w:rFonts w:ascii="Arial" w:hAnsi="Arial" w:cs="Arial"/>
        </w:rPr>
        <w:t xml:space="preserve"> providing evidence to suggest the </w:t>
      </w:r>
      <w:r w:rsidR="00215775">
        <w:rPr>
          <w:rFonts w:ascii="Arial" w:hAnsi="Arial" w:cs="Arial"/>
        </w:rPr>
        <w:t>benefits of outdoor learning on wellbeing</w:t>
      </w:r>
      <w:r w:rsidR="0072027C">
        <w:rPr>
          <w:rFonts w:ascii="Arial" w:hAnsi="Arial" w:cs="Arial"/>
        </w:rPr>
        <w:t xml:space="preserve"> </w:t>
      </w:r>
      <w:r w:rsidR="00215775">
        <w:rPr>
          <w:rFonts w:ascii="Arial" w:hAnsi="Arial" w:cs="Arial"/>
        </w:rPr>
        <w:t>and how it interconnects with</w:t>
      </w:r>
      <w:r w:rsidR="0072027C">
        <w:rPr>
          <w:rFonts w:ascii="Arial" w:hAnsi="Arial" w:cs="Arial"/>
        </w:rPr>
        <w:t xml:space="preserve"> </w:t>
      </w:r>
      <w:r w:rsidR="00215775">
        <w:rPr>
          <w:rFonts w:ascii="Arial" w:hAnsi="Arial" w:cs="Arial"/>
        </w:rPr>
        <w:t>engagement</w:t>
      </w:r>
      <w:r w:rsidR="0072027C">
        <w:rPr>
          <w:rFonts w:ascii="Arial" w:hAnsi="Arial" w:cs="Arial"/>
        </w:rPr>
        <w:t xml:space="preserve">. </w:t>
      </w:r>
    </w:p>
    <w:p w14:paraId="59AD8A1E" w14:textId="29DFC7A4" w:rsidR="009467C4" w:rsidRDefault="009E79BE" w:rsidP="000E2E7E">
      <w:pPr>
        <w:rPr>
          <w:rFonts w:ascii="Arial" w:hAnsi="Arial" w:cs="Arial"/>
        </w:rPr>
      </w:pPr>
      <w:r>
        <w:rPr>
          <w:rFonts w:ascii="Arial" w:hAnsi="Arial" w:cs="Arial"/>
        </w:rPr>
        <w:t>However, evidence suggests that the perceptions of outdoor learning are balanced between successful pedagogy that influences holistic development, and the challenges in implementing outdoor experiences within practice (Welsh Government, 2023</w:t>
      </w:r>
      <w:r w:rsidR="007B3AF9">
        <w:rPr>
          <w:rFonts w:ascii="Arial" w:hAnsi="Arial" w:cs="Arial"/>
        </w:rPr>
        <w:t>a</w:t>
      </w:r>
      <w:r>
        <w:rPr>
          <w:rFonts w:ascii="Arial" w:hAnsi="Arial" w:cs="Arial"/>
        </w:rPr>
        <w:t xml:space="preserve">). </w:t>
      </w:r>
      <w:r w:rsidR="009467C4">
        <w:rPr>
          <w:rFonts w:ascii="Arial" w:hAnsi="Arial" w:cs="Arial"/>
        </w:rPr>
        <w:t>It could be suggested that these barriers to outdoor learning are due to external issues, that are out of control of the teacher (Patchen et al, 2022, p. 29). The barriers are suggested to be scheduling and staff requirements (Patchen et al, 2022, p.29). Interestingly, this study suggests that even though educators have autonomy within their pedagogy, there are still government requirements</w:t>
      </w:r>
      <w:r w:rsidR="00055FEA">
        <w:rPr>
          <w:rFonts w:ascii="Arial" w:hAnsi="Arial" w:cs="Arial"/>
        </w:rPr>
        <w:t xml:space="preserve"> vital to be considered</w:t>
      </w:r>
      <w:r w:rsidR="00BE1B27">
        <w:rPr>
          <w:rFonts w:ascii="Arial" w:hAnsi="Arial" w:cs="Arial"/>
        </w:rPr>
        <w:t xml:space="preserve">, even in Wales </w:t>
      </w:r>
      <w:r w:rsidR="00055FEA">
        <w:rPr>
          <w:rFonts w:ascii="Arial" w:hAnsi="Arial" w:cs="Arial"/>
        </w:rPr>
        <w:t>(Patchen et al, 2022, p.29)</w:t>
      </w:r>
      <w:r w:rsidR="004E236A">
        <w:rPr>
          <w:rFonts w:ascii="Arial" w:hAnsi="Arial" w:cs="Arial"/>
        </w:rPr>
        <w:t xml:space="preserve">. </w:t>
      </w:r>
      <w:r w:rsidR="007D08A4">
        <w:rPr>
          <w:rFonts w:ascii="Arial" w:hAnsi="Arial" w:cs="Arial"/>
        </w:rPr>
        <w:t>D</w:t>
      </w:r>
      <w:r w:rsidR="004E236A">
        <w:rPr>
          <w:rFonts w:ascii="Arial" w:hAnsi="Arial" w:cs="Arial"/>
        </w:rPr>
        <w:t xml:space="preserve">espite </w:t>
      </w:r>
      <w:r w:rsidR="00055FEA">
        <w:rPr>
          <w:rFonts w:ascii="Arial" w:hAnsi="Arial" w:cs="Arial"/>
        </w:rPr>
        <w:t>the suggested successes of outdoor learning</w:t>
      </w:r>
      <w:r w:rsidR="000240D2">
        <w:rPr>
          <w:rFonts w:ascii="Arial" w:hAnsi="Arial" w:cs="Arial"/>
        </w:rPr>
        <w:t xml:space="preserve">, </w:t>
      </w:r>
      <w:r w:rsidR="00055FEA">
        <w:rPr>
          <w:rFonts w:ascii="Arial" w:hAnsi="Arial" w:cs="Arial"/>
        </w:rPr>
        <w:t xml:space="preserve">external barriers such as policy is prioritised, leaving little time to include outdoor learning. </w:t>
      </w:r>
      <w:r w:rsidR="000240D2">
        <w:rPr>
          <w:rFonts w:ascii="Arial" w:hAnsi="Arial" w:cs="Arial"/>
        </w:rPr>
        <w:t xml:space="preserve">This is further supported by </w:t>
      </w:r>
      <w:r w:rsidR="000240D2" w:rsidRPr="000240D2">
        <w:rPr>
          <w:rFonts w:ascii="Arial" w:hAnsi="Arial" w:cs="Arial"/>
        </w:rPr>
        <w:t>Marchant et al</w:t>
      </w:r>
      <w:r w:rsidR="000240D2">
        <w:rPr>
          <w:rFonts w:ascii="Arial" w:hAnsi="Arial" w:cs="Arial"/>
        </w:rPr>
        <w:t xml:space="preserve"> (2019)</w:t>
      </w:r>
      <w:r w:rsidR="00ED36F2">
        <w:rPr>
          <w:rFonts w:ascii="Arial" w:hAnsi="Arial" w:cs="Arial"/>
        </w:rPr>
        <w:t xml:space="preserve"> a globally recognised study</w:t>
      </w:r>
      <w:r w:rsidR="004E236A">
        <w:rPr>
          <w:rFonts w:ascii="Arial" w:hAnsi="Arial" w:cs="Arial"/>
        </w:rPr>
        <w:t xml:space="preserve">, </w:t>
      </w:r>
      <w:r w:rsidR="000240D2">
        <w:rPr>
          <w:rFonts w:ascii="Arial" w:hAnsi="Arial" w:cs="Arial"/>
        </w:rPr>
        <w:t>who</w:t>
      </w:r>
      <w:r w:rsidR="004E236A">
        <w:rPr>
          <w:rFonts w:ascii="Arial" w:hAnsi="Arial" w:cs="Arial"/>
        </w:rPr>
        <w:t>m</w:t>
      </w:r>
      <w:r w:rsidR="000240D2">
        <w:rPr>
          <w:rFonts w:ascii="Arial" w:hAnsi="Arial" w:cs="Arial"/>
        </w:rPr>
        <w:t xml:space="preserve"> express the idea that practitioners generally feel positive towards outdoor learning </w:t>
      </w:r>
      <w:r w:rsidR="004A3390">
        <w:rPr>
          <w:rFonts w:ascii="Arial" w:hAnsi="Arial" w:cs="Arial"/>
        </w:rPr>
        <w:t>h</w:t>
      </w:r>
      <w:r w:rsidR="000240D2">
        <w:rPr>
          <w:rFonts w:ascii="Arial" w:hAnsi="Arial" w:cs="Arial"/>
        </w:rPr>
        <w:t>owever</w:t>
      </w:r>
      <w:r w:rsidR="00215775">
        <w:rPr>
          <w:rFonts w:ascii="Arial" w:hAnsi="Arial" w:cs="Arial"/>
        </w:rPr>
        <w:t xml:space="preserve"> t</w:t>
      </w:r>
      <w:r w:rsidR="000240D2">
        <w:rPr>
          <w:rFonts w:ascii="Arial" w:hAnsi="Arial" w:cs="Arial"/>
        </w:rPr>
        <w:t>eachers feel that other academic pressures take priority</w:t>
      </w:r>
      <w:r w:rsidR="00215775">
        <w:rPr>
          <w:rFonts w:ascii="Arial" w:hAnsi="Arial" w:cs="Arial"/>
        </w:rPr>
        <w:t xml:space="preserve"> </w:t>
      </w:r>
      <w:r w:rsidR="000240D2" w:rsidRPr="0027765D">
        <w:rPr>
          <w:rFonts w:ascii="Arial" w:hAnsi="Arial" w:cs="Arial"/>
        </w:rPr>
        <w:t>(Marchant et al, 2019, p.9).</w:t>
      </w:r>
      <w:r w:rsidR="000240D2">
        <w:rPr>
          <w:rFonts w:ascii="Arial" w:hAnsi="Arial" w:cs="Arial"/>
        </w:rPr>
        <w:t xml:space="preserve"> </w:t>
      </w:r>
    </w:p>
    <w:p w14:paraId="66990B59" w14:textId="7FB4A942" w:rsidR="00BC3A3E" w:rsidRDefault="00644CF8" w:rsidP="000E2E7E">
      <w:pPr>
        <w:rPr>
          <w:rFonts w:ascii="Arial" w:hAnsi="Arial" w:cs="Arial"/>
        </w:rPr>
      </w:pPr>
      <w:r>
        <w:rPr>
          <w:rFonts w:ascii="Arial" w:hAnsi="Arial" w:cs="Arial"/>
        </w:rPr>
        <w:t xml:space="preserve">Although factors such as time constraints can prevent outdoor learning, it can be argued that it does not dimmish the great wealth of effects outdoor learning can encourage. </w:t>
      </w:r>
      <w:r w:rsidR="00CD0149">
        <w:rPr>
          <w:rFonts w:ascii="Arial" w:hAnsi="Arial" w:cs="Arial"/>
        </w:rPr>
        <w:t>Recently Estyn</w:t>
      </w:r>
      <w:r w:rsidR="009863AC">
        <w:rPr>
          <w:rFonts w:ascii="Arial" w:hAnsi="Arial" w:cs="Arial"/>
        </w:rPr>
        <w:t xml:space="preserve"> (2024)</w:t>
      </w:r>
      <w:r w:rsidR="00CD0149">
        <w:rPr>
          <w:rFonts w:ascii="Arial" w:hAnsi="Arial" w:cs="Arial"/>
        </w:rPr>
        <w:t xml:space="preserve"> have identified </w:t>
      </w:r>
      <w:r w:rsidR="00D26E40">
        <w:rPr>
          <w:rFonts w:ascii="Arial" w:hAnsi="Arial" w:cs="Arial"/>
        </w:rPr>
        <w:t xml:space="preserve">a significant strength of </w:t>
      </w:r>
      <w:r w:rsidR="00CD0149">
        <w:rPr>
          <w:rFonts w:ascii="Arial" w:hAnsi="Arial" w:cs="Arial"/>
        </w:rPr>
        <w:t>outdoor learning</w:t>
      </w:r>
      <w:r w:rsidR="00725600">
        <w:rPr>
          <w:rFonts w:ascii="Arial" w:hAnsi="Arial" w:cs="Arial"/>
        </w:rPr>
        <w:t xml:space="preserve"> </w:t>
      </w:r>
      <w:r w:rsidR="009B78B1">
        <w:rPr>
          <w:rFonts w:ascii="Arial" w:hAnsi="Arial" w:cs="Arial"/>
        </w:rPr>
        <w:t>to be</w:t>
      </w:r>
      <w:r w:rsidR="00725600">
        <w:rPr>
          <w:rFonts w:ascii="Arial" w:hAnsi="Arial" w:cs="Arial"/>
        </w:rPr>
        <w:t xml:space="preserve"> that it can</w:t>
      </w:r>
      <w:r w:rsidR="00CD0149">
        <w:rPr>
          <w:rFonts w:ascii="Arial" w:hAnsi="Arial" w:cs="Arial"/>
        </w:rPr>
        <w:t xml:space="preserve"> develop children’s life skills</w:t>
      </w:r>
      <w:r w:rsidR="009863AC">
        <w:rPr>
          <w:rFonts w:ascii="Arial" w:hAnsi="Arial" w:cs="Arial"/>
        </w:rPr>
        <w:t xml:space="preserve">. </w:t>
      </w:r>
      <w:r w:rsidR="00202358">
        <w:rPr>
          <w:rFonts w:ascii="Arial" w:hAnsi="Arial" w:cs="Arial"/>
        </w:rPr>
        <w:t xml:space="preserve">It is suggested that pupils are keen to complete tasks that are purposeful to their learning and development (Estyn, 2024). For example, children can apply numeracy, literacy, creativity, and digital resources with increasing confidence but above all, enthusiastically (Estyn, 2024). </w:t>
      </w:r>
      <w:r w:rsidR="00462FEB">
        <w:rPr>
          <w:rFonts w:ascii="Arial" w:hAnsi="Arial" w:cs="Arial"/>
        </w:rPr>
        <w:t xml:space="preserve">Furthermore, the outdoor learning handbook in Wales highlights the significance of the natural environment enhancing children’s development with regards to the occurrence of natural stimuli; the weather, sounds, smells and textures (Welsh Assembly Government, 2009). </w:t>
      </w:r>
      <w:r w:rsidR="009B78B1">
        <w:rPr>
          <w:rFonts w:ascii="Arial" w:hAnsi="Arial" w:cs="Arial"/>
        </w:rPr>
        <w:t>This suggests that opportunities to engage in the outdoor environment can enhance essential life skills alone, as well as developing critical thinking skills significant for academia</w:t>
      </w:r>
      <w:r w:rsidR="00725600">
        <w:rPr>
          <w:rFonts w:ascii="Arial" w:hAnsi="Arial" w:cs="Arial"/>
        </w:rPr>
        <w:t xml:space="preserve"> </w:t>
      </w:r>
      <w:r w:rsidR="004A2A7A">
        <w:rPr>
          <w:rFonts w:ascii="Arial" w:hAnsi="Arial" w:cs="Arial"/>
        </w:rPr>
        <w:t xml:space="preserve">(Welsh Assembly Government, 2009). </w:t>
      </w:r>
    </w:p>
    <w:p w14:paraId="1A8785E6" w14:textId="2413FE04" w:rsidR="00E2475D" w:rsidRDefault="004A2A7A" w:rsidP="00985B5F">
      <w:pPr>
        <w:rPr>
          <w:rFonts w:ascii="Arial" w:hAnsi="Arial" w:cs="Arial"/>
        </w:rPr>
      </w:pPr>
      <w:r>
        <w:rPr>
          <w:rFonts w:ascii="Arial" w:hAnsi="Arial" w:cs="Arial"/>
        </w:rPr>
        <w:t xml:space="preserve">However, it </w:t>
      </w:r>
      <w:r w:rsidR="00A029FB">
        <w:rPr>
          <w:rFonts w:ascii="Arial" w:hAnsi="Arial" w:cs="Arial"/>
        </w:rPr>
        <w:t xml:space="preserve">can be suggested that in order for outdoor learning to </w:t>
      </w:r>
      <w:r w:rsidR="00466BCA">
        <w:rPr>
          <w:rFonts w:ascii="Arial" w:hAnsi="Arial" w:cs="Arial"/>
        </w:rPr>
        <w:t>encourage such v</w:t>
      </w:r>
      <w:r w:rsidR="00A029FB">
        <w:rPr>
          <w:rFonts w:ascii="Arial" w:hAnsi="Arial" w:cs="Arial"/>
        </w:rPr>
        <w:t>ast effects on individuals</w:t>
      </w:r>
      <w:r>
        <w:rPr>
          <w:rFonts w:ascii="Arial" w:hAnsi="Arial" w:cs="Arial"/>
        </w:rPr>
        <w:t>, and to reduce the challenges that can occur,</w:t>
      </w:r>
      <w:r w:rsidR="00A029FB">
        <w:rPr>
          <w:rFonts w:ascii="Arial" w:hAnsi="Arial" w:cs="Arial"/>
        </w:rPr>
        <w:t xml:space="preserve"> settings must adopt a whole school approach to outdoor learning so it does not occur in isolation (</w:t>
      </w:r>
      <w:r w:rsidR="00BC6D92">
        <w:rPr>
          <w:rFonts w:ascii="Arial" w:hAnsi="Arial" w:cs="Arial"/>
        </w:rPr>
        <w:t xml:space="preserve">MacQuarrie, 2016, p. 346). </w:t>
      </w:r>
      <w:r w:rsidR="00812773">
        <w:rPr>
          <w:rFonts w:ascii="Arial" w:hAnsi="Arial" w:cs="Arial"/>
        </w:rPr>
        <w:t xml:space="preserve">Estyn (2023b) have recognised that the true benefits of outdoor learning occur when a whole school drives and enthuses pupils and teachers to regularly take part in </w:t>
      </w:r>
      <w:r w:rsidR="00985B5F">
        <w:rPr>
          <w:rFonts w:ascii="Arial" w:hAnsi="Arial" w:cs="Arial"/>
        </w:rPr>
        <w:t xml:space="preserve">outdoor education </w:t>
      </w:r>
      <w:r w:rsidR="00812773">
        <w:rPr>
          <w:rFonts w:ascii="Arial" w:hAnsi="Arial" w:cs="Arial"/>
        </w:rPr>
        <w:t>(Estyn, 2023b). Yet, this whole school approach requires all staff to understand the use of the outdoors, so that outdoor experiences can be flexible in meeting the needs of the children alongside the curriculum</w:t>
      </w:r>
      <w:r w:rsidR="00992B93">
        <w:rPr>
          <w:rFonts w:ascii="Arial" w:hAnsi="Arial" w:cs="Arial"/>
        </w:rPr>
        <w:t xml:space="preserve"> </w:t>
      </w:r>
      <w:r w:rsidR="00812773">
        <w:rPr>
          <w:rFonts w:ascii="Arial" w:hAnsi="Arial" w:cs="Arial"/>
        </w:rPr>
        <w:t xml:space="preserve">(Estyn, 2023b). </w:t>
      </w:r>
      <w:r w:rsidR="00992B93">
        <w:rPr>
          <w:rFonts w:ascii="Arial" w:hAnsi="Arial" w:cs="Arial"/>
        </w:rPr>
        <w:t xml:space="preserve">Arguably, when adopting a whole school approach to outdoor learning, barriers can be reduced as the wealth of benefits can be understood and therefore will not restrict the deep and rich learning opportunities (Estyn, 2023b). Therefore, suggesting </w:t>
      </w:r>
      <w:r w:rsidR="00985B5F">
        <w:rPr>
          <w:rFonts w:ascii="Arial" w:hAnsi="Arial" w:cs="Arial"/>
        </w:rPr>
        <w:t xml:space="preserve">a practical solution to the barriers </w:t>
      </w:r>
      <w:r w:rsidR="00E2475D">
        <w:rPr>
          <w:rFonts w:ascii="Arial" w:hAnsi="Arial" w:cs="Arial"/>
        </w:rPr>
        <w:t xml:space="preserve">could </w:t>
      </w:r>
      <w:r w:rsidR="00985B5F">
        <w:rPr>
          <w:rFonts w:ascii="Arial" w:hAnsi="Arial" w:cs="Arial"/>
        </w:rPr>
        <w:t>be providing practitioners with a deeper understanding of outdoor</w:t>
      </w:r>
      <w:r w:rsidR="00E2475D">
        <w:rPr>
          <w:rFonts w:ascii="Arial" w:hAnsi="Arial" w:cs="Arial"/>
        </w:rPr>
        <w:t xml:space="preserve"> learning </w:t>
      </w:r>
      <w:r w:rsidR="00F17B82">
        <w:rPr>
          <w:rFonts w:ascii="Arial" w:hAnsi="Arial" w:cs="Arial"/>
        </w:rPr>
        <w:t xml:space="preserve">through </w:t>
      </w:r>
      <w:r w:rsidR="00F17B82">
        <w:rPr>
          <w:rFonts w:ascii="Arial" w:hAnsi="Arial" w:cs="Arial"/>
        </w:rPr>
        <w:lastRenderedPageBreak/>
        <w:t>training or research,</w:t>
      </w:r>
      <w:r w:rsidR="00985B5F">
        <w:rPr>
          <w:rFonts w:ascii="Arial" w:hAnsi="Arial" w:cs="Arial"/>
        </w:rPr>
        <w:t xml:space="preserve"> </w:t>
      </w:r>
      <w:r w:rsidR="00E2475D">
        <w:rPr>
          <w:rFonts w:ascii="Arial" w:hAnsi="Arial" w:cs="Arial"/>
        </w:rPr>
        <w:t xml:space="preserve">so it can be </w:t>
      </w:r>
      <w:r w:rsidR="00985B5F">
        <w:rPr>
          <w:rFonts w:ascii="Arial" w:hAnsi="Arial" w:cs="Arial"/>
        </w:rPr>
        <w:t>easily applicable</w:t>
      </w:r>
      <w:r w:rsidR="007D08A4">
        <w:rPr>
          <w:rFonts w:ascii="Arial" w:hAnsi="Arial" w:cs="Arial"/>
        </w:rPr>
        <w:t>,</w:t>
      </w:r>
      <w:r w:rsidR="00E2475D">
        <w:rPr>
          <w:rFonts w:ascii="Arial" w:hAnsi="Arial" w:cs="Arial"/>
        </w:rPr>
        <w:t xml:space="preserve"> used more frequently and effectively (Estyn, 2023b). </w:t>
      </w:r>
    </w:p>
    <w:p w14:paraId="30925BBA" w14:textId="0B18E905" w:rsidR="000E2E7E" w:rsidRPr="00AA223B" w:rsidRDefault="000E2E7E" w:rsidP="00985B5F">
      <w:pPr>
        <w:rPr>
          <w:rFonts w:ascii="Arial" w:hAnsi="Arial" w:cs="Arial"/>
        </w:rPr>
      </w:pPr>
      <w:r w:rsidRPr="00C173D6">
        <w:rPr>
          <w:rFonts w:ascii="Arial" w:hAnsi="Arial" w:cs="Arial"/>
          <w:b/>
          <w:bCs/>
          <w:sz w:val="28"/>
          <w:szCs w:val="28"/>
        </w:rPr>
        <w:t>Explanation of Case Study</w:t>
      </w:r>
    </w:p>
    <w:p w14:paraId="45DA3A8C" w14:textId="5A382BE4" w:rsidR="00C07203" w:rsidRDefault="0067673E" w:rsidP="000E2E7E">
      <w:pPr>
        <w:rPr>
          <w:rFonts w:ascii="Arial" w:hAnsi="Arial" w:cs="Arial"/>
        </w:rPr>
      </w:pPr>
      <w:r>
        <w:rPr>
          <w:rFonts w:ascii="Arial" w:hAnsi="Arial" w:cs="Arial"/>
        </w:rPr>
        <w:t xml:space="preserve">When planning this research, it was appropriate to consider how to approach a qualitative study that provides theory of a phenomenon in the field of education. </w:t>
      </w:r>
      <w:r w:rsidR="005A4092">
        <w:rPr>
          <w:rFonts w:ascii="Arial" w:hAnsi="Arial" w:cs="Arial"/>
        </w:rPr>
        <w:t>Arguably, an appropriate method of addressing the research question is using a case study. A case study can be defined as an in-depth investigation of a particular project, policy, institution or program from multiple perspectives</w:t>
      </w:r>
      <w:r w:rsidR="00316525">
        <w:rPr>
          <w:rFonts w:ascii="Arial" w:hAnsi="Arial" w:cs="Arial"/>
        </w:rPr>
        <w:t xml:space="preserve"> </w:t>
      </w:r>
      <w:r w:rsidR="005A4092">
        <w:rPr>
          <w:rFonts w:ascii="Arial" w:hAnsi="Arial" w:cs="Arial"/>
        </w:rPr>
        <w:t xml:space="preserve">to understand its complexity (Cohen, Manion and Morrison, 2017, p. 446). </w:t>
      </w:r>
      <w:r w:rsidR="002255D0">
        <w:rPr>
          <w:rFonts w:ascii="Arial" w:hAnsi="Arial" w:cs="Arial"/>
        </w:rPr>
        <w:t xml:space="preserve">Hamilton and Corbett-Whittier </w:t>
      </w:r>
      <w:r w:rsidR="00211533">
        <w:rPr>
          <w:rFonts w:ascii="Arial" w:hAnsi="Arial" w:cs="Arial"/>
        </w:rPr>
        <w:t xml:space="preserve">(2018) </w:t>
      </w:r>
      <w:r w:rsidR="002255D0">
        <w:rPr>
          <w:rFonts w:ascii="Arial" w:hAnsi="Arial" w:cs="Arial"/>
        </w:rPr>
        <w:t xml:space="preserve">suggest that this type of case study </w:t>
      </w:r>
      <w:r w:rsidR="00C433C4">
        <w:rPr>
          <w:rFonts w:ascii="Arial" w:hAnsi="Arial" w:cs="Arial"/>
        </w:rPr>
        <w:t xml:space="preserve">is the </w:t>
      </w:r>
      <w:r w:rsidR="002255D0">
        <w:rPr>
          <w:rFonts w:ascii="Arial" w:hAnsi="Arial" w:cs="Arial"/>
        </w:rPr>
        <w:t>e</w:t>
      </w:r>
      <w:r w:rsidR="008F4BBE">
        <w:rPr>
          <w:rFonts w:ascii="Arial" w:hAnsi="Arial" w:cs="Arial"/>
        </w:rPr>
        <w:t>xploratory</w:t>
      </w:r>
      <w:r w:rsidR="002255D0">
        <w:rPr>
          <w:rFonts w:ascii="Arial" w:hAnsi="Arial" w:cs="Arial"/>
        </w:rPr>
        <w:t xml:space="preserve"> </w:t>
      </w:r>
      <w:r w:rsidR="00C433C4">
        <w:rPr>
          <w:rFonts w:ascii="Arial" w:hAnsi="Arial" w:cs="Arial"/>
        </w:rPr>
        <w:t xml:space="preserve">type </w:t>
      </w:r>
      <w:r w:rsidR="002255D0">
        <w:rPr>
          <w:rFonts w:ascii="Arial" w:hAnsi="Arial" w:cs="Arial"/>
        </w:rPr>
        <w:t xml:space="preserve">that provides a </w:t>
      </w:r>
      <w:r w:rsidR="008F4BBE">
        <w:rPr>
          <w:rFonts w:ascii="Arial" w:hAnsi="Arial" w:cs="Arial"/>
        </w:rPr>
        <w:t xml:space="preserve">collection of data, where themes or the ‘shape’ of an issue can be established </w:t>
      </w:r>
      <w:r w:rsidR="002255D0">
        <w:rPr>
          <w:rFonts w:ascii="Arial" w:hAnsi="Arial" w:cs="Arial"/>
        </w:rPr>
        <w:t>(Hamilton and Corbett</w:t>
      </w:r>
      <w:r w:rsidR="001F58CD">
        <w:rPr>
          <w:rFonts w:ascii="Arial" w:hAnsi="Arial" w:cs="Arial"/>
        </w:rPr>
        <w:t xml:space="preserve">-Whittier, 2013, p. </w:t>
      </w:r>
      <w:r w:rsidR="00554CD3">
        <w:rPr>
          <w:rFonts w:ascii="Arial" w:hAnsi="Arial" w:cs="Arial"/>
        </w:rPr>
        <w:t>6</w:t>
      </w:r>
      <w:r w:rsidR="001F58CD">
        <w:rPr>
          <w:rFonts w:ascii="Arial" w:hAnsi="Arial" w:cs="Arial"/>
        </w:rPr>
        <w:t>)</w:t>
      </w:r>
      <w:r w:rsidR="002255D0">
        <w:rPr>
          <w:rFonts w:ascii="Arial" w:hAnsi="Arial" w:cs="Arial"/>
        </w:rPr>
        <w:t xml:space="preserve">. </w:t>
      </w:r>
      <w:r w:rsidR="008F4BBE">
        <w:rPr>
          <w:rFonts w:ascii="Arial" w:hAnsi="Arial" w:cs="Arial"/>
        </w:rPr>
        <w:t xml:space="preserve">In </w:t>
      </w:r>
      <w:r w:rsidR="00C433C4">
        <w:rPr>
          <w:rFonts w:ascii="Arial" w:hAnsi="Arial" w:cs="Arial"/>
        </w:rPr>
        <w:t>suppor</w:t>
      </w:r>
      <w:r w:rsidR="008F4BBE">
        <w:rPr>
          <w:rFonts w:ascii="Arial" w:hAnsi="Arial" w:cs="Arial"/>
        </w:rPr>
        <w:t>t of this,</w:t>
      </w:r>
      <w:r w:rsidR="00C433C4">
        <w:rPr>
          <w:rFonts w:ascii="Arial" w:hAnsi="Arial" w:cs="Arial"/>
        </w:rPr>
        <w:t xml:space="preserve"> Bell and Waters suggest that </w:t>
      </w:r>
      <w:r w:rsidR="001D4E58">
        <w:rPr>
          <w:rFonts w:ascii="Arial" w:hAnsi="Arial" w:cs="Arial"/>
        </w:rPr>
        <w:t xml:space="preserve">a strength of </w:t>
      </w:r>
      <w:r w:rsidR="00C433C4">
        <w:rPr>
          <w:rFonts w:ascii="Arial" w:hAnsi="Arial" w:cs="Arial"/>
        </w:rPr>
        <w:t>case studie</w:t>
      </w:r>
      <w:r w:rsidR="001D4E58">
        <w:rPr>
          <w:rFonts w:ascii="Arial" w:hAnsi="Arial" w:cs="Arial"/>
        </w:rPr>
        <w:t>s are</w:t>
      </w:r>
      <w:r w:rsidR="00C433C4">
        <w:rPr>
          <w:rFonts w:ascii="Arial" w:hAnsi="Arial" w:cs="Arial"/>
        </w:rPr>
        <w:t xml:space="preserve"> </w:t>
      </w:r>
      <w:r w:rsidR="001D4E58">
        <w:rPr>
          <w:rFonts w:ascii="Arial" w:hAnsi="Arial" w:cs="Arial"/>
        </w:rPr>
        <w:t xml:space="preserve">that they are </w:t>
      </w:r>
      <w:r w:rsidR="00C433C4">
        <w:rPr>
          <w:rFonts w:ascii="Arial" w:hAnsi="Arial" w:cs="Arial"/>
        </w:rPr>
        <w:t xml:space="preserve">particularly effective for individual researchers who want to gain depth to one problem (Bell and Waters, </w:t>
      </w:r>
      <w:r w:rsidR="008900C7">
        <w:rPr>
          <w:rFonts w:ascii="Arial" w:hAnsi="Arial" w:cs="Arial"/>
        </w:rPr>
        <w:t xml:space="preserve">2018, p. 28). </w:t>
      </w:r>
      <w:r w:rsidR="00B14BC6">
        <w:rPr>
          <w:rFonts w:ascii="Arial" w:hAnsi="Arial" w:cs="Arial"/>
        </w:rPr>
        <w:t>However, disadvantages of case studies can occur with regards to</w:t>
      </w:r>
      <w:r w:rsidR="00316525">
        <w:rPr>
          <w:rFonts w:ascii="Arial" w:hAnsi="Arial" w:cs="Arial"/>
        </w:rPr>
        <w:t xml:space="preserve"> </w:t>
      </w:r>
      <w:r w:rsidR="00B14BC6">
        <w:rPr>
          <w:rFonts w:ascii="Arial" w:hAnsi="Arial" w:cs="Arial"/>
        </w:rPr>
        <w:t xml:space="preserve">generalisation not always </w:t>
      </w:r>
      <w:r w:rsidR="00316525">
        <w:rPr>
          <w:rFonts w:ascii="Arial" w:hAnsi="Arial" w:cs="Arial"/>
        </w:rPr>
        <w:t xml:space="preserve">being </w:t>
      </w:r>
      <w:r w:rsidR="00B14BC6">
        <w:rPr>
          <w:rFonts w:ascii="Arial" w:hAnsi="Arial" w:cs="Arial"/>
        </w:rPr>
        <w:t>possible (Bell and Waters, 2018, p. 29). Denscombe (2010) provides the example that if a case study approach was being used to generalise its findings within a primary school, the researcher must obtain data on the significant features such as catchment area</w:t>
      </w:r>
      <w:r w:rsidR="0004389A">
        <w:rPr>
          <w:rFonts w:ascii="Arial" w:hAnsi="Arial" w:cs="Arial"/>
        </w:rPr>
        <w:t xml:space="preserve"> or</w:t>
      </w:r>
      <w:r w:rsidR="00B14BC6">
        <w:rPr>
          <w:rFonts w:ascii="Arial" w:hAnsi="Arial" w:cs="Arial"/>
        </w:rPr>
        <w:t xml:space="preserve"> </w:t>
      </w:r>
      <w:r w:rsidR="0004389A">
        <w:rPr>
          <w:rFonts w:ascii="Arial" w:hAnsi="Arial" w:cs="Arial"/>
        </w:rPr>
        <w:t>ethnic</w:t>
      </w:r>
      <w:r w:rsidR="00B14BC6">
        <w:rPr>
          <w:rFonts w:ascii="Arial" w:hAnsi="Arial" w:cs="Arial"/>
        </w:rPr>
        <w:t xml:space="preserve"> </w:t>
      </w:r>
      <w:r w:rsidR="00653436">
        <w:rPr>
          <w:rFonts w:ascii="Arial" w:hAnsi="Arial" w:cs="Arial"/>
        </w:rPr>
        <w:t>origins</w:t>
      </w:r>
      <w:r w:rsidR="00B14BC6">
        <w:rPr>
          <w:rFonts w:ascii="Arial" w:hAnsi="Arial" w:cs="Arial"/>
        </w:rPr>
        <w:t xml:space="preserve"> of pupils, </w:t>
      </w:r>
      <w:r w:rsidR="00653436">
        <w:rPr>
          <w:rFonts w:ascii="Arial" w:hAnsi="Arial" w:cs="Arial"/>
        </w:rPr>
        <w:t>to demonstrate where the case study fits within the overall picture</w:t>
      </w:r>
      <w:r w:rsidR="0070018B">
        <w:rPr>
          <w:rFonts w:ascii="Arial" w:hAnsi="Arial" w:cs="Arial"/>
        </w:rPr>
        <w:t xml:space="preserve"> </w:t>
      </w:r>
      <w:r w:rsidR="00653436">
        <w:rPr>
          <w:rFonts w:ascii="Arial" w:hAnsi="Arial" w:cs="Arial"/>
        </w:rPr>
        <w:t xml:space="preserve">(Denscombe, 2010, p. 61). </w:t>
      </w:r>
      <w:r w:rsidR="00AE66A3">
        <w:rPr>
          <w:rFonts w:ascii="Arial" w:hAnsi="Arial" w:cs="Arial"/>
        </w:rPr>
        <w:t xml:space="preserve">Despite this, Bassey would suggest that provided a case study is carried out systematically and critically, and its true purpose is to improve education, then the findings are still valid evidence of educational research (Bassey, 1981, p. 85). </w:t>
      </w:r>
      <w:r w:rsidR="00C13399">
        <w:rPr>
          <w:rFonts w:ascii="Arial" w:hAnsi="Arial" w:cs="Arial"/>
        </w:rPr>
        <w:t>Considering the nature of case studies, with regards to finding in depth data regarding a phenomenon, with the aim to provide evidence to influence education, a case study can be argued to be a suitable method of conducting this research project.</w:t>
      </w:r>
    </w:p>
    <w:p w14:paraId="4BEA9BE6" w14:textId="571EDA69" w:rsidR="00C07203" w:rsidRDefault="000E2E7E" w:rsidP="000E2E7E">
      <w:pPr>
        <w:rPr>
          <w:rFonts w:ascii="Arial" w:hAnsi="Arial" w:cs="Arial"/>
          <w:b/>
          <w:bCs/>
          <w:sz w:val="28"/>
          <w:szCs w:val="28"/>
        </w:rPr>
      </w:pPr>
      <w:r w:rsidRPr="00C173D6">
        <w:rPr>
          <w:rFonts w:ascii="Arial" w:hAnsi="Arial" w:cs="Arial"/>
          <w:b/>
          <w:bCs/>
          <w:sz w:val="28"/>
          <w:szCs w:val="28"/>
        </w:rPr>
        <w:t xml:space="preserve">Research </w:t>
      </w:r>
      <w:r w:rsidR="00C07203">
        <w:rPr>
          <w:rFonts w:ascii="Arial" w:hAnsi="Arial" w:cs="Arial"/>
          <w:b/>
          <w:bCs/>
          <w:sz w:val="28"/>
          <w:szCs w:val="28"/>
        </w:rPr>
        <w:t>M</w:t>
      </w:r>
      <w:r w:rsidRPr="00C173D6">
        <w:rPr>
          <w:rFonts w:ascii="Arial" w:hAnsi="Arial" w:cs="Arial"/>
          <w:b/>
          <w:bCs/>
          <w:sz w:val="28"/>
          <w:szCs w:val="28"/>
        </w:rPr>
        <w:t>ethods</w:t>
      </w:r>
    </w:p>
    <w:p w14:paraId="6A706626" w14:textId="2ABA49D4" w:rsidR="005A4AF8" w:rsidRDefault="00C10723" w:rsidP="000E2E7E">
      <w:pPr>
        <w:rPr>
          <w:rFonts w:ascii="Arial" w:hAnsi="Arial" w:cs="Arial"/>
        </w:rPr>
      </w:pPr>
      <w:r>
        <w:rPr>
          <w:rFonts w:ascii="Arial" w:hAnsi="Arial" w:cs="Arial"/>
        </w:rPr>
        <w:t>A case study approach means that a researcher will aim to gain a rich and detailed understanding using a combination of methods</w:t>
      </w:r>
      <w:r w:rsidR="00DB400A">
        <w:rPr>
          <w:rFonts w:ascii="Arial" w:hAnsi="Arial" w:cs="Arial"/>
        </w:rPr>
        <w:t xml:space="preserve"> </w:t>
      </w:r>
      <w:r w:rsidR="00DD4C1E">
        <w:rPr>
          <w:rFonts w:ascii="Arial" w:hAnsi="Arial" w:cs="Arial"/>
        </w:rPr>
        <w:t>(Thomas, 2017, p. 157)</w:t>
      </w:r>
      <w:r w:rsidR="005E43BE">
        <w:rPr>
          <w:rFonts w:ascii="Arial" w:hAnsi="Arial" w:cs="Arial"/>
        </w:rPr>
        <w:t xml:space="preserve"> resulting in heighted credibility (Baxter and Jack, 2008, p. 554)</w:t>
      </w:r>
      <w:r w:rsidR="00DD4C1E">
        <w:rPr>
          <w:rFonts w:ascii="Arial" w:hAnsi="Arial" w:cs="Arial"/>
        </w:rPr>
        <w:t xml:space="preserve">. </w:t>
      </w:r>
      <w:r w:rsidR="002E0EAB">
        <w:rPr>
          <w:rFonts w:ascii="Arial" w:hAnsi="Arial" w:cs="Arial"/>
        </w:rPr>
        <w:t xml:space="preserve">Therefore, </w:t>
      </w:r>
      <w:r w:rsidR="000574A9">
        <w:rPr>
          <w:rFonts w:ascii="Arial" w:hAnsi="Arial" w:cs="Arial"/>
        </w:rPr>
        <w:t xml:space="preserve">in order </w:t>
      </w:r>
      <w:r w:rsidR="002E0EAB">
        <w:rPr>
          <w:rFonts w:ascii="Arial" w:hAnsi="Arial" w:cs="Arial"/>
        </w:rPr>
        <w:t xml:space="preserve">to research the subject </w:t>
      </w:r>
      <w:r w:rsidR="00DB400A">
        <w:rPr>
          <w:rFonts w:ascii="Arial" w:hAnsi="Arial" w:cs="Arial"/>
        </w:rPr>
        <w:t xml:space="preserve">of </w:t>
      </w:r>
      <w:r w:rsidR="002E0EAB">
        <w:rPr>
          <w:rFonts w:ascii="Arial" w:hAnsi="Arial" w:cs="Arial"/>
        </w:rPr>
        <w:t>the children, and the object, outdoor learning</w:t>
      </w:r>
      <w:r w:rsidR="00DB400A">
        <w:rPr>
          <w:rFonts w:ascii="Arial" w:hAnsi="Arial" w:cs="Arial"/>
        </w:rPr>
        <w:t>,</w:t>
      </w:r>
      <w:r w:rsidR="002E0EAB">
        <w:rPr>
          <w:rFonts w:ascii="Arial" w:hAnsi="Arial" w:cs="Arial"/>
        </w:rPr>
        <w:t xml:space="preserve"> </w:t>
      </w:r>
      <w:r w:rsidR="00193624">
        <w:rPr>
          <w:rFonts w:ascii="Arial" w:hAnsi="Arial" w:cs="Arial"/>
        </w:rPr>
        <w:t>teacher interviews</w:t>
      </w:r>
      <w:r w:rsidR="00BB13B3">
        <w:rPr>
          <w:rFonts w:ascii="Arial" w:hAnsi="Arial" w:cs="Arial"/>
        </w:rPr>
        <w:t xml:space="preserve"> (Appendix Two)</w:t>
      </w:r>
      <w:r w:rsidR="00193624">
        <w:rPr>
          <w:rFonts w:ascii="Arial" w:hAnsi="Arial" w:cs="Arial"/>
        </w:rPr>
        <w:t xml:space="preserve"> and child observations took place</w:t>
      </w:r>
      <w:r w:rsidR="00BB13B3">
        <w:rPr>
          <w:rFonts w:ascii="Arial" w:hAnsi="Arial" w:cs="Arial"/>
        </w:rPr>
        <w:t xml:space="preserve"> (Appendix Three)</w:t>
      </w:r>
      <w:r w:rsidR="00193624">
        <w:rPr>
          <w:rFonts w:ascii="Arial" w:hAnsi="Arial" w:cs="Arial"/>
        </w:rPr>
        <w:t xml:space="preserve">. </w:t>
      </w:r>
    </w:p>
    <w:p w14:paraId="3D654D64" w14:textId="0A956C4C" w:rsidR="005750E8" w:rsidRDefault="004E254C" w:rsidP="000E2E7E">
      <w:pPr>
        <w:rPr>
          <w:rFonts w:ascii="Arial" w:hAnsi="Arial" w:cs="Arial"/>
        </w:rPr>
      </w:pPr>
      <w:r>
        <w:rPr>
          <w:rFonts w:ascii="Arial" w:hAnsi="Arial" w:cs="Arial"/>
        </w:rPr>
        <w:t>A</w:t>
      </w:r>
      <w:r w:rsidR="005A4AF8">
        <w:rPr>
          <w:rFonts w:ascii="Arial" w:hAnsi="Arial" w:cs="Arial"/>
        </w:rPr>
        <w:t xml:space="preserve">n interview </w:t>
      </w:r>
      <w:r>
        <w:rPr>
          <w:rFonts w:ascii="Arial" w:hAnsi="Arial" w:cs="Arial"/>
        </w:rPr>
        <w:t>can be defined as</w:t>
      </w:r>
      <w:r w:rsidR="005A4AF8">
        <w:rPr>
          <w:rFonts w:ascii="Arial" w:hAnsi="Arial" w:cs="Arial"/>
        </w:rPr>
        <w:t xml:space="preserve"> an interaction between two or more individuals that involve questions and responses with a specific intent </w:t>
      </w:r>
      <w:r>
        <w:rPr>
          <w:rFonts w:ascii="Arial" w:hAnsi="Arial" w:cs="Arial"/>
        </w:rPr>
        <w:t xml:space="preserve">on the part of the researcher </w:t>
      </w:r>
      <w:r w:rsidR="005A4AF8">
        <w:rPr>
          <w:rFonts w:ascii="Arial" w:hAnsi="Arial" w:cs="Arial"/>
        </w:rPr>
        <w:t xml:space="preserve">(Kumar, 2019, p. 220). </w:t>
      </w:r>
      <w:r>
        <w:rPr>
          <w:rFonts w:ascii="Arial" w:hAnsi="Arial" w:cs="Arial"/>
        </w:rPr>
        <w:t xml:space="preserve">The teacher interviews for this research took place using </w:t>
      </w:r>
      <w:r w:rsidR="00C91A5B">
        <w:rPr>
          <w:rFonts w:ascii="Arial" w:hAnsi="Arial" w:cs="Arial"/>
        </w:rPr>
        <w:t xml:space="preserve">a </w:t>
      </w:r>
      <w:r>
        <w:rPr>
          <w:rFonts w:ascii="Arial" w:hAnsi="Arial" w:cs="Arial"/>
        </w:rPr>
        <w:t xml:space="preserve">semi- structured method that are purposeful for gaining and in depth understanding </w:t>
      </w:r>
      <w:r w:rsidR="00561672">
        <w:rPr>
          <w:rFonts w:ascii="Arial" w:hAnsi="Arial" w:cs="Arial"/>
        </w:rPr>
        <w:t xml:space="preserve">of a phenomenon </w:t>
      </w:r>
      <w:r>
        <w:rPr>
          <w:rFonts w:ascii="Arial" w:hAnsi="Arial" w:cs="Arial"/>
        </w:rPr>
        <w:t>(Arthur et al, 2012, p. 170).</w:t>
      </w:r>
      <w:r w:rsidR="007418B6">
        <w:rPr>
          <w:rFonts w:ascii="Arial" w:hAnsi="Arial" w:cs="Arial"/>
        </w:rPr>
        <w:t xml:space="preserve"> </w:t>
      </w:r>
      <w:r w:rsidR="00CD10C1">
        <w:rPr>
          <w:rFonts w:ascii="Arial" w:hAnsi="Arial" w:cs="Arial"/>
        </w:rPr>
        <w:t>Although, when deciding on appropriate methodology for the purpose of this research, it is important to consider the strengths and limitations for using semi-structured interviews</w:t>
      </w:r>
      <w:r w:rsidR="00BB13B3">
        <w:rPr>
          <w:rFonts w:ascii="Arial" w:hAnsi="Arial" w:cs="Arial"/>
        </w:rPr>
        <w:t xml:space="preserve"> (Appendix Two)</w:t>
      </w:r>
      <w:r w:rsidR="00CD10C1">
        <w:rPr>
          <w:rFonts w:ascii="Arial" w:hAnsi="Arial" w:cs="Arial"/>
        </w:rPr>
        <w:t xml:space="preserve">. </w:t>
      </w:r>
    </w:p>
    <w:p w14:paraId="3DD94519" w14:textId="3D842DCC" w:rsidR="00EE64A0" w:rsidRDefault="00605B82" w:rsidP="0027765D">
      <w:pPr>
        <w:rPr>
          <w:rFonts w:ascii="Arial" w:hAnsi="Arial" w:cs="Arial"/>
        </w:rPr>
      </w:pPr>
      <w:r>
        <w:rPr>
          <w:rFonts w:ascii="Arial" w:hAnsi="Arial" w:cs="Arial"/>
        </w:rPr>
        <w:lastRenderedPageBreak/>
        <w:t xml:space="preserve">Choosing an interview meant gathering in-depth information, a favoured strength of using interviews (Kumar, 2019, p. 228). </w:t>
      </w:r>
      <w:r w:rsidR="00487630">
        <w:rPr>
          <w:rFonts w:ascii="Arial" w:hAnsi="Arial" w:cs="Arial"/>
        </w:rPr>
        <w:t xml:space="preserve">A </w:t>
      </w:r>
      <w:r w:rsidR="005E43BE">
        <w:rPr>
          <w:rFonts w:ascii="Arial" w:hAnsi="Arial" w:cs="Arial"/>
        </w:rPr>
        <w:t xml:space="preserve">contributing factor to being able to gain in depth information is the use of semi-structured interviews, in that they provide flexibility when asking follow up questions allowing participants to expand on their answers (Kumar, 2019, p.222). </w:t>
      </w:r>
      <w:r w:rsidR="007B4086">
        <w:rPr>
          <w:rFonts w:ascii="Arial" w:hAnsi="Arial" w:cs="Arial"/>
        </w:rPr>
        <w:t xml:space="preserve">In support of this, it can be suggested that the use of semi– </w:t>
      </w:r>
      <w:r w:rsidR="00B43042">
        <w:rPr>
          <w:rFonts w:ascii="Arial" w:hAnsi="Arial" w:cs="Arial"/>
        </w:rPr>
        <w:t>structured</w:t>
      </w:r>
      <w:r w:rsidR="007B4086">
        <w:rPr>
          <w:rFonts w:ascii="Arial" w:hAnsi="Arial" w:cs="Arial"/>
        </w:rPr>
        <w:t xml:space="preserve"> interview</w:t>
      </w:r>
      <w:r w:rsidR="00487630">
        <w:rPr>
          <w:rFonts w:ascii="Arial" w:hAnsi="Arial" w:cs="Arial"/>
        </w:rPr>
        <w:t>s</w:t>
      </w:r>
      <w:r w:rsidR="007B4086">
        <w:rPr>
          <w:rFonts w:ascii="Arial" w:hAnsi="Arial" w:cs="Arial"/>
        </w:rPr>
        <w:t xml:space="preserve"> </w:t>
      </w:r>
      <w:r w:rsidR="00512008">
        <w:rPr>
          <w:rFonts w:ascii="Arial" w:hAnsi="Arial" w:cs="Arial"/>
        </w:rPr>
        <w:t>provide</w:t>
      </w:r>
      <w:r w:rsidR="00B43042">
        <w:rPr>
          <w:rFonts w:ascii="Arial" w:hAnsi="Arial" w:cs="Arial"/>
        </w:rPr>
        <w:t xml:space="preserve"> both the researcher and participant freedom to explore honesty and authentic contexts within the issue (McAteer, 2013, p. 73). </w:t>
      </w:r>
      <w:r w:rsidR="00DF1F62">
        <w:rPr>
          <w:rFonts w:ascii="Arial" w:hAnsi="Arial" w:cs="Arial"/>
        </w:rPr>
        <w:t>Whereas, follow up questions for clarity of perceptions cannot be a</w:t>
      </w:r>
      <w:r w:rsidR="00512008">
        <w:rPr>
          <w:rFonts w:ascii="Arial" w:hAnsi="Arial" w:cs="Arial"/>
        </w:rPr>
        <w:t>sk</w:t>
      </w:r>
      <w:r w:rsidR="00DF1F62">
        <w:rPr>
          <w:rFonts w:ascii="Arial" w:hAnsi="Arial" w:cs="Arial"/>
        </w:rPr>
        <w:t xml:space="preserve">ed when using structured interviews </w:t>
      </w:r>
      <w:r w:rsidR="00B371A7">
        <w:rPr>
          <w:rFonts w:ascii="Arial" w:hAnsi="Arial" w:cs="Arial"/>
        </w:rPr>
        <w:t>(</w:t>
      </w:r>
      <w:r w:rsidR="004873EE">
        <w:rPr>
          <w:rFonts w:ascii="Arial" w:hAnsi="Arial" w:cs="Arial"/>
        </w:rPr>
        <w:t>Kumar, 2019, p. 222</w:t>
      </w:r>
      <w:r w:rsidR="00B371A7">
        <w:rPr>
          <w:rFonts w:ascii="Arial" w:hAnsi="Arial" w:cs="Arial"/>
        </w:rPr>
        <w:t xml:space="preserve">). </w:t>
      </w:r>
      <w:r w:rsidR="00366884">
        <w:rPr>
          <w:rFonts w:ascii="Arial" w:hAnsi="Arial" w:cs="Arial"/>
        </w:rPr>
        <w:t xml:space="preserve">This links to the view of Thomas (2017) who suggests that interviews can </w:t>
      </w:r>
      <w:r w:rsidR="00EE64A0">
        <w:rPr>
          <w:rFonts w:ascii="Arial" w:hAnsi="Arial" w:cs="Arial"/>
        </w:rPr>
        <w:t>be seen to be more successful than questionnaires, due to the personal nature of interviews and that people are likely to want to support the researcher</w:t>
      </w:r>
      <w:r w:rsidR="00366884">
        <w:rPr>
          <w:rFonts w:ascii="Arial" w:hAnsi="Arial" w:cs="Arial"/>
        </w:rPr>
        <w:t xml:space="preserve"> (Thomas, 2017, p. 202)</w:t>
      </w:r>
      <w:r w:rsidR="0027765D">
        <w:rPr>
          <w:rFonts w:ascii="Arial" w:hAnsi="Arial" w:cs="Arial"/>
        </w:rPr>
        <w:t>. Therefore, evidence suggests that using a semi– structured interview can be beneficial in gathering in- depth data that is flexible to explore issues raised within the interview. When carrying out the teacher interviews, it was beneficial to seek further information using follow up questions regarding certain responses</w:t>
      </w:r>
      <w:r w:rsidR="00561672">
        <w:rPr>
          <w:rFonts w:ascii="Arial" w:hAnsi="Arial" w:cs="Arial"/>
        </w:rPr>
        <w:t xml:space="preserve">. </w:t>
      </w:r>
      <w:r w:rsidR="0027765D">
        <w:rPr>
          <w:rFonts w:ascii="Arial" w:hAnsi="Arial" w:cs="Arial"/>
        </w:rPr>
        <w:t xml:space="preserve">Therefore, allowing myself as the researcher to gather the detailed perspectives of outdoor learning and the effects </w:t>
      </w:r>
      <w:r w:rsidR="00561672">
        <w:rPr>
          <w:rFonts w:ascii="Arial" w:hAnsi="Arial" w:cs="Arial"/>
        </w:rPr>
        <w:t xml:space="preserve">it can have </w:t>
      </w:r>
      <w:r w:rsidR="0027765D">
        <w:rPr>
          <w:rFonts w:ascii="Arial" w:hAnsi="Arial" w:cs="Arial"/>
        </w:rPr>
        <w:t xml:space="preserve">on wellbeing and engagement. </w:t>
      </w:r>
    </w:p>
    <w:p w14:paraId="0BDE5FE0" w14:textId="77777777" w:rsidR="007A359A" w:rsidRDefault="00C617D7" w:rsidP="0027765D">
      <w:pPr>
        <w:rPr>
          <w:rFonts w:ascii="Arial" w:hAnsi="Arial" w:cs="Arial"/>
        </w:rPr>
      </w:pPr>
      <w:r>
        <w:rPr>
          <w:rFonts w:ascii="Arial" w:hAnsi="Arial" w:cs="Arial"/>
        </w:rPr>
        <w:t xml:space="preserve">However, </w:t>
      </w:r>
      <w:r w:rsidR="003D1208">
        <w:rPr>
          <w:rFonts w:ascii="Arial" w:hAnsi="Arial" w:cs="Arial"/>
        </w:rPr>
        <w:t xml:space="preserve">evidence suggests that interviewing can be misinterpreted as a simple method of gathering data, whereas it can be a burden for researchers due to the significant amount of data that can be gathered and will have to be analysed (Leavy, 2020, p. 427). </w:t>
      </w:r>
      <w:r w:rsidR="0097107B">
        <w:rPr>
          <w:rFonts w:ascii="Arial" w:hAnsi="Arial" w:cs="Arial"/>
        </w:rPr>
        <w:t>Despite the fact that collecting detailed data is less likely to be a problem using interviews, it is important to consider the potential challenges. For example, the interviews may not occur as planned with regards to participants levels of understanding within the context of research, or some participants not willing to contribute (Arthur et al, 2012, p. 173). Fortunately, during the teacher interviews detailed information was gathered, but this doesn’t mean they occurred as planned.</w:t>
      </w:r>
      <w:r w:rsidR="00D062D1">
        <w:rPr>
          <w:rFonts w:ascii="Arial" w:hAnsi="Arial" w:cs="Arial"/>
        </w:rPr>
        <w:t xml:space="preserve"> </w:t>
      </w:r>
      <w:r w:rsidR="0071519F">
        <w:rPr>
          <w:rFonts w:ascii="Arial" w:hAnsi="Arial" w:cs="Arial"/>
        </w:rPr>
        <w:t xml:space="preserve">When conducting the interviews, practitioners were occupied with other responsibilities suggesting they were distracted when giving their answers. </w:t>
      </w:r>
      <w:r w:rsidR="00D062D1">
        <w:rPr>
          <w:rFonts w:ascii="Arial" w:hAnsi="Arial" w:cs="Arial"/>
        </w:rPr>
        <w:t>As a result, some</w:t>
      </w:r>
      <w:r w:rsidR="00E912CD">
        <w:rPr>
          <w:rFonts w:ascii="Arial" w:hAnsi="Arial" w:cs="Arial"/>
        </w:rPr>
        <w:t xml:space="preserve"> responses</w:t>
      </w:r>
      <w:r w:rsidR="00D062D1">
        <w:rPr>
          <w:rFonts w:ascii="Arial" w:hAnsi="Arial" w:cs="Arial"/>
        </w:rPr>
        <w:t xml:space="preserve"> were </w:t>
      </w:r>
      <w:r w:rsidR="00E912CD">
        <w:rPr>
          <w:rFonts w:ascii="Arial" w:hAnsi="Arial" w:cs="Arial"/>
        </w:rPr>
        <w:t xml:space="preserve">closed answers, rather than answers that expanded on their view. </w:t>
      </w:r>
    </w:p>
    <w:p w14:paraId="24D11A7F" w14:textId="24C3F017" w:rsidR="002D39FA" w:rsidRDefault="00DC1B51" w:rsidP="0027765D">
      <w:pPr>
        <w:rPr>
          <w:rFonts w:ascii="Arial" w:hAnsi="Arial" w:cs="Arial"/>
        </w:rPr>
      </w:pPr>
      <w:r>
        <w:rPr>
          <w:rFonts w:ascii="Arial" w:hAnsi="Arial" w:cs="Arial"/>
        </w:rPr>
        <w:t xml:space="preserve">Additional challenges to interviews can occur with regards to </w:t>
      </w:r>
      <w:r w:rsidR="002D39FA">
        <w:rPr>
          <w:rFonts w:ascii="Arial" w:hAnsi="Arial" w:cs="Arial"/>
        </w:rPr>
        <w:t>validity</w:t>
      </w:r>
      <w:r>
        <w:rPr>
          <w:rFonts w:ascii="Arial" w:hAnsi="Arial" w:cs="Arial"/>
        </w:rPr>
        <w:t xml:space="preserve">. </w:t>
      </w:r>
      <w:r w:rsidR="002D39FA">
        <w:rPr>
          <w:rFonts w:ascii="Arial" w:hAnsi="Arial" w:cs="Arial"/>
        </w:rPr>
        <w:t>In research, validity is a term used to describe whether the questions asked are measuring what they claim to measure (</w:t>
      </w:r>
      <w:r w:rsidR="00191AFB">
        <w:rPr>
          <w:rFonts w:ascii="Arial" w:hAnsi="Arial" w:cs="Arial"/>
        </w:rPr>
        <w:t xml:space="preserve">Cohen, Manion and Morrison, 2017, p. </w:t>
      </w:r>
      <w:r w:rsidR="00191AFB">
        <w:rPr>
          <w:rFonts w:ascii="Arial" w:hAnsi="Arial" w:cs="Arial"/>
        </w:rPr>
        <w:t>271</w:t>
      </w:r>
      <w:r w:rsidR="002D39FA">
        <w:rPr>
          <w:rFonts w:ascii="Arial" w:hAnsi="Arial" w:cs="Arial"/>
        </w:rPr>
        <w:t>). Validity within interviews can be affected by bias on behalf of the researcher or the participant (</w:t>
      </w:r>
      <w:r w:rsidR="00191AFB">
        <w:rPr>
          <w:rFonts w:ascii="Arial" w:hAnsi="Arial" w:cs="Arial"/>
        </w:rPr>
        <w:t xml:space="preserve">Cohen, Manion and Morrison, 2017, p. </w:t>
      </w:r>
      <w:r w:rsidR="00191AFB">
        <w:rPr>
          <w:rFonts w:ascii="Arial" w:hAnsi="Arial" w:cs="Arial"/>
        </w:rPr>
        <w:t>271</w:t>
      </w:r>
      <w:r w:rsidR="002D39FA">
        <w:rPr>
          <w:rFonts w:ascii="Arial" w:hAnsi="Arial" w:cs="Arial"/>
        </w:rPr>
        <w:t xml:space="preserve">). </w:t>
      </w:r>
      <w:r w:rsidR="00512008">
        <w:rPr>
          <w:rFonts w:ascii="Arial" w:hAnsi="Arial" w:cs="Arial"/>
        </w:rPr>
        <w:t>But</w:t>
      </w:r>
      <w:r w:rsidR="002D39FA">
        <w:rPr>
          <w:rFonts w:ascii="Arial" w:hAnsi="Arial" w:cs="Arial"/>
        </w:rPr>
        <w:t xml:space="preserve"> it is important to recognise the potential solutions to overcoming these issues with validity. Cohen</w:t>
      </w:r>
      <w:r w:rsidR="00191AFB">
        <w:rPr>
          <w:rFonts w:ascii="Arial" w:hAnsi="Arial" w:cs="Arial"/>
        </w:rPr>
        <w:t xml:space="preserve">, </w:t>
      </w:r>
      <w:r w:rsidR="00191AFB">
        <w:rPr>
          <w:rFonts w:ascii="Arial" w:hAnsi="Arial" w:cs="Arial"/>
        </w:rPr>
        <w:t xml:space="preserve">Manion and Morrison </w:t>
      </w:r>
      <w:r w:rsidR="00191AFB">
        <w:rPr>
          <w:rFonts w:ascii="Arial" w:hAnsi="Arial" w:cs="Arial"/>
        </w:rPr>
        <w:t>(</w:t>
      </w:r>
      <w:r w:rsidR="00191AFB">
        <w:rPr>
          <w:rFonts w:ascii="Arial" w:hAnsi="Arial" w:cs="Arial"/>
        </w:rPr>
        <w:t>2017</w:t>
      </w:r>
      <w:r w:rsidR="00191AFB">
        <w:rPr>
          <w:rFonts w:ascii="Arial" w:hAnsi="Arial" w:cs="Arial"/>
        </w:rPr>
        <w:t xml:space="preserve">) </w:t>
      </w:r>
      <w:r w:rsidR="002D39FA">
        <w:rPr>
          <w:rFonts w:ascii="Arial" w:hAnsi="Arial" w:cs="Arial"/>
        </w:rPr>
        <w:t>suggest that a practical way to make research as valid as possible is to compare data with other measures that have already been deemed as valid. If the</w:t>
      </w:r>
      <w:r w:rsidR="00191AFB">
        <w:rPr>
          <w:rFonts w:ascii="Arial" w:hAnsi="Arial" w:cs="Arial"/>
        </w:rPr>
        <w:t>y address similar concepts, it can be argued that the interview is comparable with a reliable source (</w:t>
      </w:r>
      <w:r w:rsidR="00191AFB">
        <w:rPr>
          <w:rFonts w:ascii="Arial" w:hAnsi="Arial" w:cs="Arial"/>
        </w:rPr>
        <w:t xml:space="preserve">Cohen, Manion and Morrison, 2017, p. </w:t>
      </w:r>
      <w:r w:rsidR="00191AFB">
        <w:rPr>
          <w:rFonts w:ascii="Arial" w:hAnsi="Arial" w:cs="Arial"/>
        </w:rPr>
        <w:t xml:space="preserve">271). </w:t>
      </w:r>
    </w:p>
    <w:p w14:paraId="0DB271B8" w14:textId="6F36BB1C" w:rsidR="00764EB6" w:rsidRDefault="00764EB6" w:rsidP="0027765D">
      <w:pPr>
        <w:rPr>
          <w:rFonts w:ascii="Arial" w:hAnsi="Arial" w:cs="Arial"/>
        </w:rPr>
      </w:pPr>
      <w:r>
        <w:rPr>
          <w:rFonts w:ascii="Arial" w:hAnsi="Arial" w:cs="Arial"/>
        </w:rPr>
        <w:lastRenderedPageBreak/>
        <w:t xml:space="preserve">Similar to interviews, using observations also have both strengths and challenges when conducting research. </w:t>
      </w:r>
      <w:r w:rsidR="00E638E2">
        <w:rPr>
          <w:rFonts w:ascii="Arial" w:hAnsi="Arial" w:cs="Arial"/>
        </w:rPr>
        <w:t>Non- participant o</w:t>
      </w:r>
      <w:r w:rsidR="00473931">
        <w:rPr>
          <w:rFonts w:ascii="Arial" w:hAnsi="Arial" w:cs="Arial"/>
        </w:rPr>
        <w:t>bservations of children took place within their outdoor learning settings, supported by an observation schedule using the Leuven scale to measure engagement and wellbeing</w:t>
      </w:r>
      <w:r w:rsidR="00BB13B3">
        <w:rPr>
          <w:rFonts w:ascii="Arial" w:hAnsi="Arial" w:cs="Arial"/>
        </w:rPr>
        <w:t xml:space="preserve"> (Appendix Three)</w:t>
      </w:r>
      <w:r w:rsidR="00473931">
        <w:rPr>
          <w:rFonts w:ascii="Arial" w:hAnsi="Arial" w:cs="Arial"/>
        </w:rPr>
        <w:t xml:space="preserve">. </w:t>
      </w:r>
      <w:r w:rsidR="004E6BB7">
        <w:rPr>
          <w:rFonts w:ascii="Arial" w:hAnsi="Arial" w:cs="Arial"/>
        </w:rPr>
        <w:t xml:space="preserve">An observation can be argued to be a </w:t>
      </w:r>
      <w:r w:rsidR="00BF2AD6">
        <w:rPr>
          <w:rFonts w:ascii="Arial" w:hAnsi="Arial" w:cs="Arial"/>
        </w:rPr>
        <w:t xml:space="preserve">successful </w:t>
      </w:r>
      <w:r w:rsidR="004E6BB7">
        <w:rPr>
          <w:rFonts w:ascii="Arial" w:hAnsi="Arial" w:cs="Arial"/>
        </w:rPr>
        <w:t xml:space="preserve">method </w:t>
      </w:r>
      <w:r w:rsidR="00BF2AD6">
        <w:rPr>
          <w:rFonts w:ascii="Arial" w:hAnsi="Arial" w:cs="Arial"/>
        </w:rPr>
        <w:t>of</w:t>
      </w:r>
      <w:r w:rsidR="004E6BB7">
        <w:rPr>
          <w:rFonts w:ascii="Arial" w:hAnsi="Arial" w:cs="Arial"/>
        </w:rPr>
        <w:t xml:space="preserve"> </w:t>
      </w:r>
      <w:r w:rsidR="00BF2AD6">
        <w:rPr>
          <w:rFonts w:ascii="Arial" w:hAnsi="Arial" w:cs="Arial"/>
        </w:rPr>
        <w:t xml:space="preserve">research for </w:t>
      </w:r>
      <w:r w:rsidR="004E6BB7">
        <w:rPr>
          <w:rFonts w:ascii="Arial" w:hAnsi="Arial" w:cs="Arial"/>
        </w:rPr>
        <w:t xml:space="preserve">exploring and </w:t>
      </w:r>
      <w:r w:rsidR="00B610B2">
        <w:rPr>
          <w:rFonts w:ascii="Arial" w:hAnsi="Arial" w:cs="Arial"/>
        </w:rPr>
        <w:t xml:space="preserve">then </w:t>
      </w:r>
      <w:r w:rsidR="004E6BB7">
        <w:rPr>
          <w:rFonts w:ascii="Arial" w:hAnsi="Arial" w:cs="Arial"/>
        </w:rPr>
        <w:t xml:space="preserve">adapting pedagogy (Bruce, Louis, and McCall, 2014, p. 129). </w:t>
      </w:r>
      <w:r w:rsidR="00512008">
        <w:rPr>
          <w:rFonts w:ascii="Arial" w:hAnsi="Arial" w:cs="Arial"/>
        </w:rPr>
        <w:t>However,</w:t>
      </w:r>
      <w:r w:rsidR="00835AE4">
        <w:rPr>
          <w:rFonts w:ascii="Arial" w:hAnsi="Arial" w:cs="Arial"/>
        </w:rPr>
        <w:t xml:space="preserve"> unlike interviews that rely on </w:t>
      </w:r>
      <w:r w:rsidR="00C17B87">
        <w:rPr>
          <w:rFonts w:ascii="Arial" w:hAnsi="Arial" w:cs="Arial"/>
        </w:rPr>
        <w:t>participants</w:t>
      </w:r>
      <w:r w:rsidR="00835AE4">
        <w:rPr>
          <w:rFonts w:ascii="Arial" w:hAnsi="Arial" w:cs="Arial"/>
        </w:rPr>
        <w:t xml:space="preserve"> and can be subjective to bias, </w:t>
      </w:r>
      <w:r w:rsidR="00027E17">
        <w:rPr>
          <w:rFonts w:ascii="Arial" w:hAnsi="Arial" w:cs="Arial"/>
        </w:rPr>
        <w:t xml:space="preserve">whereas, </w:t>
      </w:r>
      <w:r w:rsidR="00835AE4">
        <w:rPr>
          <w:rFonts w:ascii="Arial" w:hAnsi="Arial" w:cs="Arial"/>
        </w:rPr>
        <w:t xml:space="preserve">observations can provide more objective information related to the research question (Hancock, Algozzine and Lim, 2021, p. </w:t>
      </w:r>
      <w:r w:rsidR="00C17B87">
        <w:rPr>
          <w:rFonts w:ascii="Arial" w:hAnsi="Arial" w:cs="Arial"/>
        </w:rPr>
        <w:t>59</w:t>
      </w:r>
      <w:r w:rsidR="00C17B87" w:rsidRPr="00477B74">
        <w:rPr>
          <w:rFonts w:ascii="Arial" w:hAnsi="Arial" w:cs="Arial"/>
        </w:rPr>
        <w:t xml:space="preserve">). </w:t>
      </w:r>
      <w:r w:rsidR="000276A2" w:rsidRPr="00477B74">
        <w:rPr>
          <w:rFonts w:ascii="Arial" w:hAnsi="Arial" w:cs="Arial"/>
        </w:rPr>
        <w:t>This is further supported by Kumar (</w:t>
      </w:r>
      <w:r w:rsidR="00477B74" w:rsidRPr="00477B74">
        <w:rPr>
          <w:rFonts w:ascii="Arial" w:hAnsi="Arial" w:cs="Arial"/>
        </w:rPr>
        <w:t>2019</w:t>
      </w:r>
      <w:r w:rsidR="000276A2" w:rsidRPr="00477B74">
        <w:rPr>
          <w:rFonts w:ascii="Arial" w:hAnsi="Arial" w:cs="Arial"/>
        </w:rPr>
        <w:t>) who implies that using observations requires watching and listening to phenomenon, as it takes place</w:t>
      </w:r>
      <w:r w:rsidR="00027E17">
        <w:rPr>
          <w:rFonts w:ascii="Arial" w:hAnsi="Arial" w:cs="Arial"/>
        </w:rPr>
        <w:t xml:space="preserve"> leaving responsibility on the researcher</w:t>
      </w:r>
      <w:r w:rsidR="000276A2" w:rsidRPr="00477B74">
        <w:rPr>
          <w:rFonts w:ascii="Arial" w:hAnsi="Arial" w:cs="Arial"/>
        </w:rPr>
        <w:t xml:space="preserve"> (Kumar, </w:t>
      </w:r>
      <w:r w:rsidR="00477B74" w:rsidRPr="00477B74">
        <w:rPr>
          <w:rFonts w:ascii="Arial" w:hAnsi="Arial" w:cs="Arial"/>
        </w:rPr>
        <w:t>2019</w:t>
      </w:r>
      <w:r w:rsidR="000276A2" w:rsidRPr="00477B74">
        <w:rPr>
          <w:rFonts w:ascii="Arial" w:hAnsi="Arial" w:cs="Arial"/>
        </w:rPr>
        <w:t>).</w:t>
      </w:r>
      <w:r w:rsidR="000276A2">
        <w:rPr>
          <w:rFonts w:ascii="Arial" w:hAnsi="Arial" w:cs="Arial"/>
        </w:rPr>
        <w:t xml:space="preserve"> </w:t>
      </w:r>
      <w:r w:rsidR="00232054">
        <w:rPr>
          <w:rFonts w:ascii="Arial" w:hAnsi="Arial" w:cs="Arial"/>
        </w:rPr>
        <w:t xml:space="preserve">Yet, it is suggested that a carefully planned observation schedule will support a researcher to be able to identify key patterns or characteristics shown within the observation time frame (Cohen, Maninon, and Morrison, 2018, p. 12). </w:t>
      </w:r>
      <w:r w:rsidR="00512008">
        <w:rPr>
          <w:rFonts w:ascii="Arial" w:hAnsi="Arial" w:cs="Arial"/>
        </w:rPr>
        <w:t>Thus,</w:t>
      </w:r>
      <w:r w:rsidR="00232054">
        <w:rPr>
          <w:rFonts w:ascii="Arial" w:hAnsi="Arial" w:cs="Arial"/>
        </w:rPr>
        <w:t xml:space="preserve"> implying that a strength of </w:t>
      </w:r>
      <w:r w:rsidR="007A359A">
        <w:rPr>
          <w:rFonts w:ascii="Arial" w:hAnsi="Arial" w:cs="Arial"/>
        </w:rPr>
        <w:t xml:space="preserve">observations </w:t>
      </w:r>
      <w:r w:rsidR="00232054">
        <w:rPr>
          <w:rFonts w:ascii="Arial" w:hAnsi="Arial" w:cs="Arial"/>
        </w:rPr>
        <w:t>was being able to use the Leuven scale to identify c</w:t>
      </w:r>
      <w:r w:rsidR="00674061">
        <w:rPr>
          <w:rFonts w:ascii="Arial" w:hAnsi="Arial" w:cs="Arial"/>
        </w:rPr>
        <w:t xml:space="preserve">lear </w:t>
      </w:r>
      <w:r w:rsidR="00232054">
        <w:rPr>
          <w:rFonts w:ascii="Arial" w:hAnsi="Arial" w:cs="Arial"/>
        </w:rPr>
        <w:t xml:space="preserve">characteristics linked to engagement and wellbeing, to provide evidence for the research question. </w:t>
      </w:r>
    </w:p>
    <w:p w14:paraId="5601F33F" w14:textId="5E233F24" w:rsidR="00FE5750" w:rsidRDefault="003E4E26" w:rsidP="000E2E7E">
      <w:pPr>
        <w:rPr>
          <w:rFonts w:ascii="Arial" w:hAnsi="Arial" w:cs="Arial"/>
        </w:rPr>
      </w:pPr>
      <w:r>
        <w:rPr>
          <w:rFonts w:ascii="Arial" w:hAnsi="Arial" w:cs="Arial"/>
        </w:rPr>
        <w:t>Similar to</w:t>
      </w:r>
      <w:r w:rsidR="00E9621D">
        <w:rPr>
          <w:rFonts w:ascii="Arial" w:hAnsi="Arial" w:cs="Arial"/>
        </w:rPr>
        <w:t xml:space="preserve"> all other methods of gathering data, observations have challenges with regards to credibility and accuracy (</w:t>
      </w:r>
      <w:r>
        <w:rPr>
          <w:rFonts w:ascii="Arial" w:hAnsi="Arial" w:cs="Arial"/>
        </w:rPr>
        <w:t>Lambert, 2019, p.28</w:t>
      </w:r>
      <w:r w:rsidR="00E9621D">
        <w:rPr>
          <w:rFonts w:ascii="Arial" w:hAnsi="Arial" w:cs="Arial"/>
        </w:rPr>
        <w:t xml:space="preserve">). One of these limitations is known as the ‘Hawthrone </w:t>
      </w:r>
      <w:r w:rsidR="00EF6231">
        <w:rPr>
          <w:rFonts w:ascii="Arial" w:hAnsi="Arial" w:cs="Arial"/>
        </w:rPr>
        <w:t>E</w:t>
      </w:r>
      <w:r w:rsidR="00E9621D">
        <w:rPr>
          <w:rFonts w:ascii="Arial" w:hAnsi="Arial" w:cs="Arial"/>
        </w:rPr>
        <w:t xml:space="preserve">ffect’, a term used to describe children being aware of the research being taken place, and altering their behaviour, therefore hindering the findings (Lambert, 2019, p. 28). </w:t>
      </w:r>
      <w:r w:rsidR="00FE5750">
        <w:rPr>
          <w:rFonts w:ascii="Arial" w:hAnsi="Arial" w:cs="Arial"/>
        </w:rPr>
        <w:t xml:space="preserve">Similarly, Bennett (2013) suggests that as observations rely on how a researcher perceives an action, and therefore can conduct several of their findings (Bennett, 2013, p. 34). </w:t>
      </w:r>
      <w:r w:rsidR="00FE5750">
        <w:rPr>
          <w:rFonts w:ascii="Arial" w:hAnsi="Arial" w:cs="Arial"/>
        </w:rPr>
        <w:t xml:space="preserve">As a result of this, questions can be raised to true extent to which outdoor learning </w:t>
      </w:r>
      <w:r w:rsidR="00C91A5B">
        <w:rPr>
          <w:rFonts w:ascii="Arial" w:hAnsi="Arial" w:cs="Arial"/>
        </w:rPr>
        <w:t>a</w:t>
      </w:r>
      <w:r w:rsidR="00FE5750">
        <w:rPr>
          <w:rFonts w:ascii="Arial" w:hAnsi="Arial" w:cs="Arial"/>
        </w:rPr>
        <w:t>ffects wellbeing and engagement</w:t>
      </w:r>
      <w:r w:rsidR="00FE5750">
        <w:rPr>
          <w:rFonts w:ascii="Arial" w:hAnsi="Arial" w:cs="Arial"/>
        </w:rPr>
        <w:t xml:space="preserve"> due to findings being partly based on researcher observation. </w:t>
      </w:r>
    </w:p>
    <w:p w14:paraId="1E93ABFC" w14:textId="15EA9040" w:rsidR="00E57546" w:rsidRPr="00E57546" w:rsidRDefault="00E57546" w:rsidP="000E2E7E">
      <w:pPr>
        <w:rPr>
          <w:rFonts w:ascii="Arial" w:hAnsi="Arial" w:cs="Arial"/>
        </w:rPr>
      </w:pPr>
      <w:r>
        <w:rPr>
          <w:rFonts w:ascii="Arial" w:hAnsi="Arial" w:cs="Arial"/>
        </w:rPr>
        <w:t>Despite the challenges to both interviews and observations, it is important to acknowledge that there are difficulties with all research projects, and it is impossible to overcome them all (</w:t>
      </w:r>
      <w:r w:rsidR="000A3EE7">
        <w:rPr>
          <w:rFonts w:ascii="Arial" w:hAnsi="Arial" w:cs="Arial"/>
        </w:rPr>
        <w:t>Bell and Waters, 201</w:t>
      </w:r>
      <w:r w:rsidR="0060425F">
        <w:rPr>
          <w:rFonts w:ascii="Arial" w:hAnsi="Arial" w:cs="Arial"/>
        </w:rPr>
        <w:t>8</w:t>
      </w:r>
      <w:r w:rsidR="000A3EE7">
        <w:rPr>
          <w:rFonts w:ascii="Arial" w:hAnsi="Arial" w:cs="Arial"/>
        </w:rPr>
        <w:t>, p. 18</w:t>
      </w:r>
      <w:r>
        <w:rPr>
          <w:rFonts w:ascii="Arial" w:hAnsi="Arial" w:cs="Arial"/>
        </w:rPr>
        <w:t xml:space="preserve">). </w:t>
      </w:r>
      <w:r w:rsidR="009D7F7F">
        <w:rPr>
          <w:rFonts w:ascii="Arial" w:hAnsi="Arial" w:cs="Arial"/>
        </w:rPr>
        <w:t>But</w:t>
      </w:r>
      <w:r w:rsidR="00FE5750">
        <w:rPr>
          <w:rFonts w:ascii="Arial" w:hAnsi="Arial" w:cs="Arial"/>
        </w:rPr>
        <w:t xml:space="preserve"> b</w:t>
      </w:r>
      <w:r>
        <w:rPr>
          <w:rFonts w:ascii="Arial" w:hAnsi="Arial" w:cs="Arial"/>
        </w:rPr>
        <w:t xml:space="preserve">oth methods allowed in depth data to be collated into themes found from the entirety of the research methods. </w:t>
      </w:r>
    </w:p>
    <w:p w14:paraId="7F07C210" w14:textId="3EC291E3" w:rsidR="000E2E7E" w:rsidRDefault="000E2E7E" w:rsidP="000E2E7E">
      <w:pPr>
        <w:rPr>
          <w:rFonts w:ascii="Arial" w:hAnsi="Arial" w:cs="Arial"/>
          <w:b/>
          <w:bCs/>
          <w:sz w:val="28"/>
          <w:szCs w:val="28"/>
        </w:rPr>
      </w:pPr>
      <w:r w:rsidRPr="00C173D6">
        <w:rPr>
          <w:rFonts w:ascii="Arial" w:hAnsi="Arial" w:cs="Arial"/>
          <w:b/>
          <w:bCs/>
          <w:sz w:val="28"/>
          <w:szCs w:val="28"/>
        </w:rPr>
        <w:t>Data presentation and Analysis Method</w:t>
      </w:r>
    </w:p>
    <w:p w14:paraId="69873AF9" w14:textId="67D5C285" w:rsidR="004459B5" w:rsidRDefault="00940496" w:rsidP="000E2E7E">
      <w:pPr>
        <w:rPr>
          <w:rFonts w:ascii="Arial" w:hAnsi="Arial" w:cs="Arial"/>
        </w:rPr>
      </w:pPr>
      <w:r>
        <w:rPr>
          <w:rFonts w:ascii="Arial" w:hAnsi="Arial" w:cs="Arial"/>
        </w:rPr>
        <w:t xml:space="preserve">When analysing the data gathered, application to Braun and Clarke’s (2022) thematic analysis methods was significant in </w:t>
      </w:r>
      <w:r w:rsidR="00AA7808">
        <w:rPr>
          <w:rFonts w:ascii="Arial" w:hAnsi="Arial" w:cs="Arial"/>
        </w:rPr>
        <w:t xml:space="preserve">providing </w:t>
      </w:r>
      <w:r w:rsidR="00543588">
        <w:rPr>
          <w:rFonts w:ascii="Arial" w:hAnsi="Arial" w:cs="Arial"/>
        </w:rPr>
        <w:t xml:space="preserve">evidence to support </w:t>
      </w:r>
      <w:r>
        <w:rPr>
          <w:rFonts w:ascii="Arial" w:hAnsi="Arial" w:cs="Arial"/>
        </w:rPr>
        <w:t>the research question.</w:t>
      </w:r>
      <w:r w:rsidR="00543588">
        <w:rPr>
          <w:rFonts w:ascii="Arial" w:hAnsi="Arial" w:cs="Arial"/>
        </w:rPr>
        <w:t xml:space="preserve"> </w:t>
      </w:r>
      <w:r>
        <w:rPr>
          <w:rFonts w:ascii="Arial" w:hAnsi="Arial" w:cs="Arial"/>
        </w:rPr>
        <w:t xml:space="preserve"> </w:t>
      </w:r>
      <w:r w:rsidR="00A24446">
        <w:rPr>
          <w:rFonts w:ascii="Arial" w:hAnsi="Arial" w:cs="Arial"/>
        </w:rPr>
        <w:t>Braun and Clarke (2006) suggest that</w:t>
      </w:r>
      <w:r w:rsidR="002851C7">
        <w:rPr>
          <w:rFonts w:ascii="Arial" w:hAnsi="Arial" w:cs="Arial"/>
        </w:rPr>
        <w:t xml:space="preserve"> their six steps to</w:t>
      </w:r>
      <w:r w:rsidR="00A24446">
        <w:rPr>
          <w:rFonts w:ascii="Arial" w:hAnsi="Arial" w:cs="Arial"/>
        </w:rPr>
        <w:t xml:space="preserve"> thematic analysis is an accessible and flexible approach in </w:t>
      </w:r>
      <w:r w:rsidR="00AA7808">
        <w:rPr>
          <w:rFonts w:ascii="Arial" w:hAnsi="Arial" w:cs="Arial"/>
        </w:rPr>
        <w:t>analysing</w:t>
      </w:r>
      <w:r w:rsidR="00A24446">
        <w:rPr>
          <w:rFonts w:ascii="Arial" w:hAnsi="Arial" w:cs="Arial"/>
        </w:rPr>
        <w:t xml:space="preserve"> qualitative data (Braun and Clarke, 2006, p. 77). </w:t>
      </w:r>
    </w:p>
    <w:p w14:paraId="1185DF65" w14:textId="5C16960C" w:rsidR="0093631E" w:rsidRDefault="004148E6" w:rsidP="000E2E7E">
      <w:pPr>
        <w:rPr>
          <w:rFonts w:ascii="Arial" w:hAnsi="Arial" w:cs="Arial"/>
        </w:rPr>
      </w:pPr>
      <w:r>
        <w:rPr>
          <w:rFonts w:ascii="Arial" w:hAnsi="Arial" w:cs="Arial"/>
        </w:rPr>
        <w:t xml:space="preserve">The first step is known as the familiarisation of data which requires the researcher to gain a deep and intimate understanding of the findings. </w:t>
      </w:r>
      <w:r w:rsidR="00291756">
        <w:rPr>
          <w:rFonts w:ascii="Arial" w:hAnsi="Arial" w:cs="Arial"/>
        </w:rPr>
        <w:t xml:space="preserve">Yet, Braun and Clarke (2022) emphasise the importance of the researcher being active within their research and begin to critically engage with the research, rather than as information alone. </w:t>
      </w:r>
      <w:r w:rsidR="00F2308C">
        <w:rPr>
          <w:rFonts w:ascii="Arial" w:hAnsi="Arial" w:cs="Arial"/>
        </w:rPr>
        <w:t xml:space="preserve">When </w:t>
      </w:r>
      <w:r w:rsidR="00F2308C">
        <w:rPr>
          <w:rFonts w:ascii="Arial" w:hAnsi="Arial" w:cs="Arial"/>
        </w:rPr>
        <w:lastRenderedPageBreak/>
        <w:t>applying thematic analysis to this research, continuous reading of the datasets took place</w:t>
      </w:r>
      <w:r w:rsidR="00873F3F">
        <w:rPr>
          <w:rFonts w:ascii="Arial" w:hAnsi="Arial" w:cs="Arial"/>
        </w:rPr>
        <w:t xml:space="preserve"> to gain a deeper understanding to the general findings. </w:t>
      </w:r>
    </w:p>
    <w:p w14:paraId="44F55389" w14:textId="6B545EAD" w:rsidR="0026609D" w:rsidRDefault="00873F3F" w:rsidP="00742F0E">
      <w:pPr>
        <w:rPr>
          <w:rFonts w:ascii="Arial" w:hAnsi="Arial" w:cs="Arial"/>
        </w:rPr>
      </w:pPr>
      <w:r>
        <w:rPr>
          <w:rFonts w:ascii="Arial" w:hAnsi="Arial" w:cs="Arial"/>
        </w:rPr>
        <w:t xml:space="preserve">The second step to a thematic analysis approach requires researchers to generate codes to the data by summarising meaning that have specific indicators within the findings (Braun and Clarke, 2022, p. 60). </w:t>
      </w:r>
      <w:r w:rsidR="00E01761">
        <w:rPr>
          <w:rFonts w:ascii="Arial" w:hAnsi="Arial" w:cs="Arial"/>
        </w:rPr>
        <w:t xml:space="preserve">Essentially, this meant reading the data through, and when finding aspects that have the potential to address the research question, a code was used that summarised the general finding (Braun and Clarke, 2022, p. 61). </w:t>
      </w:r>
      <w:r w:rsidR="00355E17">
        <w:rPr>
          <w:rFonts w:ascii="Arial" w:hAnsi="Arial" w:cs="Arial"/>
        </w:rPr>
        <w:t xml:space="preserve">An example of this within this research is that outdoor learning “masks formal learning”. </w:t>
      </w:r>
      <w:r w:rsidR="008851D1">
        <w:rPr>
          <w:rFonts w:ascii="Arial" w:hAnsi="Arial" w:cs="Arial"/>
        </w:rPr>
        <w:t xml:space="preserve">Nowell et al (2017) </w:t>
      </w:r>
      <w:r w:rsidR="008D6066">
        <w:rPr>
          <w:rFonts w:ascii="Arial" w:hAnsi="Arial" w:cs="Arial"/>
        </w:rPr>
        <w:t xml:space="preserve">implies that </w:t>
      </w:r>
      <w:r w:rsidR="008851D1">
        <w:rPr>
          <w:rFonts w:ascii="Arial" w:hAnsi="Arial" w:cs="Arial"/>
        </w:rPr>
        <w:t xml:space="preserve">the process of coding is vital with regards to refining and discovering patterns to provide evidence to meet the </w:t>
      </w:r>
      <w:r w:rsidR="004F13AD">
        <w:rPr>
          <w:rFonts w:ascii="Arial" w:hAnsi="Arial" w:cs="Arial"/>
        </w:rPr>
        <w:t xml:space="preserve">richness of </w:t>
      </w:r>
      <w:r w:rsidR="00632D89">
        <w:rPr>
          <w:rFonts w:ascii="Arial" w:hAnsi="Arial" w:cs="Arial"/>
        </w:rPr>
        <w:t xml:space="preserve">any </w:t>
      </w:r>
      <w:r w:rsidR="008851D1">
        <w:rPr>
          <w:rFonts w:ascii="Arial" w:hAnsi="Arial" w:cs="Arial"/>
        </w:rPr>
        <w:t xml:space="preserve">research question (Nowell et al, 2017, </w:t>
      </w:r>
      <w:r w:rsidR="004F13AD">
        <w:rPr>
          <w:rFonts w:ascii="Arial" w:hAnsi="Arial" w:cs="Arial"/>
        </w:rPr>
        <w:t xml:space="preserve">p. 6). </w:t>
      </w:r>
    </w:p>
    <w:p w14:paraId="4E9DB64B" w14:textId="3A105571" w:rsidR="002C7D47" w:rsidRDefault="0026609D" w:rsidP="00742F0E">
      <w:pPr>
        <w:rPr>
          <w:rFonts w:ascii="Arial" w:hAnsi="Arial" w:cs="Arial"/>
        </w:rPr>
      </w:pPr>
      <w:r>
        <w:rPr>
          <w:rFonts w:ascii="Arial" w:hAnsi="Arial" w:cs="Arial"/>
        </w:rPr>
        <w:t xml:space="preserve">This leads </w:t>
      </w:r>
      <w:r w:rsidR="00C33487">
        <w:rPr>
          <w:rFonts w:ascii="Arial" w:hAnsi="Arial" w:cs="Arial"/>
        </w:rPr>
        <w:t xml:space="preserve">onto the third step </w:t>
      </w:r>
      <w:r w:rsidR="004459B5">
        <w:rPr>
          <w:rFonts w:ascii="Arial" w:hAnsi="Arial" w:cs="Arial"/>
        </w:rPr>
        <w:t>known as</w:t>
      </w:r>
      <w:r w:rsidR="00C33487">
        <w:rPr>
          <w:rFonts w:ascii="Arial" w:hAnsi="Arial" w:cs="Arial"/>
        </w:rPr>
        <w:t xml:space="preserve"> generating themes. </w:t>
      </w:r>
      <w:r w:rsidR="00512008">
        <w:rPr>
          <w:rFonts w:ascii="Arial" w:hAnsi="Arial" w:cs="Arial"/>
        </w:rPr>
        <w:t>Th</w:t>
      </w:r>
      <w:r w:rsidR="008D6066">
        <w:rPr>
          <w:rFonts w:ascii="Arial" w:hAnsi="Arial" w:cs="Arial"/>
        </w:rPr>
        <w:t xml:space="preserve">is </w:t>
      </w:r>
      <w:r w:rsidR="00C33487">
        <w:rPr>
          <w:rFonts w:ascii="Arial" w:hAnsi="Arial" w:cs="Arial"/>
        </w:rPr>
        <w:t>require</w:t>
      </w:r>
      <w:r w:rsidR="004459B5">
        <w:rPr>
          <w:rFonts w:ascii="Arial" w:hAnsi="Arial" w:cs="Arial"/>
        </w:rPr>
        <w:t xml:space="preserve">s </w:t>
      </w:r>
      <w:r w:rsidR="00C33487">
        <w:rPr>
          <w:rFonts w:ascii="Arial" w:hAnsi="Arial" w:cs="Arial"/>
        </w:rPr>
        <w:t xml:space="preserve">critical thinking to engage with the potential themes that could shape the final product of the research question (Braun and Clarke, 2022, p. 78).  </w:t>
      </w:r>
      <w:r w:rsidR="00AC3E03">
        <w:rPr>
          <w:rFonts w:ascii="Arial" w:hAnsi="Arial" w:cs="Arial"/>
        </w:rPr>
        <w:t xml:space="preserve">Braun and Clarke (2022) define a theme as a cluster of codes with a similar </w:t>
      </w:r>
      <w:r w:rsidR="008D6066">
        <w:rPr>
          <w:rFonts w:ascii="Arial" w:hAnsi="Arial" w:cs="Arial"/>
        </w:rPr>
        <w:t>topic</w:t>
      </w:r>
      <w:r w:rsidR="00AC3E03">
        <w:rPr>
          <w:rFonts w:ascii="Arial" w:hAnsi="Arial" w:cs="Arial"/>
        </w:rPr>
        <w:t xml:space="preserve">. </w:t>
      </w:r>
      <w:r w:rsidR="004147F2">
        <w:rPr>
          <w:rFonts w:ascii="Arial" w:hAnsi="Arial" w:cs="Arial"/>
        </w:rPr>
        <w:t>T</w:t>
      </w:r>
      <w:r w:rsidR="00D468A3">
        <w:rPr>
          <w:rFonts w:ascii="Arial" w:hAnsi="Arial" w:cs="Arial"/>
        </w:rPr>
        <w:t>his is known as the fourth step, that involved reviewing the themes in a way that ensures they are supported</w:t>
      </w:r>
      <w:r w:rsidR="00A5790F">
        <w:rPr>
          <w:rFonts w:ascii="Arial" w:hAnsi="Arial" w:cs="Arial"/>
        </w:rPr>
        <w:t xml:space="preserve"> by the raw data (Braun and Clarke, 2022, p. .97). However,</w:t>
      </w:r>
      <w:r w:rsidR="00860D25">
        <w:rPr>
          <w:rFonts w:ascii="Arial" w:hAnsi="Arial" w:cs="Arial"/>
        </w:rPr>
        <w:t xml:space="preserve"> it is </w:t>
      </w:r>
      <w:r w:rsidR="00A5790F">
        <w:rPr>
          <w:rFonts w:ascii="Arial" w:hAnsi="Arial" w:cs="Arial"/>
        </w:rPr>
        <w:t xml:space="preserve">suggested that this step is purely to re-engage with the data and to scope for better pattern development (Braun and Clarke, 2022, p. 97). </w:t>
      </w:r>
      <w:r w:rsidR="004147F2">
        <w:rPr>
          <w:rFonts w:ascii="Arial" w:hAnsi="Arial" w:cs="Arial"/>
        </w:rPr>
        <w:t xml:space="preserve"> </w:t>
      </w:r>
      <w:r w:rsidR="00860D25">
        <w:rPr>
          <w:rFonts w:ascii="Arial" w:hAnsi="Arial" w:cs="Arial"/>
        </w:rPr>
        <w:t xml:space="preserve">During this research, this involved splitting or combining the codes once again, to ensure validity and quality of the data themes (Braun and Clarke, 2022, p.; 97). </w:t>
      </w:r>
    </w:p>
    <w:p w14:paraId="76A9F7AB" w14:textId="1FAAB1C2" w:rsidR="00ED5992" w:rsidRDefault="00ED5992" w:rsidP="00742F0E">
      <w:pPr>
        <w:rPr>
          <w:rFonts w:ascii="Arial" w:hAnsi="Arial" w:cs="Arial"/>
        </w:rPr>
      </w:pPr>
      <w:r>
        <w:rPr>
          <w:rFonts w:ascii="Arial" w:hAnsi="Arial" w:cs="Arial"/>
        </w:rPr>
        <w:t xml:space="preserve">Once confident with the themes, a researcher must define them by clearly articulating and proving a definition of the theme. This is the fifth step. Yet, it is vital that the title of the theme captures the true means of </w:t>
      </w:r>
      <w:r w:rsidR="007F18FE">
        <w:rPr>
          <w:rFonts w:ascii="Arial" w:hAnsi="Arial" w:cs="Arial"/>
        </w:rPr>
        <w:t xml:space="preserve">findings within. </w:t>
      </w:r>
      <w:r>
        <w:rPr>
          <w:rFonts w:ascii="Arial" w:hAnsi="Arial" w:cs="Arial"/>
        </w:rPr>
        <w:t xml:space="preserve">An example of one theme </w:t>
      </w:r>
      <w:r w:rsidR="00D25DB1">
        <w:rPr>
          <w:rFonts w:ascii="Arial" w:hAnsi="Arial" w:cs="Arial"/>
        </w:rPr>
        <w:t>within</w:t>
      </w:r>
      <w:r w:rsidR="00706E01">
        <w:rPr>
          <w:rFonts w:ascii="Arial" w:hAnsi="Arial" w:cs="Arial"/>
        </w:rPr>
        <w:t xml:space="preserve"> this research</w:t>
      </w:r>
      <w:r w:rsidR="00D25DB1">
        <w:rPr>
          <w:rFonts w:ascii="Arial" w:hAnsi="Arial" w:cs="Arial"/>
        </w:rPr>
        <w:t xml:space="preserve"> is “resilience”</w:t>
      </w:r>
      <w:r w:rsidR="00706E01">
        <w:rPr>
          <w:rFonts w:ascii="Arial" w:hAnsi="Arial" w:cs="Arial"/>
        </w:rPr>
        <w:t xml:space="preserve">. This will be explored within the sixth step of the thematic analysis which is writing matters for the analysis. </w:t>
      </w:r>
      <w:r w:rsidR="0098003F">
        <w:rPr>
          <w:rFonts w:ascii="Arial" w:hAnsi="Arial" w:cs="Arial"/>
        </w:rPr>
        <w:t xml:space="preserve">Braun and Clarke (2022) suggest that writing is integral to the process as it is the final opportunity to refine the data and showcase the findings to the audience. </w:t>
      </w:r>
    </w:p>
    <w:p w14:paraId="513E675F" w14:textId="7A94842D" w:rsidR="000E2E7E" w:rsidRPr="00155FEC" w:rsidRDefault="003A39D4" w:rsidP="000E2E7E">
      <w:pPr>
        <w:rPr>
          <w:rFonts w:ascii="Arial" w:hAnsi="Arial" w:cs="Arial"/>
        </w:rPr>
      </w:pPr>
      <w:r>
        <w:rPr>
          <w:rFonts w:ascii="Arial" w:hAnsi="Arial" w:cs="Arial"/>
        </w:rPr>
        <w:t xml:space="preserve">These six steps allowed myself as the researcher to thoroughly engage within the findings, and capture them in isolation, and then draw on them together to identify the themes that provide evidence to support or deny the research question. </w:t>
      </w:r>
      <w:r w:rsidR="007C6F82">
        <w:rPr>
          <w:rFonts w:ascii="Arial" w:hAnsi="Arial" w:cs="Arial"/>
        </w:rPr>
        <w:t xml:space="preserve">This can be considered to increase the credibility of the research findings, as it requires intense engagement and triangulation of findings, to ensure there are direct links with findings and </w:t>
      </w:r>
      <w:r w:rsidR="00962555">
        <w:rPr>
          <w:rFonts w:ascii="Arial" w:hAnsi="Arial" w:cs="Arial"/>
        </w:rPr>
        <w:t xml:space="preserve">the </w:t>
      </w:r>
      <w:r w:rsidR="00512008">
        <w:rPr>
          <w:rFonts w:ascii="Arial" w:hAnsi="Arial" w:cs="Arial"/>
        </w:rPr>
        <w:t>researcher’s</w:t>
      </w:r>
      <w:r w:rsidR="00962555">
        <w:rPr>
          <w:rFonts w:ascii="Arial" w:hAnsi="Arial" w:cs="Arial"/>
        </w:rPr>
        <w:t xml:space="preserve"> interpretation of them (Nowell et al, 2017, p. 3). </w:t>
      </w:r>
      <w:r w:rsidR="007F18FE">
        <w:rPr>
          <w:rFonts w:ascii="Arial" w:hAnsi="Arial" w:cs="Arial"/>
        </w:rPr>
        <w:t>The continuous refining allowed confirmability with regards to my interpretations being clearly derived from the data, and will become clear of how in which conclusions were reached, within the write up section</w:t>
      </w:r>
      <w:r w:rsidR="007C6F82">
        <w:rPr>
          <w:rFonts w:ascii="Arial" w:hAnsi="Arial" w:cs="Arial"/>
        </w:rPr>
        <w:t xml:space="preserve"> that must be clear and concise in order to be deemed dependable</w:t>
      </w:r>
      <w:r w:rsidR="007F18FE" w:rsidRPr="007F18FE">
        <w:rPr>
          <w:rFonts w:ascii="Arial" w:hAnsi="Arial" w:cs="Arial"/>
        </w:rPr>
        <w:t xml:space="preserve"> (</w:t>
      </w:r>
      <w:r w:rsidR="004C1B54">
        <w:rPr>
          <w:rFonts w:ascii="Arial" w:hAnsi="Arial" w:cs="Arial"/>
        </w:rPr>
        <w:t>Nowell, et al, 2017, p. 3</w:t>
      </w:r>
      <w:r w:rsidR="007F18FE" w:rsidRPr="007F18FE">
        <w:rPr>
          <w:rFonts w:ascii="Arial" w:hAnsi="Arial" w:cs="Arial"/>
        </w:rPr>
        <w:t>).</w:t>
      </w:r>
      <w:r w:rsidR="007C6F82">
        <w:rPr>
          <w:rFonts w:ascii="Arial" w:hAnsi="Arial" w:cs="Arial"/>
        </w:rPr>
        <w:t xml:space="preserve"> </w:t>
      </w:r>
      <w:r w:rsidR="00962555">
        <w:rPr>
          <w:rFonts w:ascii="Arial" w:hAnsi="Arial" w:cs="Arial"/>
        </w:rPr>
        <w:t xml:space="preserve">However, issues </w:t>
      </w:r>
      <w:r w:rsidR="00155FEC">
        <w:rPr>
          <w:rFonts w:ascii="Arial" w:hAnsi="Arial" w:cs="Arial"/>
        </w:rPr>
        <w:t xml:space="preserve">with this particular research project can be questioned with regards to its transferability due to the fact that this research was only found in one school in Wales. But, Braun and Clake recognise this, and state that descriptions must be detailed, so further </w:t>
      </w:r>
      <w:r w:rsidR="00155FEC">
        <w:rPr>
          <w:rFonts w:ascii="Arial" w:hAnsi="Arial" w:cs="Arial"/>
        </w:rPr>
        <w:lastRenderedPageBreak/>
        <w:t xml:space="preserve">researchers can judge the transferability. The steps to this approach will be evident within the analysis of findings section. </w:t>
      </w:r>
    </w:p>
    <w:p w14:paraId="2F9DDB97" w14:textId="28BCC55F" w:rsidR="000E2E7E" w:rsidRPr="00C173D6" w:rsidRDefault="000E2E7E" w:rsidP="000E2E7E">
      <w:pPr>
        <w:rPr>
          <w:rFonts w:ascii="Arial" w:hAnsi="Arial" w:cs="Arial"/>
          <w:b/>
          <w:bCs/>
          <w:sz w:val="28"/>
          <w:szCs w:val="28"/>
        </w:rPr>
      </w:pPr>
      <w:r w:rsidRPr="00C173D6">
        <w:rPr>
          <w:rFonts w:ascii="Arial" w:hAnsi="Arial" w:cs="Arial"/>
          <w:b/>
          <w:bCs/>
          <w:sz w:val="28"/>
          <w:szCs w:val="28"/>
        </w:rPr>
        <w:t>Ethical considerations</w:t>
      </w:r>
    </w:p>
    <w:p w14:paraId="533BD87E" w14:textId="6A1EB247" w:rsidR="003A34B2" w:rsidRDefault="002D3A72" w:rsidP="000E2E7E">
      <w:pPr>
        <w:rPr>
          <w:rFonts w:ascii="Arial" w:hAnsi="Arial" w:cs="Arial"/>
        </w:rPr>
      </w:pPr>
      <w:r>
        <w:rPr>
          <w:rFonts w:ascii="Arial" w:hAnsi="Arial" w:cs="Arial"/>
        </w:rPr>
        <w:t xml:space="preserve">As the central part to any research project, ethical guidelines must be followed in order to have a profound and positive influence on education (BERA, 2024). In order to be certain this research project could take </w:t>
      </w:r>
      <w:r w:rsidR="00512008">
        <w:rPr>
          <w:rFonts w:ascii="Arial" w:hAnsi="Arial" w:cs="Arial"/>
        </w:rPr>
        <w:t>place;</w:t>
      </w:r>
      <w:r>
        <w:rPr>
          <w:rFonts w:ascii="Arial" w:hAnsi="Arial" w:cs="Arial"/>
        </w:rPr>
        <w:t xml:space="preserve"> an ethics form was written up expanding on how this project would be carried out ethically for all persons involved</w:t>
      </w:r>
      <w:r w:rsidR="00571717">
        <w:rPr>
          <w:rFonts w:ascii="Arial" w:hAnsi="Arial" w:cs="Arial"/>
        </w:rPr>
        <w:t xml:space="preserve"> (Appendix One)</w:t>
      </w:r>
      <w:r>
        <w:rPr>
          <w:rFonts w:ascii="Arial" w:hAnsi="Arial" w:cs="Arial"/>
        </w:rPr>
        <w:t>. To begin, it was vital to get consent</w:t>
      </w:r>
      <w:r w:rsidR="00BB13B3">
        <w:rPr>
          <w:rFonts w:ascii="Arial" w:hAnsi="Arial" w:cs="Arial"/>
        </w:rPr>
        <w:t xml:space="preserve"> (Appendix Four)</w:t>
      </w:r>
      <w:r>
        <w:rPr>
          <w:rFonts w:ascii="Arial" w:hAnsi="Arial" w:cs="Arial"/>
        </w:rPr>
        <w:t xml:space="preserve"> from the setting in which the research was taken place. </w:t>
      </w:r>
      <w:r w:rsidR="009A0C32">
        <w:rPr>
          <w:rFonts w:ascii="Arial" w:hAnsi="Arial" w:cs="Arial"/>
        </w:rPr>
        <w:t>Also, it was important for the setting to gain an understanding of what the research would entail</w:t>
      </w:r>
      <w:r w:rsidR="00D820D2">
        <w:rPr>
          <w:rFonts w:ascii="Arial" w:hAnsi="Arial" w:cs="Arial"/>
        </w:rPr>
        <w:t xml:space="preserve"> (BERA, 2024)</w:t>
      </w:r>
      <w:r w:rsidR="009A0C32">
        <w:rPr>
          <w:rFonts w:ascii="Arial" w:hAnsi="Arial" w:cs="Arial"/>
        </w:rPr>
        <w:t>. As a result, a research proposal was conducted and sent to the school alongside the consent form</w:t>
      </w:r>
      <w:r w:rsidR="00BB13B3">
        <w:rPr>
          <w:rFonts w:ascii="Arial" w:hAnsi="Arial" w:cs="Arial"/>
        </w:rPr>
        <w:t xml:space="preserve"> (Appendix Four)</w:t>
      </w:r>
      <w:r w:rsidR="009A0C32">
        <w:rPr>
          <w:rFonts w:ascii="Arial" w:hAnsi="Arial" w:cs="Arial"/>
        </w:rPr>
        <w:t>.</w:t>
      </w:r>
      <w:r w:rsidR="00D820D2">
        <w:rPr>
          <w:rFonts w:ascii="Arial" w:hAnsi="Arial" w:cs="Arial"/>
        </w:rPr>
        <w:t xml:space="preserve"> </w:t>
      </w:r>
    </w:p>
    <w:p w14:paraId="2F7F2CCC" w14:textId="35ED24AB" w:rsidR="00163A9C" w:rsidRDefault="003A34B2" w:rsidP="000E2E7E">
      <w:pPr>
        <w:rPr>
          <w:rFonts w:ascii="Arial" w:hAnsi="Arial" w:cs="Arial"/>
        </w:rPr>
      </w:pPr>
      <w:r>
        <w:rPr>
          <w:rFonts w:ascii="Arial" w:hAnsi="Arial" w:cs="Arial"/>
        </w:rPr>
        <w:t>When conducting the teacher interviews, a</w:t>
      </w:r>
      <w:r w:rsidR="00D820D2">
        <w:rPr>
          <w:rFonts w:ascii="Arial" w:hAnsi="Arial" w:cs="Arial"/>
        </w:rPr>
        <w:t>dditional consent forms were provided to the teachers that included all necessarily information; the</w:t>
      </w:r>
      <w:r>
        <w:rPr>
          <w:rFonts w:ascii="Arial" w:hAnsi="Arial" w:cs="Arial"/>
        </w:rPr>
        <w:t xml:space="preserve"> </w:t>
      </w:r>
      <w:r w:rsidR="00D820D2">
        <w:rPr>
          <w:rFonts w:ascii="Arial" w:hAnsi="Arial" w:cs="Arial"/>
        </w:rPr>
        <w:t>right to withdraw, confidentiality, and the purpose of the research</w:t>
      </w:r>
      <w:r w:rsidR="00BB13B3">
        <w:rPr>
          <w:rFonts w:ascii="Arial" w:hAnsi="Arial" w:cs="Arial"/>
        </w:rPr>
        <w:t xml:space="preserve"> (Appendix Two)</w:t>
      </w:r>
      <w:r w:rsidR="00D820D2">
        <w:rPr>
          <w:rFonts w:ascii="Arial" w:hAnsi="Arial" w:cs="Arial"/>
        </w:rPr>
        <w:t xml:space="preserve">. </w:t>
      </w:r>
      <w:r w:rsidR="005E6F6A">
        <w:rPr>
          <w:rFonts w:ascii="Arial" w:hAnsi="Arial" w:cs="Arial"/>
        </w:rPr>
        <w:t>However, due to the nature of in person interviews, it was difficult to maintain anonymity, as myself as the researcher would be aware of their identity</w:t>
      </w:r>
      <w:r w:rsidR="001C4313">
        <w:rPr>
          <w:rFonts w:ascii="Arial" w:hAnsi="Arial" w:cs="Arial"/>
        </w:rPr>
        <w:t xml:space="preserve"> (BERA, 2024)</w:t>
      </w:r>
      <w:r w:rsidR="005E6F6A">
        <w:rPr>
          <w:rFonts w:ascii="Arial" w:hAnsi="Arial" w:cs="Arial"/>
        </w:rPr>
        <w:t xml:space="preserve">. </w:t>
      </w:r>
      <w:r w:rsidR="00D820D2">
        <w:rPr>
          <w:rFonts w:ascii="Arial" w:hAnsi="Arial" w:cs="Arial"/>
        </w:rPr>
        <w:t xml:space="preserve"> </w:t>
      </w:r>
      <w:r w:rsidR="00223F49">
        <w:rPr>
          <w:rFonts w:ascii="Arial" w:hAnsi="Arial" w:cs="Arial"/>
        </w:rPr>
        <w:t>Although, I reassured them of their right to withdraw throughout</w:t>
      </w:r>
      <w:r w:rsidR="00DF078E">
        <w:rPr>
          <w:rFonts w:ascii="Arial" w:hAnsi="Arial" w:cs="Arial"/>
        </w:rPr>
        <w:t xml:space="preserve"> by </w:t>
      </w:r>
      <w:r w:rsidR="000D0967">
        <w:rPr>
          <w:rFonts w:ascii="Arial" w:hAnsi="Arial" w:cs="Arial"/>
        </w:rPr>
        <w:t xml:space="preserve">continuously </w:t>
      </w:r>
      <w:r w:rsidR="00DF078E">
        <w:rPr>
          <w:rFonts w:ascii="Arial" w:hAnsi="Arial" w:cs="Arial"/>
        </w:rPr>
        <w:t>asking them if they were happy to continue</w:t>
      </w:r>
      <w:r w:rsidR="00163A9C">
        <w:rPr>
          <w:rFonts w:ascii="Arial" w:hAnsi="Arial" w:cs="Arial"/>
        </w:rPr>
        <w:t xml:space="preserve">, as well as using numbers rather than names to ensure confidentiality at all times. </w:t>
      </w:r>
    </w:p>
    <w:p w14:paraId="36339FE4" w14:textId="308B1AC6" w:rsidR="003A34B2" w:rsidRDefault="00163A9C" w:rsidP="000E2E7E">
      <w:pPr>
        <w:rPr>
          <w:rFonts w:ascii="Arial" w:hAnsi="Arial" w:cs="Arial"/>
        </w:rPr>
      </w:pPr>
      <w:r>
        <w:rPr>
          <w:rFonts w:ascii="Arial" w:hAnsi="Arial" w:cs="Arial"/>
        </w:rPr>
        <w:t xml:space="preserve">The principles of consent apply the same to children as they do to adults (BERA, 2024). </w:t>
      </w:r>
      <w:r w:rsidR="00501B2C">
        <w:rPr>
          <w:rFonts w:ascii="Arial" w:hAnsi="Arial" w:cs="Arial"/>
        </w:rPr>
        <w:t xml:space="preserve">When conducting the child observations, </w:t>
      </w:r>
      <w:r w:rsidR="001B48AB">
        <w:rPr>
          <w:rFonts w:ascii="Arial" w:hAnsi="Arial" w:cs="Arial"/>
        </w:rPr>
        <w:t>it was important to gain verbal consent form the children</w:t>
      </w:r>
      <w:r w:rsidR="00BB13B3">
        <w:rPr>
          <w:rFonts w:ascii="Arial" w:hAnsi="Arial" w:cs="Arial"/>
        </w:rPr>
        <w:t xml:space="preserve"> (Appendix Three)</w:t>
      </w:r>
      <w:r w:rsidR="001B48AB">
        <w:rPr>
          <w:rFonts w:ascii="Arial" w:hAnsi="Arial" w:cs="Arial"/>
        </w:rPr>
        <w:t>. In order for the children to understand the research, their right to withdraw and their confidentiality, it was important to use child friendly language. Yet, it was essential for the children to understand their assent</w:t>
      </w:r>
      <w:r w:rsidR="00C5200F">
        <w:rPr>
          <w:rFonts w:ascii="Arial" w:hAnsi="Arial" w:cs="Arial"/>
        </w:rPr>
        <w:t xml:space="preserve"> (BERA, 2024)</w:t>
      </w:r>
      <w:r w:rsidR="001B48AB">
        <w:rPr>
          <w:rFonts w:ascii="Arial" w:hAnsi="Arial" w:cs="Arial"/>
        </w:rPr>
        <w:t xml:space="preserve">. To ensure this was the case, it was vital to continue to ask the children if the research could continue, in a way in which they could understand. </w:t>
      </w:r>
      <w:r w:rsidR="00F23046">
        <w:rPr>
          <w:rFonts w:ascii="Arial" w:hAnsi="Arial" w:cs="Arial"/>
        </w:rPr>
        <w:t>As, in order to complete research that has the potential to influence practice, ethical considerations must be made, even more so with children</w:t>
      </w:r>
      <w:r w:rsidR="00571717">
        <w:rPr>
          <w:rFonts w:ascii="Arial" w:hAnsi="Arial" w:cs="Arial"/>
        </w:rPr>
        <w:t xml:space="preserve"> (Appendix One)</w:t>
      </w:r>
      <w:r w:rsidR="00F23046">
        <w:rPr>
          <w:rFonts w:ascii="Arial" w:hAnsi="Arial" w:cs="Arial"/>
        </w:rPr>
        <w:t xml:space="preserve">. </w:t>
      </w:r>
    </w:p>
    <w:p w14:paraId="4AE61B82" w14:textId="4642BC50" w:rsidR="000E2E7E" w:rsidRDefault="000E2E7E" w:rsidP="000E2E7E">
      <w:pPr>
        <w:rPr>
          <w:rFonts w:ascii="Arial" w:hAnsi="Arial" w:cs="Arial"/>
          <w:b/>
          <w:bCs/>
          <w:sz w:val="28"/>
          <w:szCs w:val="28"/>
        </w:rPr>
      </w:pPr>
      <w:r w:rsidRPr="00C173D6">
        <w:rPr>
          <w:rFonts w:ascii="Arial" w:hAnsi="Arial" w:cs="Arial"/>
          <w:b/>
          <w:bCs/>
          <w:sz w:val="28"/>
          <w:szCs w:val="28"/>
        </w:rPr>
        <w:t xml:space="preserve">Findings and </w:t>
      </w:r>
      <w:r w:rsidR="001A3F2E">
        <w:rPr>
          <w:rFonts w:ascii="Arial" w:hAnsi="Arial" w:cs="Arial"/>
          <w:b/>
          <w:bCs/>
          <w:sz w:val="28"/>
          <w:szCs w:val="28"/>
        </w:rPr>
        <w:t>D</w:t>
      </w:r>
      <w:r w:rsidRPr="00C173D6">
        <w:rPr>
          <w:rFonts w:ascii="Arial" w:hAnsi="Arial" w:cs="Arial"/>
          <w:b/>
          <w:bCs/>
          <w:sz w:val="28"/>
          <w:szCs w:val="28"/>
        </w:rPr>
        <w:t>iscussions</w:t>
      </w:r>
    </w:p>
    <w:p w14:paraId="5672A65B" w14:textId="496E8B72" w:rsidR="001A3F2E" w:rsidRPr="001A3F2E" w:rsidRDefault="00842C3D" w:rsidP="000E2E7E">
      <w:pPr>
        <w:rPr>
          <w:rFonts w:ascii="Arial" w:hAnsi="Arial" w:cs="Arial"/>
          <w:i/>
          <w:iCs/>
        </w:rPr>
      </w:pPr>
      <w:r>
        <w:rPr>
          <w:rFonts w:ascii="Arial" w:hAnsi="Arial" w:cs="Arial"/>
          <w:i/>
          <w:iCs/>
        </w:rPr>
        <w:t xml:space="preserve">Engagement due to the Outdoors </w:t>
      </w:r>
      <w:r w:rsidR="001A3F2E" w:rsidRPr="001A3F2E">
        <w:rPr>
          <w:rFonts w:ascii="Arial" w:hAnsi="Arial" w:cs="Arial"/>
          <w:i/>
          <w:iCs/>
        </w:rPr>
        <w:t xml:space="preserve">Masking </w:t>
      </w:r>
      <w:r w:rsidR="001A3F2E">
        <w:rPr>
          <w:rFonts w:ascii="Arial" w:hAnsi="Arial" w:cs="Arial"/>
          <w:i/>
          <w:iCs/>
        </w:rPr>
        <w:t>F</w:t>
      </w:r>
      <w:r w:rsidR="001A3F2E" w:rsidRPr="001A3F2E">
        <w:rPr>
          <w:rFonts w:ascii="Arial" w:hAnsi="Arial" w:cs="Arial"/>
          <w:i/>
          <w:iCs/>
        </w:rPr>
        <w:t xml:space="preserve">ormal </w:t>
      </w:r>
      <w:r w:rsidR="001A3F2E">
        <w:rPr>
          <w:rFonts w:ascii="Arial" w:hAnsi="Arial" w:cs="Arial"/>
          <w:i/>
          <w:iCs/>
        </w:rPr>
        <w:t>Le</w:t>
      </w:r>
      <w:r w:rsidR="001A3F2E" w:rsidRPr="001A3F2E">
        <w:rPr>
          <w:rFonts w:ascii="Arial" w:hAnsi="Arial" w:cs="Arial"/>
          <w:i/>
          <w:iCs/>
        </w:rPr>
        <w:t>arning</w:t>
      </w:r>
    </w:p>
    <w:p w14:paraId="10B7E436" w14:textId="49A327BA" w:rsidR="00842C3D" w:rsidRDefault="00984964" w:rsidP="007B6C88">
      <w:pPr>
        <w:rPr>
          <w:rFonts w:ascii="Arial" w:hAnsi="Arial" w:cs="Arial"/>
        </w:rPr>
      </w:pPr>
      <w:r w:rsidRPr="00C60F83">
        <w:rPr>
          <w:rFonts w:ascii="Arial" w:hAnsi="Arial" w:cs="Arial"/>
        </w:rPr>
        <w:t xml:space="preserve">First and foremost, it is important to discuss the findings with direct relevance to wellbeing and how </w:t>
      </w:r>
      <w:r w:rsidR="002B08CB">
        <w:rPr>
          <w:rFonts w:ascii="Arial" w:hAnsi="Arial" w:cs="Arial"/>
        </w:rPr>
        <w:t xml:space="preserve">one’s mental state </w:t>
      </w:r>
      <w:r w:rsidRPr="00C60F83">
        <w:rPr>
          <w:rFonts w:ascii="Arial" w:hAnsi="Arial" w:cs="Arial"/>
        </w:rPr>
        <w:t>is interconnected to engagement</w:t>
      </w:r>
      <w:r w:rsidR="002B08CB">
        <w:rPr>
          <w:rFonts w:ascii="Arial" w:hAnsi="Arial" w:cs="Arial"/>
        </w:rPr>
        <w:t xml:space="preserve"> when </w:t>
      </w:r>
      <w:r w:rsidR="00842C3D">
        <w:rPr>
          <w:rFonts w:ascii="Arial" w:hAnsi="Arial" w:cs="Arial"/>
        </w:rPr>
        <w:t xml:space="preserve">learning </w:t>
      </w:r>
      <w:r w:rsidR="002B08CB">
        <w:rPr>
          <w:rFonts w:ascii="Arial" w:hAnsi="Arial" w:cs="Arial"/>
        </w:rPr>
        <w:t>in</w:t>
      </w:r>
      <w:r w:rsidRPr="00C60F83">
        <w:rPr>
          <w:rFonts w:ascii="Arial" w:hAnsi="Arial" w:cs="Arial"/>
        </w:rPr>
        <w:t xml:space="preserve"> the outdoor environment. </w:t>
      </w:r>
      <w:r w:rsidR="00762C1E">
        <w:rPr>
          <w:rFonts w:ascii="Arial" w:hAnsi="Arial" w:cs="Arial"/>
        </w:rPr>
        <w:t xml:space="preserve">When applying Braun and Clarke Thematic Analysis, a suggested theme within both the observations and interviews was the level of engagement when children </w:t>
      </w:r>
      <w:r w:rsidR="002B08CB">
        <w:rPr>
          <w:rFonts w:ascii="Arial" w:hAnsi="Arial" w:cs="Arial"/>
        </w:rPr>
        <w:t xml:space="preserve">learn </w:t>
      </w:r>
      <w:r w:rsidR="00762C1E">
        <w:rPr>
          <w:rFonts w:ascii="Arial" w:hAnsi="Arial" w:cs="Arial"/>
        </w:rPr>
        <w:t>within the outdoor environment.</w:t>
      </w:r>
      <w:r w:rsidR="004D791B">
        <w:rPr>
          <w:rFonts w:ascii="Arial" w:hAnsi="Arial" w:cs="Arial"/>
        </w:rPr>
        <w:t xml:space="preserve"> </w:t>
      </w:r>
      <w:r w:rsidR="002B08CB">
        <w:rPr>
          <w:rFonts w:ascii="Arial" w:hAnsi="Arial" w:cs="Arial"/>
        </w:rPr>
        <w:t xml:space="preserve">However, when researching into why this could be the case, it was suggested that children can independently use the outdoor environment by expressing themselves, which develops skills. </w:t>
      </w:r>
      <w:r w:rsidR="004D791B">
        <w:rPr>
          <w:rFonts w:ascii="Arial" w:hAnsi="Arial" w:cs="Arial"/>
        </w:rPr>
        <w:t xml:space="preserve">Interestingly, this linked to the implied ideology of the outdoor </w:t>
      </w:r>
      <w:r w:rsidR="004D791B">
        <w:rPr>
          <w:rFonts w:ascii="Arial" w:hAnsi="Arial" w:cs="Arial"/>
        </w:rPr>
        <w:lastRenderedPageBreak/>
        <w:t xml:space="preserve">environment masking formal learning. </w:t>
      </w:r>
      <w:r w:rsidR="002B08CB">
        <w:rPr>
          <w:rFonts w:ascii="Arial" w:hAnsi="Arial" w:cs="Arial"/>
        </w:rPr>
        <w:t>In that, children do not necessarily feel as if they are learning or developing skills when learning outdoors, as it masks the formal aspec</w:t>
      </w:r>
      <w:r w:rsidR="00842C3D">
        <w:rPr>
          <w:rFonts w:ascii="Arial" w:hAnsi="Arial" w:cs="Arial"/>
        </w:rPr>
        <w:t>t common when learning in the classroom</w:t>
      </w:r>
      <w:r w:rsidR="002B08CB">
        <w:rPr>
          <w:rFonts w:ascii="Arial" w:hAnsi="Arial" w:cs="Arial"/>
        </w:rPr>
        <w:t xml:space="preserve">. </w:t>
      </w:r>
      <w:r w:rsidR="00AA6E67">
        <w:rPr>
          <w:rFonts w:ascii="Arial" w:hAnsi="Arial" w:cs="Arial"/>
        </w:rPr>
        <w:t>Thus,</w:t>
      </w:r>
      <w:r w:rsidR="00842C3D">
        <w:rPr>
          <w:rFonts w:ascii="Arial" w:hAnsi="Arial" w:cs="Arial"/>
        </w:rPr>
        <w:t xml:space="preserve"> is in further support of evidence beyond the findings of this experiment as it is suggested that the unstructured nature of outdoor learning promote a child’s motivation to succeed (Estyn, 2023a). </w:t>
      </w:r>
      <w:r w:rsidR="009A383A">
        <w:rPr>
          <w:rFonts w:ascii="Arial" w:hAnsi="Arial" w:cs="Arial"/>
        </w:rPr>
        <w:t xml:space="preserve">In addition to this, </w:t>
      </w:r>
      <w:r w:rsidR="00842C3D">
        <w:rPr>
          <w:rFonts w:ascii="Arial" w:hAnsi="Arial" w:cs="Arial"/>
        </w:rPr>
        <w:t xml:space="preserve">most participants argue that children are simply happier to engage in the outdoor environment, and can get rather excited when doing so. Previous evidence suggests that happiness is a contributing factor to enhancing wellbeing </w:t>
      </w:r>
      <w:r w:rsidR="00FE454C">
        <w:rPr>
          <w:rFonts w:ascii="Arial" w:hAnsi="Arial" w:cs="Arial"/>
        </w:rPr>
        <w:t>(Public Health Wales, 2019)</w:t>
      </w:r>
      <w:r w:rsidR="00842C3D">
        <w:rPr>
          <w:rFonts w:ascii="Arial" w:hAnsi="Arial" w:cs="Arial"/>
        </w:rPr>
        <w:t xml:space="preserve"> and the Welsh Government (2020) state that positive wellbeing plays a vital role in increasing engagement in learning. Therefore, the findings imply that the connection between engagement and wellbeing is prominent because when children are given the opportunity to learn outdoors, it can increase their happiness, independence and ability to be and feel free</w:t>
      </w:r>
      <w:r w:rsidR="00C7109C">
        <w:rPr>
          <w:rFonts w:ascii="Arial" w:hAnsi="Arial" w:cs="Arial"/>
        </w:rPr>
        <w:t>. Arguably i</w:t>
      </w:r>
      <w:r w:rsidR="00842C3D">
        <w:rPr>
          <w:rFonts w:ascii="Arial" w:hAnsi="Arial" w:cs="Arial"/>
        </w:rPr>
        <w:t>ncreasing their engagement and motivation to succeed in their development</w:t>
      </w:r>
      <w:r w:rsidR="00226E6A">
        <w:rPr>
          <w:rFonts w:ascii="Arial" w:hAnsi="Arial" w:cs="Arial"/>
        </w:rPr>
        <w:t xml:space="preserve">. Teachers suggest that one reason to this could be as the formal learning is masked by the environment of the outdoors. </w:t>
      </w:r>
    </w:p>
    <w:p w14:paraId="3C204FAC" w14:textId="32E5B184" w:rsidR="001A3F2E" w:rsidRPr="001A3F2E" w:rsidRDefault="001A3F2E" w:rsidP="000E2E7E">
      <w:pPr>
        <w:rPr>
          <w:rFonts w:ascii="Arial" w:hAnsi="Arial" w:cs="Arial"/>
          <w:i/>
          <w:iCs/>
        </w:rPr>
      </w:pPr>
      <w:r w:rsidRPr="001A3F2E">
        <w:rPr>
          <w:rFonts w:ascii="Arial" w:hAnsi="Arial" w:cs="Arial"/>
          <w:i/>
          <w:iCs/>
        </w:rPr>
        <w:t>External Barriers</w:t>
      </w:r>
      <w:r w:rsidR="005A046C">
        <w:rPr>
          <w:rFonts w:ascii="Arial" w:hAnsi="Arial" w:cs="Arial"/>
          <w:i/>
          <w:iCs/>
        </w:rPr>
        <w:t xml:space="preserve"> </w:t>
      </w:r>
    </w:p>
    <w:p w14:paraId="04C4E632" w14:textId="04DEE5E1" w:rsidR="00D41230" w:rsidRDefault="006F4AEE" w:rsidP="000E2E7E">
      <w:pPr>
        <w:rPr>
          <w:rFonts w:ascii="Arial" w:hAnsi="Arial" w:cs="Arial"/>
        </w:rPr>
      </w:pPr>
      <w:r>
        <w:rPr>
          <w:rFonts w:ascii="Arial" w:hAnsi="Arial" w:cs="Arial"/>
        </w:rPr>
        <w:t xml:space="preserve">Interestingly, findings suggested that teacher’s </w:t>
      </w:r>
      <w:r w:rsidR="007F35F1">
        <w:rPr>
          <w:rFonts w:ascii="Arial" w:hAnsi="Arial" w:cs="Arial"/>
        </w:rPr>
        <w:t xml:space="preserve">do not always wish to use the outdoors due to external barriers beyond their control; so, if outdoor learning is completed, it isn’t necessarily in a way that benefits </w:t>
      </w:r>
      <w:r w:rsidR="00C24A9E">
        <w:rPr>
          <w:rFonts w:ascii="Arial" w:hAnsi="Arial" w:cs="Arial"/>
        </w:rPr>
        <w:t xml:space="preserve">the </w:t>
      </w:r>
      <w:r w:rsidR="007F35F1">
        <w:rPr>
          <w:rFonts w:ascii="Arial" w:hAnsi="Arial" w:cs="Arial"/>
        </w:rPr>
        <w:t>wellbeing and engagement</w:t>
      </w:r>
      <w:r w:rsidR="00C24A9E">
        <w:rPr>
          <w:rFonts w:ascii="Arial" w:hAnsi="Arial" w:cs="Arial"/>
        </w:rPr>
        <w:t xml:space="preserve"> of children</w:t>
      </w:r>
      <w:r w:rsidR="007F35F1">
        <w:rPr>
          <w:rFonts w:ascii="Arial" w:hAnsi="Arial" w:cs="Arial"/>
        </w:rPr>
        <w:t xml:space="preserve">. </w:t>
      </w:r>
      <w:r w:rsidR="00C24A9E">
        <w:rPr>
          <w:rFonts w:ascii="Arial" w:hAnsi="Arial" w:cs="Arial"/>
        </w:rPr>
        <w:t>T</w:t>
      </w:r>
      <w:r w:rsidR="00C24A9E">
        <w:rPr>
          <w:rFonts w:ascii="Arial" w:hAnsi="Arial" w:cs="Arial"/>
        </w:rPr>
        <w:t xml:space="preserve">he common theme suggested that </w:t>
      </w:r>
      <w:r w:rsidR="00C24A9E">
        <w:rPr>
          <w:rFonts w:ascii="Arial" w:hAnsi="Arial" w:cs="Arial"/>
        </w:rPr>
        <w:t xml:space="preserve">this is due to </w:t>
      </w:r>
      <w:r w:rsidR="00C24A9E">
        <w:rPr>
          <w:rFonts w:ascii="Arial" w:hAnsi="Arial" w:cs="Arial"/>
        </w:rPr>
        <w:t>staff often us</w:t>
      </w:r>
      <w:r w:rsidR="00C24A9E">
        <w:rPr>
          <w:rFonts w:ascii="Arial" w:hAnsi="Arial" w:cs="Arial"/>
        </w:rPr>
        <w:t>ing</w:t>
      </w:r>
      <w:r w:rsidR="00C24A9E">
        <w:rPr>
          <w:rFonts w:ascii="Arial" w:hAnsi="Arial" w:cs="Arial"/>
        </w:rPr>
        <w:t xml:space="preserve"> the outdoors as a ‘tick box’ just to show they have included it within their weekly timetable.</w:t>
      </w:r>
      <w:r w:rsidR="00CA5052">
        <w:rPr>
          <w:rFonts w:ascii="Arial" w:hAnsi="Arial" w:cs="Arial"/>
        </w:rPr>
        <w:t xml:space="preserve"> </w:t>
      </w:r>
      <w:r w:rsidR="00AA6E67">
        <w:rPr>
          <w:rFonts w:ascii="Arial" w:hAnsi="Arial" w:cs="Arial"/>
        </w:rPr>
        <w:t>Thus,</w:t>
      </w:r>
      <w:r w:rsidR="00CA5052">
        <w:rPr>
          <w:rFonts w:ascii="Arial" w:hAnsi="Arial" w:cs="Arial"/>
        </w:rPr>
        <w:t xml:space="preserve"> supporting the view that despite teachers understanding the benefits of outdoor learning, the barriers interrupt the potential it can have on children </w:t>
      </w:r>
      <w:r w:rsidR="00CA5052" w:rsidRPr="0027765D">
        <w:rPr>
          <w:rFonts w:ascii="Arial" w:hAnsi="Arial" w:cs="Arial"/>
        </w:rPr>
        <w:t>(Marchant et al, 2019, p.9).</w:t>
      </w:r>
      <w:r w:rsidR="00224E6F">
        <w:rPr>
          <w:rFonts w:ascii="Arial" w:hAnsi="Arial" w:cs="Arial"/>
        </w:rPr>
        <w:t xml:space="preserve"> </w:t>
      </w:r>
    </w:p>
    <w:p w14:paraId="26759045" w14:textId="7E0DD377" w:rsidR="00D41230" w:rsidRDefault="00AF3F20" w:rsidP="000E2E7E">
      <w:pPr>
        <w:rPr>
          <w:rFonts w:ascii="Arial" w:hAnsi="Arial" w:cs="Arial"/>
        </w:rPr>
      </w:pPr>
      <w:r>
        <w:rPr>
          <w:rFonts w:ascii="Arial" w:hAnsi="Arial" w:cs="Arial"/>
        </w:rPr>
        <w:t>One of t</w:t>
      </w:r>
      <w:r w:rsidR="00224E6F">
        <w:rPr>
          <w:rFonts w:ascii="Arial" w:hAnsi="Arial" w:cs="Arial"/>
        </w:rPr>
        <w:t>hese barriers w</w:t>
      </w:r>
      <w:r>
        <w:rPr>
          <w:rFonts w:ascii="Arial" w:hAnsi="Arial" w:cs="Arial"/>
        </w:rPr>
        <w:t>as</w:t>
      </w:r>
      <w:r w:rsidR="00224E6F">
        <w:rPr>
          <w:rFonts w:ascii="Arial" w:hAnsi="Arial" w:cs="Arial"/>
        </w:rPr>
        <w:t xml:space="preserve"> </w:t>
      </w:r>
      <w:r>
        <w:rPr>
          <w:rFonts w:ascii="Arial" w:hAnsi="Arial" w:cs="Arial"/>
        </w:rPr>
        <w:t xml:space="preserve">suggested </w:t>
      </w:r>
      <w:r w:rsidR="00224E6F">
        <w:rPr>
          <w:rFonts w:ascii="Arial" w:hAnsi="Arial" w:cs="Arial"/>
        </w:rPr>
        <w:t xml:space="preserve">to be weather. Interestingly, the outdoor learning handbook suggests that </w:t>
      </w:r>
      <w:r w:rsidR="00BC1745">
        <w:rPr>
          <w:rFonts w:ascii="Arial" w:hAnsi="Arial" w:cs="Arial"/>
        </w:rPr>
        <w:t xml:space="preserve">learning in the outdoors should take place regardless of the weather, as it can result in even more </w:t>
      </w:r>
      <w:r>
        <w:rPr>
          <w:rFonts w:ascii="Arial" w:hAnsi="Arial" w:cs="Arial"/>
        </w:rPr>
        <w:t xml:space="preserve">rich </w:t>
      </w:r>
      <w:r w:rsidR="00BC1745">
        <w:rPr>
          <w:rFonts w:ascii="Arial" w:hAnsi="Arial" w:cs="Arial"/>
        </w:rPr>
        <w:t>learning opportunities for children (</w:t>
      </w:r>
      <w:r w:rsidR="00C26150">
        <w:rPr>
          <w:rFonts w:ascii="Arial" w:hAnsi="Arial" w:cs="Arial"/>
        </w:rPr>
        <w:t>Welsh Assembly Government, 2009</w:t>
      </w:r>
      <w:r w:rsidR="00BC1745">
        <w:rPr>
          <w:rFonts w:ascii="Arial" w:hAnsi="Arial" w:cs="Arial"/>
        </w:rPr>
        <w:t>). However, findings suggest that it is not directly the weather that becomes a barrier; rather than the time it takes for the children to be dressed in the appropriate weather gear, and then back into the uniform after</w:t>
      </w:r>
      <w:r>
        <w:rPr>
          <w:rFonts w:ascii="Arial" w:hAnsi="Arial" w:cs="Arial"/>
        </w:rPr>
        <w:t xml:space="preserve"> the session</w:t>
      </w:r>
      <w:r w:rsidR="00BC1745">
        <w:rPr>
          <w:rFonts w:ascii="Arial" w:hAnsi="Arial" w:cs="Arial"/>
        </w:rPr>
        <w:t>.</w:t>
      </w:r>
      <w:r>
        <w:rPr>
          <w:rFonts w:ascii="Arial" w:hAnsi="Arial" w:cs="Arial"/>
        </w:rPr>
        <w:t xml:space="preserve"> Notably, this can be seen to </w:t>
      </w:r>
      <w:r w:rsidR="00BC1745">
        <w:rPr>
          <w:rFonts w:ascii="Arial" w:hAnsi="Arial" w:cs="Arial"/>
        </w:rPr>
        <w:t>take away valuable learning time when preparing to use the outdoors</w:t>
      </w:r>
      <w:r w:rsidR="00736DC0">
        <w:rPr>
          <w:rFonts w:ascii="Arial" w:hAnsi="Arial" w:cs="Arial"/>
        </w:rPr>
        <w:t xml:space="preserve"> </w:t>
      </w:r>
      <w:r w:rsidR="00736DC0">
        <w:rPr>
          <w:rFonts w:ascii="Arial" w:hAnsi="Arial" w:cs="Arial"/>
        </w:rPr>
        <w:t>(Patchen et al, 2022, p.29)</w:t>
      </w:r>
      <w:r w:rsidR="00BC1745">
        <w:rPr>
          <w:rFonts w:ascii="Arial" w:hAnsi="Arial" w:cs="Arial"/>
        </w:rPr>
        <w:t xml:space="preserve">. </w:t>
      </w:r>
      <w:r w:rsidR="00736DC0">
        <w:rPr>
          <w:rFonts w:ascii="Arial" w:hAnsi="Arial" w:cs="Arial"/>
        </w:rPr>
        <w:t xml:space="preserve">Additional barriers such as behaviour and staffing </w:t>
      </w:r>
      <w:r w:rsidR="00736DC0">
        <w:rPr>
          <w:rFonts w:ascii="Arial" w:hAnsi="Arial" w:cs="Arial"/>
        </w:rPr>
        <w:t xml:space="preserve">were mentioned also, that can </w:t>
      </w:r>
      <w:r w:rsidR="00736DC0">
        <w:rPr>
          <w:rFonts w:ascii="Arial" w:hAnsi="Arial" w:cs="Arial"/>
        </w:rPr>
        <w:t>make the environment difficult to manage, and learning can be lost within.</w:t>
      </w:r>
      <w:r w:rsidR="00736DC0">
        <w:rPr>
          <w:rFonts w:ascii="Arial" w:hAnsi="Arial" w:cs="Arial"/>
        </w:rPr>
        <w:t xml:space="preserve"> This raises questions to whether managing the indoor environment is easier, resulting in less time spent outdoors. </w:t>
      </w:r>
      <w:r w:rsidR="0012339F">
        <w:rPr>
          <w:rFonts w:ascii="Arial" w:hAnsi="Arial" w:cs="Arial"/>
        </w:rPr>
        <w:t>Therefore,</w:t>
      </w:r>
      <w:r w:rsidR="00736DC0">
        <w:rPr>
          <w:rFonts w:ascii="Arial" w:hAnsi="Arial" w:cs="Arial"/>
        </w:rPr>
        <w:t xml:space="preserve"> evidence suggests that </w:t>
      </w:r>
      <w:r w:rsidR="003A77F8">
        <w:rPr>
          <w:rFonts w:ascii="Arial" w:hAnsi="Arial" w:cs="Arial"/>
        </w:rPr>
        <w:t>perhaps outdoor learning does not take priority over other requirements due to the external barriers</w:t>
      </w:r>
      <w:r w:rsidR="00736DC0">
        <w:rPr>
          <w:rFonts w:ascii="Arial" w:hAnsi="Arial" w:cs="Arial"/>
        </w:rPr>
        <w:t xml:space="preserve">. </w:t>
      </w:r>
    </w:p>
    <w:p w14:paraId="5A0C4CE8" w14:textId="77777777" w:rsidR="00D41230" w:rsidRDefault="00D41230" w:rsidP="00D41230">
      <w:pPr>
        <w:rPr>
          <w:rFonts w:ascii="Arial" w:hAnsi="Arial" w:cs="Arial"/>
          <w:i/>
          <w:iCs/>
        </w:rPr>
      </w:pPr>
      <w:r>
        <w:rPr>
          <w:rFonts w:ascii="Arial" w:hAnsi="Arial" w:cs="Arial"/>
          <w:i/>
          <w:iCs/>
        </w:rPr>
        <w:t>Resilience</w:t>
      </w:r>
    </w:p>
    <w:p w14:paraId="7618D660" w14:textId="2F7D262B" w:rsidR="009A383A" w:rsidRDefault="00A8728C" w:rsidP="000E2E7E">
      <w:pPr>
        <w:rPr>
          <w:rFonts w:ascii="Arial" w:hAnsi="Arial" w:cs="Arial"/>
        </w:rPr>
      </w:pPr>
      <w:r>
        <w:rPr>
          <w:rFonts w:ascii="Arial" w:hAnsi="Arial" w:cs="Arial"/>
        </w:rPr>
        <w:t xml:space="preserve">A word commonly used with the Curriculum for Wales is resilience, another theme found within the findings of this research. </w:t>
      </w:r>
      <w:r w:rsidR="00D5544A">
        <w:rPr>
          <w:rFonts w:ascii="Arial" w:hAnsi="Arial" w:cs="Arial"/>
        </w:rPr>
        <w:t xml:space="preserve">Although this is not a theme commonly </w:t>
      </w:r>
      <w:r w:rsidR="00D5544A">
        <w:rPr>
          <w:rFonts w:ascii="Arial" w:hAnsi="Arial" w:cs="Arial"/>
        </w:rPr>
        <w:lastRenderedPageBreak/>
        <w:t xml:space="preserve">mentioned within literature, it was popular within this research. </w:t>
      </w:r>
      <w:r w:rsidR="00C87CB8">
        <w:rPr>
          <w:rFonts w:ascii="Arial" w:hAnsi="Arial" w:cs="Arial"/>
        </w:rPr>
        <w:t xml:space="preserve">Resilience is a term used to describe </w:t>
      </w:r>
      <w:r w:rsidR="00AA6E67">
        <w:rPr>
          <w:rFonts w:ascii="Arial" w:hAnsi="Arial" w:cs="Arial"/>
        </w:rPr>
        <w:t>one’s</w:t>
      </w:r>
      <w:r w:rsidR="00C87CB8">
        <w:rPr>
          <w:rFonts w:ascii="Arial" w:hAnsi="Arial" w:cs="Arial"/>
        </w:rPr>
        <w:t xml:space="preserve"> ability to overcome stress and challenges </w:t>
      </w:r>
      <w:r w:rsidR="00FE454C">
        <w:rPr>
          <w:rFonts w:ascii="Arial" w:hAnsi="Arial" w:cs="Arial"/>
        </w:rPr>
        <w:t>(Public Health Wales, 2019)</w:t>
      </w:r>
      <w:r w:rsidR="00C87CB8">
        <w:rPr>
          <w:rFonts w:ascii="Arial" w:hAnsi="Arial" w:cs="Arial"/>
        </w:rPr>
        <w:t xml:space="preserve"> </w:t>
      </w:r>
      <w:r w:rsidR="00134F9B">
        <w:rPr>
          <w:rFonts w:ascii="Arial" w:hAnsi="Arial" w:cs="Arial"/>
        </w:rPr>
        <w:t>Interestingly, when observing children in the outdoors, one child had fallen and had an unkempt appearance as a result, due to the poor weather. However, the child continued to engage in the outdoor learning activities with peers. In addition to this, the interviews supported this as teachers stated that children can be so excited when outside that they become more resilient</w:t>
      </w:r>
      <w:r w:rsidR="00031C8B">
        <w:rPr>
          <w:rFonts w:ascii="Arial" w:hAnsi="Arial" w:cs="Arial"/>
        </w:rPr>
        <w:t xml:space="preserve">. </w:t>
      </w:r>
      <w:r w:rsidR="006C34E9">
        <w:rPr>
          <w:rFonts w:ascii="Arial" w:hAnsi="Arial" w:cs="Arial"/>
        </w:rPr>
        <w:t xml:space="preserve">Notably, Gray (2019) suggests that psychological resilience and </w:t>
      </w:r>
      <w:r w:rsidR="00AA6E67">
        <w:rPr>
          <w:rFonts w:ascii="Arial" w:hAnsi="Arial" w:cs="Arial"/>
        </w:rPr>
        <w:t>one’s</w:t>
      </w:r>
      <w:r w:rsidR="006C34E9">
        <w:rPr>
          <w:rFonts w:ascii="Arial" w:hAnsi="Arial" w:cs="Arial"/>
        </w:rPr>
        <w:t xml:space="preserve"> ability to ‘bounce back’ from challenges significantly contributes to wellbeing</w:t>
      </w:r>
      <w:r w:rsidR="005255B5">
        <w:rPr>
          <w:rFonts w:ascii="Arial" w:hAnsi="Arial" w:cs="Arial"/>
        </w:rPr>
        <w:t xml:space="preserve"> (Gray, 2019, p. 67</w:t>
      </w:r>
      <w:r w:rsidR="00AA6E67">
        <w:rPr>
          <w:rFonts w:ascii="Arial" w:hAnsi="Arial" w:cs="Arial"/>
        </w:rPr>
        <w:t>).</w:t>
      </w:r>
      <w:r w:rsidR="006C34E9">
        <w:rPr>
          <w:rFonts w:ascii="Arial" w:hAnsi="Arial" w:cs="Arial"/>
        </w:rPr>
        <w:t xml:space="preserve"> </w:t>
      </w:r>
      <w:r w:rsidR="00AA6E67">
        <w:rPr>
          <w:rFonts w:ascii="Arial" w:hAnsi="Arial" w:cs="Arial"/>
        </w:rPr>
        <w:t>Thus,</w:t>
      </w:r>
      <w:r w:rsidR="00962C03">
        <w:rPr>
          <w:rFonts w:ascii="Arial" w:hAnsi="Arial" w:cs="Arial"/>
        </w:rPr>
        <w:t xml:space="preserve"> suggesting that not only is resilience more prevalent outdoors due to enthusiasm and arguably engagement, but it contributes to positive wellbeing. As a result, suggesting further evidence that wellbeing and engagement are inter connected</w:t>
      </w:r>
      <w:r w:rsidR="005A7924">
        <w:rPr>
          <w:rFonts w:ascii="Arial" w:hAnsi="Arial" w:cs="Arial"/>
        </w:rPr>
        <w:t xml:space="preserve">, especially when learning outdoors. </w:t>
      </w:r>
    </w:p>
    <w:p w14:paraId="697C4F6E" w14:textId="2071F6F8" w:rsidR="000E2E7E" w:rsidRDefault="000E2E7E" w:rsidP="000E2E7E">
      <w:pPr>
        <w:rPr>
          <w:rFonts w:ascii="Arial" w:hAnsi="Arial" w:cs="Arial"/>
          <w:b/>
          <w:bCs/>
          <w:sz w:val="28"/>
          <w:szCs w:val="28"/>
        </w:rPr>
      </w:pPr>
      <w:r w:rsidRPr="00C173D6">
        <w:rPr>
          <w:rFonts w:ascii="Arial" w:hAnsi="Arial" w:cs="Arial"/>
          <w:b/>
          <w:bCs/>
          <w:sz w:val="28"/>
          <w:szCs w:val="28"/>
        </w:rPr>
        <w:t>Conclusions</w:t>
      </w:r>
      <w:r w:rsidR="007B728B">
        <w:rPr>
          <w:rFonts w:ascii="Arial" w:hAnsi="Arial" w:cs="Arial"/>
          <w:b/>
          <w:bCs/>
          <w:sz w:val="28"/>
          <w:szCs w:val="28"/>
        </w:rPr>
        <w:t xml:space="preserve"> and Recommendations</w:t>
      </w:r>
    </w:p>
    <w:p w14:paraId="58290783" w14:textId="216A3A11" w:rsidR="00E636B4" w:rsidRDefault="002344FF" w:rsidP="00E636B4">
      <w:pPr>
        <w:rPr>
          <w:rFonts w:ascii="Arial" w:hAnsi="Arial" w:cs="Arial"/>
        </w:rPr>
      </w:pPr>
      <w:r>
        <w:rPr>
          <w:rFonts w:ascii="Arial" w:hAnsi="Arial" w:cs="Arial"/>
        </w:rPr>
        <w:t xml:space="preserve">To conclude, it is fair to mention the effects that outdoor learning can have on </w:t>
      </w:r>
      <w:r w:rsidR="00AA6E67">
        <w:rPr>
          <w:rFonts w:ascii="Arial" w:hAnsi="Arial" w:cs="Arial"/>
        </w:rPr>
        <w:t>one’s</w:t>
      </w:r>
      <w:r>
        <w:rPr>
          <w:rFonts w:ascii="Arial" w:hAnsi="Arial" w:cs="Arial"/>
        </w:rPr>
        <w:t xml:space="preserve"> wellbeing with direct links to engagement. In a world with increasing pressures to develop positive wellbeing habits, outdoor learning has the potential to become a crucial part of learning but not only for development, but for wellbeing</w:t>
      </w:r>
      <w:r w:rsidR="00E636B4">
        <w:rPr>
          <w:rFonts w:ascii="Arial" w:hAnsi="Arial" w:cs="Arial"/>
        </w:rPr>
        <w:t>. However,</w:t>
      </w:r>
      <w:r w:rsidR="00536E54">
        <w:rPr>
          <w:rFonts w:ascii="Arial" w:hAnsi="Arial" w:cs="Arial"/>
        </w:rPr>
        <w:t xml:space="preserve"> it </w:t>
      </w:r>
      <w:r w:rsidR="00E636B4">
        <w:rPr>
          <w:rFonts w:ascii="Arial" w:hAnsi="Arial" w:cs="Arial"/>
        </w:rPr>
        <w:t xml:space="preserve">is important to </w:t>
      </w:r>
      <w:r w:rsidR="00536E54">
        <w:rPr>
          <w:rFonts w:ascii="Arial" w:hAnsi="Arial" w:cs="Arial"/>
        </w:rPr>
        <w:t xml:space="preserve">acknowledge the barriers that staff and some children can face when being in the outdoor environment. </w:t>
      </w:r>
    </w:p>
    <w:p w14:paraId="75AED320" w14:textId="32C9B783" w:rsidR="000E2E7E" w:rsidRPr="00E636B4" w:rsidRDefault="00E636B4" w:rsidP="000E2E7E">
      <w:pPr>
        <w:rPr>
          <w:rFonts w:ascii="Arial" w:hAnsi="Arial" w:cs="Arial"/>
        </w:rPr>
      </w:pPr>
      <w:r>
        <w:rPr>
          <w:rFonts w:ascii="Arial" w:hAnsi="Arial" w:cs="Arial"/>
        </w:rPr>
        <w:t xml:space="preserve">Yet, as a developing practitioner in an enquiring profession, it is important to consider the means of carrying out this research. As previously </w:t>
      </w:r>
      <w:r w:rsidR="0012339F">
        <w:rPr>
          <w:rFonts w:ascii="Arial" w:hAnsi="Arial" w:cs="Arial"/>
        </w:rPr>
        <w:t>mentioned,</w:t>
      </w:r>
      <w:r>
        <w:rPr>
          <w:rFonts w:ascii="Arial" w:hAnsi="Arial" w:cs="Arial"/>
        </w:rPr>
        <w:t xml:space="preserve"> there are often challenges with research </w:t>
      </w:r>
      <w:r>
        <w:rPr>
          <w:rFonts w:ascii="Arial" w:hAnsi="Arial" w:cs="Arial"/>
        </w:rPr>
        <w:t>(Bell and Waters, 2018, p. 18</w:t>
      </w:r>
      <w:r>
        <w:rPr>
          <w:rFonts w:ascii="Arial" w:hAnsi="Arial" w:cs="Arial"/>
        </w:rPr>
        <w:t xml:space="preserve">), however, it can be argued that relevant and influential findings were found from the use of interviews and observations. I would argue that one of the challenges faced when carrying out this research occurred when carrying out some of the teacher interviews, as they were busy with other responsibilities, so perhaps gave shorter answers. Furthermore, due to the study only being conducted in one school, it can be difficult to generalise its findings as other attributes of the school would have to be taken into consideration </w:t>
      </w:r>
      <w:r w:rsidR="00437624">
        <w:rPr>
          <w:rFonts w:ascii="Arial" w:hAnsi="Arial" w:cs="Arial"/>
        </w:rPr>
        <w:t>(Denscombe, 2010, p. 61).</w:t>
      </w:r>
      <w:r w:rsidR="00437624">
        <w:rPr>
          <w:rFonts w:ascii="Arial" w:hAnsi="Arial" w:cs="Arial"/>
        </w:rPr>
        <w:t xml:space="preserve"> On the other hand, considering some of the findings were supported by literature, it arguably does make some findings generalisable</w:t>
      </w:r>
      <w:r w:rsidR="00437624">
        <w:rPr>
          <w:rFonts w:ascii="Arial" w:hAnsi="Arial" w:cs="Arial"/>
        </w:rPr>
        <w:t xml:space="preserve"> (Bassey, 1981, p. 85).</w:t>
      </w:r>
      <w:r w:rsidR="00437624">
        <w:rPr>
          <w:rFonts w:ascii="Arial" w:hAnsi="Arial" w:cs="Arial"/>
        </w:rPr>
        <w:t xml:space="preserve"> However, i</w:t>
      </w:r>
      <w:r>
        <w:rPr>
          <w:rFonts w:ascii="Arial" w:hAnsi="Arial" w:cs="Arial"/>
        </w:rPr>
        <w:t xml:space="preserve">f I were to complete this research again, I would consider the use of child interviews to get their </w:t>
      </w:r>
      <w:r w:rsidR="00EF2FB8">
        <w:rPr>
          <w:rFonts w:ascii="Arial" w:hAnsi="Arial" w:cs="Arial"/>
        </w:rPr>
        <w:t xml:space="preserve">personal and </w:t>
      </w:r>
      <w:r w:rsidR="00437624">
        <w:rPr>
          <w:rFonts w:ascii="Arial" w:hAnsi="Arial" w:cs="Arial"/>
        </w:rPr>
        <w:t xml:space="preserve">subjective experiences of learning outdoors (Moir and Kwansa, 2000, p. 113). </w:t>
      </w:r>
    </w:p>
    <w:p w14:paraId="03426D74" w14:textId="77777777" w:rsidR="00E636B4" w:rsidRDefault="00E636B4" w:rsidP="00E636B4">
      <w:pPr>
        <w:rPr>
          <w:rFonts w:ascii="Arial" w:hAnsi="Arial" w:cs="Arial"/>
        </w:rPr>
      </w:pPr>
      <w:r>
        <w:rPr>
          <w:rFonts w:ascii="Arial" w:hAnsi="Arial" w:cs="Arial"/>
        </w:rPr>
        <w:t xml:space="preserve">In light of this, it would be necessary to consider future recommendations for my future practice and schools in Wales. Arguably it is vital for outdoor learning to be a priority of the school, so all staff members have the appropriate training and understanding of learning in the outdoors. With this considered, it could be necessary for teachers to participate in training that considers the importance of including outdoor learning in practice, as a regular activity within a weekly routine. As a result, it could be hopeful that barriers can be reduced, as practitioners can </w:t>
      </w:r>
      <w:r>
        <w:rPr>
          <w:rFonts w:ascii="Arial" w:hAnsi="Arial" w:cs="Arial"/>
        </w:rPr>
        <w:lastRenderedPageBreak/>
        <w:t xml:space="preserve">understand the benefits of outdoor learning, so it can be seen as a non-negotiable in learning; thus, benefitting the wellbeing and engagement of all learners. </w:t>
      </w:r>
    </w:p>
    <w:p w14:paraId="0E158700" w14:textId="77777777" w:rsidR="000E2E7E" w:rsidRPr="00C173D6" w:rsidRDefault="000E2E7E" w:rsidP="000E2E7E">
      <w:pPr>
        <w:rPr>
          <w:rFonts w:ascii="Arial" w:hAnsi="Arial" w:cs="Arial"/>
          <w:b/>
          <w:bCs/>
          <w:sz w:val="28"/>
          <w:szCs w:val="28"/>
        </w:rPr>
      </w:pPr>
    </w:p>
    <w:p w14:paraId="49D05E95" w14:textId="77777777" w:rsidR="007A4F2A" w:rsidRDefault="007A4F2A" w:rsidP="000E2E7E">
      <w:pPr>
        <w:rPr>
          <w:rFonts w:ascii="Arial" w:hAnsi="Arial" w:cs="Arial"/>
          <w:b/>
          <w:bCs/>
          <w:sz w:val="28"/>
          <w:szCs w:val="28"/>
        </w:rPr>
      </w:pPr>
    </w:p>
    <w:p w14:paraId="1E50641E" w14:textId="77777777" w:rsidR="007A4F2A" w:rsidRDefault="007A4F2A" w:rsidP="000E2E7E">
      <w:pPr>
        <w:rPr>
          <w:rFonts w:ascii="Arial" w:hAnsi="Arial" w:cs="Arial"/>
          <w:b/>
          <w:bCs/>
          <w:sz w:val="28"/>
          <w:szCs w:val="28"/>
        </w:rPr>
      </w:pPr>
    </w:p>
    <w:p w14:paraId="43C3DF80" w14:textId="77777777" w:rsidR="007A4F2A" w:rsidRDefault="007A4F2A" w:rsidP="000E2E7E">
      <w:pPr>
        <w:rPr>
          <w:rFonts w:ascii="Arial" w:hAnsi="Arial" w:cs="Arial"/>
          <w:b/>
          <w:bCs/>
          <w:sz w:val="28"/>
          <w:szCs w:val="28"/>
        </w:rPr>
      </w:pPr>
    </w:p>
    <w:p w14:paraId="67A4C26C" w14:textId="77777777" w:rsidR="007A4F2A" w:rsidRDefault="007A4F2A" w:rsidP="000E2E7E">
      <w:pPr>
        <w:rPr>
          <w:rFonts w:ascii="Arial" w:hAnsi="Arial" w:cs="Arial"/>
          <w:b/>
          <w:bCs/>
          <w:sz w:val="28"/>
          <w:szCs w:val="28"/>
        </w:rPr>
      </w:pPr>
    </w:p>
    <w:p w14:paraId="09E0AF87" w14:textId="77777777" w:rsidR="007A4F2A" w:rsidRDefault="007A4F2A" w:rsidP="000E2E7E">
      <w:pPr>
        <w:rPr>
          <w:rFonts w:ascii="Arial" w:hAnsi="Arial" w:cs="Arial"/>
          <w:b/>
          <w:bCs/>
          <w:sz w:val="28"/>
          <w:szCs w:val="28"/>
        </w:rPr>
      </w:pPr>
    </w:p>
    <w:p w14:paraId="67448EEA" w14:textId="77777777" w:rsidR="00107C6F" w:rsidRDefault="00107C6F" w:rsidP="000E2E7E">
      <w:pPr>
        <w:rPr>
          <w:rFonts w:ascii="Arial" w:hAnsi="Arial" w:cs="Arial"/>
          <w:b/>
          <w:bCs/>
          <w:sz w:val="28"/>
          <w:szCs w:val="28"/>
        </w:rPr>
      </w:pPr>
    </w:p>
    <w:p w14:paraId="3E4AFBDD" w14:textId="77777777" w:rsidR="00107C6F" w:rsidRDefault="00107C6F" w:rsidP="000E2E7E">
      <w:pPr>
        <w:rPr>
          <w:rFonts w:ascii="Arial" w:hAnsi="Arial" w:cs="Arial"/>
          <w:b/>
          <w:bCs/>
          <w:sz w:val="28"/>
          <w:szCs w:val="28"/>
        </w:rPr>
      </w:pPr>
    </w:p>
    <w:p w14:paraId="55F3D19B" w14:textId="77777777" w:rsidR="00107C6F" w:rsidRDefault="00107C6F" w:rsidP="000E2E7E">
      <w:pPr>
        <w:rPr>
          <w:rFonts w:ascii="Arial" w:hAnsi="Arial" w:cs="Arial"/>
          <w:b/>
          <w:bCs/>
          <w:sz w:val="28"/>
          <w:szCs w:val="28"/>
        </w:rPr>
      </w:pPr>
    </w:p>
    <w:p w14:paraId="430970A0" w14:textId="77777777" w:rsidR="00107C6F" w:rsidRDefault="00107C6F" w:rsidP="000E2E7E">
      <w:pPr>
        <w:rPr>
          <w:rFonts w:ascii="Arial" w:hAnsi="Arial" w:cs="Arial"/>
          <w:b/>
          <w:bCs/>
          <w:sz w:val="28"/>
          <w:szCs w:val="28"/>
        </w:rPr>
      </w:pPr>
    </w:p>
    <w:p w14:paraId="1E0C471C" w14:textId="77777777" w:rsidR="0012339F" w:rsidRDefault="0012339F" w:rsidP="000E2E7E">
      <w:pPr>
        <w:rPr>
          <w:rFonts w:ascii="Arial" w:hAnsi="Arial" w:cs="Arial"/>
          <w:b/>
          <w:bCs/>
          <w:sz w:val="28"/>
          <w:szCs w:val="28"/>
        </w:rPr>
      </w:pPr>
    </w:p>
    <w:p w14:paraId="14A8D2B8" w14:textId="77777777" w:rsidR="0012339F" w:rsidRDefault="0012339F" w:rsidP="000E2E7E">
      <w:pPr>
        <w:rPr>
          <w:rFonts w:ascii="Arial" w:hAnsi="Arial" w:cs="Arial"/>
          <w:b/>
          <w:bCs/>
          <w:sz w:val="28"/>
          <w:szCs w:val="28"/>
        </w:rPr>
      </w:pPr>
    </w:p>
    <w:p w14:paraId="7E8156C4" w14:textId="77777777" w:rsidR="0012339F" w:rsidRDefault="0012339F" w:rsidP="000E2E7E">
      <w:pPr>
        <w:rPr>
          <w:rFonts w:ascii="Arial" w:hAnsi="Arial" w:cs="Arial"/>
          <w:b/>
          <w:bCs/>
          <w:sz w:val="28"/>
          <w:szCs w:val="28"/>
        </w:rPr>
      </w:pPr>
    </w:p>
    <w:p w14:paraId="3C803DB8" w14:textId="77777777" w:rsidR="0012339F" w:rsidRDefault="0012339F" w:rsidP="000E2E7E">
      <w:pPr>
        <w:rPr>
          <w:rFonts w:ascii="Arial" w:hAnsi="Arial" w:cs="Arial"/>
          <w:b/>
          <w:bCs/>
          <w:sz w:val="28"/>
          <w:szCs w:val="28"/>
        </w:rPr>
      </w:pPr>
    </w:p>
    <w:p w14:paraId="2A5203D7" w14:textId="77777777" w:rsidR="0012339F" w:rsidRDefault="0012339F" w:rsidP="000E2E7E">
      <w:pPr>
        <w:rPr>
          <w:rFonts w:ascii="Arial" w:hAnsi="Arial" w:cs="Arial"/>
          <w:b/>
          <w:bCs/>
          <w:sz w:val="28"/>
          <w:szCs w:val="28"/>
        </w:rPr>
      </w:pPr>
    </w:p>
    <w:p w14:paraId="2EBA3D33" w14:textId="77777777" w:rsidR="0012339F" w:rsidRDefault="0012339F" w:rsidP="000E2E7E">
      <w:pPr>
        <w:rPr>
          <w:rFonts w:ascii="Arial" w:hAnsi="Arial" w:cs="Arial"/>
          <w:b/>
          <w:bCs/>
          <w:sz w:val="28"/>
          <w:szCs w:val="28"/>
        </w:rPr>
      </w:pPr>
    </w:p>
    <w:p w14:paraId="2C9808F0" w14:textId="77777777" w:rsidR="0012339F" w:rsidRDefault="0012339F" w:rsidP="000E2E7E">
      <w:pPr>
        <w:rPr>
          <w:rFonts w:ascii="Arial" w:hAnsi="Arial" w:cs="Arial"/>
          <w:b/>
          <w:bCs/>
          <w:sz w:val="28"/>
          <w:szCs w:val="28"/>
        </w:rPr>
      </w:pPr>
    </w:p>
    <w:p w14:paraId="70645DC3" w14:textId="77777777" w:rsidR="0012339F" w:rsidRDefault="0012339F" w:rsidP="000E2E7E">
      <w:pPr>
        <w:rPr>
          <w:rFonts w:ascii="Arial" w:hAnsi="Arial" w:cs="Arial"/>
          <w:b/>
          <w:bCs/>
          <w:sz w:val="28"/>
          <w:szCs w:val="28"/>
        </w:rPr>
      </w:pPr>
    </w:p>
    <w:p w14:paraId="74773E06" w14:textId="77777777" w:rsidR="0012339F" w:rsidRDefault="0012339F" w:rsidP="000E2E7E">
      <w:pPr>
        <w:rPr>
          <w:rFonts w:ascii="Arial" w:hAnsi="Arial" w:cs="Arial"/>
          <w:b/>
          <w:bCs/>
          <w:sz w:val="28"/>
          <w:szCs w:val="28"/>
        </w:rPr>
      </w:pPr>
    </w:p>
    <w:p w14:paraId="3ABD686B" w14:textId="77777777" w:rsidR="0012339F" w:rsidRDefault="0012339F" w:rsidP="000E2E7E">
      <w:pPr>
        <w:rPr>
          <w:rFonts w:ascii="Arial" w:hAnsi="Arial" w:cs="Arial"/>
          <w:b/>
          <w:bCs/>
          <w:sz w:val="28"/>
          <w:szCs w:val="28"/>
        </w:rPr>
      </w:pPr>
    </w:p>
    <w:p w14:paraId="47B71C0F" w14:textId="77777777" w:rsidR="0012339F" w:rsidRDefault="0012339F" w:rsidP="000E2E7E">
      <w:pPr>
        <w:rPr>
          <w:rFonts w:ascii="Arial" w:hAnsi="Arial" w:cs="Arial"/>
          <w:b/>
          <w:bCs/>
          <w:sz w:val="28"/>
          <w:szCs w:val="28"/>
        </w:rPr>
      </w:pPr>
    </w:p>
    <w:p w14:paraId="1258BB6D" w14:textId="77777777" w:rsidR="0012339F" w:rsidRDefault="0012339F" w:rsidP="000E2E7E">
      <w:pPr>
        <w:rPr>
          <w:rFonts w:ascii="Arial" w:hAnsi="Arial" w:cs="Arial"/>
          <w:b/>
          <w:bCs/>
          <w:sz w:val="28"/>
          <w:szCs w:val="28"/>
        </w:rPr>
      </w:pPr>
    </w:p>
    <w:p w14:paraId="326F654B" w14:textId="77777777" w:rsidR="0012339F" w:rsidRDefault="0012339F" w:rsidP="000E2E7E">
      <w:pPr>
        <w:rPr>
          <w:rFonts w:ascii="Arial" w:hAnsi="Arial" w:cs="Arial"/>
          <w:b/>
          <w:bCs/>
          <w:sz w:val="28"/>
          <w:szCs w:val="28"/>
        </w:rPr>
      </w:pPr>
    </w:p>
    <w:p w14:paraId="33EC3796" w14:textId="77777777" w:rsidR="0012339F" w:rsidRDefault="0012339F" w:rsidP="000E2E7E">
      <w:pPr>
        <w:rPr>
          <w:rFonts w:ascii="Arial" w:hAnsi="Arial" w:cs="Arial"/>
          <w:b/>
          <w:bCs/>
          <w:sz w:val="28"/>
          <w:szCs w:val="28"/>
        </w:rPr>
      </w:pPr>
    </w:p>
    <w:p w14:paraId="645465C3" w14:textId="77777777" w:rsidR="0012339F" w:rsidRDefault="0012339F" w:rsidP="000E2E7E">
      <w:pPr>
        <w:rPr>
          <w:rFonts w:ascii="Arial" w:hAnsi="Arial" w:cs="Arial"/>
          <w:b/>
          <w:bCs/>
          <w:sz w:val="28"/>
          <w:szCs w:val="28"/>
        </w:rPr>
      </w:pPr>
    </w:p>
    <w:p w14:paraId="13505420" w14:textId="081D3A5B" w:rsidR="005A4092" w:rsidRPr="00C173D6" w:rsidRDefault="000E2E7E" w:rsidP="000E2E7E">
      <w:pPr>
        <w:rPr>
          <w:rFonts w:ascii="Arial" w:hAnsi="Arial" w:cs="Arial"/>
          <w:b/>
          <w:bCs/>
          <w:sz w:val="28"/>
          <w:szCs w:val="28"/>
        </w:rPr>
      </w:pPr>
      <w:r w:rsidRPr="00C173D6">
        <w:rPr>
          <w:rFonts w:ascii="Arial" w:hAnsi="Arial" w:cs="Arial"/>
          <w:b/>
          <w:bCs/>
          <w:sz w:val="28"/>
          <w:szCs w:val="28"/>
        </w:rPr>
        <w:lastRenderedPageBreak/>
        <w:t>Reference List</w:t>
      </w:r>
    </w:p>
    <w:p w14:paraId="2AED962C" w14:textId="77777777" w:rsidR="00131426" w:rsidRDefault="00131426" w:rsidP="00C173D6">
      <w:pPr>
        <w:rPr>
          <w:rFonts w:ascii="Arial" w:hAnsi="Arial" w:cs="Arial"/>
        </w:rPr>
      </w:pPr>
      <w:r>
        <w:rPr>
          <w:rFonts w:ascii="Arial" w:hAnsi="Arial" w:cs="Arial"/>
        </w:rPr>
        <w:t xml:space="preserve">Arthur, J. et al (Ed). (2012) </w:t>
      </w:r>
      <w:r w:rsidRPr="00AD5007">
        <w:rPr>
          <w:rFonts w:ascii="Arial" w:hAnsi="Arial" w:cs="Arial"/>
          <w:i/>
          <w:iCs/>
        </w:rPr>
        <w:t>Research Methods and Methodologies in Education</w:t>
      </w:r>
      <w:r>
        <w:rPr>
          <w:rFonts w:ascii="Arial" w:hAnsi="Arial" w:cs="Arial"/>
        </w:rPr>
        <w:t xml:space="preserve">. London: SAGE Publications Ltd. </w:t>
      </w:r>
    </w:p>
    <w:p w14:paraId="77A6CDCE" w14:textId="77777777" w:rsidR="00131426" w:rsidRDefault="00131426" w:rsidP="00C173D6">
      <w:pPr>
        <w:rPr>
          <w:rFonts w:ascii="Arial" w:hAnsi="Arial" w:cs="Arial"/>
        </w:rPr>
      </w:pPr>
      <w:r>
        <w:rPr>
          <w:rFonts w:ascii="Arial" w:hAnsi="Arial" w:cs="Arial"/>
        </w:rPr>
        <w:t xml:space="preserve">Bassey, M. (1981) ‘Pedagogic Research: On the Relative Merits of Search Generalisation and Study of Single Events’, </w:t>
      </w:r>
      <w:r w:rsidRPr="0015381A">
        <w:rPr>
          <w:rFonts w:ascii="Arial" w:hAnsi="Arial" w:cs="Arial"/>
          <w:i/>
          <w:iCs/>
        </w:rPr>
        <w:t>Oxford Review of Education</w:t>
      </w:r>
      <w:r>
        <w:rPr>
          <w:rFonts w:ascii="Arial" w:hAnsi="Arial" w:cs="Arial"/>
        </w:rPr>
        <w:t xml:space="preserve">, 7(1), pp. 73 – 94. Available at: </w:t>
      </w:r>
      <w:hyperlink r:id="rId9" w:history="1">
        <w:r w:rsidRPr="00932EA1">
          <w:rPr>
            <w:rStyle w:val="Hyperlink"/>
            <w:rFonts w:ascii="Arial" w:hAnsi="Arial" w:cs="Arial"/>
          </w:rPr>
          <w:t>https://www.jstor.org/stable/1050091</w:t>
        </w:r>
      </w:hyperlink>
      <w:r>
        <w:rPr>
          <w:rFonts w:ascii="Arial" w:hAnsi="Arial" w:cs="Arial"/>
        </w:rPr>
        <w:t xml:space="preserve"> (Accessed: 5 December 2024). </w:t>
      </w:r>
    </w:p>
    <w:p w14:paraId="55323E0A" w14:textId="77777777" w:rsidR="00131426" w:rsidRDefault="00131426" w:rsidP="00C173D6">
      <w:pPr>
        <w:rPr>
          <w:rFonts w:ascii="Arial" w:hAnsi="Arial" w:cs="Arial"/>
        </w:rPr>
      </w:pPr>
      <w:r>
        <w:rPr>
          <w:rFonts w:ascii="Arial" w:hAnsi="Arial" w:cs="Arial"/>
        </w:rPr>
        <w:t>Baxter, P. and Jack, S. (2008) ‘</w:t>
      </w:r>
      <w:r w:rsidRPr="007B4086">
        <w:rPr>
          <w:rFonts w:ascii="Arial" w:hAnsi="Arial" w:cs="Arial"/>
        </w:rPr>
        <w:t>Qualitative Case Study Methodology: Study Design and Implementation for Novice Researchers</w:t>
      </w:r>
      <w:r>
        <w:rPr>
          <w:rFonts w:ascii="Arial" w:hAnsi="Arial" w:cs="Arial"/>
        </w:rPr>
        <w:t xml:space="preserve">’, </w:t>
      </w:r>
      <w:r w:rsidRPr="007B4086">
        <w:rPr>
          <w:rFonts w:ascii="Arial" w:hAnsi="Arial" w:cs="Arial"/>
          <w:i/>
          <w:iCs/>
        </w:rPr>
        <w:t>The Qualitative Report</w:t>
      </w:r>
      <w:r>
        <w:rPr>
          <w:rFonts w:ascii="Arial" w:hAnsi="Arial" w:cs="Arial"/>
        </w:rPr>
        <w:t xml:space="preserve">, 13(4), pp. 544 – 559. Available at: </w:t>
      </w:r>
      <w:hyperlink r:id="rId10" w:history="1">
        <w:r w:rsidRPr="0002287A">
          <w:rPr>
            <w:rStyle w:val="Hyperlink"/>
            <w:rFonts w:ascii="Arial" w:hAnsi="Arial" w:cs="Arial"/>
          </w:rPr>
          <w:t>https://doi.org/10.46743/2160-3715/2008.1573</w:t>
        </w:r>
      </w:hyperlink>
      <w:r>
        <w:rPr>
          <w:rFonts w:ascii="Arial" w:hAnsi="Arial" w:cs="Arial"/>
        </w:rPr>
        <w:t xml:space="preserve"> (Accessed: 12 December 2024). </w:t>
      </w:r>
    </w:p>
    <w:p w14:paraId="0382D62F" w14:textId="77777777" w:rsidR="00131426" w:rsidRDefault="00131426" w:rsidP="00C173D6">
      <w:pPr>
        <w:rPr>
          <w:rFonts w:ascii="Arial" w:hAnsi="Arial" w:cs="Arial"/>
        </w:rPr>
      </w:pPr>
      <w:r>
        <w:rPr>
          <w:rFonts w:ascii="Arial" w:hAnsi="Arial" w:cs="Arial"/>
        </w:rPr>
        <w:t xml:space="preserve">Bell, J. and Waters, S. (2018) </w:t>
      </w:r>
      <w:r w:rsidRPr="00830197">
        <w:rPr>
          <w:rFonts w:ascii="Arial" w:hAnsi="Arial" w:cs="Arial"/>
          <w:i/>
          <w:iCs/>
        </w:rPr>
        <w:t>Doing your Research Project: A Guide for First Time Researchers</w:t>
      </w:r>
      <w:r>
        <w:rPr>
          <w:rFonts w:ascii="Arial" w:hAnsi="Arial" w:cs="Arial"/>
        </w:rPr>
        <w:t>. 7</w:t>
      </w:r>
      <w:r w:rsidRPr="00653436">
        <w:rPr>
          <w:rFonts w:ascii="Arial" w:hAnsi="Arial" w:cs="Arial"/>
          <w:vertAlign w:val="superscript"/>
        </w:rPr>
        <w:t>th</w:t>
      </w:r>
      <w:r>
        <w:rPr>
          <w:rFonts w:ascii="Arial" w:hAnsi="Arial" w:cs="Arial"/>
        </w:rPr>
        <w:t xml:space="preserve"> edn. London: Open University Press. </w:t>
      </w:r>
    </w:p>
    <w:p w14:paraId="4D5F86AA" w14:textId="77777777" w:rsidR="00131426" w:rsidRDefault="00131426" w:rsidP="00C173D6">
      <w:pPr>
        <w:rPr>
          <w:rFonts w:ascii="Arial" w:hAnsi="Arial" w:cs="Arial"/>
        </w:rPr>
      </w:pPr>
      <w:r>
        <w:rPr>
          <w:rFonts w:ascii="Arial" w:hAnsi="Arial" w:cs="Arial"/>
        </w:rPr>
        <w:t xml:space="preserve">Bennett, T. (2013) </w:t>
      </w:r>
      <w:r w:rsidRPr="00F1141B">
        <w:rPr>
          <w:rFonts w:ascii="Arial" w:hAnsi="Arial" w:cs="Arial"/>
          <w:i/>
          <w:iCs/>
        </w:rPr>
        <w:t>Teacher Proof: Why Research in Education Doesn’t Always Means What It Claims, and What Can We Do About It</w:t>
      </w:r>
      <w:r>
        <w:rPr>
          <w:rFonts w:ascii="Arial" w:hAnsi="Arial" w:cs="Arial"/>
        </w:rPr>
        <w:t xml:space="preserve">. Abingdon: Routledge. </w:t>
      </w:r>
    </w:p>
    <w:p w14:paraId="64BE0D6F" w14:textId="77777777" w:rsidR="00131426" w:rsidRDefault="00131426" w:rsidP="00C173D6">
      <w:pPr>
        <w:rPr>
          <w:rFonts w:ascii="Arial" w:hAnsi="Arial" w:cs="Arial"/>
        </w:rPr>
      </w:pPr>
      <w:r>
        <w:rPr>
          <w:rFonts w:ascii="Arial" w:hAnsi="Arial" w:cs="Arial"/>
        </w:rPr>
        <w:t xml:space="preserve">BERA (2024) </w:t>
      </w:r>
      <w:r w:rsidRPr="007455AF">
        <w:rPr>
          <w:rFonts w:ascii="Arial" w:hAnsi="Arial" w:cs="Arial"/>
          <w:i/>
          <w:iCs/>
        </w:rPr>
        <w:t>Ethical Guidelines for Educational Research</w:t>
      </w:r>
      <w:r>
        <w:rPr>
          <w:rFonts w:ascii="Arial" w:hAnsi="Arial" w:cs="Arial"/>
        </w:rPr>
        <w:t>. 5</w:t>
      </w:r>
      <w:r w:rsidRPr="007455AF">
        <w:rPr>
          <w:rFonts w:ascii="Arial" w:hAnsi="Arial" w:cs="Arial"/>
          <w:vertAlign w:val="superscript"/>
        </w:rPr>
        <w:t>th</w:t>
      </w:r>
      <w:r>
        <w:rPr>
          <w:rFonts w:ascii="Arial" w:hAnsi="Arial" w:cs="Arial"/>
        </w:rPr>
        <w:t xml:space="preserve"> edn. Available at: </w:t>
      </w:r>
      <w:hyperlink r:id="rId11" w:history="1">
        <w:r w:rsidRPr="00BD0A1A">
          <w:rPr>
            <w:rStyle w:val="Hyperlink"/>
            <w:rFonts w:ascii="Arial" w:hAnsi="Arial" w:cs="Arial"/>
          </w:rPr>
          <w:t>https://www.bera.ac.uk/wp-content/uploads/2024/04/Ethical-Guidelines-for-Educational-Research-5th-edition.pdf</w:t>
        </w:r>
      </w:hyperlink>
      <w:r>
        <w:rPr>
          <w:rFonts w:ascii="Arial" w:hAnsi="Arial" w:cs="Arial"/>
        </w:rPr>
        <w:t xml:space="preserve"> (Accessed: 12 December 2024).  </w:t>
      </w:r>
    </w:p>
    <w:p w14:paraId="6A1647D1" w14:textId="77777777" w:rsidR="00131426" w:rsidRDefault="00131426" w:rsidP="00C173D6">
      <w:pPr>
        <w:rPr>
          <w:rFonts w:ascii="Arial" w:hAnsi="Arial" w:cs="Arial"/>
        </w:rPr>
      </w:pPr>
      <w:r>
        <w:rPr>
          <w:rFonts w:ascii="Arial" w:hAnsi="Arial" w:cs="Arial"/>
        </w:rPr>
        <w:t>Braun, V. and Clarke, V. (2006) ‘U</w:t>
      </w:r>
      <w:r w:rsidRPr="008F5EEF">
        <w:rPr>
          <w:rFonts w:ascii="Arial" w:hAnsi="Arial" w:cs="Arial"/>
        </w:rPr>
        <w:t xml:space="preserve">sing </w:t>
      </w:r>
      <w:r>
        <w:rPr>
          <w:rFonts w:ascii="Arial" w:hAnsi="Arial" w:cs="Arial"/>
        </w:rPr>
        <w:t>T</w:t>
      </w:r>
      <w:r w:rsidRPr="008F5EEF">
        <w:rPr>
          <w:rFonts w:ascii="Arial" w:hAnsi="Arial" w:cs="Arial"/>
        </w:rPr>
        <w:t xml:space="preserve">hematic </w:t>
      </w:r>
      <w:r>
        <w:rPr>
          <w:rFonts w:ascii="Arial" w:hAnsi="Arial" w:cs="Arial"/>
        </w:rPr>
        <w:t>A</w:t>
      </w:r>
      <w:r w:rsidRPr="008F5EEF">
        <w:rPr>
          <w:rFonts w:ascii="Arial" w:hAnsi="Arial" w:cs="Arial"/>
        </w:rPr>
        <w:t xml:space="preserve">nalysis in </w:t>
      </w:r>
      <w:r>
        <w:rPr>
          <w:rFonts w:ascii="Arial" w:hAnsi="Arial" w:cs="Arial"/>
        </w:rPr>
        <w:t>P</w:t>
      </w:r>
      <w:r w:rsidRPr="008F5EEF">
        <w:rPr>
          <w:rFonts w:ascii="Arial" w:hAnsi="Arial" w:cs="Arial"/>
        </w:rPr>
        <w:t>sychology</w:t>
      </w:r>
      <w:r>
        <w:rPr>
          <w:rFonts w:ascii="Arial" w:hAnsi="Arial" w:cs="Arial"/>
        </w:rPr>
        <w:t>’</w:t>
      </w:r>
      <w:r w:rsidRPr="008F5EEF">
        <w:rPr>
          <w:rFonts w:ascii="Arial" w:hAnsi="Arial" w:cs="Arial"/>
        </w:rPr>
        <w:t>,</w:t>
      </w:r>
      <w:r>
        <w:rPr>
          <w:rFonts w:ascii="Arial" w:hAnsi="Arial" w:cs="Arial"/>
        </w:rPr>
        <w:t xml:space="preserve"> </w:t>
      </w:r>
      <w:r w:rsidRPr="008F5EEF">
        <w:rPr>
          <w:rFonts w:ascii="Arial" w:hAnsi="Arial" w:cs="Arial"/>
          <w:i/>
          <w:iCs/>
        </w:rPr>
        <w:t xml:space="preserve">Qualitative Research in Psychology, </w:t>
      </w:r>
      <w:r>
        <w:rPr>
          <w:rFonts w:ascii="Arial" w:hAnsi="Arial" w:cs="Arial"/>
        </w:rPr>
        <w:t xml:space="preserve">3(2), pp. 77 – 101. Available at: </w:t>
      </w:r>
      <w:hyperlink r:id="rId12" w:history="1">
        <w:r w:rsidRPr="00BD0A1A">
          <w:rPr>
            <w:rStyle w:val="Hyperlink"/>
            <w:rFonts w:ascii="Arial" w:hAnsi="Arial" w:cs="Arial"/>
          </w:rPr>
          <w:t>https://doi.org/10.1191/1478088706qp063oa</w:t>
        </w:r>
      </w:hyperlink>
      <w:r>
        <w:rPr>
          <w:rFonts w:ascii="Arial" w:hAnsi="Arial" w:cs="Arial"/>
        </w:rPr>
        <w:t xml:space="preserve"> (Accessed: 19 December 2024). </w:t>
      </w:r>
    </w:p>
    <w:p w14:paraId="73CE1DBA" w14:textId="77777777" w:rsidR="00131426" w:rsidRDefault="00131426" w:rsidP="00C173D6">
      <w:pPr>
        <w:rPr>
          <w:rFonts w:ascii="Arial" w:hAnsi="Arial" w:cs="Arial"/>
        </w:rPr>
      </w:pPr>
      <w:r>
        <w:rPr>
          <w:rFonts w:ascii="Arial" w:hAnsi="Arial" w:cs="Arial"/>
        </w:rPr>
        <w:t xml:space="preserve">Braun, V. and Clarke, V. (2022) </w:t>
      </w:r>
      <w:r w:rsidRPr="00543588">
        <w:rPr>
          <w:rFonts w:ascii="Arial" w:hAnsi="Arial" w:cs="Arial"/>
          <w:i/>
          <w:iCs/>
        </w:rPr>
        <w:t>Thematic Analysis: A Practical Guide</w:t>
      </w:r>
      <w:r>
        <w:rPr>
          <w:rFonts w:ascii="Arial" w:hAnsi="Arial" w:cs="Arial"/>
        </w:rPr>
        <w:t xml:space="preserve">. London: SAGE Publications Ltd. </w:t>
      </w:r>
    </w:p>
    <w:p w14:paraId="45574BA0" w14:textId="77777777" w:rsidR="00131426" w:rsidRDefault="00131426" w:rsidP="00C173D6">
      <w:pPr>
        <w:rPr>
          <w:rFonts w:ascii="Arial" w:hAnsi="Arial" w:cs="Arial"/>
        </w:rPr>
      </w:pPr>
      <w:r>
        <w:rPr>
          <w:rFonts w:ascii="Arial" w:hAnsi="Arial" w:cs="Arial"/>
        </w:rPr>
        <w:t xml:space="preserve">Bruce, T. Louis, S. and McCall, G. (2014) </w:t>
      </w:r>
      <w:r w:rsidRPr="00D33D27">
        <w:rPr>
          <w:rFonts w:ascii="Arial" w:hAnsi="Arial" w:cs="Arial"/>
          <w:i/>
          <w:iCs/>
        </w:rPr>
        <w:t>Observing Young Children</w:t>
      </w:r>
      <w:r>
        <w:rPr>
          <w:rFonts w:ascii="Arial" w:hAnsi="Arial" w:cs="Arial"/>
        </w:rPr>
        <w:t>. London: SAGE Publications Ltd.</w:t>
      </w:r>
    </w:p>
    <w:p w14:paraId="40FD180F" w14:textId="77777777" w:rsidR="00131426" w:rsidRDefault="00131426" w:rsidP="00C173D6">
      <w:pPr>
        <w:rPr>
          <w:rFonts w:ascii="Arial" w:hAnsi="Arial" w:cs="Arial"/>
        </w:rPr>
      </w:pPr>
      <w:r w:rsidRPr="00FE454C">
        <w:rPr>
          <w:rFonts w:ascii="Arial" w:hAnsi="Arial" w:cs="Arial"/>
        </w:rPr>
        <w:t xml:space="preserve">Cardiff University (2020) </w:t>
      </w:r>
      <w:r w:rsidRPr="00FE454C">
        <w:rPr>
          <w:rFonts w:ascii="Arial" w:hAnsi="Arial" w:cs="Arial"/>
          <w:i/>
          <w:iCs/>
        </w:rPr>
        <w:t xml:space="preserve">International </w:t>
      </w:r>
      <w:r w:rsidRPr="00FE454C">
        <w:rPr>
          <w:rFonts w:ascii="Arial" w:hAnsi="Arial" w:cs="Arial"/>
          <w:i/>
          <w:iCs/>
        </w:rPr>
        <w:t>S</w:t>
      </w:r>
      <w:r w:rsidRPr="00FE454C">
        <w:rPr>
          <w:rFonts w:ascii="Arial" w:hAnsi="Arial" w:cs="Arial"/>
          <w:i/>
          <w:iCs/>
        </w:rPr>
        <w:t xml:space="preserve">tudy </w:t>
      </w:r>
      <w:r w:rsidRPr="00FE454C">
        <w:rPr>
          <w:rFonts w:ascii="Arial" w:hAnsi="Arial" w:cs="Arial"/>
          <w:i/>
          <w:iCs/>
        </w:rPr>
        <w:t>R</w:t>
      </w:r>
      <w:r w:rsidRPr="00FE454C">
        <w:rPr>
          <w:rFonts w:ascii="Arial" w:hAnsi="Arial" w:cs="Arial"/>
          <w:i/>
          <w:iCs/>
        </w:rPr>
        <w:t xml:space="preserve">eveals </w:t>
      </w:r>
      <w:r w:rsidRPr="00FE454C">
        <w:rPr>
          <w:rFonts w:ascii="Arial" w:hAnsi="Arial" w:cs="Arial"/>
          <w:i/>
          <w:iCs/>
        </w:rPr>
        <w:t>L</w:t>
      </w:r>
      <w:r w:rsidRPr="00FE454C">
        <w:rPr>
          <w:rFonts w:ascii="Arial" w:hAnsi="Arial" w:cs="Arial"/>
          <w:i/>
          <w:iCs/>
        </w:rPr>
        <w:t xml:space="preserve">ow </w:t>
      </w:r>
      <w:r w:rsidRPr="00FE454C">
        <w:rPr>
          <w:rFonts w:ascii="Arial" w:hAnsi="Arial" w:cs="Arial"/>
          <w:i/>
          <w:iCs/>
        </w:rPr>
        <w:t>L</w:t>
      </w:r>
      <w:r w:rsidRPr="00FE454C">
        <w:rPr>
          <w:rFonts w:ascii="Arial" w:hAnsi="Arial" w:cs="Arial"/>
          <w:i/>
          <w:iCs/>
        </w:rPr>
        <w:t xml:space="preserve">evels of </w:t>
      </w:r>
      <w:r w:rsidRPr="00FE454C">
        <w:rPr>
          <w:rFonts w:ascii="Arial" w:hAnsi="Arial" w:cs="Arial"/>
          <w:i/>
          <w:iCs/>
        </w:rPr>
        <w:t>W</w:t>
      </w:r>
      <w:r w:rsidRPr="00FE454C">
        <w:rPr>
          <w:rFonts w:ascii="Arial" w:hAnsi="Arial" w:cs="Arial"/>
          <w:i/>
          <w:iCs/>
        </w:rPr>
        <w:t xml:space="preserve">ellbeing </w:t>
      </w:r>
      <w:r w:rsidRPr="00FE454C">
        <w:rPr>
          <w:rFonts w:ascii="Arial" w:hAnsi="Arial" w:cs="Arial"/>
          <w:i/>
          <w:iCs/>
        </w:rPr>
        <w:t>A</w:t>
      </w:r>
      <w:r w:rsidRPr="00FE454C">
        <w:rPr>
          <w:rFonts w:ascii="Arial" w:hAnsi="Arial" w:cs="Arial"/>
          <w:i/>
          <w:iCs/>
        </w:rPr>
        <w:t xml:space="preserve">mong </w:t>
      </w:r>
      <w:r w:rsidRPr="00FE454C">
        <w:rPr>
          <w:rFonts w:ascii="Arial" w:hAnsi="Arial" w:cs="Arial"/>
          <w:i/>
          <w:iCs/>
        </w:rPr>
        <w:t>C</w:t>
      </w:r>
      <w:r w:rsidRPr="00FE454C">
        <w:rPr>
          <w:rFonts w:ascii="Arial" w:hAnsi="Arial" w:cs="Arial"/>
          <w:i/>
          <w:iCs/>
        </w:rPr>
        <w:t>hildren in Wales</w:t>
      </w:r>
      <w:r w:rsidRPr="00FE454C">
        <w:rPr>
          <w:rFonts w:ascii="Arial" w:hAnsi="Arial" w:cs="Arial"/>
        </w:rPr>
        <w:t xml:space="preserve">. Available at: </w:t>
      </w:r>
      <w:hyperlink r:id="rId13" w:history="1">
        <w:r w:rsidRPr="00FE454C">
          <w:rPr>
            <w:rStyle w:val="Hyperlink"/>
            <w:rFonts w:ascii="Arial" w:hAnsi="Arial" w:cs="Arial"/>
          </w:rPr>
          <w:t>https://www.cardiff.ac.uk/news/view/2431870-international-study-reveals-low-levels-of-wellbeing-among-children-in-wales</w:t>
        </w:r>
      </w:hyperlink>
      <w:r w:rsidRPr="00FE454C">
        <w:rPr>
          <w:rFonts w:ascii="Arial" w:hAnsi="Arial" w:cs="Arial"/>
        </w:rPr>
        <w:t xml:space="preserve"> (Accessed: 31 December 2024).</w:t>
      </w:r>
      <w:r>
        <w:rPr>
          <w:rFonts w:ascii="Arial" w:hAnsi="Arial" w:cs="Arial"/>
        </w:rPr>
        <w:t xml:space="preserve"> </w:t>
      </w:r>
    </w:p>
    <w:p w14:paraId="4890D69C" w14:textId="77777777" w:rsidR="00131426" w:rsidRDefault="00131426" w:rsidP="00C173D6">
      <w:pPr>
        <w:rPr>
          <w:rFonts w:ascii="Arial" w:hAnsi="Arial" w:cs="Arial"/>
        </w:rPr>
      </w:pPr>
      <w:r>
        <w:rPr>
          <w:rFonts w:ascii="Arial" w:hAnsi="Arial" w:cs="Arial"/>
        </w:rPr>
        <w:t xml:space="preserve">Cohen, L. Manion, L. and Morrison, K. (2017) </w:t>
      </w:r>
      <w:r w:rsidRPr="00397CE0">
        <w:rPr>
          <w:rFonts w:ascii="Arial" w:hAnsi="Arial" w:cs="Arial"/>
          <w:i/>
          <w:iCs/>
        </w:rPr>
        <w:t xml:space="preserve">Research Methods in Education. </w:t>
      </w:r>
      <w:r>
        <w:rPr>
          <w:rFonts w:ascii="Arial" w:hAnsi="Arial" w:cs="Arial"/>
        </w:rPr>
        <w:t>7</w:t>
      </w:r>
      <w:r w:rsidRPr="00653436">
        <w:rPr>
          <w:rFonts w:ascii="Arial" w:hAnsi="Arial" w:cs="Arial"/>
          <w:vertAlign w:val="superscript"/>
        </w:rPr>
        <w:t>th</w:t>
      </w:r>
      <w:r>
        <w:rPr>
          <w:rFonts w:ascii="Arial" w:hAnsi="Arial" w:cs="Arial"/>
        </w:rPr>
        <w:t xml:space="preserve"> edn. London: Routledge. </w:t>
      </w:r>
    </w:p>
    <w:p w14:paraId="7785EC5F" w14:textId="77777777" w:rsidR="00131426" w:rsidRDefault="00131426" w:rsidP="00C173D6">
      <w:pPr>
        <w:rPr>
          <w:rFonts w:ascii="Arial" w:hAnsi="Arial" w:cs="Arial"/>
        </w:rPr>
      </w:pPr>
      <w:r>
        <w:rPr>
          <w:rFonts w:ascii="Arial" w:hAnsi="Arial" w:cs="Arial"/>
        </w:rPr>
        <w:t xml:space="preserve">Denscombe, M. (2010) </w:t>
      </w:r>
      <w:r w:rsidRPr="0014001F">
        <w:rPr>
          <w:rFonts w:ascii="Arial" w:hAnsi="Arial" w:cs="Arial"/>
          <w:i/>
          <w:iCs/>
        </w:rPr>
        <w:t>The Good Research Guide: For Small Scale Social Research</w:t>
      </w:r>
      <w:r>
        <w:rPr>
          <w:rFonts w:ascii="Arial" w:hAnsi="Arial" w:cs="Arial"/>
        </w:rPr>
        <w:t>. 4</w:t>
      </w:r>
      <w:r w:rsidRPr="00653436">
        <w:rPr>
          <w:rFonts w:ascii="Arial" w:hAnsi="Arial" w:cs="Arial"/>
          <w:vertAlign w:val="superscript"/>
        </w:rPr>
        <w:t>th</w:t>
      </w:r>
      <w:r>
        <w:rPr>
          <w:rFonts w:ascii="Arial" w:hAnsi="Arial" w:cs="Arial"/>
        </w:rPr>
        <w:t xml:space="preserve"> edn. Maidenhead: Open University Press. </w:t>
      </w:r>
    </w:p>
    <w:p w14:paraId="67C9E036" w14:textId="77777777" w:rsidR="00131426" w:rsidRDefault="00131426" w:rsidP="00C173D6">
      <w:pPr>
        <w:rPr>
          <w:rFonts w:ascii="Arial" w:hAnsi="Arial" w:cs="Arial"/>
        </w:rPr>
      </w:pPr>
      <w:r>
        <w:rPr>
          <w:rFonts w:ascii="Arial" w:hAnsi="Arial" w:cs="Arial"/>
        </w:rPr>
        <w:t xml:space="preserve">Estyn (2023) </w:t>
      </w:r>
      <w:r w:rsidRPr="00FE1452">
        <w:rPr>
          <w:rFonts w:ascii="Arial" w:hAnsi="Arial" w:cs="Arial"/>
          <w:i/>
          <w:iCs/>
        </w:rPr>
        <w:t>The Use of Outdoor Learning Environment to Support Pupils Learning and Well-being</w:t>
      </w:r>
      <w:r>
        <w:rPr>
          <w:rFonts w:ascii="Arial" w:hAnsi="Arial" w:cs="Arial"/>
        </w:rPr>
        <w:t xml:space="preserve">. Available at: </w:t>
      </w:r>
      <w:hyperlink r:id="rId14" w:history="1">
        <w:r w:rsidRPr="00FE1452">
          <w:rPr>
            <w:rStyle w:val="Hyperlink"/>
            <w:rFonts w:ascii="Arial" w:hAnsi="Arial" w:cs="Arial"/>
          </w:rPr>
          <w:t>https://estyn.gov.wales/improvement-resources/the-use-of-the-outdoor-learning-environment-to-support-pupils-learning-and-well-being/</w:t>
        </w:r>
      </w:hyperlink>
      <w:r>
        <w:rPr>
          <w:rFonts w:ascii="Arial" w:hAnsi="Arial" w:cs="Arial"/>
        </w:rPr>
        <w:t xml:space="preserve"> (Accessed: 5 December 2024). </w:t>
      </w:r>
    </w:p>
    <w:p w14:paraId="46AB6071" w14:textId="77777777" w:rsidR="00131426" w:rsidRDefault="00131426" w:rsidP="00C173D6">
      <w:pPr>
        <w:rPr>
          <w:rFonts w:ascii="Arial" w:hAnsi="Arial" w:cs="Arial"/>
        </w:rPr>
      </w:pPr>
      <w:r>
        <w:rPr>
          <w:rFonts w:ascii="Arial" w:hAnsi="Arial" w:cs="Arial"/>
        </w:rPr>
        <w:lastRenderedPageBreak/>
        <w:t xml:space="preserve">Estyn (2024) </w:t>
      </w:r>
      <w:r w:rsidRPr="00BD50CB">
        <w:rPr>
          <w:rFonts w:ascii="Arial" w:hAnsi="Arial" w:cs="Arial"/>
          <w:i/>
          <w:iCs/>
        </w:rPr>
        <w:t>Effective Use of the Outdoor Areas to Develop Pupils’ Skills Across the Curriculum</w:t>
      </w:r>
      <w:r>
        <w:rPr>
          <w:rFonts w:ascii="Arial" w:hAnsi="Arial" w:cs="Arial"/>
        </w:rPr>
        <w:t xml:space="preserve">. Available at: </w:t>
      </w:r>
      <w:hyperlink r:id="rId15" w:history="1">
        <w:r w:rsidRPr="005E1C7E">
          <w:rPr>
            <w:rStyle w:val="Hyperlink"/>
            <w:rFonts w:ascii="Arial" w:hAnsi="Arial" w:cs="Arial"/>
          </w:rPr>
          <w:t>https://estyn.gov.wales/improvement-resources/effective-use-of-the-outdoor-areas-to-develop-pupils-skills-across-the-curriculum-2/</w:t>
        </w:r>
      </w:hyperlink>
      <w:r>
        <w:rPr>
          <w:rFonts w:ascii="Arial" w:hAnsi="Arial" w:cs="Arial"/>
        </w:rPr>
        <w:t xml:space="preserve"> (Accessed: 8 December 2024). </w:t>
      </w:r>
    </w:p>
    <w:p w14:paraId="379FAD50" w14:textId="77777777" w:rsidR="00131426" w:rsidRDefault="00131426" w:rsidP="00C173D6">
      <w:pPr>
        <w:rPr>
          <w:rFonts w:ascii="Arial" w:hAnsi="Arial" w:cs="Arial"/>
        </w:rPr>
      </w:pPr>
      <w:r>
        <w:rPr>
          <w:rFonts w:ascii="Arial" w:hAnsi="Arial" w:cs="Arial"/>
        </w:rPr>
        <w:t>Gray, T. (2019) ‘</w:t>
      </w:r>
      <w:r w:rsidRPr="005255B5">
        <w:rPr>
          <w:rFonts w:ascii="Arial" w:hAnsi="Arial" w:cs="Arial"/>
        </w:rPr>
        <w:t xml:space="preserve">Outdoor </w:t>
      </w:r>
      <w:r>
        <w:rPr>
          <w:rFonts w:ascii="Arial" w:hAnsi="Arial" w:cs="Arial"/>
        </w:rPr>
        <w:t>L</w:t>
      </w:r>
      <w:r w:rsidRPr="005255B5">
        <w:rPr>
          <w:rFonts w:ascii="Arial" w:hAnsi="Arial" w:cs="Arial"/>
        </w:rPr>
        <w:t xml:space="preserve">earning and </w:t>
      </w:r>
      <w:r>
        <w:rPr>
          <w:rFonts w:ascii="Arial" w:hAnsi="Arial" w:cs="Arial"/>
        </w:rPr>
        <w:t>P</w:t>
      </w:r>
      <w:r w:rsidRPr="005255B5">
        <w:rPr>
          <w:rFonts w:ascii="Arial" w:hAnsi="Arial" w:cs="Arial"/>
        </w:rPr>
        <w:t xml:space="preserve">sychological </w:t>
      </w:r>
      <w:r>
        <w:rPr>
          <w:rFonts w:ascii="Arial" w:hAnsi="Arial" w:cs="Arial"/>
        </w:rPr>
        <w:t>R</w:t>
      </w:r>
      <w:r w:rsidRPr="005255B5">
        <w:rPr>
          <w:rFonts w:ascii="Arial" w:hAnsi="Arial" w:cs="Arial"/>
        </w:rPr>
        <w:t xml:space="preserve">esilience: </w:t>
      </w:r>
      <w:r>
        <w:rPr>
          <w:rFonts w:ascii="Arial" w:hAnsi="Arial" w:cs="Arial"/>
        </w:rPr>
        <w:t>M</w:t>
      </w:r>
      <w:r w:rsidRPr="005255B5">
        <w:rPr>
          <w:rFonts w:ascii="Arial" w:hAnsi="Arial" w:cs="Arial"/>
        </w:rPr>
        <w:t xml:space="preserve">aking </w:t>
      </w:r>
      <w:r>
        <w:rPr>
          <w:rFonts w:ascii="Arial" w:hAnsi="Arial" w:cs="Arial"/>
        </w:rPr>
        <w:t>T</w:t>
      </w:r>
      <w:r w:rsidRPr="005255B5">
        <w:rPr>
          <w:rFonts w:ascii="Arial" w:hAnsi="Arial" w:cs="Arial"/>
        </w:rPr>
        <w:t xml:space="preserve">oday’s </w:t>
      </w:r>
      <w:r>
        <w:rPr>
          <w:rFonts w:ascii="Arial" w:hAnsi="Arial" w:cs="Arial"/>
        </w:rPr>
        <w:t>S</w:t>
      </w:r>
      <w:r w:rsidRPr="005255B5">
        <w:rPr>
          <w:rFonts w:ascii="Arial" w:hAnsi="Arial" w:cs="Arial"/>
        </w:rPr>
        <w:t xml:space="preserve">tudents </w:t>
      </w:r>
      <w:r>
        <w:rPr>
          <w:rFonts w:ascii="Arial" w:hAnsi="Arial" w:cs="Arial"/>
        </w:rPr>
        <w:t>B</w:t>
      </w:r>
      <w:r w:rsidRPr="005255B5">
        <w:rPr>
          <w:rFonts w:ascii="Arial" w:hAnsi="Arial" w:cs="Arial"/>
        </w:rPr>
        <w:t xml:space="preserve">etter </w:t>
      </w:r>
      <w:r>
        <w:rPr>
          <w:rFonts w:ascii="Arial" w:hAnsi="Arial" w:cs="Arial"/>
        </w:rPr>
        <w:t>P</w:t>
      </w:r>
      <w:r w:rsidRPr="005255B5">
        <w:rPr>
          <w:rFonts w:ascii="Arial" w:hAnsi="Arial" w:cs="Arial"/>
        </w:rPr>
        <w:t xml:space="preserve">repared for </w:t>
      </w:r>
      <w:r>
        <w:rPr>
          <w:rFonts w:ascii="Arial" w:hAnsi="Arial" w:cs="Arial"/>
        </w:rPr>
        <w:t>T</w:t>
      </w:r>
      <w:r w:rsidRPr="005255B5">
        <w:rPr>
          <w:rFonts w:ascii="Arial" w:hAnsi="Arial" w:cs="Arial"/>
        </w:rPr>
        <w:t xml:space="preserve">omorrow’s </w:t>
      </w:r>
      <w:r>
        <w:rPr>
          <w:rFonts w:ascii="Arial" w:hAnsi="Arial" w:cs="Arial"/>
        </w:rPr>
        <w:t>W</w:t>
      </w:r>
      <w:r w:rsidRPr="005255B5">
        <w:rPr>
          <w:rFonts w:ascii="Arial" w:hAnsi="Arial" w:cs="Arial"/>
        </w:rPr>
        <w:t>orld</w:t>
      </w:r>
      <w:r>
        <w:rPr>
          <w:rFonts w:ascii="Arial" w:hAnsi="Arial" w:cs="Arial"/>
        </w:rPr>
        <w:t xml:space="preserve">’, </w:t>
      </w:r>
      <w:r w:rsidRPr="00155519">
        <w:rPr>
          <w:rFonts w:ascii="Arial" w:hAnsi="Arial" w:cs="Arial"/>
          <w:i/>
          <w:iCs/>
        </w:rPr>
        <w:t>Curriculum Perspectives</w:t>
      </w:r>
      <w:r>
        <w:rPr>
          <w:rFonts w:ascii="Arial" w:hAnsi="Arial" w:cs="Arial"/>
        </w:rPr>
        <w:t xml:space="preserve">, 39(1), pp. 67- 72. Available at: </w:t>
      </w:r>
      <w:hyperlink r:id="rId16" w:history="1">
        <w:r w:rsidRPr="00BD0A1A">
          <w:rPr>
            <w:rStyle w:val="Hyperlink"/>
            <w:rFonts w:ascii="Arial" w:hAnsi="Arial" w:cs="Arial"/>
          </w:rPr>
          <w:t>https://www.researchgate.net/publication/332132641_Outdoor_learning_and_psychological_resilience_making_today's_students_better_prepared_for_tomorrow's_world</w:t>
        </w:r>
      </w:hyperlink>
      <w:r>
        <w:rPr>
          <w:rFonts w:ascii="Arial" w:hAnsi="Arial" w:cs="Arial"/>
        </w:rPr>
        <w:t xml:space="preserve"> (Accessed: 31 December 2024). </w:t>
      </w:r>
    </w:p>
    <w:p w14:paraId="03C89CE0" w14:textId="77777777" w:rsidR="00131426" w:rsidRDefault="00131426" w:rsidP="00C173D6">
      <w:pPr>
        <w:rPr>
          <w:rFonts w:ascii="Arial" w:hAnsi="Arial" w:cs="Arial"/>
        </w:rPr>
      </w:pPr>
      <w:r>
        <w:rPr>
          <w:rFonts w:ascii="Arial" w:hAnsi="Arial" w:cs="Arial"/>
        </w:rPr>
        <w:t xml:space="preserve">Hamilton, L. and Corbett- Whittier, C. (2013) </w:t>
      </w:r>
      <w:r w:rsidRPr="001F58CD">
        <w:rPr>
          <w:rFonts w:ascii="Arial" w:hAnsi="Arial" w:cs="Arial"/>
          <w:i/>
          <w:iCs/>
        </w:rPr>
        <w:t>Using a Case Study in Education Research</w:t>
      </w:r>
      <w:r>
        <w:rPr>
          <w:rFonts w:ascii="Arial" w:hAnsi="Arial" w:cs="Arial"/>
        </w:rPr>
        <w:t xml:space="preserve">. London: SAGE Publications Ltd. </w:t>
      </w:r>
    </w:p>
    <w:p w14:paraId="4236E370" w14:textId="77777777" w:rsidR="00131426" w:rsidRDefault="00131426" w:rsidP="00C173D6">
      <w:pPr>
        <w:rPr>
          <w:rFonts w:ascii="Arial" w:hAnsi="Arial" w:cs="Arial"/>
        </w:rPr>
      </w:pPr>
      <w:r>
        <w:rPr>
          <w:rFonts w:ascii="Arial" w:hAnsi="Arial" w:cs="Arial"/>
        </w:rPr>
        <w:t xml:space="preserve">Hancock, D. Algozzine, B. and Lim, J.H. (2021) </w:t>
      </w:r>
      <w:r w:rsidRPr="00C17B87">
        <w:rPr>
          <w:rFonts w:ascii="Arial" w:hAnsi="Arial" w:cs="Arial"/>
          <w:i/>
          <w:iCs/>
        </w:rPr>
        <w:t>Doing Case Study Research: A Practical Guide for Beginning Research.</w:t>
      </w:r>
      <w:r>
        <w:rPr>
          <w:rFonts w:ascii="Arial" w:hAnsi="Arial" w:cs="Arial"/>
        </w:rPr>
        <w:t xml:space="preserve"> 4</w:t>
      </w:r>
      <w:r w:rsidRPr="00C17B87">
        <w:rPr>
          <w:rFonts w:ascii="Arial" w:hAnsi="Arial" w:cs="Arial"/>
          <w:vertAlign w:val="superscript"/>
        </w:rPr>
        <w:t>th</w:t>
      </w:r>
      <w:r>
        <w:rPr>
          <w:rFonts w:ascii="Arial" w:hAnsi="Arial" w:cs="Arial"/>
        </w:rPr>
        <w:t xml:space="preserve"> edn. London: Teachers College Press. </w:t>
      </w:r>
    </w:p>
    <w:p w14:paraId="4EC02404" w14:textId="77777777" w:rsidR="00131426" w:rsidRDefault="00131426" w:rsidP="00C173D6">
      <w:pPr>
        <w:rPr>
          <w:rFonts w:ascii="Arial" w:hAnsi="Arial" w:cs="Arial"/>
        </w:rPr>
      </w:pPr>
      <w:r>
        <w:rPr>
          <w:rFonts w:ascii="Arial" w:hAnsi="Arial" w:cs="Arial"/>
        </w:rPr>
        <w:t>Kumar, R. (2019)</w:t>
      </w:r>
      <w:r w:rsidRPr="005A4AF8">
        <w:rPr>
          <w:rFonts w:ascii="Arial" w:hAnsi="Arial" w:cs="Arial"/>
          <w:i/>
          <w:iCs/>
        </w:rPr>
        <w:t xml:space="preserve"> Research Methodology: A Step-by-Step Guide for Beginners</w:t>
      </w:r>
      <w:r>
        <w:rPr>
          <w:rFonts w:ascii="Arial" w:hAnsi="Arial" w:cs="Arial"/>
        </w:rPr>
        <w:t>. 5</w:t>
      </w:r>
      <w:r w:rsidRPr="005A4AF8">
        <w:rPr>
          <w:rFonts w:ascii="Arial" w:hAnsi="Arial" w:cs="Arial"/>
          <w:vertAlign w:val="superscript"/>
        </w:rPr>
        <w:t>th</w:t>
      </w:r>
      <w:r>
        <w:rPr>
          <w:rFonts w:ascii="Arial" w:hAnsi="Arial" w:cs="Arial"/>
        </w:rPr>
        <w:t xml:space="preserve"> edn. London: SAGE Publications Ltd. </w:t>
      </w:r>
    </w:p>
    <w:p w14:paraId="3C328F9C" w14:textId="77777777" w:rsidR="00131426" w:rsidRDefault="00131426" w:rsidP="00C173D6">
      <w:pPr>
        <w:rPr>
          <w:rFonts w:ascii="Arial" w:hAnsi="Arial" w:cs="Arial"/>
        </w:rPr>
      </w:pPr>
      <w:r>
        <w:rPr>
          <w:rFonts w:ascii="Arial" w:hAnsi="Arial" w:cs="Arial"/>
        </w:rPr>
        <w:t xml:space="preserve">Lambert, M, (Ed), (2019) </w:t>
      </w:r>
      <w:r w:rsidRPr="00650A9E">
        <w:rPr>
          <w:rFonts w:ascii="Arial" w:hAnsi="Arial" w:cs="Arial"/>
          <w:i/>
          <w:iCs/>
        </w:rPr>
        <w:t>Practical Research Methods in Education: An Early Researcher’s Critical Guide.</w:t>
      </w:r>
      <w:r>
        <w:rPr>
          <w:rFonts w:ascii="Arial" w:hAnsi="Arial" w:cs="Arial"/>
        </w:rPr>
        <w:t xml:space="preserve"> London: Routledge. </w:t>
      </w:r>
    </w:p>
    <w:p w14:paraId="7ABC2B8F" w14:textId="77777777" w:rsidR="00131426" w:rsidRDefault="00131426" w:rsidP="00C173D6">
      <w:pPr>
        <w:rPr>
          <w:rFonts w:ascii="Arial" w:hAnsi="Arial" w:cs="Arial"/>
        </w:rPr>
      </w:pPr>
      <w:r>
        <w:rPr>
          <w:rFonts w:ascii="Arial" w:hAnsi="Arial" w:cs="Arial"/>
        </w:rPr>
        <w:t xml:space="preserve">Leavy, P. (Ed), (2020) </w:t>
      </w:r>
      <w:r w:rsidRPr="003D1208">
        <w:rPr>
          <w:rFonts w:ascii="Arial" w:hAnsi="Arial" w:cs="Arial"/>
          <w:i/>
          <w:iCs/>
        </w:rPr>
        <w:t>The Oxford Handbook of Qualitative Research</w:t>
      </w:r>
      <w:r>
        <w:rPr>
          <w:rFonts w:ascii="Arial" w:hAnsi="Arial" w:cs="Arial"/>
        </w:rPr>
        <w:t>. 2</w:t>
      </w:r>
      <w:r w:rsidRPr="003D1208">
        <w:rPr>
          <w:rFonts w:ascii="Arial" w:hAnsi="Arial" w:cs="Arial"/>
          <w:vertAlign w:val="superscript"/>
        </w:rPr>
        <w:t>nd</w:t>
      </w:r>
      <w:r>
        <w:rPr>
          <w:rFonts w:ascii="Arial" w:hAnsi="Arial" w:cs="Arial"/>
        </w:rPr>
        <w:t xml:space="preserve"> edn. United States of America: Oxford University Press. </w:t>
      </w:r>
    </w:p>
    <w:p w14:paraId="1FE00FA0" w14:textId="77777777" w:rsidR="00131426" w:rsidRDefault="00131426" w:rsidP="00C173D6">
      <w:pPr>
        <w:rPr>
          <w:rFonts w:ascii="Arial" w:hAnsi="Arial" w:cs="Arial"/>
        </w:rPr>
      </w:pPr>
      <w:r>
        <w:rPr>
          <w:rFonts w:ascii="Arial" w:hAnsi="Arial" w:cs="Arial"/>
        </w:rPr>
        <w:t xml:space="preserve">MacQuarrie, S. (2016) ‘Everyday Teaching and Outdoor Learning: Developing and Integrated Approach to School-Based Provision’, </w:t>
      </w:r>
      <w:r w:rsidRPr="00BC6D92">
        <w:rPr>
          <w:rFonts w:ascii="Arial" w:hAnsi="Arial" w:cs="Arial"/>
          <w:i/>
          <w:iCs/>
        </w:rPr>
        <w:t>International Journal of Primary, Elementary and Early Years Education</w:t>
      </w:r>
      <w:r>
        <w:rPr>
          <w:rFonts w:ascii="Arial" w:hAnsi="Arial" w:cs="Arial"/>
        </w:rPr>
        <w:t xml:space="preserve">, 46(3), pp. 345 – 361. Available at: </w:t>
      </w:r>
      <w:hyperlink r:id="rId17" w:history="1">
        <w:r w:rsidRPr="005E1C7E">
          <w:rPr>
            <w:rStyle w:val="Hyperlink"/>
            <w:rFonts w:ascii="Arial" w:hAnsi="Arial" w:cs="Arial"/>
          </w:rPr>
          <w:t>https://doi.org/10.1080/03004279.2016.1263968</w:t>
        </w:r>
      </w:hyperlink>
      <w:r>
        <w:rPr>
          <w:rFonts w:ascii="Arial" w:hAnsi="Arial" w:cs="Arial"/>
        </w:rPr>
        <w:t xml:space="preserve"> (Accessed: 7 December 2024). </w:t>
      </w:r>
    </w:p>
    <w:p w14:paraId="71C43E92" w14:textId="77777777" w:rsidR="00131426" w:rsidRDefault="00131426" w:rsidP="00C173D6">
      <w:pPr>
        <w:rPr>
          <w:rFonts w:ascii="Arial" w:hAnsi="Arial" w:cs="Arial"/>
        </w:rPr>
      </w:pPr>
      <w:r>
        <w:rPr>
          <w:rFonts w:ascii="Arial" w:hAnsi="Arial" w:cs="Arial"/>
        </w:rPr>
        <w:t xml:space="preserve">Marchant, E. et al (2019) ‘Curriculum-Based Outdoor Learning for Children Aged 9-11: A Qualitative Analysis of Pupils’ and Teachers’ Views’, </w:t>
      </w:r>
      <w:r w:rsidRPr="00DE0339">
        <w:rPr>
          <w:rFonts w:ascii="Arial" w:hAnsi="Arial" w:cs="Arial"/>
          <w:i/>
          <w:iCs/>
        </w:rPr>
        <w:t>PLoS One</w:t>
      </w:r>
      <w:r>
        <w:rPr>
          <w:rFonts w:ascii="Arial" w:hAnsi="Arial" w:cs="Arial"/>
        </w:rPr>
        <w:t xml:space="preserve">, 14(5), pp. 1 – 24. Available at: </w:t>
      </w:r>
      <w:hyperlink r:id="rId18" w:history="1">
        <w:r w:rsidRPr="005E1C7E">
          <w:rPr>
            <w:rStyle w:val="Hyperlink"/>
            <w:rFonts w:ascii="Arial" w:hAnsi="Arial" w:cs="Arial"/>
          </w:rPr>
          <w:t>https://doi.org/10.1371/journal.pone.0212242</w:t>
        </w:r>
      </w:hyperlink>
      <w:r>
        <w:rPr>
          <w:rFonts w:ascii="Arial" w:hAnsi="Arial" w:cs="Arial"/>
        </w:rPr>
        <w:t xml:space="preserve"> (Accessed: 7 December 2024). </w:t>
      </w:r>
    </w:p>
    <w:p w14:paraId="10A151E4" w14:textId="77777777" w:rsidR="00131426" w:rsidRDefault="00131426" w:rsidP="00C173D6">
      <w:pPr>
        <w:rPr>
          <w:rFonts w:ascii="Arial" w:hAnsi="Arial" w:cs="Arial"/>
        </w:rPr>
      </w:pPr>
      <w:r>
        <w:rPr>
          <w:rFonts w:ascii="Arial" w:hAnsi="Arial" w:cs="Arial"/>
        </w:rPr>
        <w:t xml:space="preserve">McAteer, M. (2013) </w:t>
      </w:r>
      <w:r w:rsidRPr="00B43042">
        <w:rPr>
          <w:rFonts w:ascii="Arial" w:hAnsi="Arial" w:cs="Arial"/>
          <w:i/>
          <w:iCs/>
        </w:rPr>
        <w:t>Action Research in Education</w:t>
      </w:r>
      <w:r>
        <w:rPr>
          <w:rFonts w:ascii="Arial" w:hAnsi="Arial" w:cs="Arial"/>
        </w:rPr>
        <w:t xml:space="preserve">. London: SAGE Publications Ltd. </w:t>
      </w:r>
    </w:p>
    <w:p w14:paraId="17CF4C35" w14:textId="77777777" w:rsidR="00131426" w:rsidRDefault="00131426" w:rsidP="00C173D6">
      <w:pPr>
        <w:rPr>
          <w:rFonts w:ascii="Arial" w:hAnsi="Arial" w:cs="Arial"/>
        </w:rPr>
      </w:pPr>
      <w:r>
        <w:rPr>
          <w:rFonts w:ascii="Arial" w:hAnsi="Arial" w:cs="Arial"/>
        </w:rPr>
        <w:t>Moir, J. and Kwansa, T. (2000) ‘</w:t>
      </w:r>
      <w:r w:rsidRPr="00437624">
        <w:rPr>
          <w:rFonts w:ascii="Arial" w:hAnsi="Arial" w:cs="Arial"/>
        </w:rPr>
        <w:t xml:space="preserve">Interviewing </w:t>
      </w:r>
      <w:r>
        <w:rPr>
          <w:rFonts w:ascii="Arial" w:hAnsi="Arial" w:cs="Arial"/>
        </w:rPr>
        <w:t>C</w:t>
      </w:r>
      <w:r w:rsidRPr="00437624">
        <w:rPr>
          <w:rFonts w:ascii="Arial" w:hAnsi="Arial" w:cs="Arial"/>
        </w:rPr>
        <w:t xml:space="preserve">hildren for the </w:t>
      </w:r>
      <w:r>
        <w:rPr>
          <w:rFonts w:ascii="Arial" w:hAnsi="Arial" w:cs="Arial"/>
        </w:rPr>
        <w:t>P</w:t>
      </w:r>
      <w:r w:rsidRPr="00437624">
        <w:rPr>
          <w:rFonts w:ascii="Arial" w:hAnsi="Arial" w:cs="Arial"/>
        </w:rPr>
        <w:t xml:space="preserve">urposes of </w:t>
      </w:r>
      <w:r>
        <w:rPr>
          <w:rFonts w:ascii="Arial" w:hAnsi="Arial" w:cs="Arial"/>
        </w:rPr>
        <w:t>R</w:t>
      </w:r>
      <w:r w:rsidRPr="00437624">
        <w:rPr>
          <w:rFonts w:ascii="Arial" w:hAnsi="Arial" w:cs="Arial"/>
        </w:rPr>
        <w:t xml:space="preserve">esearch in </w:t>
      </w:r>
      <w:r>
        <w:rPr>
          <w:rFonts w:ascii="Arial" w:hAnsi="Arial" w:cs="Arial"/>
        </w:rPr>
        <w:t>P</w:t>
      </w:r>
      <w:r w:rsidRPr="00437624">
        <w:rPr>
          <w:rFonts w:ascii="Arial" w:hAnsi="Arial" w:cs="Arial"/>
        </w:rPr>
        <w:t xml:space="preserve">rimary </w:t>
      </w:r>
      <w:r>
        <w:rPr>
          <w:rFonts w:ascii="Arial" w:hAnsi="Arial" w:cs="Arial"/>
        </w:rPr>
        <w:t>C</w:t>
      </w:r>
      <w:r w:rsidRPr="00437624">
        <w:rPr>
          <w:rFonts w:ascii="Arial" w:hAnsi="Arial" w:cs="Arial"/>
        </w:rPr>
        <w:t>are</w:t>
      </w:r>
      <w:r>
        <w:rPr>
          <w:rFonts w:ascii="Arial" w:hAnsi="Arial" w:cs="Arial"/>
        </w:rPr>
        <w:t xml:space="preserve">’, </w:t>
      </w:r>
      <w:r w:rsidRPr="00437624">
        <w:rPr>
          <w:rFonts w:ascii="Arial" w:hAnsi="Arial" w:cs="Arial"/>
          <w:i/>
          <w:iCs/>
        </w:rPr>
        <w:t>Primary Health Care Research and Development</w:t>
      </w:r>
      <w:r>
        <w:rPr>
          <w:rFonts w:ascii="Arial" w:hAnsi="Arial" w:cs="Arial"/>
        </w:rPr>
        <w:t xml:space="preserve">, 1(02), pp. 113 – 130. Available at: </w:t>
      </w:r>
      <w:hyperlink r:id="rId19" w:history="1">
        <w:r w:rsidRPr="00BD0A1A">
          <w:rPr>
            <w:rStyle w:val="Hyperlink"/>
            <w:rFonts w:ascii="Arial" w:hAnsi="Arial" w:cs="Arial"/>
          </w:rPr>
          <w:t>https://www.researchgate.net/publication/232006579_Interviewing_children_for_the_purposes_of_research_in_primary_care#:~:text=Interviewing%20can%20provide%20unique%20opportunities,of%20data%20are%20less%20valid</w:t>
        </w:r>
      </w:hyperlink>
      <w:r w:rsidRPr="00437624">
        <w:rPr>
          <w:rFonts w:ascii="Arial" w:hAnsi="Arial" w:cs="Arial"/>
        </w:rPr>
        <w:t>.</w:t>
      </w:r>
      <w:r>
        <w:rPr>
          <w:rFonts w:ascii="Arial" w:hAnsi="Arial" w:cs="Arial"/>
        </w:rPr>
        <w:t xml:space="preserve"> (Accessed: 31 December 2024). </w:t>
      </w:r>
    </w:p>
    <w:p w14:paraId="06AB3F76" w14:textId="77777777" w:rsidR="00131426" w:rsidRDefault="00131426" w:rsidP="00C173D6">
      <w:pPr>
        <w:rPr>
          <w:rFonts w:ascii="Arial" w:hAnsi="Arial" w:cs="Arial"/>
        </w:rPr>
      </w:pPr>
      <w:r>
        <w:rPr>
          <w:rFonts w:ascii="Arial" w:hAnsi="Arial" w:cs="Arial"/>
        </w:rPr>
        <w:t>Nowell, et al. (2017) ‘</w:t>
      </w:r>
      <w:r w:rsidRPr="004F13AD">
        <w:rPr>
          <w:rFonts w:ascii="Arial" w:hAnsi="Arial" w:cs="Arial"/>
        </w:rPr>
        <w:t>Thematic Analysis: Striving to Meet</w:t>
      </w:r>
      <w:r>
        <w:rPr>
          <w:rFonts w:ascii="Arial" w:hAnsi="Arial" w:cs="Arial"/>
        </w:rPr>
        <w:t xml:space="preserve"> </w:t>
      </w:r>
      <w:r w:rsidRPr="004F13AD">
        <w:rPr>
          <w:rFonts w:ascii="Arial" w:hAnsi="Arial" w:cs="Arial"/>
        </w:rPr>
        <w:t>the Trustworthiness Criteria</w:t>
      </w:r>
      <w:r>
        <w:rPr>
          <w:rFonts w:ascii="Arial" w:hAnsi="Arial" w:cs="Arial"/>
        </w:rPr>
        <w:t xml:space="preserve">’, </w:t>
      </w:r>
      <w:r w:rsidRPr="004F13AD">
        <w:rPr>
          <w:rFonts w:ascii="Arial" w:hAnsi="Arial" w:cs="Arial"/>
          <w:i/>
          <w:iCs/>
        </w:rPr>
        <w:t xml:space="preserve">International </w:t>
      </w:r>
      <w:r w:rsidRPr="004F13AD">
        <w:rPr>
          <w:rFonts w:ascii="Arial" w:hAnsi="Arial" w:cs="Arial"/>
          <w:i/>
          <w:iCs/>
        </w:rPr>
        <w:t>J</w:t>
      </w:r>
      <w:r w:rsidRPr="004F13AD">
        <w:rPr>
          <w:rFonts w:ascii="Arial" w:hAnsi="Arial" w:cs="Arial"/>
          <w:i/>
          <w:iCs/>
        </w:rPr>
        <w:t>ournal of Qualitative Methods</w:t>
      </w:r>
      <w:r>
        <w:rPr>
          <w:rFonts w:ascii="Arial" w:hAnsi="Arial" w:cs="Arial"/>
        </w:rPr>
        <w:t xml:space="preserve">, 16(1), pp. 1 – 13. Available at: </w:t>
      </w:r>
      <w:hyperlink r:id="rId20" w:history="1">
        <w:r w:rsidRPr="00BD0A1A">
          <w:rPr>
            <w:rStyle w:val="Hyperlink"/>
            <w:rFonts w:ascii="Arial" w:hAnsi="Arial" w:cs="Arial"/>
          </w:rPr>
          <w:t>https://research-ebsco-com.ezproxy.uwtsd.ac.uk/c/onvpsy/viewer/pdf/3eiuduoc4z?route=details</w:t>
        </w:r>
      </w:hyperlink>
      <w:r>
        <w:rPr>
          <w:rFonts w:ascii="Arial" w:hAnsi="Arial" w:cs="Arial"/>
        </w:rPr>
        <w:t xml:space="preserve"> (Accessed: 24 December 2024). </w:t>
      </w:r>
    </w:p>
    <w:p w14:paraId="72AE39CD" w14:textId="77777777" w:rsidR="00131426" w:rsidRDefault="00131426" w:rsidP="00C173D6">
      <w:pPr>
        <w:rPr>
          <w:rFonts w:ascii="Arial" w:hAnsi="Arial" w:cs="Arial"/>
        </w:rPr>
      </w:pPr>
      <w:r>
        <w:rPr>
          <w:rFonts w:ascii="Arial" w:hAnsi="Arial" w:cs="Arial"/>
        </w:rPr>
        <w:t>Oxford English Dictionary (2024) ‘W</w:t>
      </w:r>
      <w:r w:rsidRPr="009C111C">
        <w:rPr>
          <w:rFonts w:ascii="Arial" w:hAnsi="Arial" w:cs="Arial"/>
        </w:rPr>
        <w:t>ell-being</w:t>
      </w:r>
      <w:r>
        <w:rPr>
          <w:rFonts w:ascii="Arial" w:hAnsi="Arial" w:cs="Arial"/>
        </w:rPr>
        <w:t>’, i</w:t>
      </w:r>
      <w:r w:rsidRPr="009C111C">
        <w:rPr>
          <w:rFonts w:ascii="Arial" w:hAnsi="Arial" w:cs="Arial"/>
        </w:rPr>
        <w:t>n</w:t>
      </w:r>
      <w:r>
        <w:rPr>
          <w:rFonts w:ascii="Arial" w:hAnsi="Arial" w:cs="Arial"/>
        </w:rPr>
        <w:t>, M</w:t>
      </w:r>
      <w:r w:rsidRPr="009C111C">
        <w:rPr>
          <w:rFonts w:ascii="Arial" w:hAnsi="Arial" w:cs="Arial"/>
        </w:rPr>
        <w:t xml:space="preserve">eanings, </w:t>
      </w:r>
      <w:r>
        <w:rPr>
          <w:rFonts w:ascii="Arial" w:hAnsi="Arial" w:cs="Arial"/>
        </w:rPr>
        <w:t>E</w:t>
      </w:r>
      <w:r w:rsidRPr="009C111C">
        <w:rPr>
          <w:rFonts w:ascii="Arial" w:hAnsi="Arial" w:cs="Arial"/>
        </w:rPr>
        <w:t xml:space="preserve">tymology and </w:t>
      </w:r>
      <w:r>
        <w:rPr>
          <w:rFonts w:ascii="Arial" w:hAnsi="Arial" w:cs="Arial"/>
        </w:rPr>
        <w:t>M</w:t>
      </w:r>
      <w:r w:rsidRPr="009C111C">
        <w:rPr>
          <w:rFonts w:ascii="Arial" w:hAnsi="Arial" w:cs="Arial"/>
        </w:rPr>
        <w:t>ore</w:t>
      </w:r>
      <w:r>
        <w:rPr>
          <w:rFonts w:ascii="Arial" w:hAnsi="Arial" w:cs="Arial"/>
        </w:rPr>
        <w:t xml:space="preserve">. </w:t>
      </w:r>
      <w:r w:rsidRPr="009C111C">
        <w:rPr>
          <w:rFonts w:ascii="Arial" w:hAnsi="Arial" w:cs="Arial"/>
          <w:i/>
          <w:iCs/>
        </w:rPr>
        <w:t>Oxford English Dictionary.</w:t>
      </w:r>
      <w:r>
        <w:rPr>
          <w:rFonts w:ascii="Arial" w:hAnsi="Arial" w:cs="Arial"/>
        </w:rPr>
        <w:t xml:space="preserve"> London: Oxford University Press.</w:t>
      </w:r>
    </w:p>
    <w:p w14:paraId="20EC668F" w14:textId="77777777" w:rsidR="00131426" w:rsidRDefault="00131426" w:rsidP="00C173D6">
      <w:pPr>
        <w:rPr>
          <w:rFonts w:ascii="Arial" w:hAnsi="Arial" w:cs="Arial"/>
        </w:rPr>
      </w:pPr>
      <w:r>
        <w:rPr>
          <w:rFonts w:ascii="Arial" w:hAnsi="Arial" w:cs="Arial"/>
        </w:rPr>
        <w:t xml:space="preserve">Patchen, A. et al (2022) ‘Barriers to Children’s Outdoor Time: Teachers and Principles Experiences in Elementary Schools’, </w:t>
      </w:r>
      <w:r w:rsidRPr="009467C4">
        <w:rPr>
          <w:rFonts w:ascii="Arial" w:hAnsi="Arial" w:cs="Arial"/>
          <w:i/>
          <w:iCs/>
        </w:rPr>
        <w:t>Environmental Education Research</w:t>
      </w:r>
      <w:r>
        <w:rPr>
          <w:rFonts w:ascii="Arial" w:hAnsi="Arial" w:cs="Arial"/>
        </w:rPr>
        <w:t xml:space="preserve">, 30(1), pp. 16 – 36. Available at: </w:t>
      </w:r>
      <w:hyperlink r:id="rId21" w:history="1">
        <w:r w:rsidRPr="005E1C7E">
          <w:rPr>
            <w:rStyle w:val="Hyperlink"/>
            <w:rFonts w:ascii="Arial" w:hAnsi="Arial" w:cs="Arial"/>
          </w:rPr>
          <w:t>https://doi.org/10.1080/13504622.2022.2099530</w:t>
        </w:r>
      </w:hyperlink>
      <w:r>
        <w:rPr>
          <w:rFonts w:ascii="Arial" w:hAnsi="Arial" w:cs="Arial"/>
        </w:rPr>
        <w:t xml:space="preserve"> (Accessed: 7 December 2024). </w:t>
      </w:r>
    </w:p>
    <w:p w14:paraId="282743CF" w14:textId="77777777" w:rsidR="00131426" w:rsidRDefault="00131426" w:rsidP="00C173D6">
      <w:pPr>
        <w:rPr>
          <w:rFonts w:ascii="Arial" w:hAnsi="Arial" w:cs="Arial"/>
        </w:rPr>
      </w:pPr>
      <w:r w:rsidRPr="00FE454C">
        <w:rPr>
          <w:rFonts w:ascii="Arial" w:hAnsi="Arial" w:cs="Arial"/>
        </w:rPr>
        <w:t xml:space="preserve">Public Health Wales (2019) </w:t>
      </w:r>
      <w:r w:rsidRPr="00FE454C">
        <w:rPr>
          <w:rFonts w:ascii="Arial" w:hAnsi="Arial" w:cs="Arial"/>
          <w:i/>
          <w:iCs/>
        </w:rPr>
        <w:t>Resilience</w:t>
      </w:r>
      <w:r w:rsidRPr="00FE454C">
        <w:rPr>
          <w:rFonts w:ascii="Arial" w:hAnsi="Arial" w:cs="Arial"/>
          <w:i/>
          <w:iCs/>
        </w:rPr>
        <w:t>:</w:t>
      </w:r>
      <w:r w:rsidRPr="00FE454C">
        <w:rPr>
          <w:rFonts w:ascii="Arial" w:hAnsi="Arial" w:cs="Arial"/>
          <w:i/>
          <w:iCs/>
        </w:rPr>
        <w:t xml:space="preserve"> Understanding the </w:t>
      </w:r>
      <w:r w:rsidRPr="00FE454C">
        <w:rPr>
          <w:rFonts w:ascii="Arial" w:hAnsi="Arial" w:cs="Arial"/>
          <w:i/>
          <w:iCs/>
        </w:rPr>
        <w:t>interdependence between</w:t>
      </w:r>
      <w:r w:rsidRPr="00FE454C">
        <w:rPr>
          <w:rFonts w:ascii="Arial" w:hAnsi="Arial" w:cs="Arial"/>
          <w:i/>
          <w:iCs/>
        </w:rPr>
        <w:t xml:space="preserve"> individuals and communities</w:t>
      </w:r>
      <w:r w:rsidRPr="00FE454C">
        <w:rPr>
          <w:rFonts w:ascii="Arial" w:hAnsi="Arial" w:cs="Arial"/>
        </w:rPr>
        <w:t xml:space="preserve">. Available at: </w:t>
      </w:r>
      <w:hyperlink r:id="rId22" w:history="1">
        <w:r w:rsidRPr="00FE454C">
          <w:rPr>
            <w:rStyle w:val="Hyperlink"/>
            <w:rFonts w:ascii="Arial" w:hAnsi="Arial" w:cs="Arial"/>
          </w:rPr>
          <w:t>https://phw.nhs.wales/files/research/resilience/resilience-understanding-the-interdependence-between-individuals-and-communities/</w:t>
        </w:r>
      </w:hyperlink>
      <w:r w:rsidRPr="00FE454C">
        <w:rPr>
          <w:rFonts w:ascii="Arial" w:hAnsi="Arial" w:cs="Arial"/>
        </w:rPr>
        <w:t xml:space="preserve"> (Accessed: 31 December 2024).</w:t>
      </w:r>
      <w:r>
        <w:rPr>
          <w:rFonts w:ascii="Arial" w:hAnsi="Arial" w:cs="Arial"/>
        </w:rPr>
        <w:t xml:space="preserve"> </w:t>
      </w:r>
    </w:p>
    <w:p w14:paraId="05611719" w14:textId="77777777" w:rsidR="00131426" w:rsidRDefault="00131426" w:rsidP="00C173D6">
      <w:pPr>
        <w:rPr>
          <w:rFonts w:ascii="Arial" w:hAnsi="Arial" w:cs="Arial"/>
        </w:rPr>
      </w:pPr>
      <w:r>
        <w:rPr>
          <w:rFonts w:ascii="Arial" w:hAnsi="Arial" w:cs="Arial"/>
        </w:rPr>
        <w:t xml:space="preserve">Thomas, G. </w:t>
      </w:r>
      <w:r w:rsidRPr="00DD4C1E">
        <w:rPr>
          <w:rFonts w:ascii="Arial" w:hAnsi="Arial" w:cs="Arial"/>
          <w:i/>
          <w:iCs/>
        </w:rPr>
        <w:t>How To Do Your Research Project: A Guide for Students</w:t>
      </w:r>
      <w:r>
        <w:rPr>
          <w:rFonts w:ascii="Arial" w:hAnsi="Arial" w:cs="Arial"/>
        </w:rPr>
        <w:t>. 3</w:t>
      </w:r>
      <w:r w:rsidRPr="00DD4C1E">
        <w:rPr>
          <w:rFonts w:ascii="Arial" w:hAnsi="Arial" w:cs="Arial"/>
          <w:vertAlign w:val="superscript"/>
        </w:rPr>
        <w:t>rd</w:t>
      </w:r>
      <w:r>
        <w:rPr>
          <w:rFonts w:ascii="Arial" w:hAnsi="Arial" w:cs="Arial"/>
        </w:rPr>
        <w:t xml:space="preserve"> edn. London: SAGE Publications Ltd. </w:t>
      </w:r>
    </w:p>
    <w:p w14:paraId="78BFC4B7" w14:textId="77777777" w:rsidR="00131426" w:rsidRDefault="00131426" w:rsidP="00C173D6">
      <w:pPr>
        <w:rPr>
          <w:rFonts w:ascii="Arial" w:hAnsi="Arial" w:cs="Arial"/>
        </w:rPr>
      </w:pPr>
      <w:r>
        <w:rPr>
          <w:rFonts w:ascii="Arial" w:hAnsi="Arial" w:cs="Arial"/>
        </w:rPr>
        <w:t xml:space="preserve">University of Wales Trinity Saint David (2022) </w:t>
      </w:r>
      <w:r w:rsidRPr="007455AF">
        <w:rPr>
          <w:rFonts w:ascii="Arial" w:hAnsi="Arial" w:cs="Arial"/>
          <w:i/>
          <w:iCs/>
        </w:rPr>
        <w:t>Research Ethics &amp; Integrity Code of Practice</w:t>
      </w:r>
      <w:r>
        <w:rPr>
          <w:rFonts w:ascii="Arial" w:hAnsi="Arial" w:cs="Arial"/>
        </w:rPr>
        <w:t xml:space="preserve">. Available at: </w:t>
      </w:r>
      <w:hyperlink r:id="rId23" w:history="1">
        <w:r w:rsidRPr="00BD0A1A">
          <w:rPr>
            <w:rStyle w:val="Hyperlink"/>
            <w:rFonts w:ascii="Arial" w:hAnsi="Arial" w:cs="Arial"/>
          </w:rPr>
          <w:t>file:///C:/Users/phoeb/Downloads/REICoP-July-2022%20(1).pdf</w:t>
        </w:r>
      </w:hyperlink>
      <w:r>
        <w:rPr>
          <w:rFonts w:ascii="Arial" w:hAnsi="Arial" w:cs="Arial"/>
        </w:rPr>
        <w:t xml:space="preserve"> (Accessed: 12 December 2024). </w:t>
      </w:r>
    </w:p>
    <w:p w14:paraId="6FEA87E1" w14:textId="77777777" w:rsidR="00131426" w:rsidRDefault="00131426" w:rsidP="00C173D6">
      <w:pPr>
        <w:rPr>
          <w:rFonts w:ascii="Arial" w:hAnsi="Arial" w:cs="Arial"/>
        </w:rPr>
      </w:pPr>
      <w:r>
        <w:rPr>
          <w:rFonts w:ascii="Arial" w:hAnsi="Arial" w:cs="Arial"/>
        </w:rPr>
        <w:t xml:space="preserve">Wainwright, N. (2021) ‘The Foundation Phase in Wales, Outdoor Learning and Motor Development’, </w:t>
      </w:r>
      <w:r w:rsidRPr="00F53B3A">
        <w:rPr>
          <w:rFonts w:ascii="Arial" w:hAnsi="Arial" w:cs="Arial"/>
          <w:i/>
          <w:iCs/>
        </w:rPr>
        <w:t>Journal of Physical Education and Sport</w:t>
      </w:r>
      <w:r>
        <w:rPr>
          <w:rFonts w:ascii="Arial" w:hAnsi="Arial" w:cs="Arial"/>
        </w:rPr>
        <w:t xml:space="preserve">, 21(64), pp. 567 – 573. </w:t>
      </w:r>
      <w:r w:rsidRPr="00F53B3A">
        <w:rPr>
          <w:rFonts w:ascii="Arial" w:hAnsi="Arial" w:cs="Arial"/>
        </w:rPr>
        <w:t>DOI:10.7752/jpes.2021.s1064</w:t>
      </w:r>
      <w:r>
        <w:rPr>
          <w:rFonts w:ascii="Arial" w:hAnsi="Arial" w:cs="Arial"/>
        </w:rPr>
        <w:t xml:space="preserve">. </w:t>
      </w:r>
    </w:p>
    <w:p w14:paraId="136BB60E" w14:textId="77777777" w:rsidR="00131426" w:rsidRDefault="00131426" w:rsidP="00C173D6">
      <w:pPr>
        <w:rPr>
          <w:rFonts w:ascii="Arial" w:hAnsi="Arial" w:cs="Arial"/>
        </w:rPr>
      </w:pPr>
      <w:r>
        <w:rPr>
          <w:rFonts w:ascii="Arial" w:hAnsi="Arial" w:cs="Arial"/>
        </w:rPr>
        <w:t xml:space="preserve">Welsh Assembly Government (2005) </w:t>
      </w:r>
      <w:r w:rsidRPr="003839AF">
        <w:rPr>
          <w:rFonts w:ascii="Arial" w:hAnsi="Arial" w:cs="Arial"/>
          <w:i/>
          <w:iCs/>
        </w:rPr>
        <w:t>The Welsh Assembly Government Strategy for Sport &amp; Physical Activity</w:t>
      </w:r>
      <w:r>
        <w:rPr>
          <w:rFonts w:ascii="Arial" w:hAnsi="Arial" w:cs="Arial"/>
        </w:rPr>
        <w:t xml:space="preserve">. Available at: </w:t>
      </w:r>
      <w:hyperlink r:id="rId24" w:history="1">
        <w:r w:rsidRPr="00932EA1">
          <w:rPr>
            <w:rStyle w:val="Hyperlink"/>
            <w:rFonts w:ascii="Arial" w:hAnsi="Arial" w:cs="Arial"/>
          </w:rPr>
          <w:t>https://www.gov.wales/sites/default/files/publications/2019-06/climbing-higher.pdf</w:t>
        </w:r>
      </w:hyperlink>
      <w:r>
        <w:rPr>
          <w:rFonts w:ascii="Arial" w:hAnsi="Arial" w:cs="Arial"/>
        </w:rPr>
        <w:t xml:space="preserve"> (Accessed: 5 December 2024). </w:t>
      </w:r>
    </w:p>
    <w:p w14:paraId="2633FF8B" w14:textId="77777777" w:rsidR="00131426" w:rsidRDefault="00131426" w:rsidP="00C173D6">
      <w:pPr>
        <w:rPr>
          <w:rFonts w:ascii="Arial" w:hAnsi="Arial" w:cs="Arial"/>
        </w:rPr>
      </w:pPr>
      <w:r>
        <w:rPr>
          <w:rFonts w:ascii="Arial" w:hAnsi="Arial" w:cs="Arial"/>
        </w:rPr>
        <w:t xml:space="preserve">Welsh Assembly Government (2009) </w:t>
      </w:r>
      <w:r w:rsidRPr="00462FEB">
        <w:rPr>
          <w:rFonts w:ascii="Arial" w:hAnsi="Arial" w:cs="Arial"/>
          <w:i/>
          <w:iCs/>
        </w:rPr>
        <w:t>Foundation Phase: Outdoor Learning Handbook</w:t>
      </w:r>
      <w:r>
        <w:rPr>
          <w:rFonts w:ascii="Arial" w:hAnsi="Arial" w:cs="Arial"/>
        </w:rPr>
        <w:t xml:space="preserve">. Available at: </w:t>
      </w:r>
      <w:hyperlink r:id="rId25" w:history="1">
        <w:r w:rsidRPr="005E1C7E">
          <w:rPr>
            <w:rStyle w:val="Hyperlink"/>
            <w:rFonts w:ascii="Arial" w:hAnsi="Arial" w:cs="Arial"/>
          </w:rPr>
          <w:t>https://hwb.gov.wales/storage/fcb8539c-9be7-4883-8542-35d7b54b56f2/foundation-phase-outdoor-learning-handbook.pdf</w:t>
        </w:r>
      </w:hyperlink>
      <w:r>
        <w:rPr>
          <w:rFonts w:ascii="Arial" w:hAnsi="Arial" w:cs="Arial"/>
        </w:rPr>
        <w:t xml:space="preserve"> (Accessed: 8 December 2024). </w:t>
      </w:r>
    </w:p>
    <w:p w14:paraId="33DF43C6" w14:textId="77777777" w:rsidR="00131426" w:rsidRDefault="00131426" w:rsidP="00C173D6">
      <w:pPr>
        <w:rPr>
          <w:rFonts w:ascii="Arial" w:hAnsi="Arial" w:cs="Arial"/>
        </w:rPr>
      </w:pPr>
      <w:r>
        <w:rPr>
          <w:rFonts w:ascii="Arial" w:hAnsi="Arial" w:cs="Arial"/>
        </w:rPr>
        <w:t xml:space="preserve">Welsh Government (2020) </w:t>
      </w:r>
      <w:r w:rsidRPr="003839AF">
        <w:rPr>
          <w:rFonts w:ascii="Arial" w:hAnsi="Arial" w:cs="Arial"/>
          <w:i/>
          <w:iCs/>
        </w:rPr>
        <w:t>Area of Learning and Experience: Health and Wellbeing.</w:t>
      </w:r>
      <w:r>
        <w:rPr>
          <w:rFonts w:ascii="Arial" w:hAnsi="Arial" w:cs="Arial"/>
        </w:rPr>
        <w:t xml:space="preserve"> Available at: </w:t>
      </w:r>
      <w:hyperlink r:id="rId26" w:history="1">
        <w:r w:rsidRPr="009337FB">
          <w:rPr>
            <w:rStyle w:val="Hyperlink"/>
            <w:rFonts w:ascii="Arial" w:hAnsi="Arial" w:cs="Arial"/>
          </w:rPr>
          <w:t>https://hwb.gov.wales/curriculum-for-wales/health-and-well-being</w:t>
        </w:r>
      </w:hyperlink>
      <w:r>
        <w:rPr>
          <w:rStyle w:val="Hyperlink"/>
          <w:rFonts w:cstheme="minorHAnsi"/>
        </w:rPr>
        <w:t xml:space="preserve"> </w:t>
      </w:r>
      <w:r w:rsidRPr="009337FB">
        <w:rPr>
          <w:rStyle w:val="Hyperlink"/>
          <w:rFonts w:ascii="Arial" w:hAnsi="Arial" w:cs="Arial"/>
          <w:color w:val="000000" w:themeColor="text1"/>
          <w:u w:val="none"/>
        </w:rPr>
        <w:t>(Accessed: 5 December 2024).</w:t>
      </w:r>
      <w:r w:rsidRPr="009337FB">
        <w:rPr>
          <w:rStyle w:val="Hyperlink"/>
          <w:rFonts w:cstheme="minorHAnsi"/>
          <w:color w:val="000000" w:themeColor="text1"/>
        </w:rPr>
        <w:t xml:space="preserve"> </w:t>
      </w:r>
    </w:p>
    <w:p w14:paraId="1737D953" w14:textId="77777777" w:rsidR="00131426" w:rsidRDefault="00131426" w:rsidP="00C173D6">
      <w:pPr>
        <w:rPr>
          <w:rFonts w:ascii="Arial" w:hAnsi="Arial" w:cs="Arial"/>
        </w:rPr>
      </w:pPr>
      <w:r>
        <w:rPr>
          <w:rFonts w:ascii="Arial" w:hAnsi="Arial" w:cs="Arial"/>
        </w:rPr>
        <w:t xml:space="preserve">Welsh Government (2021) </w:t>
      </w:r>
      <w:r w:rsidRPr="0044464C">
        <w:rPr>
          <w:rFonts w:ascii="Arial" w:hAnsi="Arial" w:cs="Arial"/>
          <w:i/>
          <w:iCs/>
        </w:rPr>
        <w:t>Framework on Embedding a Whole-School Approach to Emotional and Mental Well-Being</w:t>
      </w:r>
      <w:r>
        <w:rPr>
          <w:rFonts w:ascii="Arial" w:hAnsi="Arial" w:cs="Arial"/>
        </w:rPr>
        <w:t xml:space="preserve">. GSR report no. </w:t>
      </w:r>
      <w:r w:rsidRPr="0044464C">
        <w:rPr>
          <w:rFonts w:ascii="Arial" w:hAnsi="Arial" w:cs="Arial"/>
        </w:rPr>
        <w:t>269</w:t>
      </w:r>
      <w:r>
        <w:rPr>
          <w:rFonts w:ascii="Arial" w:hAnsi="Arial" w:cs="Arial"/>
        </w:rPr>
        <w:t xml:space="preserve"> </w:t>
      </w:r>
      <w:r w:rsidRPr="0044464C">
        <w:rPr>
          <w:rFonts w:ascii="Arial" w:hAnsi="Arial" w:cs="Arial"/>
        </w:rPr>
        <w:t>/</w:t>
      </w:r>
      <w:r>
        <w:rPr>
          <w:rFonts w:ascii="Arial" w:hAnsi="Arial" w:cs="Arial"/>
        </w:rPr>
        <w:t xml:space="preserve"> </w:t>
      </w:r>
      <w:r w:rsidRPr="0044464C">
        <w:rPr>
          <w:rFonts w:ascii="Arial" w:hAnsi="Arial" w:cs="Arial"/>
        </w:rPr>
        <w:t>2021</w:t>
      </w:r>
      <w:r>
        <w:rPr>
          <w:rFonts w:ascii="Arial" w:hAnsi="Arial" w:cs="Arial"/>
        </w:rPr>
        <w:t xml:space="preserve">. Available at: </w:t>
      </w:r>
      <w:hyperlink r:id="rId27" w:history="1">
        <w:r w:rsidRPr="00E932C5">
          <w:rPr>
            <w:rStyle w:val="Hyperlink"/>
            <w:rFonts w:ascii="Arial" w:hAnsi="Arial" w:cs="Arial"/>
          </w:rPr>
          <w:t>https://www.gov.wales/sites/default/files/publications/2021-03/framework-on-embedding-a-whole-school-approach-to-emotional-and-mental-well-being.pdf</w:t>
        </w:r>
      </w:hyperlink>
      <w:r>
        <w:rPr>
          <w:rFonts w:ascii="Arial" w:hAnsi="Arial" w:cs="Arial"/>
        </w:rPr>
        <w:t xml:space="preserve"> (Accessed: 1 December 2024). </w:t>
      </w:r>
    </w:p>
    <w:p w14:paraId="54990930" w14:textId="77777777" w:rsidR="00131426" w:rsidRDefault="00131426" w:rsidP="00C173D6">
      <w:pPr>
        <w:rPr>
          <w:rStyle w:val="Hyperlink"/>
          <w:rFonts w:cstheme="minorHAnsi"/>
          <w:color w:val="000000" w:themeColor="text1"/>
        </w:rPr>
      </w:pPr>
      <w:r>
        <w:rPr>
          <w:rFonts w:ascii="Arial" w:hAnsi="Arial" w:cs="Arial"/>
        </w:rPr>
        <w:lastRenderedPageBreak/>
        <w:t xml:space="preserve">Welsh Government (2023a) </w:t>
      </w:r>
      <w:r w:rsidRPr="00514EB0">
        <w:rPr>
          <w:rFonts w:ascii="Arial" w:hAnsi="Arial" w:cs="Arial"/>
          <w:i/>
          <w:iCs/>
        </w:rPr>
        <w:t>Teaching and Learning in the Outdoors: The Current State of Outdoor Learning in Schools in Wales.</w:t>
      </w:r>
      <w:r>
        <w:rPr>
          <w:rFonts w:ascii="Arial" w:hAnsi="Arial" w:cs="Arial"/>
        </w:rPr>
        <w:t xml:space="preserve"> GSR report no. </w:t>
      </w:r>
      <w:r w:rsidRPr="00D63398">
        <w:rPr>
          <w:rFonts w:ascii="Arial" w:hAnsi="Arial" w:cs="Arial"/>
        </w:rPr>
        <w:t>76</w:t>
      </w:r>
      <w:r>
        <w:rPr>
          <w:rFonts w:ascii="Arial" w:hAnsi="Arial" w:cs="Arial"/>
        </w:rPr>
        <w:t xml:space="preserve"> </w:t>
      </w:r>
      <w:r w:rsidRPr="00D63398">
        <w:rPr>
          <w:rFonts w:ascii="Arial" w:hAnsi="Arial" w:cs="Arial"/>
        </w:rPr>
        <w:t>/</w:t>
      </w:r>
      <w:r>
        <w:rPr>
          <w:rFonts w:ascii="Arial" w:hAnsi="Arial" w:cs="Arial"/>
        </w:rPr>
        <w:t xml:space="preserve"> </w:t>
      </w:r>
      <w:r w:rsidRPr="00D63398">
        <w:rPr>
          <w:rFonts w:ascii="Arial" w:hAnsi="Arial" w:cs="Arial"/>
        </w:rPr>
        <w:t>2023</w:t>
      </w:r>
      <w:r>
        <w:rPr>
          <w:rFonts w:ascii="Arial" w:hAnsi="Arial" w:cs="Arial"/>
        </w:rPr>
        <w:t>. Available at:</w:t>
      </w:r>
      <w:r w:rsidRPr="00D63398">
        <w:t xml:space="preserve"> </w:t>
      </w:r>
      <w:hyperlink r:id="rId28" w:history="1">
        <w:r w:rsidRPr="00D63398">
          <w:rPr>
            <w:rStyle w:val="Hyperlink"/>
            <w:rFonts w:ascii="Arial" w:hAnsi="Arial" w:cs="Arial"/>
          </w:rPr>
          <w:t>https://hwb.gov.wales/api/storage/177a33a6-7c70-4843-bb63-903e70a04154/teaching-and-learning-in-the-outdoors-the-current-state-of-outdoor-learning-in-schools-in-wales.pdf</w:t>
        </w:r>
      </w:hyperlink>
      <w:r>
        <w:rPr>
          <w:rStyle w:val="Hyperlink"/>
          <w:rFonts w:cstheme="minorHAnsi"/>
        </w:rPr>
        <w:t xml:space="preserve"> </w:t>
      </w:r>
      <w:r w:rsidRPr="009C111C">
        <w:rPr>
          <w:rStyle w:val="Hyperlink"/>
          <w:rFonts w:ascii="Arial" w:hAnsi="Arial" w:cs="Arial"/>
          <w:color w:val="000000" w:themeColor="text1"/>
          <w:u w:val="none"/>
        </w:rPr>
        <w:t>(Accessed: 1 December 2024).</w:t>
      </w:r>
    </w:p>
    <w:p w14:paraId="0E024D95" w14:textId="77777777" w:rsidR="00131426" w:rsidRPr="009C111C" w:rsidRDefault="00131426" w:rsidP="00C173D6">
      <w:pPr>
        <w:rPr>
          <w:rFonts w:ascii="Arial" w:hAnsi="Arial" w:cs="Arial"/>
          <w:color w:val="000000" w:themeColor="text1"/>
        </w:rPr>
      </w:pPr>
      <w:r w:rsidRPr="009C111C">
        <w:rPr>
          <w:rStyle w:val="Hyperlink"/>
          <w:rFonts w:ascii="Arial" w:hAnsi="Arial" w:cs="Arial"/>
          <w:color w:val="000000" w:themeColor="text1"/>
          <w:u w:val="none"/>
        </w:rPr>
        <w:t xml:space="preserve">Welsh Government (2023b) </w:t>
      </w:r>
      <w:r w:rsidRPr="003839AF">
        <w:rPr>
          <w:rStyle w:val="Hyperlink"/>
          <w:rFonts w:ascii="Arial" w:hAnsi="Arial" w:cs="Arial"/>
          <w:i/>
          <w:iCs/>
          <w:color w:val="000000" w:themeColor="text1"/>
          <w:u w:val="none"/>
        </w:rPr>
        <w:t>National Professional Enquiry Project (NPEP).</w:t>
      </w:r>
      <w:r w:rsidRPr="009C111C">
        <w:rPr>
          <w:rStyle w:val="Hyperlink"/>
          <w:rFonts w:ascii="Arial" w:hAnsi="Arial" w:cs="Arial"/>
          <w:color w:val="000000" w:themeColor="text1"/>
          <w:u w:val="none"/>
        </w:rPr>
        <w:t xml:space="preserve"> Available at:</w:t>
      </w:r>
      <w:r w:rsidRPr="009C111C">
        <w:rPr>
          <w:rStyle w:val="Hyperlink"/>
          <w:rFonts w:ascii="Arial" w:hAnsi="Arial" w:cs="Arial"/>
          <w:color w:val="000000" w:themeColor="text1"/>
        </w:rPr>
        <w:t xml:space="preserve"> </w:t>
      </w:r>
      <w:hyperlink r:id="rId29" w:history="1">
        <w:r w:rsidRPr="009C111C">
          <w:rPr>
            <w:rStyle w:val="Hyperlink"/>
            <w:rFonts w:ascii="Arial" w:hAnsi="Arial" w:cs="Arial"/>
          </w:rPr>
          <w:t>https://hwb.gov.wales/professional-learning/leading-professional-learning/research-and-enquiry/national-professional-enquiry-project-npep</w:t>
        </w:r>
      </w:hyperlink>
      <w:r w:rsidRPr="009C111C">
        <w:rPr>
          <w:rStyle w:val="Hyperlink"/>
          <w:rFonts w:ascii="Arial" w:hAnsi="Arial" w:cs="Arial"/>
          <w:color w:val="000000" w:themeColor="text1"/>
          <w:u w:val="none"/>
        </w:rPr>
        <w:t xml:space="preserve"> (Accessed: 1 December 2024). </w:t>
      </w:r>
    </w:p>
    <w:p w14:paraId="09670A20" w14:textId="77777777" w:rsidR="00131426" w:rsidRDefault="00131426" w:rsidP="00C173D6">
      <w:pPr>
        <w:rPr>
          <w:rFonts w:ascii="Arial" w:hAnsi="Arial" w:cs="Arial"/>
        </w:rPr>
      </w:pPr>
      <w:r>
        <w:rPr>
          <w:rFonts w:ascii="Arial" w:hAnsi="Arial" w:cs="Arial"/>
        </w:rPr>
        <w:t xml:space="preserve">Welsh Government (2024a) </w:t>
      </w:r>
      <w:r w:rsidRPr="002227D0">
        <w:rPr>
          <w:rFonts w:ascii="Arial" w:hAnsi="Arial" w:cs="Arial"/>
          <w:i/>
          <w:iCs/>
        </w:rPr>
        <w:t>Shared Purpose: Shared Future Statutory Guidance on the Well-being of Future Generations (Wales) Act 2015</w:t>
      </w:r>
      <w:r>
        <w:rPr>
          <w:rFonts w:ascii="Arial" w:hAnsi="Arial" w:cs="Arial"/>
        </w:rPr>
        <w:t xml:space="preserve">. Available at: </w:t>
      </w:r>
      <w:hyperlink r:id="rId30" w:history="1">
        <w:r w:rsidRPr="00E932C5">
          <w:rPr>
            <w:rStyle w:val="Hyperlink"/>
            <w:rFonts w:ascii="Arial" w:hAnsi="Arial" w:cs="Arial"/>
          </w:rPr>
          <w:t>https://www.gov.wales/sites/default/files/publications/2024-07/spsf-1-core-guidance.pdf</w:t>
        </w:r>
      </w:hyperlink>
      <w:r>
        <w:rPr>
          <w:rFonts w:ascii="Arial" w:hAnsi="Arial" w:cs="Arial"/>
        </w:rPr>
        <w:t xml:space="preserve"> (Accessed: 1 December). </w:t>
      </w:r>
    </w:p>
    <w:p w14:paraId="50FC1B8E" w14:textId="77777777" w:rsidR="00131426" w:rsidRDefault="00131426" w:rsidP="00C173D6">
      <w:pPr>
        <w:rPr>
          <w:rFonts w:ascii="Arial" w:hAnsi="Arial" w:cs="Arial"/>
        </w:rPr>
      </w:pPr>
      <w:r>
        <w:rPr>
          <w:rFonts w:ascii="Arial" w:hAnsi="Arial" w:cs="Arial"/>
        </w:rPr>
        <w:t xml:space="preserve">Welsh Government (2024b) </w:t>
      </w:r>
      <w:r w:rsidRPr="00850BAB">
        <w:rPr>
          <w:rFonts w:ascii="Arial" w:hAnsi="Arial" w:cs="Arial"/>
          <w:i/>
          <w:iCs/>
        </w:rPr>
        <w:t>Wellbeing of Wales, 2024</w:t>
      </w:r>
      <w:r>
        <w:rPr>
          <w:rFonts w:ascii="Arial" w:hAnsi="Arial" w:cs="Arial"/>
        </w:rPr>
        <w:t xml:space="preserve">. Available at: </w:t>
      </w:r>
      <w:hyperlink r:id="rId31" w:history="1">
        <w:r w:rsidRPr="00E932C5">
          <w:rPr>
            <w:rStyle w:val="Hyperlink"/>
            <w:rFonts w:ascii="Arial" w:hAnsi="Arial" w:cs="Arial"/>
          </w:rPr>
          <w:t>https://www.gov.wales/sites/default/files/pdf-versions/2024/9/4/1727339452/wellbeing-wales-2024.pdf</w:t>
        </w:r>
      </w:hyperlink>
      <w:r>
        <w:rPr>
          <w:rFonts w:ascii="Arial" w:hAnsi="Arial" w:cs="Arial"/>
        </w:rPr>
        <w:t xml:space="preserve"> (Accessed: 1 December 2024). </w:t>
      </w:r>
    </w:p>
    <w:p w14:paraId="2D2A7E36" w14:textId="77777777" w:rsidR="000E2E7E" w:rsidRPr="00C173D6" w:rsidRDefault="000E2E7E" w:rsidP="000E2E7E">
      <w:pPr>
        <w:rPr>
          <w:rFonts w:ascii="Arial" w:hAnsi="Arial" w:cs="Arial"/>
          <w:b/>
          <w:bCs/>
          <w:sz w:val="28"/>
          <w:szCs w:val="28"/>
        </w:rPr>
      </w:pPr>
    </w:p>
    <w:p w14:paraId="6413DE7C" w14:textId="77777777" w:rsidR="000E2E7E" w:rsidRPr="00C173D6" w:rsidRDefault="000E2E7E" w:rsidP="000E2E7E">
      <w:pPr>
        <w:rPr>
          <w:rFonts w:ascii="Arial" w:hAnsi="Arial" w:cs="Arial"/>
          <w:b/>
          <w:bCs/>
          <w:sz w:val="28"/>
          <w:szCs w:val="28"/>
        </w:rPr>
      </w:pPr>
    </w:p>
    <w:p w14:paraId="512734CD" w14:textId="77777777" w:rsidR="000E2E7E" w:rsidRPr="00C173D6" w:rsidRDefault="000E2E7E" w:rsidP="000E2E7E">
      <w:pPr>
        <w:rPr>
          <w:rFonts w:ascii="Arial" w:hAnsi="Arial" w:cs="Arial"/>
          <w:sz w:val="16"/>
          <w:szCs w:val="16"/>
        </w:rPr>
      </w:pPr>
    </w:p>
    <w:p w14:paraId="1CD1FA79" w14:textId="1E826845" w:rsidR="000E2E7E" w:rsidRPr="00C173D6" w:rsidRDefault="000E2E7E">
      <w:pPr>
        <w:rPr>
          <w:rFonts w:ascii="Arial" w:hAnsi="Arial" w:cs="Arial"/>
          <w:sz w:val="52"/>
          <w:szCs w:val="52"/>
        </w:rPr>
      </w:pPr>
    </w:p>
    <w:sectPr w:rsidR="000E2E7E" w:rsidRPr="00C173D6">
      <w:headerReference w:type="default" r:id="rId32"/>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0A318" w14:textId="77777777" w:rsidR="009B2214" w:rsidRDefault="009B2214" w:rsidP="00C173D6">
      <w:pPr>
        <w:spacing w:after="0" w:line="240" w:lineRule="auto"/>
      </w:pPr>
      <w:r>
        <w:separator/>
      </w:r>
    </w:p>
  </w:endnote>
  <w:endnote w:type="continuationSeparator" w:id="0">
    <w:p w14:paraId="36CCE2DE" w14:textId="77777777" w:rsidR="009B2214" w:rsidRDefault="009B2214" w:rsidP="00C17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1537934563"/>
      <w:docPartObj>
        <w:docPartGallery w:val="Page Numbers (Bottom of Page)"/>
        <w:docPartUnique/>
      </w:docPartObj>
    </w:sdtPr>
    <w:sdtEndPr>
      <w:rPr>
        <w:noProof/>
      </w:rPr>
    </w:sdtEndPr>
    <w:sdtContent>
      <w:p w14:paraId="54CF0F22" w14:textId="413ECE0F" w:rsidR="00C173D6" w:rsidRPr="00C173D6" w:rsidRDefault="00C173D6">
        <w:pPr>
          <w:pStyle w:val="Footer"/>
          <w:jc w:val="right"/>
          <w:rPr>
            <w:rFonts w:ascii="Arial" w:hAnsi="Arial" w:cs="Arial"/>
          </w:rPr>
        </w:pPr>
        <w:r w:rsidRPr="00C173D6">
          <w:rPr>
            <w:rFonts w:ascii="Arial" w:hAnsi="Arial" w:cs="Arial"/>
          </w:rPr>
          <w:fldChar w:fldCharType="begin"/>
        </w:r>
        <w:r w:rsidRPr="00C173D6">
          <w:rPr>
            <w:rFonts w:ascii="Arial" w:hAnsi="Arial" w:cs="Arial"/>
          </w:rPr>
          <w:instrText xml:space="preserve"> PAGE   \* MERGEFORMAT </w:instrText>
        </w:r>
        <w:r w:rsidRPr="00C173D6">
          <w:rPr>
            <w:rFonts w:ascii="Arial" w:hAnsi="Arial" w:cs="Arial"/>
          </w:rPr>
          <w:fldChar w:fldCharType="separate"/>
        </w:r>
        <w:r w:rsidRPr="00C173D6">
          <w:rPr>
            <w:rFonts w:ascii="Arial" w:hAnsi="Arial" w:cs="Arial"/>
            <w:noProof/>
          </w:rPr>
          <w:t>2</w:t>
        </w:r>
        <w:r w:rsidRPr="00C173D6">
          <w:rPr>
            <w:rFonts w:ascii="Arial" w:hAnsi="Arial" w:cs="Arial"/>
            <w:noProof/>
          </w:rPr>
          <w:fldChar w:fldCharType="end"/>
        </w:r>
      </w:p>
    </w:sdtContent>
  </w:sdt>
  <w:p w14:paraId="0C0A51E5" w14:textId="77777777" w:rsidR="00C173D6" w:rsidRPr="00C173D6" w:rsidRDefault="00C173D6">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C1000F" w14:textId="77777777" w:rsidR="009B2214" w:rsidRDefault="009B2214" w:rsidP="00C173D6">
      <w:pPr>
        <w:spacing w:after="0" w:line="240" w:lineRule="auto"/>
      </w:pPr>
      <w:r>
        <w:separator/>
      </w:r>
    </w:p>
  </w:footnote>
  <w:footnote w:type="continuationSeparator" w:id="0">
    <w:p w14:paraId="2BC8009B" w14:textId="77777777" w:rsidR="009B2214" w:rsidRDefault="009B2214" w:rsidP="00C173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1AC282" w14:textId="0991F892" w:rsidR="00C173D6" w:rsidRPr="00C173D6" w:rsidRDefault="001146DC" w:rsidP="00C173D6">
    <w:pPr>
      <w:pStyle w:val="Header"/>
      <w:jc w:val="right"/>
      <w:rPr>
        <w:rFonts w:ascii="Arial" w:hAnsi="Arial" w:cs="Arial"/>
      </w:rPr>
    </w:pPr>
    <w:r>
      <w:rPr>
        <w:rFonts w:ascii="Arial" w:hAnsi="Arial" w:cs="Arial"/>
      </w:rPr>
      <w:t xml:space="preserve">Phoebe Preece: </w:t>
    </w:r>
    <w:r w:rsidR="00C173D6" w:rsidRPr="00C173D6">
      <w:rPr>
        <w:rFonts w:ascii="Arial" w:hAnsi="Arial" w:cs="Arial"/>
      </w:rPr>
      <w:t>2200807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006"/>
    <w:multiLevelType w:val="hybridMultilevel"/>
    <w:tmpl w:val="3FB44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BC0051"/>
    <w:multiLevelType w:val="multilevel"/>
    <w:tmpl w:val="985CA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615A09"/>
    <w:multiLevelType w:val="hybridMultilevel"/>
    <w:tmpl w:val="EA263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641DDA"/>
    <w:multiLevelType w:val="multilevel"/>
    <w:tmpl w:val="C958D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0EC7B4B"/>
    <w:multiLevelType w:val="hybridMultilevel"/>
    <w:tmpl w:val="3ECEC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C1F0F8B"/>
    <w:multiLevelType w:val="multilevel"/>
    <w:tmpl w:val="FC608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4425739">
    <w:abstractNumId w:val="3"/>
  </w:num>
  <w:num w:numId="2" w16cid:durableId="706563205">
    <w:abstractNumId w:val="5"/>
  </w:num>
  <w:num w:numId="3" w16cid:durableId="1419330321">
    <w:abstractNumId w:val="0"/>
  </w:num>
  <w:num w:numId="4" w16cid:durableId="1403521337">
    <w:abstractNumId w:val="2"/>
  </w:num>
  <w:num w:numId="5" w16cid:durableId="2003655319">
    <w:abstractNumId w:val="1"/>
  </w:num>
  <w:num w:numId="6" w16cid:durableId="76180099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06C75"/>
    <w:rsid w:val="00022BD7"/>
    <w:rsid w:val="000240D2"/>
    <w:rsid w:val="000261FB"/>
    <w:rsid w:val="000276A2"/>
    <w:rsid w:val="00027E17"/>
    <w:rsid w:val="00031C8B"/>
    <w:rsid w:val="00032D46"/>
    <w:rsid w:val="0004389A"/>
    <w:rsid w:val="00055FEA"/>
    <w:rsid w:val="000574A9"/>
    <w:rsid w:val="00061E17"/>
    <w:rsid w:val="0007037D"/>
    <w:rsid w:val="00077A1F"/>
    <w:rsid w:val="00080604"/>
    <w:rsid w:val="000A3EE7"/>
    <w:rsid w:val="000C0ADE"/>
    <w:rsid w:val="000C6187"/>
    <w:rsid w:val="000D0967"/>
    <w:rsid w:val="000E2E7E"/>
    <w:rsid w:val="001013AA"/>
    <w:rsid w:val="001028E7"/>
    <w:rsid w:val="00105592"/>
    <w:rsid w:val="00107C6F"/>
    <w:rsid w:val="001146DC"/>
    <w:rsid w:val="00121BB2"/>
    <w:rsid w:val="00121DE9"/>
    <w:rsid w:val="0012339F"/>
    <w:rsid w:val="0013079C"/>
    <w:rsid w:val="00131426"/>
    <w:rsid w:val="00134F9B"/>
    <w:rsid w:val="0014001F"/>
    <w:rsid w:val="001429B6"/>
    <w:rsid w:val="0015381A"/>
    <w:rsid w:val="00155519"/>
    <w:rsid w:val="00155FEC"/>
    <w:rsid w:val="00163A9C"/>
    <w:rsid w:val="001675AC"/>
    <w:rsid w:val="001733A5"/>
    <w:rsid w:val="0017737A"/>
    <w:rsid w:val="00180053"/>
    <w:rsid w:val="00180F23"/>
    <w:rsid w:val="001819F8"/>
    <w:rsid w:val="00191AFB"/>
    <w:rsid w:val="00191CFB"/>
    <w:rsid w:val="00193624"/>
    <w:rsid w:val="00194599"/>
    <w:rsid w:val="001A3F2E"/>
    <w:rsid w:val="001B48AB"/>
    <w:rsid w:val="001B64D9"/>
    <w:rsid w:val="001C4313"/>
    <w:rsid w:val="001D4E58"/>
    <w:rsid w:val="001E5DF3"/>
    <w:rsid w:val="001E698E"/>
    <w:rsid w:val="001F58CD"/>
    <w:rsid w:val="0020000F"/>
    <w:rsid w:val="00202358"/>
    <w:rsid w:val="00204F71"/>
    <w:rsid w:val="00211533"/>
    <w:rsid w:val="00215775"/>
    <w:rsid w:val="00222080"/>
    <w:rsid w:val="00223F49"/>
    <w:rsid w:val="00224E6F"/>
    <w:rsid w:val="002255D0"/>
    <w:rsid w:val="00226E6A"/>
    <w:rsid w:val="00232054"/>
    <w:rsid w:val="002344FF"/>
    <w:rsid w:val="002462FF"/>
    <w:rsid w:val="0026609D"/>
    <w:rsid w:val="0027765D"/>
    <w:rsid w:val="002851C7"/>
    <w:rsid w:val="002858FD"/>
    <w:rsid w:val="0028759C"/>
    <w:rsid w:val="00291756"/>
    <w:rsid w:val="00295A8E"/>
    <w:rsid w:val="002A1C39"/>
    <w:rsid w:val="002B08CB"/>
    <w:rsid w:val="002B30C6"/>
    <w:rsid w:val="002B3F47"/>
    <w:rsid w:val="002C33A9"/>
    <w:rsid w:val="002C7D47"/>
    <w:rsid w:val="002D3758"/>
    <w:rsid w:val="002D39FA"/>
    <w:rsid w:val="002D3A72"/>
    <w:rsid w:val="002E0EAB"/>
    <w:rsid w:val="00303899"/>
    <w:rsid w:val="00316525"/>
    <w:rsid w:val="00322AB7"/>
    <w:rsid w:val="003344D3"/>
    <w:rsid w:val="00355E17"/>
    <w:rsid w:val="00366884"/>
    <w:rsid w:val="00372668"/>
    <w:rsid w:val="00373549"/>
    <w:rsid w:val="003839AF"/>
    <w:rsid w:val="00397CE0"/>
    <w:rsid w:val="003A34B2"/>
    <w:rsid w:val="003A39D4"/>
    <w:rsid w:val="003A39EB"/>
    <w:rsid w:val="003A75F6"/>
    <w:rsid w:val="003A7750"/>
    <w:rsid w:val="003A77F8"/>
    <w:rsid w:val="003B1E6C"/>
    <w:rsid w:val="003B38F9"/>
    <w:rsid w:val="003C3F2F"/>
    <w:rsid w:val="003D1208"/>
    <w:rsid w:val="003D125F"/>
    <w:rsid w:val="003D230A"/>
    <w:rsid w:val="003D756D"/>
    <w:rsid w:val="003E4E26"/>
    <w:rsid w:val="003F64A4"/>
    <w:rsid w:val="00403714"/>
    <w:rsid w:val="004147F2"/>
    <w:rsid w:val="004148E6"/>
    <w:rsid w:val="00437624"/>
    <w:rsid w:val="004459B5"/>
    <w:rsid w:val="00457667"/>
    <w:rsid w:val="004623D4"/>
    <w:rsid w:val="00462FEB"/>
    <w:rsid w:val="00465966"/>
    <w:rsid w:val="00466BCA"/>
    <w:rsid w:val="00473931"/>
    <w:rsid w:val="00477B74"/>
    <w:rsid w:val="0048705C"/>
    <w:rsid w:val="004873EE"/>
    <w:rsid w:val="00487630"/>
    <w:rsid w:val="004A2A7A"/>
    <w:rsid w:val="004A3390"/>
    <w:rsid w:val="004C1B54"/>
    <w:rsid w:val="004D791B"/>
    <w:rsid w:val="004E236A"/>
    <w:rsid w:val="004E254C"/>
    <w:rsid w:val="004E3AB6"/>
    <w:rsid w:val="004E6BB7"/>
    <w:rsid w:val="004F13AD"/>
    <w:rsid w:val="00501B2C"/>
    <w:rsid w:val="00504994"/>
    <w:rsid w:val="00512008"/>
    <w:rsid w:val="005255B5"/>
    <w:rsid w:val="00536E54"/>
    <w:rsid w:val="00543588"/>
    <w:rsid w:val="0054492C"/>
    <w:rsid w:val="00554CD3"/>
    <w:rsid w:val="00561672"/>
    <w:rsid w:val="00562918"/>
    <w:rsid w:val="00571717"/>
    <w:rsid w:val="005750E8"/>
    <w:rsid w:val="005A046C"/>
    <w:rsid w:val="005A0E45"/>
    <w:rsid w:val="005A4092"/>
    <w:rsid w:val="005A4514"/>
    <w:rsid w:val="005A4AF8"/>
    <w:rsid w:val="005A7924"/>
    <w:rsid w:val="005C1830"/>
    <w:rsid w:val="005C31DB"/>
    <w:rsid w:val="005E43BE"/>
    <w:rsid w:val="005E6F6A"/>
    <w:rsid w:val="005F72A2"/>
    <w:rsid w:val="0060425F"/>
    <w:rsid w:val="00604703"/>
    <w:rsid w:val="00605B82"/>
    <w:rsid w:val="00632D89"/>
    <w:rsid w:val="00644CF8"/>
    <w:rsid w:val="00650A9E"/>
    <w:rsid w:val="00653436"/>
    <w:rsid w:val="006667D3"/>
    <w:rsid w:val="006700F8"/>
    <w:rsid w:val="00674061"/>
    <w:rsid w:val="006750EB"/>
    <w:rsid w:val="0067673E"/>
    <w:rsid w:val="00682C08"/>
    <w:rsid w:val="00693531"/>
    <w:rsid w:val="006C34E9"/>
    <w:rsid w:val="006E32AF"/>
    <w:rsid w:val="006F367E"/>
    <w:rsid w:val="006F4AEE"/>
    <w:rsid w:val="0070018B"/>
    <w:rsid w:val="00702C39"/>
    <w:rsid w:val="0070541E"/>
    <w:rsid w:val="00706E01"/>
    <w:rsid w:val="0071519F"/>
    <w:rsid w:val="0072027C"/>
    <w:rsid w:val="00725600"/>
    <w:rsid w:val="007348DD"/>
    <w:rsid w:val="007352C2"/>
    <w:rsid w:val="00736DC0"/>
    <w:rsid w:val="007418B6"/>
    <w:rsid w:val="00742F0E"/>
    <w:rsid w:val="00744ADA"/>
    <w:rsid w:val="007455AF"/>
    <w:rsid w:val="007520A9"/>
    <w:rsid w:val="007577B2"/>
    <w:rsid w:val="00762C1E"/>
    <w:rsid w:val="00764EB6"/>
    <w:rsid w:val="0076542E"/>
    <w:rsid w:val="007706A6"/>
    <w:rsid w:val="007765B8"/>
    <w:rsid w:val="007769A4"/>
    <w:rsid w:val="00793137"/>
    <w:rsid w:val="0079380E"/>
    <w:rsid w:val="007950ED"/>
    <w:rsid w:val="007A359A"/>
    <w:rsid w:val="007A4F2A"/>
    <w:rsid w:val="007B3AF9"/>
    <w:rsid w:val="007B4086"/>
    <w:rsid w:val="007B6C88"/>
    <w:rsid w:val="007B728B"/>
    <w:rsid w:val="007C2EE0"/>
    <w:rsid w:val="007C6F82"/>
    <w:rsid w:val="007D08A4"/>
    <w:rsid w:val="007E43A3"/>
    <w:rsid w:val="007E612D"/>
    <w:rsid w:val="007F18FE"/>
    <w:rsid w:val="007F2962"/>
    <w:rsid w:val="007F35F1"/>
    <w:rsid w:val="00810B68"/>
    <w:rsid w:val="00812773"/>
    <w:rsid w:val="00830197"/>
    <w:rsid w:val="00835AE4"/>
    <w:rsid w:val="00842C3D"/>
    <w:rsid w:val="00857AAD"/>
    <w:rsid w:val="00860D25"/>
    <w:rsid w:val="008632F2"/>
    <w:rsid w:val="00873F3F"/>
    <w:rsid w:val="0087734E"/>
    <w:rsid w:val="00877BD0"/>
    <w:rsid w:val="008851D1"/>
    <w:rsid w:val="008852DC"/>
    <w:rsid w:val="00886DC7"/>
    <w:rsid w:val="008900C7"/>
    <w:rsid w:val="00892071"/>
    <w:rsid w:val="008C5DE7"/>
    <w:rsid w:val="008D6066"/>
    <w:rsid w:val="008D71E6"/>
    <w:rsid w:val="008E3A3D"/>
    <w:rsid w:val="008F0B48"/>
    <w:rsid w:val="008F4BBE"/>
    <w:rsid w:val="008F5EEF"/>
    <w:rsid w:val="009024A3"/>
    <w:rsid w:val="009061C3"/>
    <w:rsid w:val="00912F9B"/>
    <w:rsid w:val="009337FB"/>
    <w:rsid w:val="0093631E"/>
    <w:rsid w:val="00940496"/>
    <w:rsid w:val="009467C4"/>
    <w:rsid w:val="00960F51"/>
    <w:rsid w:val="00962555"/>
    <w:rsid w:val="00962C03"/>
    <w:rsid w:val="009659BA"/>
    <w:rsid w:val="00965B69"/>
    <w:rsid w:val="0097107B"/>
    <w:rsid w:val="0097243C"/>
    <w:rsid w:val="0097568D"/>
    <w:rsid w:val="0098003F"/>
    <w:rsid w:val="00984964"/>
    <w:rsid w:val="00985B5F"/>
    <w:rsid w:val="009863AC"/>
    <w:rsid w:val="009926D1"/>
    <w:rsid w:val="00992B93"/>
    <w:rsid w:val="00993650"/>
    <w:rsid w:val="009943D5"/>
    <w:rsid w:val="009A0C32"/>
    <w:rsid w:val="009A383A"/>
    <w:rsid w:val="009B1889"/>
    <w:rsid w:val="009B2214"/>
    <w:rsid w:val="009B7662"/>
    <w:rsid w:val="009B78B1"/>
    <w:rsid w:val="009C111C"/>
    <w:rsid w:val="009C1C5E"/>
    <w:rsid w:val="009D2C63"/>
    <w:rsid w:val="009D31A8"/>
    <w:rsid w:val="009D7F7F"/>
    <w:rsid w:val="009E79BE"/>
    <w:rsid w:val="00A00833"/>
    <w:rsid w:val="00A029FB"/>
    <w:rsid w:val="00A10AB1"/>
    <w:rsid w:val="00A13F5F"/>
    <w:rsid w:val="00A21FDE"/>
    <w:rsid w:val="00A24446"/>
    <w:rsid w:val="00A27B3D"/>
    <w:rsid w:val="00A35680"/>
    <w:rsid w:val="00A533A7"/>
    <w:rsid w:val="00A5790F"/>
    <w:rsid w:val="00A86BC1"/>
    <w:rsid w:val="00A8728C"/>
    <w:rsid w:val="00AA0B83"/>
    <w:rsid w:val="00AA223B"/>
    <w:rsid w:val="00AA6E67"/>
    <w:rsid w:val="00AA7808"/>
    <w:rsid w:val="00AB0EE9"/>
    <w:rsid w:val="00AB5232"/>
    <w:rsid w:val="00AB5565"/>
    <w:rsid w:val="00AC2D03"/>
    <w:rsid w:val="00AC3E03"/>
    <w:rsid w:val="00AD168D"/>
    <w:rsid w:val="00AD5007"/>
    <w:rsid w:val="00AE05B5"/>
    <w:rsid w:val="00AE66A3"/>
    <w:rsid w:val="00AF0547"/>
    <w:rsid w:val="00AF3F20"/>
    <w:rsid w:val="00B009D8"/>
    <w:rsid w:val="00B14BC6"/>
    <w:rsid w:val="00B367DF"/>
    <w:rsid w:val="00B371A7"/>
    <w:rsid w:val="00B43042"/>
    <w:rsid w:val="00B44B1A"/>
    <w:rsid w:val="00B45740"/>
    <w:rsid w:val="00B610B2"/>
    <w:rsid w:val="00B7354E"/>
    <w:rsid w:val="00B87825"/>
    <w:rsid w:val="00B87AF3"/>
    <w:rsid w:val="00BB13B3"/>
    <w:rsid w:val="00BC1745"/>
    <w:rsid w:val="00BC3A3E"/>
    <w:rsid w:val="00BC6D92"/>
    <w:rsid w:val="00BD50CB"/>
    <w:rsid w:val="00BE1B27"/>
    <w:rsid w:val="00BF1A58"/>
    <w:rsid w:val="00BF2AD6"/>
    <w:rsid w:val="00C02CD2"/>
    <w:rsid w:val="00C0493E"/>
    <w:rsid w:val="00C07203"/>
    <w:rsid w:val="00C10723"/>
    <w:rsid w:val="00C13399"/>
    <w:rsid w:val="00C173D6"/>
    <w:rsid w:val="00C17B87"/>
    <w:rsid w:val="00C24A9E"/>
    <w:rsid w:val="00C24CBC"/>
    <w:rsid w:val="00C26150"/>
    <w:rsid w:val="00C30418"/>
    <w:rsid w:val="00C33487"/>
    <w:rsid w:val="00C354EB"/>
    <w:rsid w:val="00C433C4"/>
    <w:rsid w:val="00C46557"/>
    <w:rsid w:val="00C475B8"/>
    <w:rsid w:val="00C51E4C"/>
    <w:rsid w:val="00C5200F"/>
    <w:rsid w:val="00C55E6A"/>
    <w:rsid w:val="00C60F83"/>
    <w:rsid w:val="00C617D7"/>
    <w:rsid w:val="00C7109C"/>
    <w:rsid w:val="00C74DD9"/>
    <w:rsid w:val="00C8232C"/>
    <w:rsid w:val="00C87CB8"/>
    <w:rsid w:val="00C91235"/>
    <w:rsid w:val="00C91A5B"/>
    <w:rsid w:val="00CA5052"/>
    <w:rsid w:val="00CA608A"/>
    <w:rsid w:val="00CD0149"/>
    <w:rsid w:val="00CD10C1"/>
    <w:rsid w:val="00CE0890"/>
    <w:rsid w:val="00D062D1"/>
    <w:rsid w:val="00D25DB1"/>
    <w:rsid w:val="00D25FA9"/>
    <w:rsid w:val="00D26E40"/>
    <w:rsid w:val="00D33D27"/>
    <w:rsid w:val="00D41230"/>
    <w:rsid w:val="00D46024"/>
    <w:rsid w:val="00D468A3"/>
    <w:rsid w:val="00D5544A"/>
    <w:rsid w:val="00D7337A"/>
    <w:rsid w:val="00D820D2"/>
    <w:rsid w:val="00D94D49"/>
    <w:rsid w:val="00D96830"/>
    <w:rsid w:val="00DB400A"/>
    <w:rsid w:val="00DC1B51"/>
    <w:rsid w:val="00DC2C07"/>
    <w:rsid w:val="00DD4C1E"/>
    <w:rsid w:val="00DD50AF"/>
    <w:rsid w:val="00DE0339"/>
    <w:rsid w:val="00DE0861"/>
    <w:rsid w:val="00DF078E"/>
    <w:rsid w:val="00DF09B3"/>
    <w:rsid w:val="00DF1F62"/>
    <w:rsid w:val="00DF64F5"/>
    <w:rsid w:val="00E01761"/>
    <w:rsid w:val="00E15D66"/>
    <w:rsid w:val="00E2475D"/>
    <w:rsid w:val="00E26C05"/>
    <w:rsid w:val="00E42E33"/>
    <w:rsid w:val="00E5184C"/>
    <w:rsid w:val="00E5413D"/>
    <w:rsid w:val="00E57546"/>
    <w:rsid w:val="00E636B4"/>
    <w:rsid w:val="00E638E2"/>
    <w:rsid w:val="00E64383"/>
    <w:rsid w:val="00E82C53"/>
    <w:rsid w:val="00E837EF"/>
    <w:rsid w:val="00E912CD"/>
    <w:rsid w:val="00E9621D"/>
    <w:rsid w:val="00ED36F2"/>
    <w:rsid w:val="00ED5992"/>
    <w:rsid w:val="00EE64A0"/>
    <w:rsid w:val="00EF2FB8"/>
    <w:rsid w:val="00EF347D"/>
    <w:rsid w:val="00EF6231"/>
    <w:rsid w:val="00F1141B"/>
    <w:rsid w:val="00F17B82"/>
    <w:rsid w:val="00F2088A"/>
    <w:rsid w:val="00F23046"/>
    <w:rsid w:val="00F2308C"/>
    <w:rsid w:val="00F3129A"/>
    <w:rsid w:val="00F372F1"/>
    <w:rsid w:val="00F53B3A"/>
    <w:rsid w:val="00F66413"/>
    <w:rsid w:val="00F7103B"/>
    <w:rsid w:val="00F7567A"/>
    <w:rsid w:val="00F82EE5"/>
    <w:rsid w:val="00FB6F39"/>
    <w:rsid w:val="00FD053D"/>
    <w:rsid w:val="00FE1452"/>
    <w:rsid w:val="00FE454C"/>
    <w:rsid w:val="00FE57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73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73D6"/>
  </w:style>
  <w:style w:type="paragraph" w:styleId="Footer">
    <w:name w:val="footer"/>
    <w:basedOn w:val="Normal"/>
    <w:link w:val="FooterChar"/>
    <w:uiPriority w:val="99"/>
    <w:unhideWhenUsed/>
    <w:rsid w:val="00C173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73D6"/>
  </w:style>
  <w:style w:type="character" w:styleId="Hyperlink">
    <w:name w:val="Hyperlink"/>
    <w:basedOn w:val="DefaultParagraphFont"/>
    <w:uiPriority w:val="99"/>
    <w:unhideWhenUsed/>
    <w:rsid w:val="00C173D6"/>
    <w:rPr>
      <w:color w:val="467886" w:themeColor="hyperlink"/>
      <w:u w:val="single"/>
    </w:rPr>
  </w:style>
  <w:style w:type="character" w:styleId="UnresolvedMention">
    <w:name w:val="Unresolved Mention"/>
    <w:basedOn w:val="DefaultParagraphFont"/>
    <w:uiPriority w:val="99"/>
    <w:semiHidden/>
    <w:unhideWhenUsed/>
    <w:rsid w:val="00FE14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13603">
      <w:bodyDiv w:val="1"/>
      <w:marLeft w:val="0"/>
      <w:marRight w:val="0"/>
      <w:marTop w:val="0"/>
      <w:marBottom w:val="0"/>
      <w:divBdr>
        <w:top w:val="none" w:sz="0" w:space="0" w:color="auto"/>
        <w:left w:val="none" w:sz="0" w:space="0" w:color="auto"/>
        <w:bottom w:val="none" w:sz="0" w:space="0" w:color="auto"/>
        <w:right w:val="none" w:sz="0" w:space="0" w:color="auto"/>
      </w:divBdr>
    </w:div>
    <w:div w:id="229926137">
      <w:bodyDiv w:val="1"/>
      <w:marLeft w:val="0"/>
      <w:marRight w:val="0"/>
      <w:marTop w:val="0"/>
      <w:marBottom w:val="0"/>
      <w:divBdr>
        <w:top w:val="none" w:sz="0" w:space="0" w:color="auto"/>
        <w:left w:val="none" w:sz="0" w:space="0" w:color="auto"/>
        <w:bottom w:val="none" w:sz="0" w:space="0" w:color="auto"/>
        <w:right w:val="none" w:sz="0" w:space="0" w:color="auto"/>
      </w:divBdr>
    </w:div>
    <w:div w:id="387386234">
      <w:bodyDiv w:val="1"/>
      <w:marLeft w:val="0"/>
      <w:marRight w:val="0"/>
      <w:marTop w:val="0"/>
      <w:marBottom w:val="0"/>
      <w:divBdr>
        <w:top w:val="none" w:sz="0" w:space="0" w:color="auto"/>
        <w:left w:val="none" w:sz="0" w:space="0" w:color="auto"/>
        <w:bottom w:val="none" w:sz="0" w:space="0" w:color="auto"/>
        <w:right w:val="none" w:sz="0" w:space="0" w:color="auto"/>
      </w:divBdr>
    </w:div>
    <w:div w:id="424349409">
      <w:bodyDiv w:val="1"/>
      <w:marLeft w:val="0"/>
      <w:marRight w:val="0"/>
      <w:marTop w:val="0"/>
      <w:marBottom w:val="0"/>
      <w:divBdr>
        <w:top w:val="none" w:sz="0" w:space="0" w:color="auto"/>
        <w:left w:val="none" w:sz="0" w:space="0" w:color="auto"/>
        <w:bottom w:val="none" w:sz="0" w:space="0" w:color="auto"/>
        <w:right w:val="none" w:sz="0" w:space="0" w:color="auto"/>
      </w:divBdr>
    </w:div>
    <w:div w:id="721560946">
      <w:bodyDiv w:val="1"/>
      <w:marLeft w:val="0"/>
      <w:marRight w:val="0"/>
      <w:marTop w:val="0"/>
      <w:marBottom w:val="0"/>
      <w:divBdr>
        <w:top w:val="none" w:sz="0" w:space="0" w:color="auto"/>
        <w:left w:val="none" w:sz="0" w:space="0" w:color="auto"/>
        <w:bottom w:val="none" w:sz="0" w:space="0" w:color="auto"/>
        <w:right w:val="none" w:sz="0" w:space="0" w:color="auto"/>
      </w:divBdr>
    </w:div>
    <w:div w:id="777332470">
      <w:bodyDiv w:val="1"/>
      <w:marLeft w:val="0"/>
      <w:marRight w:val="0"/>
      <w:marTop w:val="0"/>
      <w:marBottom w:val="0"/>
      <w:divBdr>
        <w:top w:val="none" w:sz="0" w:space="0" w:color="auto"/>
        <w:left w:val="none" w:sz="0" w:space="0" w:color="auto"/>
        <w:bottom w:val="none" w:sz="0" w:space="0" w:color="auto"/>
        <w:right w:val="none" w:sz="0" w:space="0" w:color="auto"/>
      </w:divBdr>
    </w:div>
    <w:div w:id="933366302">
      <w:bodyDiv w:val="1"/>
      <w:marLeft w:val="0"/>
      <w:marRight w:val="0"/>
      <w:marTop w:val="0"/>
      <w:marBottom w:val="0"/>
      <w:divBdr>
        <w:top w:val="none" w:sz="0" w:space="0" w:color="auto"/>
        <w:left w:val="none" w:sz="0" w:space="0" w:color="auto"/>
        <w:bottom w:val="none" w:sz="0" w:space="0" w:color="auto"/>
        <w:right w:val="none" w:sz="0" w:space="0" w:color="auto"/>
      </w:divBdr>
    </w:div>
    <w:div w:id="1075592078">
      <w:bodyDiv w:val="1"/>
      <w:marLeft w:val="0"/>
      <w:marRight w:val="0"/>
      <w:marTop w:val="0"/>
      <w:marBottom w:val="0"/>
      <w:divBdr>
        <w:top w:val="none" w:sz="0" w:space="0" w:color="auto"/>
        <w:left w:val="none" w:sz="0" w:space="0" w:color="auto"/>
        <w:bottom w:val="none" w:sz="0" w:space="0" w:color="auto"/>
        <w:right w:val="none" w:sz="0" w:space="0" w:color="auto"/>
      </w:divBdr>
    </w:div>
    <w:div w:id="1132751252">
      <w:bodyDiv w:val="1"/>
      <w:marLeft w:val="0"/>
      <w:marRight w:val="0"/>
      <w:marTop w:val="0"/>
      <w:marBottom w:val="0"/>
      <w:divBdr>
        <w:top w:val="none" w:sz="0" w:space="0" w:color="auto"/>
        <w:left w:val="none" w:sz="0" w:space="0" w:color="auto"/>
        <w:bottom w:val="none" w:sz="0" w:space="0" w:color="auto"/>
        <w:right w:val="none" w:sz="0" w:space="0" w:color="auto"/>
      </w:divBdr>
    </w:div>
    <w:div w:id="1192767686">
      <w:bodyDiv w:val="1"/>
      <w:marLeft w:val="0"/>
      <w:marRight w:val="0"/>
      <w:marTop w:val="0"/>
      <w:marBottom w:val="0"/>
      <w:divBdr>
        <w:top w:val="none" w:sz="0" w:space="0" w:color="auto"/>
        <w:left w:val="none" w:sz="0" w:space="0" w:color="auto"/>
        <w:bottom w:val="none" w:sz="0" w:space="0" w:color="auto"/>
        <w:right w:val="none" w:sz="0" w:space="0" w:color="auto"/>
      </w:divBdr>
    </w:div>
    <w:div w:id="1195341963">
      <w:bodyDiv w:val="1"/>
      <w:marLeft w:val="0"/>
      <w:marRight w:val="0"/>
      <w:marTop w:val="0"/>
      <w:marBottom w:val="0"/>
      <w:divBdr>
        <w:top w:val="none" w:sz="0" w:space="0" w:color="auto"/>
        <w:left w:val="none" w:sz="0" w:space="0" w:color="auto"/>
        <w:bottom w:val="none" w:sz="0" w:space="0" w:color="auto"/>
        <w:right w:val="none" w:sz="0" w:space="0" w:color="auto"/>
      </w:divBdr>
    </w:div>
    <w:div w:id="1222330200">
      <w:bodyDiv w:val="1"/>
      <w:marLeft w:val="0"/>
      <w:marRight w:val="0"/>
      <w:marTop w:val="0"/>
      <w:marBottom w:val="0"/>
      <w:divBdr>
        <w:top w:val="none" w:sz="0" w:space="0" w:color="auto"/>
        <w:left w:val="none" w:sz="0" w:space="0" w:color="auto"/>
        <w:bottom w:val="none" w:sz="0" w:space="0" w:color="auto"/>
        <w:right w:val="none" w:sz="0" w:space="0" w:color="auto"/>
      </w:divBdr>
    </w:div>
    <w:div w:id="1277058864">
      <w:bodyDiv w:val="1"/>
      <w:marLeft w:val="0"/>
      <w:marRight w:val="0"/>
      <w:marTop w:val="0"/>
      <w:marBottom w:val="0"/>
      <w:divBdr>
        <w:top w:val="none" w:sz="0" w:space="0" w:color="auto"/>
        <w:left w:val="none" w:sz="0" w:space="0" w:color="auto"/>
        <w:bottom w:val="none" w:sz="0" w:space="0" w:color="auto"/>
        <w:right w:val="none" w:sz="0" w:space="0" w:color="auto"/>
      </w:divBdr>
    </w:div>
    <w:div w:id="1280063746">
      <w:bodyDiv w:val="1"/>
      <w:marLeft w:val="0"/>
      <w:marRight w:val="0"/>
      <w:marTop w:val="0"/>
      <w:marBottom w:val="0"/>
      <w:divBdr>
        <w:top w:val="none" w:sz="0" w:space="0" w:color="auto"/>
        <w:left w:val="none" w:sz="0" w:space="0" w:color="auto"/>
        <w:bottom w:val="none" w:sz="0" w:space="0" w:color="auto"/>
        <w:right w:val="none" w:sz="0" w:space="0" w:color="auto"/>
      </w:divBdr>
    </w:div>
    <w:div w:id="1453590760">
      <w:bodyDiv w:val="1"/>
      <w:marLeft w:val="0"/>
      <w:marRight w:val="0"/>
      <w:marTop w:val="0"/>
      <w:marBottom w:val="0"/>
      <w:divBdr>
        <w:top w:val="none" w:sz="0" w:space="0" w:color="auto"/>
        <w:left w:val="none" w:sz="0" w:space="0" w:color="auto"/>
        <w:bottom w:val="none" w:sz="0" w:space="0" w:color="auto"/>
        <w:right w:val="none" w:sz="0" w:space="0" w:color="auto"/>
      </w:divBdr>
    </w:div>
    <w:div w:id="1503161219">
      <w:bodyDiv w:val="1"/>
      <w:marLeft w:val="0"/>
      <w:marRight w:val="0"/>
      <w:marTop w:val="0"/>
      <w:marBottom w:val="0"/>
      <w:divBdr>
        <w:top w:val="none" w:sz="0" w:space="0" w:color="auto"/>
        <w:left w:val="none" w:sz="0" w:space="0" w:color="auto"/>
        <w:bottom w:val="none" w:sz="0" w:space="0" w:color="auto"/>
        <w:right w:val="none" w:sz="0" w:space="0" w:color="auto"/>
      </w:divBdr>
    </w:div>
    <w:div w:id="1510560386">
      <w:bodyDiv w:val="1"/>
      <w:marLeft w:val="0"/>
      <w:marRight w:val="0"/>
      <w:marTop w:val="0"/>
      <w:marBottom w:val="0"/>
      <w:divBdr>
        <w:top w:val="none" w:sz="0" w:space="0" w:color="auto"/>
        <w:left w:val="none" w:sz="0" w:space="0" w:color="auto"/>
        <w:bottom w:val="none" w:sz="0" w:space="0" w:color="auto"/>
        <w:right w:val="none" w:sz="0" w:space="0" w:color="auto"/>
      </w:divBdr>
    </w:div>
    <w:div w:id="1640039793">
      <w:bodyDiv w:val="1"/>
      <w:marLeft w:val="0"/>
      <w:marRight w:val="0"/>
      <w:marTop w:val="0"/>
      <w:marBottom w:val="0"/>
      <w:divBdr>
        <w:top w:val="none" w:sz="0" w:space="0" w:color="auto"/>
        <w:left w:val="none" w:sz="0" w:space="0" w:color="auto"/>
        <w:bottom w:val="none" w:sz="0" w:space="0" w:color="auto"/>
        <w:right w:val="none" w:sz="0" w:space="0" w:color="auto"/>
      </w:divBdr>
    </w:div>
    <w:div w:id="1776091766">
      <w:bodyDiv w:val="1"/>
      <w:marLeft w:val="0"/>
      <w:marRight w:val="0"/>
      <w:marTop w:val="0"/>
      <w:marBottom w:val="0"/>
      <w:divBdr>
        <w:top w:val="none" w:sz="0" w:space="0" w:color="auto"/>
        <w:left w:val="none" w:sz="0" w:space="0" w:color="auto"/>
        <w:bottom w:val="none" w:sz="0" w:space="0" w:color="auto"/>
        <w:right w:val="none" w:sz="0" w:space="0" w:color="auto"/>
      </w:divBdr>
    </w:div>
    <w:div w:id="1841384845">
      <w:bodyDiv w:val="1"/>
      <w:marLeft w:val="0"/>
      <w:marRight w:val="0"/>
      <w:marTop w:val="0"/>
      <w:marBottom w:val="0"/>
      <w:divBdr>
        <w:top w:val="none" w:sz="0" w:space="0" w:color="auto"/>
        <w:left w:val="none" w:sz="0" w:space="0" w:color="auto"/>
        <w:bottom w:val="none" w:sz="0" w:space="0" w:color="auto"/>
        <w:right w:val="none" w:sz="0" w:space="0" w:color="auto"/>
      </w:divBdr>
    </w:div>
    <w:div w:id="1966500344">
      <w:bodyDiv w:val="1"/>
      <w:marLeft w:val="0"/>
      <w:marRight w:val="0"/>
      <w:marTop w:val="0"/>
      <w:marBottom w:val="0"/>
      <w:divBdr>
        <w:top w:val="none" w:sz="0" w:space="0" w:color="auto"/>
        <w:left w:val="none" w:sz="0" w:space="0" w:color="auto"/>
        <w:bottom w:val="none" w:sz="0" w:space="0" w:color="auto"/>
        <w:right w:val="none" w:sz="0" w:space="0" w:color="auto"/>
      </w:divBdr>
    </w:div>
    <w:div w:id="201853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diff.ac.uk/news/view/2431870-international-study-reveals-low-levels-of-wellbeing-among-children-in-wales" TargetMode="External"/><Relationship Id="rId18" Type="http://schemas.openxmlformats.org/officeDocument/2006/relationships/hyperlink" Target="https://doi.org/10.1371/journal.pone.0212242" TargetMode="External"/><Relationship Id="rId26" Type="http://schemas.openxmlformats.org/officeDocument/2006/relationships/hyperlink" Target="https://hwb.gov.wales/curriculum-for-wales/health-and-well-being" TargetMode="External"/><Relationship Id="rId3" Type="http://schemas.openxmlformats.org/officeDocument/2006/relationships/styles" Target="styles.xml"/><Relationship Id="rId21" Type="http://schemas.openxmlformats.org/officeDocument/2006/relationships/hyperlink" Target="https://doi.org/10.1080/13504622.2022.2099530"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1191/1478088706qp063oa" TargetMode="External"/><Relationship Id="rId17" Type="http://schemas.openxmlformats.org/officeDocument/2006/relationships/hyperlink" Target="https://doi.org/10.1080/03004279.2016.1263968" TargetMode="External"/><Relationship Id="rId25" Type="http://schemas.openxmlformats.org/officeDocument/2006/relationships/hyperlink" Target="https://hwb.gov.wales/storage/fcb8539c-9be7-4883-8542-35d7b54b56f2/foundation-phase-outdoor-learning-handbook.pdf"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32132641_Outdoor_learning_and_psychological_resilience_making_today's_students_better_prepared_for_tomorrow's_world" TargetMode="External"/><Relationship Id="rId20" Type="http://schemas.openxmlformats.org/officeDocument/2006/relationships/hyperlink" Target="https://research-ebsco-com.ezproxy.uwtsd.ac.uk/c/onvpsy/viewer/pdf/3eiuduoc4z?route=details" TargetMode="External"/><Relationship Id="rId29" Type="http://schemas.openxmlformats.org/officeDocument/2006/relationships/hyperlink" Target="https://hwb.gov.wales/professional-learning/leading-professional-learning/research-and-enquiry/national-professional-enquiry-project-npe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wp-content/uploads/2024/04/Ethical-Guidelines-for-Educational-Research-5th-edition.pdf" TargetMode="External"/><Relationship Id="rId24" Type="http://schemas.openxmlformats.org/officeDocument/2006/relationships/hyperlink" Target="https://www.gov.wales/sites/default/files/publications/2019-06/climbing-higher.pdf"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styn.gov.wales/improvement-resources/effective-use-of-the-outdoor-areas-to-develop-pupils-skills-across-the-curriculum-2/" TargetMode="External"/><Relationship Id="rId23" Type="http://schemas.openxmlformats.org/officeDocument/2006/relationships/hyperlink" Target="file:///C:/Users/phoeb/Downloads/REICoP-July-2022%20(1).pdf" TargetMode="External"/><Relationship Id="rId28" Type="http://schemas.openxmlformats.org/officeDocument/2006/relationships/hyperlink" Target="https://hwb.gov.wales/api/storage/177a33a6-7c70-4843-bb63-903e70a04154/teaching-and-learning-in-the-outdoors-the-current-state-of-outdoor-learning-in-schools-in-wales.pdf" TargetMode="External"/><Relationship Id="rId10" Type="http://schemas.openxmlformats.org/officeDocument/2006/relationships/hyperlink" Target="https://doi.org/10.46743/2160-3715/2008.1573" TargetMode="External"/><Relationship Id="rId19" Type="http://schemas.openxmlformats.org/officeDocument/2006/relationships/hyperlink" Target="https://www.researchgate.net/publication/232006579_Interviewing_children_for_the_purposes_of_research_in_primary_care#:~:text=Interviewing%20can%20provide%20unique%20opportunities,of%20data%20are%20less%20valid" TargetMode="External"/><Relationship Id="rId31" Type="http://schemas.openxmlformats.org/officeDocument/2006/relationships/hyperlink" Target="https://www.gov.wales/sites/default/files/pdf-versions/2024/9/4/1727339452/wellbeing-wales-2024.pdf" TargetMode="External"/><Relationship Id="rId4" Type="http://schemas.openxmlformats.org/officeDocument/2006/relationships/settings" Target="settings.xml"/><Relationship Id="rId9" Type="http://schemas.openxmlformats.org/officeDocument/2006/relationships/hyperlink" Target="https://www.jstor.org/stable/1050091" TargetMode="External"/><Relationship Id="rId14" Type="http://schemas.openxmlformats.org/officeDocument/2006/relationships/hyperlink" Target="https://estyn.gov.wales/improvement-resources/the-use-of-the-outdoor-learning-environment-to-support-pupils-learning-and-well-being/" TargetMode="External"/><Relationship Id="rId22" Type="http://schemas.openxmlformats.org/officeDocument/2006/relationships/hyperlink" Target="https://phw.nhs.wales/files/research/resilience/resilience-understanding-the-interdependence-between-individuals-and-communities/" TargetMode="External"/><Relationship Id="rId27" Type="http://schemas.openxmlformats.org/officeDocument/2006/relationships/hyperlink" Target="https://www.gov.wales/sites/default/files/publications/2021-03/framework-on-embedding-a-whole-school-approach-to-emotional-and-mental-well-being.pdf" TargetMode="External"/><Relationship Id="rId30" Type="http://schemas.openxmlformats.org/officeDocument/2006/relationships/hyperlink" Target="https://www.gov.wales/sites/default/files/publications/2024-07/spsf-1-core-guidance.pdf"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109FF8-18FB-43BC-B38F-82EDA4E3A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6129</Words>
  <Characters>34940</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Phoebe Preece</cp:lastModifiedBy>
  <cp:revision>672</cp:revision>
  <dcterms:created xsi:type="dcterms:W3CDTF">2024-12-03T11:25:00Z</dcterms:created>
  <dcterms:modified xsi:type="dcterms:W3CDTF">2025-01-02T15:36:00Z</dcterms:modified>
</cp:coreProperties>
</file>