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085602381"/>
        <w:docPartObj>
          <w:docPartGallery w:val="Cover Pages"/>
          <w:docPartUnique/>
        </w:docPartObj>
      </w:sdtPr>
      <w:sdtEndPr>
        <w:rPr>
          <w:color w:val="auto"/>
        </w:rPr>
      </w:sdtEndPr>
      <w:sdtContent>
        <w:p w14:paraId="36263937" w14:textId="530E1E1D" w:rsidR="0028013E" w:rsidRDefault="0028013E">
          <w:pPr>
            <w:pStyle w:val="NoSpacing"/>
            <w:spacing w:before="1540" w:after="240"/>
            <w:jc w:val="center"/>
            <w:rPr>
              <w:color w:val="4472C4" w:themeColor="accent1"/>
            </w:rPr>
          </w:pPr>
          <w:r>
            <w:rPr>
              <w:noProof/>
              <w:color w:val="4472C4" w:themeColor="accent1"/>
            </w:rPr>
            <w:drawing>
              <wp:inline distT="0" distB="0" distL="0" distR="0" wp14:anchorId="1D7C5C7A" wp14:editId="46F482E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581BF1CB3204BD9BF8004CD6F5A340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36DD31C" w14:textId="04E5FBFA" w:rsidR="0028013E" w:rsidRDefault="0028013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Critically Evaluate the arguments for and against raising the Minimum age of criminal responsibility</w:t>
              </w:r>
            </w:p>
          </w:sdtContent>
        </w:sdt>
        <w:p w14:paraId="5748DB19" w14:textId="12239B00" w:rsidR="0028013E" w:rsidRDefault="0028013E">
          <w:pPr>
            <w:pStyle w:val="NoSpacing"/>
            <w:jc w:val="center"/>
            <w:rPr>
              <w:color w:val="4472C4" w:themeColor="accent1"/>
              <w:sz w:val="28"/>
              <w:szCs w:val="28"/>
            </w:rPr>
          </w:pPr>
        </w:p>
        <w:p w14:paraId="210A26B9" w14:textId="2086090F" w:rsidR="0028013E" w:rsidRDefault="0028013E">
          <w:pPr>
            <w:pStyle w:val="NoSpacing"/>
            <w:spacing w:before="480"/>
            <w:jc w:val="center"/>
            <w:rPr>
              <w:color w:val="4472C4" w:themeColor="accent1"/>
            </w:rPr>
          </w:pPr>
          <w:r>
            <w:rPr>
              <w:noProof/>
            </w:rPr>
            <mc:AlternateContent>
              <mc:Choice Requires="wps">
                <w:drawing>
                  <wp:anchor distT="0" distB="0" distL="114300" distR="114300" simplePos="0" relativeHeight="251659264" behindDoc="0" locked="0" layoutInCell="1" allowOverlap="1" wp14:anchorId="2468777F" wp14:editId="533B2EF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28970" cy="614680"/>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28970" cy="6146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7454A56" w14:textId="78C4875A" w:rsidR="0028013E" w:rsidRDefault="0028013E">
                                    <w:pPr>
                                      <w:pStyle w:val="NoSpacing"/>
                                      <w:spacing w:after="40"/>
                                      <w:jc w:val="center"/>
                                      <w:rPr>
                                        <w:caps/>
                                        <w:color w:val="4472C4" w:themeColor="accent1"/>
                                        <w:sz w:val="28"/>
                                        <w:szCs w:val="28"/>
                                      </w:rPr>
                                    </w:pPr>
                                    <w:r>
                                      <w:rPr>
                                        <w:caps/>
                                        <w:color w:val="4472C4" w:themeColor="accent1"/>
                                        <w:sz w:val="28"/>
                                        <w:szCs w:val="28"/>
                                      </w:rPr>
                                      <w:t>mOdule code: BMCJ7001</w:t>
                                    </w:r>
                                  </w:p>
                                </w:sdtContent>
                              </w:sdt>
                              <w:p w14:paraId="3841BA81" w14:textId="0DC93531" w:rsidR="0028013E" w:rsidRPr="0028013E" w:rsidRDefault="00CD68B4">
                                <w:pPr>
                                  <w:pStyle w:val="NoSpacing"/>
                                  <w:jc w:val="center"/>
                                  <w:rPr>
                                    <w:color w:val="4472C4" w:themeColor="accent1"/>
                                    <w:sz w:val="24"/>
                                    <w:szCs w:val="24"/>
                                  </w:rPr>
                                </w:pPr>
                                <w:sdt>
                                  <w:sdtPr>
                                    <w:rPr>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8013E" w:rsidRPr="0028013E">
                                      <w:rPr>
                                        <w:caps/>
                                        <w:color w:val="4472C4" w:themeColor="accent1"/>
                                        <w:sz w:val="24"/>
                                        <w:szCs w:val="24"/>
                                      </w:rPr>
                                      <w:t>student ID: 1905097</w:t>
                                    </w:r>
                                  </w:sdtContent>
                                </w:sdt>
                              </w:p>
                              <w:p w14:paraId="4C9CCB0B" w14:textId="1CDBDC97" w:rsidR="0028013E" w:rsidRPr="0028013E" w:rsidRDefault="00CD68B4">
                                <w:pPr>
                                  <w:pStyle w:val="NoSpacing"/>
                                  <w:jc w:val="center"/>
                                  <w:rPr>
                                    <w:color w:val="4472C4" w:themeColor="accent1"/>
                                    <w:sz w:val="24"/>
                                    <w:szCs w:val="24"/>
                                  </w:rPr>
                                </w:pPr>
                                <w:sdt>
                                  <w:sdtPr>
                                    <w:rPr>
                                      <w:color w:val="4472C4" w:themeColor="accent1"/>
                                      <w:sz w:val="24"/>
                                      <w:szCs w:val="24"/>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Pr>
                                        <w:color w:val="4472C4" w:themeColor="accent1"/>
                                        <w:sz w:val="24"/>
                                        <w:szCs w:val="24"/>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468777F" id="_x0000_t202" coordsize="21600,21600" o:spt="202" path="m,l,21600r21600,l21600,xe">
                    <v:stroke joinstyle="miter"/>
                    <v:path gradientshapeok="t" o:connecttype="rect"/>
                  </v:shapetype>
                  <v:shape id="Text Box 1" o:spid="_x0000_s1026" type="#_x0000_t202" style="position:absolute;left:0;text-align:left;margin-left:0;margin-top:0;width:451.1pt;height:48.4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7454A56" w14:textId="78C4875A" w:rsidR="0028013E" w:rsidRDefault="0028013E">
                              <w:pPr>
                                <w:pStyle w:val="NoSpacing"/>
                                <w:spacing w:after="40"/>
                                <w:jc w:val="center"/>
                                <w:rPr>
                                  <w:caps/>
                                  <w:color w:val="4472C4" w:themeColor="accent1"/>
                                  <w:sz w:val="28"/>
                                  <w:szCs w:val="28"/>
                                </w:rPr>
                              </w:pPr>
                              <w:r>
                                <w:rPr>
                                  <w:caps/>
                                  <w:color w:val="4472C4" w:themeColor="accent1"/>
                                  <w:sz w:val="28"/>
                                  <w:szCs w:val="28"/>
                                </w:rPr>
                                <w:t>mOdule code: BMCJ7001</w:t>
                              </w:r>
                            </w:p>
                          </w:sdtContent>
                        </w:sdt>
                        <w:p w14:paraId="3841BA81" w14:textId="0DC93531" w:rsidR="0028013E" w:rsidRPr="0028013E" w:rsidRDefault="00CD68B4">
                          <w:pPr>
                            <w:pStyle w:val="NoSpacing"/>
                            <w:jc w:val="center"/>
                            <w:rPr>
                              <w:color w:val="4472C4" w:themeColor="accent1"/>
                              <w:sz w:val="24"/>
                              <w:szCs w:val="24"/>
                            </w:rPr>
                          </w:pPr>
                          <w:sdt>
                            <w:sdtPr>
                              <w:rPr>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8013E" w:rsidRPr="0028013E">
                                <w:rPr>
                                  <w:caps/>
                                  <w:color w:val="4472C4" w:themeColor="accent1"/>
                                  <w:sz w:val="24"/>
                                  <w:szCs w:val="24"/>
                                </w:rPr>
                                <w:t>student ID: 1905097</w:t>
                              </w:r>
                            </w:sdtContent>
                          </w:sdt>
                        </w:p>
                        <w:p w14:paraId="4C9CCB0B" w14:textId="1CDBDC97" w:rsidR="0028013E" w:rsidRPr="0028013E" w:rsidRDefault="00CD68B4">
                          <w:pPr>
                            <w:pStyle w:val="NoSpacing"/>
                            <w:jc w:val="center"/>
                            <w:rPr>
                              <w:color w:val="4472C4" w:themeColor="accent1"/>
                              <w:sz w:val="24"/>
                              <w:szCs w:val="24"/>
                            </w:rPr>
                          </w:pPr>
                          <w:sdt>
                            <w:sdtPr>
                              <w:rPr>
                                <w:color w:val="4472C4" w:themeColor="accent1"/>
                                <w:sz w:val="24"/>
                                <w:szCs w:val="24"/>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Pr>
                                  <w:color w:val="4472C4" w:themeColor="accent1"/>
                                  <w:sz w:val="24"/>
                                  <w:szCs w:val="24"/>
                                </w:rPr>
                                <w:t xml:space="preserve">     </w:t>
                              </w:r>
                            </w:sdtContent>
                          </w:sdt>
                        </w:p>
                      </w:txbxContent>
                    </v:textbox>
                    <w10:wrap anchorx="margin" anchory="page"/>
                  </v:shape>
                </w:pict>
              </mc:Fallback>
            </mc:AlternateContent>
          </w:r>
          <w:r>
            <w:rPr>
              <w:noProof/>
              <w:color w:val="4472C4" w:themeColor="accent1"/>
            </w:rPr>
            <w:drawing>
              <wp:inline distT="0" distB="0" distL="0" distR="0" wp14:anchorId="71180BFC" wp14:editId="4290ABD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752C981" w14:textId="2AD1F0C2" w:rsidR="0028013E" w:rsidRDefault="0028013E">
          <w:r>
            <w:br w:type="page"/>
          </w:r>
        </w:p>
      </w:sdtContent>
    </w:sdt>
    <w:p w14:paraId="31079C5D"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lastRenderedPageBreak/>
        <w:t xml:space="preserve">The Minimum Age of Criminal Responsibility is the minimum age a child can be arrested for a criminal offence (Youth Justice Department, 2022). The current Minimum Age of Criminal Responsibility, identified by the (Crown Prosecution Service (b),2022) in England and Wales is 10 years old. The setting of a 10 years old to be the minimum age for criminal responsibility was back in 1998. </w:t>
      </w:r>
      <w:proofErr w:type="gramStart"/>
      <w:r w:rsidRPr="0028013E">
        <w:rPr>
          <w:rFonts w:ascii="Arial" w:eastAsia="Times New Roman" w:hAnsi="Arial" w:cs="Arial"/>
          <w:color w:val="000000"/>
          <w:sz w:val="24"/>
          <w:szCs w:val="24"/>
          <w:lang w:eastAsia="en-GB"/>
        </w:rPr>
        <w:t>However</w:t>
      </w:r>
      <w:proofErr w:type="gramEnd"/>
      <w:r w:rsidRPr="0028013E">
        <w:rPr>
          <w:rFonts w:ascii="Arial" w:eastAsia="Times New Roman" w:hAnsi="Arial" w:cs="Arial"/>
          <w:color w:val="000000"/>
          <w:sz w:val="24"/>
          <w:szCs w:val="24"/>
          <w:lang w:eastAsia="en-GB"/>
        </w:rPr>
        <w:t xml:space="preserve"> many believe that this age is too young to know what they are doing, and some believe this age is too lenient and believe this should be lowered. In multiple other international </w:t>
      </w:r>
      <w:proofErr w:type="gramStart"/>
      <w:r w:rsidRPr="0028013E">
        <w:rPr>
          <w:rFonts w:ascii="Arial" w:eastAsia="Times New Roman" w:hAnsi="Arial" w:cs="Arial"/>
          <w:color w:val="000000"/>
          <w:sz w:val="24"/>
          <w:szCs w:val="24"/>
          <w:lang w:eastAsia="en-GB"/>
        </w:rPr>
        <w:t>countries</w:t>
      </w:r>
      <w:proofErr w:type="gramEnd"/>
      <w:r w:rsidRPr="0028013E">
        <w:rPr>
          <w:rFonts w:ascii="Arial" w:eastAsia="Times New Roman" w:hAnsi="Arial" w:cs="Arial"/>
          <w:color w:val="000000"/>
          <w:sz w:val="24"/>
          <w:szCs w:val="24"/>
          <w:lang w:eastAsia="en-GB"/>
        </w:rPr>
        <w:t xml:space="preserve"> the ages of criminal liability are different. In their article (Gonzalez-tapia and </w:t>
      </w:r>
      <w:proofErr w:type="spellStart"/>
      <w:r w:rsidRPr="0028013E">
        <w:rPr>
          <w:rFonts w:ascii="Arial" w:eastAsia="Times New Roman" w:hAnsi="Arial" w:cs="Arial"/>
          <w:color w:val="000000"/>
          <w:sz w:val="24"/>
          <w:szCs w:val="24"/>
          <w:lang w:eastAsia="en-GB"/>
        </w:rPr>
        <w:t>Obsuth</w:t>
      </w:r>
      <w:proofErr w:type="spellEnd"/>
      <w:r w:rsidRPr="0028013E">
        <w:rPr>
          <w:rFonts w:ascii="Arial" w:eastAsia="Times New Roman" w:hAnsi="Arial" w:cs="Arial"/>
          <w:color w:val="000000"/>
          <w:sz w:val="24"/>
          <w:szCs w:val="24"/>
          <w:lang w:eastAsia="en-GB"/>
        </w:rPr>
        <w:t xml:space="preserve">, 2015) identified that scientific evidence shows that both Biological and Psychological factors play a part in acts of criminal behaviour and antisocial behaviour. The UK criminal Justice system is made up of 4 main parts. These being the Police, The Prosecution, The </w:t>
      </w:r>
      <w:proofErr w:type="gramStart"/>
      <w:r w:rsidRPr="0028013E">
        <w:rPr>
          <w:rFonts w:ascii="Arial" w:eastAsia="Times New Roman" w:hAnsi="Arial" w:cs="Arial"/>
          <w:color w:val="000000"/>
          <w:sz w:val="24"/>
          <w:szCs w:val="24"/>
          <w:lang w:eastAsia="en-GB"/>
        </w:rPr>
        <w:t>courts</w:t>
      </w:r>
      <w:proofErr w:type="gramEnd"/>
      <w:r w:rsidRPr="0028013E">
        <w:rPr>
          <w:rFonts w:ascii="Arial" w:eastAsia="Times New Roman" w:hAnsi="Arial" w:cs="Arial"/>
          <w:color w:val="000000"/>
          <w:sz w:val="24"/>
          <w:szCs w:val="24"/>
          <w:lang w:eastAsia="en-GB"/>
        </w:rPr>
        <w:t xml:space="preserve"> and the prisons (The Centre for Crime and Justice Studies, 2022). This document aims to identify and evaluate the reasons for and against raising the minimum age of criminal liability within the criminal Justice System. </w:t>
      </w:r>
    </w:p>
    <w:p w14:paraId="0C065D5A"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There are many arguments that are both for raising the minimum age and against raising the minimum age. One augment that is for raising the minimum age is, that children at the age of 10 years old are not fully developed. There was a system called </w:t>
      </w:r>
      <w:proofErr w:type="spellStart"/>
      <w:r w:rsidRPr="0028013E">
        <w:rPr>
          <w:rFonts w:ascii="Arial" w:eastAsia="Times New Roman" w:hAnsi="Arial" w:cs="Arial"/>
          <w:color w:val="000000"/>
          <w:sz w:val="24"/>
          <w:szCs w:val="24"/>
          <w:lang w:eastAsia="en-GB"/>
        </w:rPr>
        <w:t>Doli</w:t>
      </w:r>
      <w:proofErr w:type="spellEnd"/>
      <w:r w:rsidRPr="0028013E">
        <w:rPr>
          <w:rFonts w:ascii="Arial" w:eastAsia="Times New Roman" w:hAnsi="Arial" w:cs="Arial"/>
          <w:color w:val="000000"/>
          <w:sz w:val="24"/>
          <w:szCs w:val="24"/>
          <w:lang w:eastAsia="en-GB"/>
        </w:rPr>
        <w:t xml:space="preserve"> Incapax put in place to deal with youth offenders. </w:t>
      </w:r>
      <w:proofErr w:type="spellStart"/>
      <w:r w:rsidRPr="0028013E">
        <w:rPr>
          <w:rFonts w:ascii="Arial" w:eastAsia="Times New Roman" w:hAnsi="Arial" w:cs="Arial"/>
          <w:color w:val="000000"/>
          <w:sz w:val="24"/>
          <w:szCs w:val="24"/>
          <w:lang w:eastAsia="en-GB"/>
        </w:rPr>
        <w:t>Pierpoint</w:t>
      </w:r>
      <w:proofErr w:type="spellEnd"/>
      <w:r w:rsidRPr="0028013E">
        <w:rPr>
          <w:rFonts w:ascii="Arial" w:eastAsia="Times New Roman" w:hAnsi="Arial" w:cs="Arial"/>
          <w:color w:val="000000"/>
          <w:sz w:val="24"/>
          <w:szCs w:val="24"/>
          <w:lang w:eastAsia="en-GB"/>
        </w:rPr>
        <w:t xml:space="preserve"> (2021) identifies </w:t>
      </w:r>
      <w:proofErr w:type="spellStart"/>
      <w:r w:rsidRPr="0028013E">
        <w:rPr>
          <w:rFonts w:ascii="Arial" w:eastAsia="Times New Roman" w:hAnsi="Arial" w:cs="Arial"/>
          <w:color w:val="000000"/>
          <w:sz w:val="24"/>
          <w:szCs w:val="24"/>
          <w:lang w:eastAsia="en-GB"/>
        </w:rPr>
        <w:t>Doli</w:t>
      </w:r>
      <w:proofErr w:type="spellEnd"/>
      <w:r w:rsidRPr="0028013E">
        <w:rPr>
          <w:rFonts w:ascii="Arial" w:eastAsia="Times New Roman" w:hAnsi="Arial" w:cs="Arial"/>
          <w:color w:val="000000"/>
          <w:sz w:val="24"/>
          <w:szCs w:val="24"/>
          <w:lang w:eastAsia="en-GB"/>
        </w:rPr>
        <w:t xml:space="preserve"> incapax as the children between the ages of 10-14 were assumed to be incapable of committing a serious offence, unless it was proven by prosecution that the child knew what they were doing was seriously wrong and no naughty. This was abolished in 1998. This evidently suggests that before 1998 the prosecution would have to prove that a child knew what they were doing before they went through the criminal justice system. It was identified by Taylor (2016, p.6) that the </w:t>
      </w:r>
      <w:r w:rsidRPr="0028013E">
        <w:rPr>
          <w:rFonts w:ascii="Arial" w:eastAsia="Times New Roman" w:hAnsi="Arial" w:cs="Arial"/>
          <w:color w:val="000000"/>
          <w:sz w:val="24"/>
          <w:szCs w:val="24"/>
          <w:lang w:eastAsia="en-GB"/>
        </w:rPr>
        <w:lastRenderedPageBreak/>
        <w:t xml:space="preserve">Youth Justice System was introduced in 1998 due to youth offenders not being dealt within a systematic way. This suggests that this was placed as a </w:t>
      </w:r>
      <w:proofErr w:type="gramStart"/>
      <w:r w:rsidRPr="0028013E">
        <w:rPr>
          <w:rFonts w:ascii="Arial" w:eastAsia="Times New Roman" w:hAnsi="Arial" w:cs="Arial"/>
          <w:color w:val="000000"/>
          <w:sz w:val="24"/>
          <w:szCs w:val="24"/>
          <w:lang w:eastAsia="en-GB"/>
        </w:rPr>
        <w:t>step by step</w:t>
      </w:r>
      <w:proofErr w:type="gramEnd"/>
      <w:r w:rsidRPr="0028013E">
        <w:rPr>
          <w:rFonts w:ascii="Arial" w:eastAsia="Times New Roman" w:hAnsi="Arial" w:cs="Arial"/>
          <w:color w:val="000000"/>
          <w:sz w:val="24"/>
          <w:szCs w:val="24"/>
          <w:lang w:eastAsia="en-GB"/>
        </w:rPr>
        <w:t xml:space="preserve"> guide on how to deal with youth offenders correctly. Although this was put in place it has helped in ensuring youth offenders are dealt with in a lawful manner, however the age that was put in place as the minimum age of criminal responsibility is </w:t>
      </w:r>
      <w:proofErr w:type="gramStart"/>
      <w:r w:rsidRPr="0028013E">
        <w:rPr>
          <w:rFonts w:ascii="Arial" w:eastAsia="Times New Roman" w:hAnsi="Arial" w:cs="Arial"/>
          <w:color w:val="000000"/>
          <w:sz w:val="24"/>
          <w:szCs w:val="24"/>
          <w:lang w:eastAsia="en-GB"/>
        </w:rPr>
        <w:t>fairly low</w:t>
      </w:r>
      <w:proofErr w:type="gramEnd"/>
      <w:r w:rsidRPr="0028013E">
        <w:rPr>
          <w:rFonts w:ascii="Arial" w:eastAsia="Times New Roman" w:hAnsi="Arial" w:cs="Arial"/>
          <w:color w:val="000000"/>
          <w:sz w:val="24"/>
          <w:szCs w:val="24"/>
          <w:lang w:eastAsia="en-GB"/>
        </w:rPr>
        <w:t xml:space="preserve"> and some believe it should be increased. </w:t>
      </w:r>
    </w:p>
    <w:p w14:paraId="6B37F6B2"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The Parliamentary Office of Science and Technology (2018, p.1) identifies that children’s brains are not developed fully and that they are immature at the age of 10 years old. But some may argue that at 10 years a child’s brain is developed enough to know what’s wrong and what’s right. The James Bulger case is a case that has people believing different things. The House of Lords (1997) states that During this case Venables and Thompson, both 10 and a half years old, abducted, tortured and murdered </w:t>
      </w:r>
      <w:proofErr w:type="gramStart"/>
      <w:r w:rsidRPr="0028013E">
        <w:rPr>
          <w:rFonts w:ascii="Arial" w:eastAsia="Times New Roman" w:hAnsi="Arial" w:cs="Arial"/>
          <w:color w:val="000000"/>
          <w:sz w:val="24"/>
          <w:szCs w:val="24"/>
          <w:lang w:eastAsia="en-GB"/>
        </w:rPr>
        <w:t>2 year old</w:t>
      </w:r>
      <w:proofErr w:type="gramEnd"/>
      <w:r w:rsidRPr="0028013E">
        <w:rPr>
          <w:rFonts w:ascii="Arial" w:eastAsia="Times New Roman" w:hAnsi="Arial" w:cs="Arial"/>
          <w:color w:val="000000"/>
          <w:sz w:val="24"/>
          <w:szCs w:val="24"/>
          <w:lang w:eastAsia="en-GB"/>
        </w:rPr>
        <w:t xml:space="preserve"> James Bulger. Roberts (2014) identified that this case had a big impact on the world as it was broadcasted worldwide. This may suggest that many believe that 10 years old is a very young age to be conducting a murder. </w:t>
      </w:r>
      <w:proofErr w:type="gramStart"/>
      <w:r w:rsidRPr="0028013E">
        <w:rPr>
          <w:rFonts w:ascii="Arial" w:eastAsia="Times New Roman" w:hAnsi="Arial" w:cs="Arial"/>
          <w:color w:val="000000"/>
          <w:sz w:val="24"/>
          <w:szCs w:val="24"/>
          <w:lang w:eastAsia="en-GB"/>
        </w:rPr>
        <w:t>However</w:t>
      </w:r>
      <w:proofErr w:type="gramEnd"/>
      <w:r w:rsidRPr="0028013E">
        <w:rPr>
          <w:rFonts w:ascii="Arial" w:eastAsia="Times New Roman" w:hAnsi="Arial" w:cs="Arial"/>
          <w:color w:val="000000"/>
          <w:sz w:val="24"/>
          <w:szCs w:val="24"/>
          <w:lang w:eastAsia="en-GB"/>
        </w:rPr>
        <w:t xml:space="preserve"> they may also be questioning whether the age of criminal responsibility should be raised. </w:t>
      </w:r>
    </w:p>
    <w:p w14:paraId="5D0002EC"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Another case that could be argued against is the Logan Mwangi case. It was identified (South Wales Police, 2022) that Logan Mwangi was murdered by his </w:t>
      </w:r>
      <w:proofErr w:type="gramStart"/>
      <w:r w:rsidRPr="0028013E">
        <w:rPr>
          <w:rFonts w:ascii="Arial" w:eastAsia="Times New Roman" w:hAnsi="Arial" w:cs="Arial"/>
          <w:color w:val="000000"/>
          <w:sz w:val="24"/>
          <w:szCs w:val="24"/>
          <w:lang w:eastAsia="en-GB"/>
        </w:rPr>
        <w:t>Mother</w:t>
      </w:r>
      <w:proofErr w:type="gramEnd"/>
      <w:r w:rsidRPr="0028013E">
        <w:rPr>
          <w:rFonts w:ascii="Arial" w:eastAsia="Times New Roman" w:hAnsi="Arial" w:cs="Arial"/>
          <w:color w:val="000000"/>
          <w:sz w:val="24"/>
          <w:szCs w:val="24"/>
          <w:lang w:eastAsia="en-GB"/>
        </w:rPr>
        <w:t xml:space="preserve">, </w:t>
      </w:r>
      <w:proofErr w:type="spellStart"/>
      <w:r w:rsidRPr="0028013E">
        <w:rPr>
          <w:rFonts w:ascii="Arial" w:eastAsia="Times New Roman" w:hAnsi="Arial" w:cs="Arial"/>
          <w:color w:val="000000"/>
          <w:sz w:val="24"/>
          <w:szCs w:val="24"/>
          <w:lang w:eastAsia="en-GB"/>
        </w:rPr>
        <w:t>Jonh</w:t>
      </w:r>
      <w:proofErr w:type="spellEnd"/>
      <w:r w:rsidRPr="0028013E">
        <w:rPr>
          <w:rFonts w:ascii="Arial" w:eastAsia="Times New Roman" w:hAnsi="Arial" w:cs="Arial"/>
          <w:color w:val="000000"/>
          <w:sz w:val="24"/>
          <w:szCs w:val="24"/>
          <w:lang w:eastAsia="en-GB"/>
        </w:rPr>
        <w:t xml:space="preserve"> Cole and a 14 year old boy. The </w:t>
      </w:r>
      <w:proofErr w:type="gramStart"/>
      <w:r w:rsidRPr="0028013E">
        <w:rPr>
          <w:rFonts w:ascii="Arial" w:eastAsia="Times New Roman" w:hAnsi="Arial" w:cs="Arial"/>
          <w:color w:val="000000"/>
          <w:sz w:val="24"/>
          <w:szCs w:val="24"/>
          <w:lang w:eastAsia="en-GB"/>
        </w:rPr>
        <w:t>14 year old</w:t>
      </w:r>
      <w:proofErr w:type="gramEnd"/>
      <w:r w:rsidRPr="0028013E">
        <w:rPr>
          <w:rFonts w:ascii="Arial" w:eastAsia="Times New Roman" w:hAnsi="Arial" w:cs="Arial"/>
          <w:color w:val="000000"/>
          <w:sz w:val="24"/>
          <w:szCs w:val="24"/>
          <w:lang w:eastAsia="en-GB"/>
        </w:rPr>
        <w:t xml:space="preserve"> boy was later named as Craig Mulligan (Crown Prosecution Service (a), 2022). This evidently shows that at the age of 14 a child is aware of what is right and what is wrong. This strongly suggests that at the age of 14 a child is aware of what they are doing. Dewey (2022) identified that Mulligan was known to be violent and troubled. </w:t>
      </w:r>
      <w:proofErr w:type="gramStart"/>
      <w:r w:rsidRPr="0028013E">
        <w:rPr>
          <w:rFonts w:ascii="Arial" w:eastAsia="Times New Roman" w:hAnsi="Arial" w:cs="Arial"/>
          <w:color w:val="000000"/>
          <w:sz w:val="24"/>
          <w:szCs w:val="24"/>
          <w:lang w:eastAsia="en-GB"/>
        </w:rPr>
        <w:t>However</w:t>
      </w:r>
      <w:proofErr w:type="gramEnd"/>
      <w:r w:rsidRPr="0028013E">
        <w:rPr>
          <w:rFonts w:ascii="Arial" w:eastAsia="Times New Roman" w:hAnsi="Arial" w:cs="Arial"/>
          <w:color w:val="000000"/>
          <w:sz w:val="24"/>
          <w:szCs w:val="24"/>
          <w:lang w:eastAsia="en-GB"/>
        </w:rPr>
        <w:t xml:space="preserve"> it was also </w:t>
      </w:r>
      <w:r w:rsidRPr="0028013E">
        <w:rPr>
          <w:rFonts w:ascii="Arial" w:eastAsia="Times New Roman" w:hAnsi="Arial" w:cs="Arial"/>
          <w:color w:val="000000"/>
          <w:sz w:val="24"/>
          <w:szCs w:val="24"/>
          <w:lang w:eastAsia="en-GB"/>
        </w:rPr>
        <w:lastRenderedPageBreak/>
        <w:t>identified that he was put into care due to his biological mother suffering with mental health and his biological father was killed in 2012. This strongly suggests that he may have been impacted by ACE’s which has led him to be violent. It was also identified that he had been seen attacking other pupils in school and was described as having a desire for violence, by the woman who fostered him (Dewey, 2022).</w:t>
      </w:r>
    </w:p>
    <w:p w14:paraId="647D061A" w14:textId="77777777" w:rsidR="0028013E" w:rsidRPr="0028013E" w:rsidRDefault="0028013E" w:rsidP="0028013E">
      <w:pPr>
        <w:spacing w:after="0" w:line="480" w:lineRule="auto"/>
        <w:rPr>
          <w:rFonts w:ascii="Arial" w:eastAsia="Times New Roman" w:hAnsi="Arial" w:cs="Arial"/>
          <w:sz w:val="24"/>
          <w:szCs w:val="24"/>
          <w:lang w:eastAsia="en-GB"/>
        </w:rPr>
      </w:pPr>
    </w:p>
    <w:p w14:paraId="2B6002A4"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However, children who suffer with ACE’s may not know right from wrong. </w:t>
      </w:r>
      <w:proofErr w:type="gramStart"/>
      <w:r w:rsidRPr="0028013E">
        <w:rPr>
          <w:rFonts w:ascii="Arial" w:eastAsia="Times New Roman" w:hAnsi="Arial" w:cs="Arial"/>
          <w:color w:val="000000"/>
          <w:sz w:val="24"/>
          <w:szCs w:val="24"/>
          <w:lang w:eastAsia="en-GB"/>
        </w:rPr>
        <w:t>ACE’s</w:t>
      </w:r>
      <w:proofErr w:type="gramEnd"/>
      <w:r w:rsidRPr="0028013E">
        <w:rPr>
          <w:rFonts w:ascii="Arial" w:eastAsia="Times New Roman" w:hAnsi="Arial" w:cs="Arial"/>
          <w:color w:val="000000"/>
          <w:sz w:val="24"/>
          <w:szCs w:val="24"/>
          <w:lang w:eastAsia="en-GB"/>
        </w:rPr>
        <w:t xml:space="preserve"> are identified as traumatic and stressful events, such as any forms of abuse, neglect, parent incarceration or parents with substance misuse problems, which occur during childhood (Public Health Scotland, 2021).  It is suggested that ACE’s play a big part in the environmental factor of delinquency in children. Research collected identified that children who have suffered with 5 or More ACE’s are more likely to be more drawn to carrying out criminal offences (Local Government Association, 2018, p.12). It is identified that Robert Thompson witnessed his mother and siblings being victims of physical abuse, and him too being a victim of violence, with his mother turning to alcohol (Crime and Investigation, 2022). Venables suffered with the separation of his parents and his mother developed psychiatric problems and would complain about how difficult parenting would be (Crime and Investigation, 2022). This suggests that these adverse childhood experiences impacted both Venables and Thompson. This strongly suggests that ACE’s play a huge part in how a child chooses their life choices. This evidently is a consideration that the Government needs to consider if they are increasing the minimum age of criminal responsibility. However, it is identified by (</w:t>
      </w:r>
      <w:proofErr w:type="spellStart"/>
      <w:r w:rsidRPr="0028013E">
        <w:rPr>
          <w:rFonts w:ascii="Arial" w:eastAsia="Times New Roman" w:hAnsi="Arial" w:cs="Arial"/>
          <w:color w:val="000000"/>
          <w:sz w:val="24"/>
          <w:szCs w:val="24"/>
          <w:lang w:eastAsia="en-GB"/>
        </w:rPr>
        <w:t>Mercuro</w:t>
      </w:r>
      <w:proofErr w:type="spellEnd"/>
      <w:r w:rsidRPr="0028013E">
        <w:rPr>
          <w:rFonts w:ascii="Arial" w:eastAsia="Times New Roman" w:hAnsi="Arial" w:cs="Arial"/>
          <w:color w:val="000000"/>
          <w:sz w:val="24"/>
          <w:szCs w:val="24"/>
          <w:lang w:eastAsia="en-GB"/>
        </w:rPr>
        <w:t xml:space="preserve"> et al., 2020) that brain development involves both environmental factors and genetics. Mallik et al. (2022, P.60) identifies that some youth offenders develop mental health issues which have been passed on through </w:t>
      </w:r>
      <w:r w:rsidRPr="0028013E">
        <w:rPr>
          <w:rFonts w:ascii="Arial" w:eastAsia="Times New Roman" w:hAnsi="Arial" w:cs="Arial"/>
          <w:color w:val="000000"/>
          <w:sz w:val="24"/>
          <w:szCs w:val="24"/>
          <w:lang w:eastAsia="en-GB"/>
        </w:rPr>
        <w:lastRenderedPageBreak/>
        <w:t xml:space="preserve">genetics. This suggests that biological factors play a big role in identifying why a young offender commits crime. </w:t>
      </w:r>
      <w:proofErr w:type="gramStart"/>
      <w:r w:rsidRPr="0028013E">
        <w:rPr>
          <w:rFonts w:ascii="Arial" w:eastAsia="Times New Roman" w:hAnsi="Arial" w:cs="Arial"/>
          <w:color w:val="000000"/>
          <w:sz w:val="24"/>
          <w:szCs w:val="24"/>
          <w:lang w:eastAsia="en-GB"/>
        </w:rPr>
        <w:t>However</w:t>
      </w:r>
      <w:proofErr w:type="gramEnd"/>
      <w:r w:rsidRPr="0028013E">
        <w:rPr>
          <w:rFonts w:ascii="Arial" w:eastAsia="Times New Roman" w:hAnsi="Arial" w:cs="Arial"/>
          <w:color w:val="000000"/>
          <w:sz w:val="24"/>
          <w:szCs w:val="24"/>
          <w:lang w:eastAsia="en-GB"/>
        </w:rPr>
        <w:t xml:space="preserve"> some may argue that the main cause of delinquency in children is their environment. This is suggested that this is a challenge for the government to overlook as there are certain children who have difficulty knowing what is right and what is wrong. </w:t>
      </w:r>
    </w:p>
    <w:p w14:paraId="1D521656"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Another argument that could be presented against raising the age was that the Government would not change the age of criminal responsibility. Gunner (2020) identifies that the UK Government did not allow the bill of increasing the criminal age of responsibility to progress any further than the second reading. Gunner (2020) also identified that the government believed that children at the age of 10 </w:t>
      </w:r>
      <w:proofErr w:type="gramStart"/>
      <w:r w:rsidRPr="0028013E">
        <w:rPr>
          <w:rFonts w:ascii="Arial" w:eastAsia="Times New Roman" w:hAnsi="Arial" w:cs="Arial"/>
          <w:color w:val="000000"/>
          <w:sz w:val="24"/>
          <w:szCs w:val="24"/>
          <w:lang w:eastAsia="en-GB"/>
        </w:rPr>
        <w:t>are able to</w:t>
      </w:r>
      <w:proofErr w:type="gramEnd"/>
      <w:r w:rsidRPr="0028013E">
        <w:rPr>
          <w:rFonts w:ascii="Arial" w:eastAsia="Times New Roman" w:hAnsi="Arial" w:cs="Arial"/>
          <w:color w:val="000000"/>
          <w:sz w:val="24"/>
          <w:szCs w:val="24"/>
          <w:lang w:eastAsia="en-GB"/>
        </w:rPr>
        <w:t xml:space="preserve"> tell the difference between bad behaviour and serious wrongdoing. This strongly shows that the UK government believes that the Age of 10 is old enough for a child to be responsible for committing an offence. The Youth Justice Board (2021, p.10) identifies in their strategic plan for 2021-24, that their main approach is to ensure that the child is treated as a child during their process within the Criminal Justice system. This identifies that the UK government does not have plans in the next 3 years to raise the minimum age of criminal responsibility. However, linking back to previously stated, some children who suffer with ACE’s are highly likely to not know what is wrong and what is right. However, some argue that the age should be increased. </w:t>
      </w:r>
    </w:p>
    <w:p w14:paraId="712FA307"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According to (Bateman, 2012, p.3) the UN committee on the Rights of the child identifies </w:t>
      </w:r>
      <w:proofErr w:type="gramStart"/>
      <w:r w:rsidRPr="0028013E">
        <w:rPr>
          <w:rFonts w:ascii="Arial" w:eastAsia="Times New Roman" w:hAnsi="Arial" w:cs="Arial"/>
          <w:color w:val="000000"/>
          <w:sz w:val="24"/>
          <w:szCs w:val="24"/>
          <w:lang w:eastAsia="en-GB"/>
        </w:rPr>
        <w:t>that 12 years</w:t>
      </w:r>
      <w:proofErr w:type="gramEnd"/>
      <w:r w:rsidRPr="0028013E">
        <w:rPr>
          <w:rFonts w:ascii="Arial" w:eastAsia="Times New Roman" w:hAnsi="Arial" w:cs="Arial"/>
          <w:color w:val="000000"/>
          <w:sz w:val="24"/>
          <w:szCs w:val="24"/>
          <w:lang w:eastAsia="en-GB"/>
        </w:rPr>
        <w:t xml:space="preserve"> is the absolute minimum age of criminal responsibility. This evidently shows that the minimum age of criminal responsibility in England and Wales is too low. However, Scotland’s minimum age of criminal responsibility is 8 years old. Nevertheless (Bateman, 2012, p.3) also identifies that Scotland's rules of </w:t>
      </w:r>
      <w:r w:rsidRPr="0028013E">
        <w:rPr>
          <w:rFonts w:ascii="Arial" w:eastAsia="Times New Roman" w:hAnsi="Arial" w:cs="Arial"/>
          <w:color w:val="000000"/>
          <w:sz w:val="24"/>
          <w:szCs w:val="24"/>
          <w:lang w:eastAsia="en-GB"/>
        </w:rPr>
        <w:lastRenderedPageBreak/>
        <w:t>prosecution are different to other countries, offenders between the ages of 8-</w:t>
      </w:r>
      <w:proofErr w:type="gramStart"/>
      <w:r w:rsidRPr="0028013E">
        <w:rPr>
          <w:rFonts w:ascii="Arial" w:eastAsia="Times New Roman" w:hAnsi="Arial" w:cs="Arial"/>
          <w:color w:val="000000"/>
          <w:sz w:val="24"/>
          <w:szCs w:val="24"/>
          <w:lang w:eastAsia="en-GB"/>
        </w:rPr>
        <w:t xml:space="preserve">12  </w:t>
      </w:r>
      <w:proofErr w:type="spellStart"/>
      <w:r w:rsidRPr="0028013E">
        <w:rPr>
          <w:rFonts w:ascii="Arial" w:eastAsia="Times New Roman" w:hAnsi="Arial" w:cs="Arial"/>
          <w:color w:val="000000"/>
          <w:sz w:val="24"/>
          <w:szCs w:val="24"/>
          <w:lang w:eastAsia="en-GB"/>
        </w:rPr>
        <w:t>can</w:t>
      </w:r>
      <w:proofErr w:type="gramEnd"/>
      <w:r w:rsidRPr="0028013E">
        <w:rPr>
          <w:rFonts w:ascii="Arial" w:eastAsia="Times New Roman" w:hAnsi="Arial" w:cs="Arial"/>
          <w:color w:val="000000"/>
          <w:sz w:val="24"/>
          <w:szCs w:val="24"/>
          <w:lang w:eastAsia="en-GB"/>
        </w:rPr>
        <w:t xml:space="preserve"> not</w:t>
      </w:r>
      <w:proofErr w:type="spellEnd"/>
      <w:r w:rsidRPr="0028013E">
        <w:rPr>
          <w:rFonts w:ascii="Arial" w:eastAsia="Times New Roman" w:hAnsi="Arial" w:cs="Arial"/>
          <w:color w:val="000000"/>
          <w:sz w:val="24"/>
          <w:szCs w:val="24"/>
          <w:lang w:eastAsia="en-GB"/>
        </w:rPr>
        <w:t xml:space="preserve"> be prosecuted but have to be dealt with through a welfare mechanism. This strongly demonstrates that although the age of criminal responsibility is 8 years old, the use of prosecution does not get implemented until the age of 12, which therefore implies that England, </w:t>
      </w:r>
      <w:proofErr w:type="gramStart"/>
      <w:r w:rsidRPr="0028013E">
        <w:rPr>
          <w:rFonts w:ascii="Arial" w:eastAsia="Times New Roman" w:hAnsi="Arial" w:cs="Arial"/>
          <w:color w:val="000000"/>
          <w:sz w:val="24"/>
          <w:szCs w:val="24"/>
          <w:lang w:eastAsia="en-GB"/>
        </w:rPr>
        <w:t>Wales</w:t>
      </w:r>
      <w:proofErr w:type="gramEnd"/>
      <w:r w:rsidRPr="0028013E">
        <w:rPr>
          <w:rFonts w:ascii="Arial" w:eastAsia="Times New Roman" w:hAnsi="Arial" w:cs="Arial"/>
          <w:color w:val="000000"/>
          <w:sz w:val="24"/>
          <w:szCs w:val="24"/>
          <w:lang w:eastAsia="en-GB"/>
        </w:rPr>
        <w:t xml:space="preserve"> and Northern Ireland have the lowest age of criminal responsibility in the World. In his article (Pillay, 2019) shows that the Minimum Age of Criminal Responsibility in Australia and Hong Kong is between the ages of 10-14 years, however it is between the ages of 15-18 years in the Philippines, and a recent change in law in South Africa the age of criminal liability has change from 10 years to 12 years.  </w:t>
      </w:r>
    </w:p>
    <w:p w14:paraId="4B8E2FD0"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Another Argument that is presented is that children can't buy certain products till a certain age, or they </w:t>
      </w:r>
      <w:proofErr w:type="spellStart"/>
      <w:r w:rsidRPr="0028013E">
        <w:rPr>
          <w:rFonts w:ascii="Arial" w:eastAsia="Times New Roman" w:hAnsi="Arial" w:cs="Arial"/>
          <w:color w:val="000000"/>
          <w:sz w:val="24"/>
          <w:szCs w:val="24"/>
          <w:lang w:eastAsia="en-GB"/>
        </w:rPr>
        <w:t>can not</w:t>
      </w:r>
      <w:proofErr w:type="spellEnd"/>
      <w:r w:rsidRPr="0028013E">
        <w:rPr>
          <w:rFonts w:ascii="Arial" w:eastAsia="Times New Roman" w:hAnsi="Arial" w:cs="Arial"/>
          <w:color w:val="000000"/>
          <w:sz w:val="24"/>
          <w:szCs w:val="24"/>
          <w:lang w:eastAsia="en-GB"/>
        </w:rPr>
        <w:t xml:space="preserve"> do certain things until a certain age therefore how should they be prosecuted for a crime at the age of 10 years old. Although some may say that a child is not competent at the age of 10 to commit a crime. Bateman (2015) argues that a child cannot legally purchase a lottery ticket or consent to any sexual matters until the age of 16 years. It has been identified by Haringey London (2022) that someone must be at least 16 years old to Buy a lottery ticket, put fuel in a car, purchase medication off the shelves in shops and have sexual intercourse,17 years old to learn to drive and control a vehicle and 18 to buy alcohol. Therefore, this makes some believe that </w:t>
      </w:r>
      <w:proofErr w:type="gramStart"/>
      <w:r w:rsidRPr="0028013E">
        <w:rPr>
          <w:rFonts w:ascii="Arial" w:eastAsia="Times New Roman" w:hAnsi="Arial" w:cs="Arial"/>
          <w:color w:val="000000"/>
          <w:sz w:val="24"/>
          <w:szCs w:val="24"/>
          <w:lang w:eastAsia="en-GB"/>
        </w:rPr>
        <w:t>this is why</w:t>
      </w:r>
      <w:proofErr w:type="gramEnd"/>
      <w:r w:rsidRPr="0028013E">
        <w:rPr>
          <w:rFonts w:ascii="Arial" w:eastAsia="Times New Roman" w:hAnsi="Arial" w:cs="Arial"/>
          <w:color w:val="000000"/>
          <w:sz w:val="24"/>
          <w:szCs w:val="24"/>
          <w:lang w:eastAsia="en-GB"/>
        </w:rPr>
        <w:t xml:space="preserve"> the age of criminal responsibility should be increased. It is also identified that films have age ratings on them therefore the youngest a person is allowed to be to purchase or go watch a film rated 12 years is 12 years old. This leaves the question of, to what age should criminal responsibility be increased? Another argument that would be against this point would be that children are maturing at a younger age. </w:t>
      </w:r>
    </w:p>
    <w:p w14:paraId="28CD2A89"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lastRenderedPageBreak/>
        <w:t xml:space="preserve">These days children are maturing at a much earlier age due to multiple factors. Research found by </w:t>
      </w:r>
      <w:proofErr w:type="spellStart"/>
      <w:r w:rsidRPr="0028013E">
        <w:rPr>
          <w:rFonts w:ascii="Arial" w:eastAsia="Times New Roman" w:hAnsi="Arial" w:cs="Arial"/>
          <w:color w:val="000000"/>
          <w:sz w:val="24"/>
          <w:szCs w:val="24"/>
          <w:lang w:eastAsia="en-GB"/>
        </w:rPr>
        <w:t>Vanbuskirk</w:t>
      </w:r>
      <w:proofErr w:type="spellEnd"/>
      <w:r w:rsidRPr="0028013E">
        <w:rPr>
          <w:rFonts w:ascii="Arial" w:eastAsia="Times New Roman" w:hAnsi="Arial" w:cs="Arial"/>
          <w:color w:val="000000"/>
          <w:sz w:val="24"/>
          <w:szCs w:val="24"/>
          <w:lang w:eastAsia="en-GB"/>
        </w:rPr>
        <w:t xml:space="preserve"> (2022) Suggests that some children are maturing by the age of 10. This is when their brains and bodies are going through </w:t>
      </w:r>
      <w:proofErr w:type="gramStart"/>
      <w:r w:rsidRPr="0028013E">
        <w:rPr>
          <w:rFonts w:ascii="Arial" w:eastAsia="Times New Roman" w:hAnsi="Arial" w:cs="Arial"/>
          <w:color w:val="000000"/>
          <w:sz w:val="24"/>
          <w:szCs w:val="24"/>
          <w:lang w:eastAsia="en-GB"/>
        </w:rPr>
        <w:t>changes</w:t>
      </w:r>
      <w:proofErr w:type="gramEnd"/>
      <w:r w:rsidRPr="0028013E">
        <w:rPr>
          <w:rFonts w:ascii="Arial" w:eastAsia="Times New Roman" w:hAnsi="Arial" w:cs="Arial"/>
          <w:color w:val="000000"/>
          <w:sz w:val="24"/>
          <w:szCs w:val="24"/>
          <w:lang w:eastAsia="en-GB"/>
        </w:rPr>
        <w:t xml:space="preserve"> and they are emerging into adolescence. This evidently suggests that more young children know what they are doing is either wrong or right. However, as identified some children do begin to mature at the age of 10 and some do not. </w:t>
      </w:r>
      <w:proofErr w:type="gramStart"/>
      <w:r w:rsidRPr="0028013E">
        <w:rPr>
          <w:rFonts w:ascii="Arial" w:eastAsia="Times New Roman" w:hAnsi="Arial" w:cs="Arial"/>
          <w:color w:val="000000"/>
          <w:sz w:val="24"/>
          <w:szCs w:val="24"/>
          <w:lang w:eastAsia="en-GB"/>
        </w:rPr>
        <w:t>Therefore</w:t>
      </w:r>
      <w:proofErr w:type="gramEnd"/>
      <w:r w:rsidRPr="0028013E">
        <w:rPr>
          <w:rFonts w:ascii="Arial" w:eastAsia="Times New Roman" w:hAnsi="Arial" w:cs="Arial"/>
          <w:color w:val="000000"/>
          <w:sz w:val="24"/>
          <w:szCs w:val="24"/>
          <w:lang w:eastAsia="en-GB"/>
        </w:rPr>
        <w:t xml:space="preserve"> it is suggested that all children should be beginning to mature at the age of 10. </w:t>
      </w:r>
      <w:proofErr w:type="gramStart"/>
      <w:r w:rsidRPr="0028013E">
        <w:rPr>
          <w:rFonts w:ascii="Arial" w:eastAsia="Times New Roman" w:hAnsi="Arial" w:cs="Arial"/>
          <w:color w:val="000000"/>
          <w:sz w:val="24"/>
          <w:szCs w:val="24"/>
          <w:lang w:eastAsia="en-GB"/>
        </w:rPr>
        <w:t>Therefore</w:t>
      </w:r>
      <w:proofErr w:type="gramEnd"/>
      <w:r w:rsidRPr="0028013E">
        <w:rPr>
          <w:rFonts w:ascii="Arial" w:eastAsia="Times New Roman" w:hAnsi="Arial" w:cs="Arial"/>
          <w:color w:val="000000"/>
          <w:sz w:val="24"/>
          <w:szCs w:val="24"/>
          <w:lang w:eastAsia="en-GB"/>
        </w:rPr>
        <w:t xml:space="preserve"> this argues that the age of criminal responsibility should be kept the same. Data collected (ministry of justice, 2022, p. 36) identifies that in 2001 the average monthly </w:t>
      </w:r>
      <w:proofErr w:type="gramStart"/>
      <w:r w:rsidRPr="0028013E">
        <w:rPr>
          <w:rFonts w:ascii="Arial" w:eastAsia="Times New Roman" w:hAnsi="Arial" w:cs="Arial"/>
          <w:color w:val="000000"/>
          <w:sz w:val="24"/>
          <w:szCs w:val="24"/>
          <w:lang w:eastAsia="en-GB"/>
        </w:rPr>
        <w:t>population  of</w:t>
      </w:r>
      <w:proofErr w:type="gramEnd"/>
      <w:r w:rsidRPr="0028013E">
        <w:rPr>
          <w:rFonts w:ascii="Arial" w:eastAsia="Times New Roman" w:hAnsi="Arial" w:cs="Arial"/>
          <w:color w:val="000000"/>
          <w:sz w:val="24"/>
          <w:szCs w:val="24"/>
          <w:lang w:eastAsia="en-GB"/>
        </w:rPr>
        <w:t xml:space="preserve"> youth offenders was roughly 2,700 in comparison to 2021 which was roughly 700. This evidently shows that there has been a decrease in the number of youth offenders in the youth justice system. However, this evidently suggests that the current age of criminal responsibility is effective in reducing the number of young people to carry out crime. This identifies as an argument against raising the age of criminal responsibility. </w:t>
      </w:r>
    </w:p>
    <w:p w14:paraId="61E599CB"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However, Crofts (2009) argues that the age of criminal responsibility should not be changed </w:t>
      </w:r>
      <w:proofErr w:type="gramStart"/>
      <w:r w:rsidRPr="0028013E">
        <w:rPr>
          <w:rFonts w:ascii="Arial" w:eastAsia="Times New Roman" w:hAnsi="Arial" w:cs="Arial"/>
          <w:color w:val="000000"/>
          <w:sz w:val="24"/>
          <w:szCs w:val="24"/>
          <w:lang w:eastAsia="en-GB"/>
        </w:rPr>
        <w:t>for the reason that</w:t>
      </w:r>
      <w:proofErr w:type="gramEnd"/>
      <w:r w:rsidRPr="0028013E">
        <w:rPr>
          <w:rFonts w:ascii="Arial" w:eastAsia="Times New Roman" w:hAnsi="Arial" w:cs="Arial"/>
          <w:color w:val="000000"/>
          <w:sz w:val="24"/>
          <w:szCs w:val="24"/>
          <w:lang w:eastAsia="en-GB"/>
        </w:rPr>
        <w:t xml:space="preserve"> children are not punished in the same manner as adults within the criminal Justice system. It has been identified that there are different ways a child offender is punished within the criminal Justice system. The Sentencing Council (2022) shows that a child offender between the ages of 10-17 could have Fines, Discharges, Referral orders, youth rehabilitation orders and custodial sentences. The Sentencing Council (2022) also identified that Youth Custodial Sentences identified that this can be carried out at various locations such as secure training homes or training centres, but also at young </w:t>
      </w:r>
      <w:proofErr w:type="gramStart"/>
      <w:r w:rsidRPr="0028013E">
        <w:rPr>
          <w:rFonts w:ascii="Arial" w:eastAsia="Times New Roman" w:hAnsi="Arial" w:cs="Arial"/>
          <w:color w:val="000000"/>
          <w:sz w:val="24"/>
          <w:szCs w:val="24"/>
          <w:lang w:eastAsia="en-GB"/>
        </w:rPr>
        <w:t>offenders</w:t>
      </w:r>
      <w:proofErr w:type="gramEnd"/>
      <w:r w:rsidRPr="0028013E">
        <w:rPr>
          <w:rFonts w:ascii="Arial" w:eastAsia="Times New Roman" w:hAnsi="Arial" w:cs="Arial"/>
          <w:color w:val="000000"/>
          <w:sz w:val="24"/>
          <w:szCs w:val="24"/>
          <w:lang w:eastAsia="en-GB"/>
        </w:rPr>
        <w:t xml:space="preserve"> institutions. However, some may argue that the process of a child going through the Criminal Justice </w:t>
      </w:r>
      <w:r w:rsidRPr="0028013E">
        <w:rPr>
          <w:rFonts w:ascii="Arial" w:eastAsia="Times New Roman" w:hAnsi="Arial" w:cs="Arial"/>
          <w:color w:val="000000"/>
          <w:sz w:val="24"/>
          <w:szCs w:val="24"/>
          <w:lang w:eastAsia="en-GB"/>
        </w:rPr>
        <w:lastRenderedPageBreak/>
        <w:t>System will not have any impact on preventing any future reoffending. In the James Bulger Case. Identified by (Gordon, 2019) Venables and Thompson were both given life sentences and the possibility of recall for custody at any time. In the case of (‘</w:t>
      </w:r>
      <w:r w:rsidRPr="0028013E">
        <w:rPr>
          <w:rFonts w:ascii="Arial" w:eastAsia="Times New Roman" w:hAnsi="Arial" w:cs="Arial"/>
          <w:i/>
          <w:iCs/>
          <w:color w:val="000000"/>
          <w:sz w:val="24"/>
          <w:szCs w:val="24"/>
          <w:lang w:eastAsia="en-GB"/>
        </w:rPr>
        <w:t xml:space="preserve">Jon Venables and Robert Thompson v. News group Limited and Ralph Steven Bulger and James Patrick Bulger’ </w:t>
      </w:r>
      <w:r w:rsidRPr="0028013E">
        <w:rPr>
          <w:rFonts w:ascii="Arial" w:eastAsia="Times New Roman" w:hAnsi="Arial" w:cs="Arial"/>
          <w:color w:val="000000"/>
          <w:sz w:val="24"/>
          <w:szCs w:val="24"/>
          <w:lang w:eastAsia="en-GB"/>
        </w:rPr>
        <w:t xml:space="preserve">2019) it was identified that both Jon Venables and Robert Thompson were both released however Venables was recalled back to custody as there was child pornography found in his </w:t>
      </w:r>
      <w:proofErr w:type="spellStart"/>
      <w:r w:rsidRPr="0028013E">
        <w:rPr>
          <w:rFonts w:ascii="Arial" w:eastAsia="Times New Roman" w:hAnsi="Arial" w:cs="Arial"/>
          <w:color w:val="000000"/>
          <w:sz w:val="24"/>
          <w:szCs w:val="24"/>
          <w:lang w:eastAsia="en-GB"/>
        </w:rPr>
        <w:t>possesion</w:t>
      </w:r>
      <w:proofErr w:type="spellEnd"/>
      <w:r w:rsidRPr="0028013E">
        <w:rPr>
          <w:rFonts w:ascii="Arial" w:eastAsia="Times New Roman" w:hAnsi="Arial" w:cs="Arial"/>
          <w:color w:val="000000"/>
          <w:sz w:val="24"/>
          <w:szCs w:val="24"/>
          <w:lang w:eastAsia="en-GB"/>
        </w:rPr>
        <w:t xml:space="preserve">. This strongly suggests that his time in custody had no impact on changing his mindset from reoffending. However, there is no research to suggest that Robert Thompson has reoffended. </w:t>
      </w:r>
      <w:proofErr w:type="gramStart"/>
      <w:r w:rsidRPr="0028013E">
        <w:rPr>
          <w:rFonts w:ascii="Arial" w:eastAsia="Times New Roman" w:hAnsi="Arial" w:cs="Arial"/>
          <w:color w:val="000000"/>
          <w:sz w:val="24"/>
          <w:szCs w:val="24"/>
          <w:lang w:eastAsia="en-GB"/>
        </w:rPr>
        <w:t>Therefore</w:t>
      </w:r>
      <w:proofErr w:type="gramEnd"/>
      <w:r w:rsidRPr="0028013E">
        <w:rPr>
          <w:rFonts w:ascii="Arial" w:eastAsia="Times New Roman" w:hAnsi="Arial" w:cs="Arial"/>
          <w:color w:val="000000"/>
          <w:sz w:val="24"/>
          <w:szCs w:val="24"/>
          <w:lang w:eastAsia="en-GB"/>
        </w:rPr>
        <w:t xml:space="preserve"> this suggests that the time Thompson was in custody had changed his </w:t>
      </w:r>
      <w:proofErr w:type="spellStart"/>
      <w:r w:rsidRPr="0028013E">
        <w:rPr>
          <w:rFonts w:ascii="Arial" w:eastAsia="Times New Roman" w:hAnsi="Arial" w:cs="Arial"/>
          <w:color w:val="000000"/>
          <w:sz w:val="24"/>
          <w:szCs w:val="24"/>
          <w:lang w:eastAsia="en-GB"/>
        </w:rPr>
        <w:t>mindset</w:t>
      </w:r>
      <w:proofErr w:type="spellEnd"/>
      <w:r w:rsidRPr="0028013E">
        <w:rPr>
          <w:rFonts w:ascii="Arial" w:eastAsia="Times New Roman" w:hAnsi="Arial" w:cs="Arial"/>
          <w:color w:val="000000"/>
          <w:sz w:val="24"/>
          <w:szCs w:val="24"/>
          <w:lang w:eastAsia="en-GB"/>
        </w:rPr>
        <w:t xml:space="preserve"> and has had an impact in preventing him from reoffending. This evidently suggests that this form of prosecution can impact some young offenders and may not impact others. </w:t>
      </w:r>
    </w:p>
    <w:p w14:paraId="4049DA49"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Research conducted by the Youth Justice Boards (2022, p.58)’s statistics identify that the percentage of </w:t>
      </w:r>
      <w:proofErr w:type="gramStart"/>
      <w:r w:rsidRPr="0028013E">
        <w:rPr>
          <w:rFonts w:ascii="Arial" w:eastAsia="Times New Roman" w:hAnsi="Arial" w:cs="Arial"/>
          <w:color w:val="000000"/>
          <w:sz w:val="24"/>
          <w:szCs w:val="24"/>
          <w:lang w:eastAsia="en-GB"/>
        </w:rPr>
        <w:t>10-14 year olds</w:t>
      </w:r>
      <w:proofErr w:type="gramEnd"/>
      <w:r w:rsidRPr="0028013E">
        <w:rPr>
          <w:rFonts w:ascii="Arial" w:eastAsia="Times New Roman" w:hAnsi="Arial" w:cs="Arial"/>
          <w:color w:val="000000"/>
          <w:sz w:val="24"/>
          <w:szCs w:val="24"/>
          <w:lang w:eastAsia="en-GB"/>
        </w:rPr>
        <w:t xml:space="preserve"> who reoffend are at their lowest in 10 years. In 2010 the estimated reoffending rate for </w:t>
      </w:r>
      <w:proofErr w:type="gramStart"/>
      <w:r w:rsidRPr="0028013E">
        <w:rPr>
          <w:rFonts w:ascii="Arial" w:eastAsia="Times New Roman" w:hAnsi="Arial" w:cs="Arial"/>
          <w:color w:val="000000"/>
          <w:sz w:val="24"/>
          <w:szCs w:val="24"/>
          <w:lang w:eastAsia="en-GB"/>
        </w:rPr>
        <w:t>10-14 year olds</w:t>
      </w:r>
      <w:proofErr w:type="gramEnd"/>
      <w:r w:rsidRPr="0028013E">
        <w:rPr>
          <w:rFonts w:ascii="Arial" w:eastAsia="Times New Roman" w:hAnsi="Arial" w:cs="Arial"/>
          <w:color w:val="000000"/>
          <w:sz w:val="24"/>
          <w:szCs w:val="24"/>
          <w:lang w:eastAsia="en-GB"/>
        </w:rPr>
        <w:t xml:space="preserve"> was 34%, in comparison to 2020 which was 32.7%. This evidently shows that the percentage of youth offenders between the ages of 10-14 is slowly reducing. </w:t>
      </w:r>
      <w:proofErr w:type="gramStart"/>
      <w:r w:rsidRPr="0028013E">
        <w:rPr>
          <w:rFonts w:ascii="Arial" w:eastAsia="Times New Roman" w:hAnsi="Arial" w:cs="Arial"/>
          <w:color w:val="000000"/>
          <w:sz w:val="24"/>
          <w:szCs w:val="24"/>
          <w:lang w:eastAsia="en-GB"/>
        </w:rPr>
        <w:t>However</w:t>
      </w:r>
      <w:proofErr w:type="gramEnd"/>
      <w:r w:rsidRPr="0028013E">
        <w:rPr>
          <w:rFonts w:ascii="Arial" w:eastAsia="Times New Roman" w:hAnsi="Arial" w:cs="Arial"/>
          <w:color w:val="000000"/>
          <w:sz w:val="24"/>
          <w:szCs w:val="24"/>
          <w:lang w:eastAsia="en-GB"/>
        </w:rPr>
        <w:t xml:space="preserve"> this does suggest that there is a possibility of reoffending. </w:t>
      </w:r>
      <w:proofErr w:type="gramStart"/>
      <w:r w:rsidRPr="0028013E">
        <w:rPr>
          <w:rFonts w:ascii="Arial" w:eastAsia="Times New Roman" w:hAnsi="Arial" w:cs="Arial"/>
          <w:color w:val="000000"/>
          <w:sz w:val="24"/>
          <w:szCs w:val="24"/>
          <w:lang w:eastAsia="en-GB"/>
        </w:rPr>
        <w:t>However</w:t>
      </w:r>
      <w:proofErr w:type="gramEnd"/>
      <w:r w:rsidRPr="0028013E">
        <w:rPr>
          <w:rFonts w:ascii="Arial" w:eastAsia="Times New Roman" w:hAnsi="Arial" w:cs="Arial"/>
          <w:color w:val="000000"/>
          <w:sz w:val="24"/>
          <w:szCs w:val="24"/>
          <w:lang w:eastAsia="en-GB"/>
        </w:rPr>
        <w:t xml:space="preserve"> there are more serious crimes that are being committed by children. In their Article (Haylock et al., 2020) identifies that there has been an increase in the number of violent incidents in the UK since 2012/13. There has been data collected which strongly identifies that there is an increase in knife crime in young </w:t>
      </w:r>
      <w:proofErr w:type="spellStart"/>
      <w:proofErr w:type="gramStart"/>
      <w:r w:rsidRPr="0028013E">
        <w:rPr>
          <w:rFonts w:ascii="Arial" w:eastAsia="Times New Roman" w:hAnsi="Arial" w:cs="Arial"/>
          <w:color w:val="000000"/>
          <w:sz w:val="24"/>
          <w:szCs w:val="24"/>
          <w:lang w:eastAsia="en-GB"/>
        </w:rPr>
        <w:t>people.This</w:t>
      </w:r>
      <w:proofErr w:type="spellEnd"/>
      <w:proofErr w:type="gramEnd"/>
      <w:r w:rsidRPr="0028013E">
        <w:rPr>
          <w:rFonts w:ascii="Arial" w:eastAsia="Times New Roman" w:hAnsi="Arial" w:cs="Arial"/>
          <w:color w:val="000000"/>
          <w:sz w:val="24"/>
          <w:szCs w:val="24"/>
          <w:lang w:eastAsia="en-GB"/>
        </w:rPr>
        <w:t xml:space="preserve"> strongly suggests that knife crime is a big problem in younger people. This may suggest that some youth offenders are in the criminal justice system due to this. It is identified in (</w:t>
      </w:r>
      <w:proofErr w:type="spellStart"/>
      <w:r w:rsidRPr="0028013E">
        <w:rPr>
          <w:rFonts w:ascii="Arial" w:eastAsia="Times New Roman" w:hAnsi="Arial" w:cs="Arial"/>
          <w:color w:val="000000"/>
          <w:sz w:val="24"/>
          <w:szCs w:val="24"/>
          <w:lang w:eastAsia="en-GB"/>
        </w:rPr>
        <w:t>Skarlatidou</w:t>
      </w:r>
      <w:proofErr w:type="spellEnd"/>
      <w:r w:rsidRPr="0028013E">
        <w:rPr>
          <w:rFonts w:ascii="Arial" w:eastAsia="Times New Roman" w:hAnsi="Arial" w:cs="Arial"/>
          <w:color w:val="000000"/>
          <w:sz w:val="24"/>
          <w:szCs w:val="24"/>
          <w:lang w:eastAsia="en-GB"/>
        </w:rPr>
        <w:t xml:space="preserve">, 2021) article </w:t>
      </w:r>
      <w:r w:rsidRPr="0028013E">
        <w:rPr>
          <w:rFonts w:ascii="Arial" w:eastAsia="Times New Roman" w:hAnsi="Arial" w:cs="Arial"/>
          <w:color w:val="000000"/>
          <w:sz w:val="24"/>
          <w:szCs w:val="24"/>
          <w:lang w:eastAsia="en-GB"/>
        </w:rPr>
        <w:lastRenderedPageBreak/>
        <w:t xml:space="preserve">that ⅔ of knife crime offences committed in London, were by young people between the ages of 10-29. This strongly shows that those at the age of 10 years old know how to carry out knife crime. </w:t>
      </w:r>
      <w:proofErr w:type="gramStart"/>
      <w:r w:rsidRPr="0028013E">
        <w:rPr>
          <w:rFonts w:ascii="Arial" w:eastAsia="Times New Roman" w:hAnsi="Arial" w:cs="Arial"/>
          <w:color w:val="000000"/>
          <w:sz w:val="24"/>
          <w:szCs w:val="24"/>
          <w:lang w:eastAsia="en-GB"/>
        </w:rPr>
        <w:t>Therefore</w:t>
      </w:r>
      <w:proofErr w:type="gramEnd"/>
      <w:r w:rsidRPr="0028013E">
        <w:rPr>
          <w:rFonts w:ascii="Arial" w:eastAsia="Times New Roman" w:hAnsi="Arial" w:cs="Arial"/>
          <w:color w:val="000000"/>
          <w:sz w:val="24"/>
          <w:szCs w:val="24"/>
          <w:lang w:eastAsia="en-GB"/>
        </w:rPr>
        <w:t xml:space="preserve"> this identifies the argument of not raising the minimum age of criminal responsibility. </w:t>
      </w:r>
    </w:p>
    <w:p w14:paraId="6C47FEAE" w14:textId="007FC5F6" w:rsidR="0028013E" w:rsidRDefault="0028013E" w:rsidP="0028013E">
      <w:pPr>
        <w:spacing w:after="0" w:line="480" w:lineRule="auto"/>
        <w:rPr>
          <w:rFonts w:ascii="Arial" w:eastAsia="Times New Roman" w:hAnsi="Arial" w:cs="Arial"/>
          <w:color w:val="000000"/>
          <w:sz w:val="24"/>
          <w:szCs w:val="24"/>
          <w:lang w:eastAsia="en-GB"/>
        </w:rPr>
      </w:pPr>
      <w:r w:rsidRPr="0028013E">
        <w:rPr>
          <w:rFonts w:ascii="Arial" w:eastAsia="Times New Roman" w:hAnsi="Arial" w:cs="Arial"/>
          <w:color w:val="000000"/>
          <w:sz w:val="24"/>
          <w:szCs w:val="24"/>
          <w:lang w:eastAsia="en-GB"/>
        </w:rPr>
        <w:t xml:space="preserve">To Conclude the research collected evidently suggests that many people believe that the age of criminal responsibility should increase. </w:t>
      </w:r>
      <w:proofErr w:type="gramStart"/>
      <w:r w:rsidRPr="0028013E">
        <w:rPr>
          <w:rFonts w:ascii="Arial" w:eastAsia="Times New Roman" w:hAnsi="Arial" w:cs="Arial"/>
          <w:color w:val="000000"/>
          <w:sz w:val="24"/>
          <w:szCs w:val="24"/>
          <w:lang w:eastAsia="en-GB"/>
        </w:rPr>
        <w:t>However</w:t>
      </w:r>
      <w:proofErr w:type="gramEnd"/>
      <w:r w:rsidRPr="0028013E">
        <w:rPr>
          <w:rFonts w:ascii="Arial" w:eastAsia="Times New Roman" w:hAnsi="Arial" w:cs="Arial"/>
          <w:color w:val="000000"/>
          <w:sz w:val="24"/>
          <w:szCs w:val="24"/>
          <w:lang w:eastAsia="en-GB"/>
        </w:rPr>
        <w:t xml:space="preserve"> there are many counter arguments which seem to be very well presented. The James Bulger case is a case which has strongly demonstrated that these 2 perpetrators were not aware of what is socially wrong and what is socially right. The use of the Criminal Justice system was effective with Thompson however was not effective with Venables. However, the Logan Mwangi case was a case which demonstrated that a </w:t>
      </w:r>
      <w:proofErr w:type="gramStart"/>
      <w:r w:rsidRPr="0028013E">
        <w:rPr>
          <w:rFonts w:ascii="Arial" w:eastAsia="Times New Roman" w:hAnsi="Arial" w:cs="Arial"/>
          <w:color w:val="000000"/>
          <w:sz w:val="24"/>
          <w:szCs w:val="24"/>
          <w:lang w:eastAsia="en-GB"/>
        </w:rPr>
        <w:t>14 year old</w:t>
      </w:r>
      <w:proofErr w:type="gramEnd"/>
      <w:r w:rsidRPr="0028013E">
        <w:rPr>
          <w:rFonts w:ascii="Arial" w:eastAsia="Times New Roman" w:hAnsi="Arial" w:cs="Arial"/>
          <w:color w:val="000000"/>
          <w:sz w:val="24"/>
          <w:szCs w:val="24"/>
          <w:lang w:eastAsia="en-GB"/>
        </w:rPr>
        <w:t xml:space="preserve"> boy knew what he was doing. The evidence provided identified that his mother suffered with mental health and his father was killed in 2012. This strongly suggested that Craig Mulligan was a victim of ACE’s. This also strongly suggested that Craig Mulligan was not suitable to be around other kids due to the past incidents he had been attacking </w:t>
      </w:r>
      <w:proofErr w:type="spellStart"/>
      <w:proofErr w:type="gramStart"/>
      <w:r w:rsidRPr="0028013E">
        <w:rPr>
          <w:rFonts w:ascii="Arial" w:eastAsia="Times New Roman" w:hAnsi="Arial" w:cs="Arial"/>
          <w:color w:val="000000"/>
          <w:sz w:val="24"/>
          <w:szCs w:val="24"/>
          <w:lang w:eastAsia="en-GB"/>
        </w:rPr>
        <w:t>them.These</w:t>
      </w:r>
      <w:proofErr w:type="spellEnd"/>
      <w:proofErr w:type="gramEnd"/>
      <w:r w:rsidRPr="0028013E">
        <w:rPr>
          <w:rFonts w:ascii="Arial" w:eastAsia="Times New Roman" w:hAnsi="Arial" w:cs="Arial"/>
          <w:color w:val="000000"/>
          <w:sz w:val="24"/>
          <w:szCs w:val="24"/>
          <w:lang w:eastAsia="en-GB"/>
        </w:rPr>
        <w:t xml:space="preserve"> are 2 strong cases which are evidence which suggest that ACE’s have a huge impact on whether a child commits an offence. This identifies that there is a difficulty in deciding if the minimum age of criminal responsibility should be increased with considering factors and conditions. The UN Committee on Children's Rights demonstrates that England, </w:t>
      </w:r>
      <w:proofErr w:type="gramStart"/>
      <w:r w:rsidRPr="0028013E">
        <w:rPr>
          <w:rFonts w:ascii="Arial" w:eastAsia="Times New Roman" w:hAnsi="Arial" w:cs="Arial"/>
          <w:color w:val="000000"/>
          <w:sz w:val="24"/>
          <w:szCs w:val="24"/>
          <w:lang w:eastAsia="en-GB"/>
        </w:rPr>
        <w:t>Wales</w:t>
      </w:r>
      <w:proofErr w:type="gramEnd"/>
      <w:r w:rsidRPr="0028013E">
        <w:rPr>
          <w:rFonts w:ascii="Arial" w:eastAsia="Times New Roman" w:hAnsi="Arial" w:cs="Arial"/>
          <w:color w:val="000000"/>
          <w:sz w:val="24"/>
          <w:szCs w:val="24"/>
          <w:lang w:eastAsia="en-GB"/>
        </w:rPr>
        <w:t xml:space="preserve"> and Northern Ireland have the lowest age of criminal responsibility in the world as Scotland has different rules for the process of prosecution for children under the age of 12. This evidently shows that the UK has the lowest age for criminal responsibility. The increase in knife crime being committed by young offenders strongly suggests that the age of criminal responsibility should be kept at the age of 10 years old. The use of </w:t>
      </w:r>
      <w:proofErr w:type="spellStart"/>
      <w:r w:rsidRPr="0028013E">
        <w:rPr>
          <w:rFonts w:ascii="Arial" w:eastAsia="Times New Roman" w:hAnsi="Arial" w:cs="Arial"/>
          <w:color w:val="000000"/>
          <w:sz w:val="24"/>
          <w:szCs w:val="24"/>
          <w:lang w:eastAsia="en-GB"/>
        </w:rPr>
        <w:t>Doli</w:t>
      </w:r>
      <w:proofErr w:type="spellEnd"/>
      <w:r w:rsidRPr="0028013E">
        <w:rPr>
          <w:rFonts w:ascii="Arial" w:eastAsia="Times New Roman" w:hAnsi="Arial" w:cs="Arial"/>
          <w:color w:val="000000"/>
          <w:sz w:val="24"/>
          <w:szCs w:val="24"/>
          <w:lang w:eastAsia="en-GB"/>
        </w:rPr>
        <w:t xml:space="preserve"> Incapax was </w:t>
      </w:r>
      <w:r w:rsidRPr="0028013E">
        <w:rPr>
          <w:rFonts w:ascii="Arial" w:eastAsia="Times New Roman" w:hAnsi="Arial" w:cs="Arial"/>
          <w:color w:val="000000"/>
          <w:sz w:val="24"/>
          <w:szCs w:val="24"/>
          <w:lang w:eastAsia="en-GB"/>
        </w:rPr>
        <w:lastRenderedPageBreak/>
        <w:t xml:space="preserve">identified to be put in place to ensure all youth offenders were being dealt with in a lawful manner. </w:t>
      </w:r>
      <w:proofErr w:type="gramStart"/>
      <w:r w:rsidRPr="0028013E">
        <w:rPr>
          <w:rFonts w:ascii="Arial" w:eastAsia="Times New Roman" w:hAnsi="Arial" w:cs="Arial"/>
          <w:color w:val="000000"/>
          <w:sz w:val="24"/>
          <w:szCs w:val="24"/>
          <w:lang w:eastAsia="en-GB"/>
        </w:rPr>
        <w:t>However</w:t>
      </w:r>
      <w:proofErr w:type="gramEnd"/>
      <w:r w:rsidRPr="0028013E">
        <w:rPr>
          <w:rFonts w:ascii="Arial" w:eastAsia="Times New Roman" w:hAnsi="Arial" w:cs="Arial"/>
          <w:color w:val="000000"/>
          <w:sz w:val="24"/>
          <w:szCs w:val="24"/>
          <w:lang w:eastAsia="en-GB"/>
        </w:rPr>
        <w:t xml:space="preserve"> all arguments that were spoken about above are all arguments and therefore identify good points to consider if they are going to increase the minimum age of criminal responsibilities. There has been a significant </w:t>
      </w:r>
      <w:proofErr w:type="gramStart"/>
      <w:r w:rsidRPr="0028013E">
        <w:rPr>
          <w:rFonts w:ascii="Arial" w:eastAsia="Times New Roman" w:hAnsi="Arial" w:cs="Arial"/>
          <w:color w:val="000000"/>
          <w:sz w:val="24"/>
          <w:szCs w:val="24"/>
          <w:lang w:eastAsia="en-GB"/>
        </w:rPr>
        <w:t>amount</w:t>
      </w:r>
      <w:proofErr w:type="gramEnd"/>
      <w:r w:rsidRPr="0028013E">
        <w:rPr>
          <w:rFonts w:ascii="Arial" w:eastAsia="Times New Roman" w:hAnsi="Arial" w:cs="Arial"/>
          <w:color w:val="000000"/>
          <w:sz w:val="24"/>
          <w:szCs w:val="24"/>
          <w:lang w:eastAsia="en-GB"/>
        </w:rPr>
        <w:t xml:space="preserve"> of arguments which are for raising the age in comparison to, against raising the age of criminal responsibility. </w:t>
      </w:r>
    </w:p>
    <w:p w14:paraId="40DA2E22" w14:textId="0D2897F0" w:rsidR="0028013E" w:rsidRDefault="0028013E" w:rsidP="0028013E">
      <w:pPr>
        <w:spacing w:after="0" w:line="480" w:lineRule="auto"/>
        <w:rPr>
          <w:rFonts w:ascii="Arial" w:eastAsia="Times New Roman" w:hAnsi="Arial" w:cs="Arial"/>
          <w:color w:val="000000"/>
          <w:sz w:val="24"/>
          <w:szCs w:val="24"/>
          <w:lang w:eastAsia="en-GB"/>
        </w:rPr>
      </w:pPr>
    </w:p>
    <w:p w14:paraId="69597900" w14:textId="398448CF" w:rsidR="0028013E" w:rsidRDefault="0028013E" w:rsidP="0028013E">
      <w:pPr>
        <w:spacing w:after="0" w:line="480" w:lineRule="auto"/>
        <w:rPr>
          <w:rFonts w:ascii="Arial" w:eastAsia="Times New Roman" w:hAnsi="Arial" w:cs="Arial"/>
          <w:color w:val="000000"/>
          <w:sz w:val="24"/>
          <w:szCs w:val="24"/>
          <w:u w:val="single"/>
          <w:lang w:eastAsia="en-GB"/>
        </w:rPr>
      </w:pPr>
      <w:r w:rsidRPr="0028013E">
        <w:rPr>
          <w:rFonts w:ascii="Arial" w:eastAsia="Times New Roman" w:hAnsi="Arial" w:cs="Arial"/>
          <w:color w:val="000000"/>
          <w:sz w:val="24"/>
          <w:szCs w:val="24"/>
          <w:u w:val="single"/>
          <w:lang w:eastAsia="en-GB"/>
        </w:rPr>
        <w:t>Bibliography</w:t>
      </w:r>
    </w:p>
    <w:p w14:paraId="11D0344D"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Bateman, T. (2012) </w:t>
      </w:r>
      <w:r w:rsidRPr="0028013E">
        <w:rPr>
          <w:rFonts w:ascii="Arial" w:eastAsia="Times New Roman" w:hAnsi="Arial" w:cs="Arial"/>
          <w:i/>
          <w:iCs/>
          <w:color w:val="000000"/>
          <w:sz w:val="24"/>
          <w:szCs w:val="24"/>
          <w:lang w:eastAsia="en-GB"/>
        </w:rPr>
        <w:t xml:space="preserve">Criminalising children for no good purpose: The Age of Criminal Responsibility in England and Wales. </w:t>
      </w:r>
      <w:r w:rsidRPr="0028013E">
        <w:rPr>
          <w:rFonts w:ascii="Arial" w:eastAsia="Times New Roman" w:hAnsi="Arial" w:cs="Arial"/>
          <w:color w:val="000000"/>
          <w:sz w:val="24"/>
          <w:szCs w:val="24"/>
          <w:lang w:eastAsia="en-GB"/>
        </w:rPr>
        <w:t xml:space="preserve">Available at: </w:t>
      </w:r>
      <w:hyperlink r:id="rId7" w:history="1">
        <w:r w:rsidRPr="0028013E">
          <w:rPr>
            <w:rFonts w:ascii="Arial" w:eastAsia="Times New Roman" w:hAnsi="Arial" w:cs="Arial"/>
            <w:color w:val="1155CC"/>
            <w:sz w:val="24"/>
            <w:szCs w:val="24"/>
            <w:u w:val="single"/>
            <w:lang w:eastAsia="en-GB"/>
          </w:rPr>
          <w:t>https://thenayj.org.uk/wp-content/uploads/2015/06/2012-The-Age-of-Criminal-responsibility.pdf</w:t>
        </w:r>
      </w:hyperlink>
      <w:r w:rsidRPr="0028013E">
        <w:rPr>
          <w:rFonts w:ascii="Arial" w:eastAsia="Times New Roman" w:hAnsi="Arial" w:cs="Arial"/>
          <w:color w:val="000000"/>
          <w:sz w:val="24"/>
          <w:szCs w:val="24"/>
          <w:lang w:eastAsia="en-GB"/>
        </w:rPr>
        <w:t xml:space="preserve"> (Accessed: 13th November 2022) </w:t>
      </w:r>
    </w:p>
    <w:p w14:paraId="7B731814"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Bateman, T. (2015) ‘Keeping up (tough) appearances: the age of criminal responsibility’, </w:t>
      </w:r>
      <w:r w:rsidRPr="0028013E">
        <w:rPr>
          <w:rFonts w:ascii="Arial" w:eastAsia="Times New Roman" w:hAnsi="Arial" w:cs="Arial"/>
          <w:i/>
          <w:iCs/>
          <w:color w:val="000000"/>
          <w:sz w:val="24"/>
          <w:szCs w:val="24"/>
          <w:lang w:eastAsia="en-GB"/>
        </w:rPr>
        <w:t xml:space="preserve">Criminal Justice Matters, </w:t>
      </w:r>
      <w:r w:rsidRPr="0028013E">
        <w:rPr>
          <w:rFonts w:ascii="Arial" w:eastAsia="Times New Roman" w:hAnsi="Arial" w:cs="Arial"/>
          <w:color w:val="000000"/>
          <w:sz w:val="24"/>
          <w:szCs w:val="24"/>
          <w:lang w:eastAsia="en-GB"/>
        </w:rPr>
        <w:t xml:space="preserve">92, pp. 35-36. Available at: </w:t>
      </w:r>
      <w:hyperlink r:id="rId8" w:history="1">
        <w:r w:rsidRPr="0028013E">
          <w:rPr>
            <w:rFonts w:ascii="Arial" w:eastAsia="Times New Roman" w:hAnsi="Arial" w:cs="Arial"/>
            <w:color w:val="1155CC"/>
            <w:sz w:val="24"/>
            <w:szCs w:val="24"/>
            <w:u w:val="single"/>
            <w:lang w:eastAsia="en-GB"/>
          </w:rPr>
          <w:t>https://www.crimeandjustice.org.uk/sites/crimeandjustice.org.uk/files/09627251.2015.1143641.pdf</w:t>
        </w:r>
      </w:hyperlink>
      <w:r w:rsidRPr="0028013E">
        <w:rPr>
          <w:rFonts w:ascii="Arial" w:eastAsia="Times New Roman" w:hAnsi="Arial" w:cs="Arial"/>
          <w:color w:val="000000"/>
          <w:sz w:val="24"/>
          <w:szCs w:val="24"/>
          <w:lang w:eastAsia="en-GB"/>
        </w:rPr>
        <w:t xml:space="preserve"> (Accessed: 01 November 2022) </w:t>
      </w:r>
    </w:p>
    <w:p w14:paraId="096FBA9E"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Crime and Investigation (2022) </w:t>
      </w:r>
      <w:r w:rsidRPr="0028013E">
        <w:rPr>
          <w:rFonts w:ascii="Arial" w:eastAsia="Times New Roman" w:hAnsi="Arial" w:cs="Arial"/>
          <w:i/>
          <w:iCs/>
          <w:color w:val="000000"/>
          <w:sz w:val="24"/>
          <w:szCs w:val="24"/>
          <w:lang w:eastAsia="en-GB"/>
        </w:rPr>
        <w:t xml:space="preserve">Born Evil: what drove James Bulger’s underage killers. </w:t>
      </w:r>
      <w:r w:rsidRPr="0028013E">
        <w:rPr>
          <w:rFonts w:ascii="Arial" w:eastAsia="Times New Roman" w:hAnsi="Arial" w:cs="Arial"/>
          <w:color w:val="000000"/>
          <w:sz w:val="24"/>
          <w:szCs w:val="24"/>
          <w:lang w:eastAsia="en-GB"/>
        </w:rPr>
        <w:t xml:space="preserve">Available at: </w:t>
      </w:r>
      <w:hyperlink r:id="rId9" w:history="1">
        <w:r w:rsidRPr="0028013E">
          <w:rPr>
            <w:rFonts w:ascii="Arial" w:eastAsia="Times New Roman" w:hAnsi="Arial" w:cs="Arial"/>
            <w:color w:val="1155CC"/>
            <w:sz w:val="24"/>
            <w:szCs w:val="24"/>
            <w:u w:val="single"/>
            <w:lang w:eastAsia="en-GB"/>
          </w:rPr>
          <w:t>https://www.crimeandinvestigation.co.uk/article/born-evil-what-drove-james-bulgers-underage-killers</w:t>
        </w:r>
      </w:hyperlink>
      <w:r w:rsidRPr="0028013E">
        <w:rPr>
          <w:rFonts w:ascii="Arial" w:eastAsia="Times New Roman" w:hAnsi="Arial" w:cs="Arial"/>
          <w:color w:val="000000"/>
          <w:sz w:val="24"/>
          <w:szCs w:val="24"/>
          <w:lang w:eastAsia="en-GB"/>
        </w:rPr>
        <w:t xml:space="preserve"> (Accessed: 15th November 2022) </w:t>
      </w:r>
    </w:p>
    <w:p w14:paraId="1E5702E9"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Crofts, T. (2009) ‘Catching up with Europe: Taking the Age of Criminal Responsibility Seriously in England’, </w:t>
      </w:r>
      <w:r w:rsidRPr="0028013E">
        <w:rPr>
          <w:rFonts w:ascii="Arial" w:eastAsia="Times New Roman" w:hAnsi="Arial" w:cs="Arial"/>
          <w:i/>
          <w:iCs/>
          <w:color w:val="000000"/>
          <w:sz w:val="24"/>
          <w:szCs w:val="24"/>
          <w:lang w:eastAsia="en-GB"/>
        </w:rPr>
        <w:t xml:space="preserve">European Journal of Crime, </w:t>
      </w:r>
      <w:r w:rsidRPr="0028013E">
        <w:rPr>
          <w:rFonts w:ascii="Arial" w:eastAsia="Times New Roman" w:hAnsi="Arial" w:cs="Arial"/>
          <w:color w:val="000000"/>
          <w:sz w:val="24"/>
          <w:szCs w:val="24"/>
          <w:lang w:eastAsia="en-GB"/>
        </w:rPr>
        <w:t xml:space="preserve">17(4), pp. 267-291. Available at: </w:t>
      </w:r>
      <w:hyperlink r:id="rId10" w:history="1">
        <w:r w:rsidRPr="0028013E">
          <w:rPr>
            <w:rFonts w:ascii="Arial" w:eastAsia="Times New Roman" w:hAnsi="Arial" w:cs="Arial"/>
            <w:color w:val="1155CC"/>
            <w:sz w:val="24"/>
            <w:szCs w:val="24"/>
            <w:u w:val="single"/>
            <w:lang w:eastAsia="en-GB"/>
          </w:rPr>
          <w:t>https://www.researchgate.net/publication/240679349_Catching_Up_With_Europe_Taking_the_Age_of_Criminal_Responsibility_Seriously_in_England</w:t>
        </w:r>
      </w:hyperlink>
      <w:r w:rsidRPr="0028013E">
        <w:rPr>
          <w:rFonts w:ascii="Arial" w:eastAsia="Times New Roman" w:hAnsi="Arial" w:cs="Arial"/>
          <w:color w:val="000000"/>
          <w:sz w:val="24"/>
          <w:szCs w:val="24"/>
          <w:lang w:eastAsia="en-GB"/>
        </w:rPr>
        <w:t xml:space="preserve"> (Accessed: 04 </w:t>
      </w:r>
      <w:proofErr w:type="spellStart"/>
      <w:r w:rsidRPr="0028013E">
        <w:rPr>
          <w:rFonts w:ascii="Arial" w:eastAsia="Times New Roman" w:hAnsi="Arial" w:cs="Arial"/>
          <w:color w:val="000000"/>
          <w:sz w:val="24"/>
          <w:szCs w:val="24"/>
          <w:lang w:eastAsia="en-GB"/>
        </w:rPr>
        <w:t>Novemebr</w:t>
      </w:r>
      <w:proofErr w:type="spellEnd"/>
      <w:r w:rsidRPr="0028013E">
        <w:rPr>
          <w:rFonts w:ascii="Arial" w:eastAsia="Times New Roman" w:hAnsi="Arial" w:cs="Arial"/>
          <w:color w:val="000000"/>
          <w:sz w:val="24"/>
          <w:szCs w:val="24"/>
          <w:lang w:eastAsia="en-GB"/>
        </w:rPr>
        <w:t xml:space="preserve"> 2022)</w:t>
      </w:r>
      <w:r w:rsidRPr="0028013E">
        <w:rPr>
          <w:rFonts w:ascii="Arial" w:eastAsia="Times New Roman" w:hAnsi="Arial" w:cs="Arial"/>
          <w:color w:val="000000"/>
          <w:sz w:val="24"/>
          <w:szCs w:val="24"/>
          <w:shd w:val="clear" w:color="auto" w:fill="FFFF00"/>
          <w:lang w:eastAsia="en-GB"/>
        </w:rPr>
        <w:t> </w:t>
      </w:r>
    </w:p>
    <w:p w14:paraId="0B177160"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lastRenderedPageBreak/>
        <w:t xml:space="preserve">Criminal Justice System (2022) </w:t>
      </w:r>
      <w:r w:rsidRPr="0028013E">
        <w:rPr>
          <w:rFonts w:ascii="Arial" w:eastAsia="Times New Roman" w:hAnsi="Arial" w:cs="Arial"/>
          <w:i/>
          <w:iCs/>
          <w:color w:val="000000"/>
          <w:sz w:val="24"/>
          <w:szCs w:val="24"/>
          <w:lang w:eastAsia="en-GB"/>
        </w:rPr>
        <w:t xml:space="preserve">Youth Justice Statistics 2020/21 England and Wales. </w:t>
      </w:r>
      <w:r w:rsidRPr="0028013E">
        <w:rPr>
          <w:rFonts w:ascii="Arial" w:eastAsia="Times New Roman" w:hAnsi="Arial" w:cs="Arial"/>
          <w:color w:val="000000"/>
          <w:sz w:val="24"/>
          <w:szCs w:val="24"/>
          <w:lang w:eastAsia="en-GB"/>
        </w:rPr>
        <w:t xml:space="preserve">Available at: </w:t>
      </w:r>
      <w:hyperlink r:id="rId11" w:anchor="page36" w:history="1">
        <w:r w:rsidRPr="0028013E">
          <w:rPr>
            <w:rFonts w:ascii="Arial" w:eastAsia="Times New Roman" w:hAnsi="Arial" w:cs="Arial"/>
            <w:color w:val="1155CC"/>
            <w:sz w:val="24"/>
            <w:szCs w:val="24"/>
            <w:u w:val="single"/>
            <w:lang w:eastAsia="en-GB"/>
          </w:rPr>
          <w:t>https://assets.publishing.service.gov.uk/government/uploads/system/uploads/attachment_data/file/1054236/Youth_Justice_Statistics_2020-21.pdf#page36</w:t>
        </w:r>
      </w:hyperlink>
      <w:r w:rsidRPr="0028013E">
        <w:rPr>
          <w:rFonts w:ascii="Arial" w:eastAsia="Times New Roman" w:hAnsi="Arial" w:cs="Arial"/>
          <w:color w:val="000000"/>
          <w:sz w:val="24"/>
          <w:szCs w:val="24"/>
          <w:lang w:eastAsia="en-GB"/>
        </w:rPr>
        <w:t xml:space="preserve"> (Accessed: 17th November 2022) </w:t>
      </w:r>
    </w:p>
    <w:p w14:paraId="1D65235A"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Crown Prosecution Service (a) (2022) </w:t>
      </w:r>
      <w:r w:rsidRPr="0028013E">
        <w:rPr>
          <w:rFonts w:ascii="Arial" w:eastAsia="Times New Roman" w:hAnsi="Arial" w:cs="Arial"/>
          <w:i/>
          <w:iCs/>
          <w:color w:val="000000"/>
          <w:sz w:val="24"/>
          <w:szCs w:val="24"/>
          <w:lang w:eastAsia="en-GB"/>
        </w:rPr>
        <w:t xml:space="preserve">Logan Mwangi’s Killers Sentenced. </w:t>
      </w:r>
      <w:r w:rsidRPr="0028013E">
        <w:rPr>
          <w:rFonts w:ascii="Arial" w:eastAsia="Times New Roman" w:hAnsi="Arial" w:cs="Arial"/>
          <w:color w:val="000000"/>
          <w:sz w:val="24"/>
          <w:szCs w:val="24"/>
          <w:lang w:eastAsia="en-GB"/>
        </w:rPr>
        <w:t xml:space="preserve">Available at: </w:t>
      </w:r>
      <w:hyperlink r:id="rId12" w:history="1">
        <w:r w:rsidRPr="0028013E">
          <w:rPr>
            <w:rFonts w:ascii="Arial" w:eastAsia="Times New Roman" w:hAnsi="Arial" w:cs="Arial"/>
            <w:color w:val="1155CC"/>
            <w:sz w:val="24"/>
            <w:szCs w:val="24"/>
            <w:u w:val="single"/>
            <w:lang w:eastAsia="en-GB"/>
          </w:rPr>
          <w:t>https://www.cps.gov.uk/cymruwales/news/logan-mwangis-killers-sentenced</w:t>
        </w:r>
      </w:hyperlink>
      <w:r w:rsidRPr="0028013E">
        <w:rPr>
          <w:rFonts w:ascii="Arial" w:eastAsia="Times New Roman" w:hAnsi="Arial" w:cs="Arial"/>
          <w:color w:val="000000"/>
          <w:sz w:val="24"/>
          <w:szCs w:val="24"/>
          <w:lang w:eastAsia="en-GB"/>
        </w:rPr>
        <w:t xml:space="preserve"> (Accessed: 13th November 2022)</w:t>
      </w:r>
    </w:p>
    <w:p w14:paraId="4C0A055E" w14:textId="77777777" w:rsidR="0028013E" w:rsidRPr="0028013E" w:rsidRDefault="0028013E" w:rsidP="0028013E">
      <w:pPr>
        <w:spacing w:after="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Crown Prosecution Service (b) (2022) </w:t>
      </w:r>
      <w:r w:rsidRPr="0028013E">
        <w:rPr>
          <w:rFonts w:ascii="Arial" w:eastAsia="Times New Roman" w:hAnsi="Arial" w:cs="Arial"/>
          <w:i/>
          <w:iCs/>
          <w:color w:val="000000"/>
          <w:sz w:val="24"/>
          <w:szCs w:val="24"/>
          <w:lang w:eastAsia="en-GB"/>
        </w:rPr>
        <w:t xml:space="preserve">Youth Crime. </w:t>
      </w:r>
      <w:r w:rsidRPr="0028013E">
        <w:rPr>
          <w:rFonts w:ascii="Arial" w:eastAsia="Times New Roman" w:hAnsi="Arial" w:cs="Arial"/>
          <w:color w:val="000000"/>
          <w:sz w:val="24"/>
          <w:szCs w:val="24"/>
          <w:lang w:eastAsia="en-GB"/>
        </w:rPr>
        <w:t xml:space="preserve">Available at: </w:t>
      </w:r>
      <w:hyperlink r:id="rId13" w:history="1">
        <w:r w:rsidRPr="0028013E">
          <w:rPr>
            <w:rFonts w:ascii="Arial" w:eastAsia="Times New Roman" w:hAnsi="Arial" w:cs="Arial"/>
            <w:color w:val="1155CC"/>
            <w:sz w:val="24"/>
            <w:szCs w:val="24"/>
            <w:u w:val="single"/>
            <w:lang w:eastAsia="en-GB"/>
          </w:rPr>
          <w:t>https://www.cps.gov.uk/crime-info/youth-crime</w:t>
        </w:r>
      </w:hyperlink>
      <w:r w:rsidRPr="0028013E">
        <w:rPr>
          <w:rFonts w:ascii="Arial" w:eastAsia="Times New Roman" w:hAnsi="Arial" w:cs="Arial"/>
          <w:color w:val="000000"/>
          <w:sz w:val="24"/>
          <w:szCs w:val="24"/>
          <w:lang w:eastAsia="en-GB"/>
        </w:rPr>
        <w:t xml:space="preserve"> (Accessed: 7th October 2022)</w:t>
      </w:r>
    </w:p>
    <w:p w14:paraId="377CC08A"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Dewey (2022) </w:t>
      </w:r>
      <w:r w:rsidRPr="0028013E">
        <w:rPr>
          <w:rFonts w:ascii="Arial" w:eastAsia="Times New Roman" w:hAnsi="Arial" w:cs="Arial"/>
          <w:i/>
          <w:iCs/>
          <w:color w:val="000000"/>
          <w:sz w:val="24"/>
          <w:szCs w:val="24"/>
          <w:lang w:eastAsia="en-GB"/>
        </w:rPr>
        <w:t xml:space="preserve">The Full story of the murder of Logan Mwangi- the boy afraid of water dumped like rubbish in a river. </w:t>
      </w:r>
      <w:r w:rsidRPr="0028013E">
        <w:rPr>
          <w:rFonts w:ascii="Arial" w:eastAsia="Times New Roman" w:hAnsi="Arial" w:cs="Arial"/>
          <w:color w:val="000000"/>
          <w:sz w:val="24"/>
          <w:szCs w:val="24"/>
          <w:lang w:eastAsia="en-GB"/>
        </w:rPr>
        <w:t xml:space="preserve">Available: </w:t>
      </w:r>
      <w:hyperlink r:id="rId14" w:history="1">
        <w:r w:rsidRPr="0028013E">
          <w:rPr>
            <w:rFonts w:ascii="Arial" w:eastAsia="Times New Roman" w:hAnsi="Arial" w:cs="Arial"/>
            <w:color w:val="1155CC"/>
            <w:sz w:val="24"/>
            <w:szCs w:val="24"/>
            <w:u w:val="single"/>
            <w:lang w:eastAsia="en-GB"/>
          </w:rPr>
          <w:t>https://www.walesonline.co.uk/news/wales-news/full-story-murder-logan-mwangi-23549037</w:t>
        </w:r>
      </w:hyperlink>
      <w:r w:rsidRPr="0028013E">
        <w:rPr>
          <w:rFonts w:ascii="Arial" w:eastAsia="Times New Roman" w:hAnsi="Arial" w:cs="Arial"/>
          <w:color w:val="000000"/>
          <w:sz w:val="24"/>
          <w:szCs w:val="24"/>
          <w:lang w:eastAsia="en-GB"/>
        </w:rPr>
        <w:t xml:space="preserve"> (Accessed: 16th November 2022) </w:t>
      </w:r>
    </w:p>
    <w:p w14:paraId="47F33C5C" w14:textId="77777777" w:rsidR="0028013E" w:rsidRPr="0028013E" w:rsidRDefault="0028013E" w:rsidP="0028013E">
      <w:pPr>
        <w:spacing w:after="0" w:line="480" w:lineRule="auto"/>
        <w:rPr>
          <w:rFonts w:ascii="Arial" w:eastAsia="Times New Roman" w:hAnsi="Arial" w:cs="Arial"/>
          <w:sz w:val="24"/>
          <w:szCs w:val="24"/>
          <w:lang w:eastAsia="en-GB"/>
        </w:rPr>
      </w:pPr>
    </w:p>
    <w:p w14:paraId="595F612C"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Gonzalez-tapia, M. and </w:t>
      </w:r>
      <w:proofErr w:type="spellStart"/>
      <w:r w:rsidRPr="0028013E">
        <w:rPr>
          <w:rFonts w:ascii="Arial" w:eastAsia="Times New Roman" w:hAnsi="Arial" w:cs="Arial"/>
          <w:color w:val="000000"/>
          <w:sz w:val="24"/>
          <w:szCs w:val="24"/>
          <w:lang w:eastAsia="en-GB"/>
        </w:rPr>
        <w:t>Obsuth</w:t>
      </w:r>
      <w:proofErr w:type="spellEnd"/>
      <w:r w:rsidRPr="0028013E">
        <w:rPr>
          <w:rFonts w:ascii="Arial" w:eastAsia="Times New Roman" w:hAnsi="Arial" w:cs="Arial"/>
          <w:color w:val="000000"/>
          <w:sz w:val="24"/>
          <w:szCs w:val="24"/>
          <w:lang w:eastAsia="en-GB"/>
        </w:rPr>
        <w:t xml:space="preserve">, I. (2015) ‘“Bad Genes” &amp; Criminal Responsibility’, </w:t>
      </w:r>
      <w:r w:rsidRPr="0028013E">
        <w:rPr>
          <w:rFonts w:ascii="Arial" w:eastAsia="Times New Roman" w:hAnsi="Arial" w:cs="Arial"/>
          <w:i/>
          <w:iCs/>
          <w:color w:val="000000"/>
          <w:sz w:val="24"/>
          <w:szCs w:val="24"/>
          <w:lang w:eastAsia="en-GB"/>
        </w:rPr>
        <w:t>International Journal of Law and Psychiatry</w:t>
      </w:r>
      <w:r w:rsidRPr="0028013E">
        <w:rPr>
          <w:rFonts w:ascii="Arial" w:eastAsia="Times New Roman" w:hAnsi="Arial" w:cs="Arial"/>
          <w:color w:val="000000"/>
          <w:sz w:val="24"/>
          <w:szCs w:val="24"/>
          <w:lang w:eastAsia="en-GB"/>
        </w:rPr>
        <w:t xml:space="preserve">, 39, pp. 60-71. Available at: </w:t>
      </w:r>
      <w:hyperlink r:id="rId15" w:history="1">
        <w:r w:rsidRPr="0028013E">
          <w:rPr>
            <w:rFonts w:ascii="Arial" w:eastAsia="Times New Roman" w:hAnsi="Arial" w:cs="Arial"/>
            <w:color w:val="1155CC"/>
            <w:sz w:val="24"/>
            <w:szCs w:val="24"/>
            <w:u w:val="single"/>
            <w:lang w:eastAsia="en-GB"/>
          </w:rPr>
          <w:t>https://librarysearch.uwtsd.ac.uk/discovery/fulldisplay?docid=cdi_proquest_miscellaneous_1695993349&amp;context=PC&amp;vid=44WHELF_UWTSD:44WHELF_UWTSD_VU1&amp;lang=en&amp;search_scope=MyInst_and_CI&amp;adaptor=Primo%20Central&amp;tab=Everything&amp;query=any,contains,criminal%20responsibility&amp;facet=rtype,include,articles&amp;offset=0</w:t>
        </w:r>
      </w:hyperlink>
      <w:r w:rsidRPr="0028013E">
        <w:rPr>
          <w:rFonts w:ascii="Arial" w:eastAsia="Times New Roman" w:hAnsi="Arial" w:cs="Arial"/>
          <w:color w:val="000000"/>
          <w:sz w:val="24"/>
          <w:szCs w:val="24"/>
          <w:lang w:eastAsia="en-GB"/>
        </w:rPr>
        <w:t xml:space="preserve"> (Accessed: 11 October 2022) </w:t>
      </w:r>
    </w:p>
    <w:p w14:paraId="3B1FC753"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Gordon, F. (2019) ‘Preserving lifelong anonymity orders into adulthood: new challenges for the courts in the age of Social Media’, </w:t>
      </w:r>
      <w:r w:rsidRPr="0028013E">
        <w:rPr>
          <w:rFonts w:ascii="Arial" w:eastAsia="Times New Roman" w:hAnsi="Arial" w:cs="Arial"/>
          <w:i/>
          <w:iCs/>
          <w:color w:val="000000"/>
          <w:sz w:val="24"/>
          <w:szCs w:val="24"/>
          <w:lang w:eastAsia="en-GB"/>
        </w:rPr>
        <w:t xml:space="preserve">Journal of Social Welfare and </w:t>
      </w:r>
      <w:r w:rsidRPr="0028013E">
        <w:rPr>
          <w:rFonts w:ascii="Arial" w:eastAsia="Times New Roman" w:hAnsi="Arial" w:cs="Arial"/>
          <w:i/>
          <w:iCs/>
          <w:color w:val="000000"/>
          <w:sz w:val="24"/>
          <w:szCs w:val="24"/>
          <w:lang w:eastAsia="en-GB"/>
        </w:rPr>
        <w:lastRenderedPageBreak/>
        <w:t xml:space="preserve">Family Law, </w:t>
      </w:r>
      <w:r w:rsidRPr="0028013E">
        <w:rPr>
          <w:rFonts w:ascii="Arial" w:eastAsia="Times New Roman" w:hAnsi="Arial" w:cs="Arial"/>
          <w:color w:val="000000"/>
          <w:sz w:val="24"/>
          <w:szCs w:val="24"/>
          <w:lang w:eastAsia="en-GB"/>
        </w:rPr>
        <w:t xml:space="preserve">41(4), pp. 491- 494. Available at: </w:t>
      </w:r>
      <w:hyperlink r:id="rId16" w:history="1">
        <w:r w:rsidRPr="0028013E">
          <w:rPr>
            <w:rFonts w:ascii="Arial" w:eastAsia="Times New Roman" w:hAnsi="Arial" w:cs="Arial"/>
            <w:color w:val="1155CC"/>
            <w:sz w:val="24"/>
            <w:szCs w:val="24"/>
            <w:u w:val="single"/>
            <w:lang w:eastAsia="en-GB"/>
          </w:rPr>
          <w:t>https://www.tandfonline.com/doi/pdf/10.1080/09649069.2019.1663023?needAccess=true</w:t>
        </w:r>
      </w:hyperlink>
      <w:r w:rsidRPr="0028013E">
        <w:rPr>
          <w:rFonts w:ascii="Arial" w:eastAsia="Times New Roman" w:hAnsi="Arial" w:cs="Arial"/>
          <w:color w:val="000000"/>
          <w:sz w:val="24"/>
          <w:szCs w:val="24"/>
          <w:lang w:eastAsia="en-GB"/>
        </w:rPr>
        <w:t xml:space="preserve"> (Accessed: 14thNovember 2022) </w:t>
      </w:r>
    </w:p>
    <w:p w14:paraId="4D2E9C09"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Gunner, Z. (2020) </w:t>
      </w:r>
      <w:r w:rsidRPr="0028013E">
        <w:rPr>
          <w:rFonts w:ascii="Arial" w:eastAsia="Times New Roman" w:hAnsi="Arial" w:cs="Arial"/>
          <w:i/>
          <w:iCs/>
          <w:color w:val="000000"/>
          <w:sz w:val="24"/>
          <w:szCs w:val="24"/>
          <w:lang w:eastAsia="en-GB"/>
        </w:rPr>
        <w:t xml:space="preserve">The Age of Criminal Responsibility- Should it be </w:t>
      </w:r>
      <w:proofErr w:type="gramStart"/>
      <w:r w:rsidRPr="0028013E">
        <w:rPr>
          <w:rFonts w:ascii="Arial" w:eastAsia="Times New Roman" w:hAnsi="Arial" w:cs="Arial"/>
          <w:i/>
          <w:iCs/>
          <w:color w:val="000000"/>
          <w:sz w:val="24"/>
          <w:szCs w:val="24"/>
          <w:lang w:eastAsia="en-GB"/>
        </w:rPr>
        <w:t>increased?.</w:t>
      </w:r>
      <w:proofErr w:type="gramEnd"/>
      <w:r w:rsidRPr="0028013E">
        <w:rPr>
          <w:rFonts w:ascii="Arial" w:eastAsia="Times New Roman" w:hAnsi="Arial" w:cs="Arial"/>
          <w:color w:val="000000"/>
          <w:sz w:val="24"/>
          <w:szCs w:val="24"/>
          <w:lang w:eastAsia="en-GB"/>
        </w:rPr>
        <w:t xml:space="preserve"> Available at: </w:t>
      </w:r>
      <w:hyperlink r:id="rId17" w:history="1">
        <w:r w:rsidRPr="0028013E">
          <w:rPr>
            <w:rFonts w:ascii="Arial" w:eastAsia="Times New Roman" w:hAnsi="Arial" w:cs="Arial"/>
            <w:color w:val="1155CC"/>
            <w:sz w:val="24"/>
            <w:szCs w:val="24"/>
            <w:u w:val="single"/>
            <w:lang w:eastAsia="en-GB"/>
          </w:rPr>
          <w:t>https://www.oblaw.co.uk/the-age-of-criminal-responsibility-should-it-be-increased/</w:t>
        </w:r>
      </w:hyperlink>
      <w:r w:rsidRPr="0028013E">
        <w:rPr>
          <w:rFonts w:ascii="Arial" w:eastAsia="Times New Roman" w:hAnsi="Arial" w:cs="Arial"/>
          <w:color w:val="000000"/>
          <w:sz w:val="24"/>
          <w:szCs w:val="24"/>
          <w:lang w:eastAsia="en-GB"/>
        </w:rPr>
        <w:t xml:space="preserve"> (Accessed: 2nd November 2022) </w:t>
      </w:r>
    </w:p>
    <w:p w14:paraId="1024D9CB"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Haringey London (2022) </w:t>
      </w:r>
      <w:r w:rsidRPr="0028013E">
        <w:rPr>
          <w:rFonts w:ascii="Arial" w:eastAsia="Times New Roman" w:hAnsi="Arial" w:cs="Arial"/>
          <w:i/>
          <w:iCs/>
          <w:color w:val="000000"/>
          <w:sz w:val="24"/>
          <w:szCs w:val="24"/>
          <w:lang w:eastAsia="en-GB"/>
        </w:rPr>
        <w:t xml:space="preserve">Trading Standards- age restricted products/ sales. </w:t>
      </w:r>
      <w:r w:rsidRPr="0028013E">
        <w:rPr>
          <w:rFonts w:ascii="Arial" w:eastAsia="Times New Roman" w:hAnsi="Arial" w:cs="Arial"/>
          <w:color w:val="000000"/>
          <w:sz w:val="24"/>
          <w:szCs w:val="24"/>
          <w:lang w:eastAsia="en-GB"/>
        </w:rPr>
        <w:t xml:space="preserve">Available at: </w:t>
      </w:r>
      <w:hyperlink r:id="rId18" w:history="1">
        <w:r w:rsidRPr="0028013E">
          <w:rPr>
            <w:rFonts w:ascii="Arial" w:eastAsia="Times New Roman" w:hAnsi="Arial" w:cs="Arial"/>
            <w:color w:val="1155CC"/>
            <w:sz w:val="24"/>
            <w:szCs w:val="24"/>
            <w:u w:val="single"/>
            <w:lang w:eastAsia="en-GB"/>
          </w:rPr>
          <w:t>https://www.haringey.gov.uk/business/licensing-and-regulations/trading-standards/trading-standards-age-restricted-sales</w:t>
        </w:r>
      </w:hyperlink>
      <w:r w:rsidRPr="0028013E">
        <w:rPr>
          <w:rFonts w:ascii="Arial" w:eastAsia="Times New Roman" w:hAnsi="Arial" w:cs="Arial"/>
          <w:color w:val="000000"/>
          <w:sz w:val="24"/>
          <w:szCs w:val="24"/>
          <w:lang w:eastAsia="en-GB"/>
        </w:rPr>
        <w:t xml:space="preserve"> (Accessed: 15th November 2022) </w:t>
      </w:r>
    </w:p>
    <w:p w14:paraId="70C3F006"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Haylock, S. et al., (2020) ‘Risk Factors Associated with Knife-Crime in United Kingdom among Young People aged 10-24 years: a systematic review’, </w:t>
      </w:r>
      <w:r w:rsidRPr="0028013E">
        <w:rPr>
          <w:rFonts w:ascii="Arial" w:eastAsia="Times New Roman" w:hAnsi="Arial" w:cs="Arial"/>
          <w:i/>
          <w:iCs/>
          <w:color w:val="000000"/>
          <w:sz w:val="24"/>
          <w:szCs w:val="24"/>
          <w:lang w:eastAsia="en-GB"/>
        </w:rPr>
        <w:t xml:space="preserve">BMC Public Health, </w:t>
      </w:r>
      <w:r w:rsidRPr="0028013E">
        <w:rPr>
          <w:rFonts w:ascii="Arial" w:eastAsia="Times New Roman" w:hAnsi="Arial" w:cs="Arial"/>
          <w:color w:val="000000"/>
          <w:sz w:val="24"/>
          <w:szCs w:val="24"/>
          <w:lang w:eastAsia="en-GB"/>
        </w:rPr>
        <w:t xml:space="preserve">20, pp. 1-19. Available at: </w:t>
      </w:r>
      <w:hyperlink r:id="rId19" w:history="1">
        <w:r w:rsidRPr="0028013E">
          <w:rPr>
            <w:rFonts w:ascii="Arial" w:eastAsia="Times New Roman" w:hAnsi="Arial" w:cs="Arial"/>
            <w:color w:val="1155CC"/>
            <w:sz w:val="24"/>
            <w:szCs w:val="24"/>
            <w:u w:val="single"/>
            <w:lang w:eastAsia="en-GB"/>
          </w:rPr>
          <w:t>https://bmcpublichealth.biomedcentral.com/counter/pdf/10.1186/s12889-020-09498-4.pdf</w:t>
        </w:r>
      </w:hyperlink>
      <w:r w:rsidRPr="0028013E">
        <w:rPr>
          <w:rFonts w:ascii="Arial" w:eastAsia="Times New Roman" w:hAnsi="Arial" w:cs="Arial"/>
          <w:color w:val="000000"/>
          <w:sz w:val="24"/>
          <w:szCs w:val="24"/>
          <w:lang w:eastAsia="en-GB"/>
        </w:rPr>
        <w:t xml:space="preserve"> (Accessed: 16th November 2022)  </w:t>
      </w:r>
    </w:p>
    <w:p w14:paraId="27DC079F"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House Of Lords (1997) Judgements- Reg. v. Secretary of State for the Home Department, Ex </w:t>
      </w:r>
      <w:proofErr w:type="spellStart"/>
      <w:r w:rsidRPr="0028013E">
        <w:rPr>
          <w:rFonts w:ascii="Arial" w:eastAsia="Times New Roman" w:hAnsi="Arial" w:cs="Arial"/>
          <w:color w:val="000000"/>
          <w:sz w:val="24"/>
          <w:szCs w:val="24"/>
          <w:lang w:eastAsia="en-GB"/>
        </w:rPr>
        <w:t>parte</w:t>
      </w:r>
      <w:proofErr w:type="spellEnd"/>
      <w:r w:rsidRPr="0028013E">
        <w:rPr>
          <w:rFonts w:ascii="Arial" w:eastAsia="Times New Roman" w:hAnsi="Arial" w:cs="Arial"/>
          <w:color w:val="000000"/>
          <w:sz w:val="24"/>
          <w:szCs w:val="24"/>
          <w:lang w:eastAsia="en-GB"/>
        </w:rPr>
        <w:t xml:space="preserve"> V. and Reg. V. Secretary of State for the Home Department, Ex </w:t>
      </w:r>
      <w:proofErr w:type="spellStart"/>
      <w:r w:rsidRPr="0028013E">
        <w:rPr>
          <w:rFonts w:ascii="Arial" w:eastAsia="Times New Roman" w:hAnsi="Arial" w:cs="Arial"/>
          <w:color w:val="000000"/>
          <w:sz w:val="24"/>
          <w:szCs w:val="24"/>
          <w:lang w:eastAsia="en-GB"/>
        </w:rPr>
        <w:t>Parte</w:t>
      </w:r>
      <w:proofErr w:type="spellEnd"/>
      <w:r w:rsidRPr="0028013E">
        <w:rPr>
          <w:rFonts w:ascii="Arial" w:eastAsia="Times New Roman" w:hAnsi="Arial" w:cs="Arial"/>
          <w:color w:val="000000"/>
          <w:sz w:val="24"/>
          <w:szCs w:val="24"/>
          <w:lang w:eastAsia="en-GB"/>
        </w:rPr>
        <w:t xml:space="preserve"> T. Available at: </w:t>
      </w:r>
      <w:hyperlink r:id="rId20" w:history="1">
        <w:r w:rsidRPr="0028013E">
          <w:rPr>
            <w:rFonts w:ascii="Arial" w:eastAsia="Times New Roman" w:hAnsi="Arial" w:cs="Arial"/>
            <w:color w:val="1155CC"/>
            <w:sz w:val="24"/>
            <w:szCs w:val="24"/>
            <w:u w:val="single"/>
            <w:lang w:eastAsia="en-GB"/>
          </w:rPr>
          <w:t>https://publications.parliament.uk/pa/ld199798/ldjudgmt/jd970612/vandt01.htm</w:t>
        </w:r>
      </w:hyperlink>
      <w:r w:rsidRPr="0028013E">
        <w:rPr>
          <w:rFonts w:ascii="Arial" w:eastAsia="Times New Roman" w:hAnsi="Arial" w:cs="Arial"/>
          <w:color w:val="000000"/>
          <w:sz w:val="24"/>
          <w:szCs w:val="24"/>
          <w:lang w:eastAsia="en-GB"/>
        </w:rPr>
        <w:t>  (Accessed: 01 November 2022)</w:t>
      </w:r>
    </w:p>
    <w:p w14:paraId="3F1D38E7"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w:t>
      </w:r>
      <w:r w:rsidRPr="0028013E">
        <w:rPr>
          <w:rFonts w:ascii="Arial" w:eastAsia="Times New Roman" w:hAnsi="Arial" w:cs="Arial"/>
          <w:i/>
          <w:iCs/>
          <w:color w:val="000000"/>
          <w:sz w:val="24"/>
          <w:szCs w:val="24"/>
          <w:lang w:eastAsia="en-GB"/>
        </w:rPr>
        <w:t xml:space="preserve">Jon Venables and Robert Thompson v. News group Limited and Ralph Steven Bulger and James Patrick Bulger’ </w:t>
      </w:r>
      <w:r w:rsidRPr="0028013E">
        <w:rPr>
          <w:rFonts w:ascii="Arial" w:eastAsia="Times New Roman" w:hAnsi="Arial" w:cs="Arial"/>
          <w:color w:val="000000"/>
          <w:sz w:val="24"/>
          <w:szCs w:val="24"/>
          <w:lang w:eastAsia="en-GB"/>
        </w:rPr>
        <w:t xml:space="preserve">(2019) London High Court of Justice, case FD18F00008 [Online]. Available at: </w:t>
      </w:r>
      <w:hyperlink r:id="rId21" w:history="1">
        <w:r w:rsidRPr="0028013E">
          <w:rPr>
            <w:rFonts w:ascii="Arial" w:eastAsia="Times New Roman" w:hAnsi="Arial" w:cs="Arial"/>
            <w:color w:val="1155CC"/>
            <w:sz w:val="24"/>
            <w:szCs w:val="24"/>
            <w:u w:val="single"/>
            <w:lang w:eastAsia="en-GB"/>
          </w:rPr>
          <w:t>https://www.judiciary.uk/wp-</w:t>
        </w:r>
        <w:r w:rsidRPr="0028013E">
          <w:rPr>
            <w:rFonts w:ascii="Arial" w:eastAsia="Times New Roman" w:hAnsi="Arial" w:cs="Arial"/>
            <w:color w:val="1155CC"/>
            <w:sz w:val="24"/>
            <w:szCs w:val="24"/>
            <w:u w:val="single"/>
            <w:lang w:eastAsia="en-GB"/>
          </w:rPr>
          <w:lastRenderedPageBreak/>
          <w:t>content/uploads/2019/03/bulger-judgment-040319.pdf</w:t>
        </w:r>
      </w:hyperlink>
      <w:r w:rsidRPr="0028013E">
        <w:rPr>
          <w:rFonts w:ascii="Arial" w:eastAsia="Times New Roman" w:hAnsi="Arial" w:cs="Arial"/>
          <w:color w:val="000000"/>
          <w:sz w:val="24"/>
          <w:szCs w:val="24"/>
          <w:lang w:eastAsia="en-GB"/>
        </w:rPr>
        <w:t xml:space="preserve"> (Accessed: 15th November 2022) </w:t>
      </w:r>
    </w:p>
    <w:p w14:paraId="5F1CBD19"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Local Government Association (2018) </w:t>
      </w:r>
      <w:r w:rsidRPr="0028013E">
        <w:rPr>
          <w:rFonts w:ascii="Arial" w:eastAsia="Times New Roman" w:hAnsi="Arial" w:cs="Arial"/>
          <w:i/>
          <w:iCs/>
          <w:color w:val="000000"/>
          <w:sz w:val="24"/>
          <w:szCs w:val="24"/>
          <w:lang w:eastAsia="en-GB"/>
        </w:rPr>
        <w:t>The Relationship Between Family violence and Youth offending.</w:t>
      </w:r>
      <w:r w:rsidRPr="0028013E">
        <w:rPr>
          <w:rFonts w:ascii="Arial" w:eastAsia="Times New Roman" w:hAnsi="Arial" w:cs="Arial"/>
          <w:color w:val="000000"/>
          <w:sz w:val="24"/>
          <w:szCs w:val="24"/>
          <w:lang w:eastAsia="en-GB"/>
        </w:rPr>
        <w:t xml:space="preserve"> Available at: </w:t>
      </w:r>
      <w:hyperlink r:id="rId22" w:history="1">
        <w:r w:rsidRPr="0028013E">
          <w:rPr>
            <w:rFonts w:ascii="Arial" w:eastAsia="Times New Roman" w:hAnsi="Arial" w:cs="Arial"/>
            <w:color w:val="1155CC"/>
            <w:sz w:val="24"/>
            <w:szCs w:val="24"/>
            <w:u w:val="single"/>
            <w:lang w:eastAsia="en-GB"/>
          </w:rPr>
          <w:t>https://www.local.gov.uk/sites/default/files/documents/15%2034%20-%20The%20relationship%20between%20family%20violence%20and%20youth%20offending-V4_1.pdf</w:t>
        </w:r>
      </w:hyperlink>
      <w:r w:rsidRPr="0028013E">
        <w:rPr>
          <w:rFonts w:ascii="Arial" w:eastAsia="Times New Roman" w:hAnsi="Arial" w:cs="Arial"/>
          <w:color w:val="000000"/>
          <w:sz w:val="24"/>
          <w:szCs w:val="24"/>
          <w:lang w:eastAsia="en-GB"/>
        </w:rPr>
        <w:t xml:space="preserve"> (Accessed: 14th November 2022) </w:t>
      </w:r>
    </w:p>
    <w:p w14:paraId="6C8F5759"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Mallik, S. et al. (2022) </w:t>
      </w:r>
      <w:proofErr w:type="gramStart"/>
      <w:r w:rsidRPr="0028013E">
        <w:rPr>
          <w:rFonts w:ascii="Arial" w:eastAsia="Times New Roman" w:hAnsi="Arial" w:cs="Arial"/>
          <w:color w:val="000000"/>
          <w:sz w:val="24"/>
          <w:szCs w:val="24"/>
          <w:lang w:eastAsia="en-GB"/>
        </w:rPr>
        <w:t>‘ A</w:t>
      </w:r>
      <w:proofErr w:type="gramEnd"/>
      <w:r w:rsidRPr="0028013E">
        <w:rPr>
          <w:rFonts w:ascii="Arial" w:eastAsia="Times New Roman" w:hAnsi="Arial" w:cs="Arial"/>
          <w:color w:val="000000"/>
          <w:sz w:val="24"/>
          <w:szCs w:val="24"/>
          <w:lang w:eastAsia="en-GB"/>
        </w:rPr>
        <w:t xml:space="preserve"> Criminological Legal Study on Juvenile Delinquency’, </w:t>
      </w:r>
      <w:r w:rsidRPr="0028013E">
        <w:rPr>
          <w:rFonts w:ascii="Arial" w:eastAsia="Times New Roman" w:hAnsi="Arial" w:cs="Arial"/>
          <w:i/>
          <w:iCs/>
          <w:color w:val="000000"/>
          <w:sz w:val="24"/>
          <w:szCs w:val="24"/>
          <w:lang w:eastAsia="en-GB"/>
        </w:rPr>
        <w:t xml:space="preserve">Indian Politics and Law review Journal, </w:t>
      </w:r>
      <w:r w:rsidRPr="0028013E">
        <w:rPr>
          <w:rFonts w:ascii="Arial" w:eastAsia="Times New Roman" w:hAnsi="Arial" w:cs="Arial"/>
          <w:color w:val="000000"/>
          <w:sz w:val="24"/>
          <w:szCs w:val="24"/>
          <w:lang w:eastAsia="en-GB"/>
        </w:rPr>
        <w:t xml:space="preserve">7, pp, 51-79. Available at: </w:t>
      </w:r>
      <w:hyperlink r:id="rId23" w:history="1">
        <w:r w:rsidRPr="0028013E">
          <w:rPr>
            <w:rFonts w:ascii="Arial" w:eastAsia="Times New Roman" w:hAnsi="Arial" w:cs="Arial"/>
            <w:color w:val="1155CC"/>
            <w:sz w:val="24"/>
            <w:szCs w:val="24"/>
            <w:u w:val="single"/>
            <w:lang w:eastAsia="en-GB"/>
          </w:rPr>
          <w:t>https://thelawbrigade.com/wp-content/uploads/2022/06/SOUJANYO-PATTNAYAK-SHIVAM-SOURAV-MALLICK-RUPAREKHA-JENA-SWAGATA-GUPTA-IPLR.pdf</w:t>
        </w:r>
      </w:hyperlink>
      <w:r w:rsidRPr="0028013E">
        <w:rPr>
          <w:rFonts w:ascii="Arial" w:eastAsia="Times New Roman" w:hAnsi="Arial" w:cs="Arial"/>
          <w:color w:val="000000"/>
          <w:sz w:val="24"/>
          <w:szCs w:val="24"/>
          <w:lang w:eastAsia="en-GB"/>
        </w:rPr>
        <w:t xml:space="preserve"> (Accessed: 16th November 2022) </w:t>
      </w:r>
    </w:p>
    <w:p w14:paraId="5216E76B" w14:textId="77777777" w:rsidR="0028013E" w:rsidRPr="0028013E" w:rsidRDefault="0028013E" w:rsidP="0028013E">
      <w:pPr>
        <w:spacing w:before="240" w:line="480" w:lineRule="auto"/>
        <w:rPr>
          <w:rFonts w:ascii="Arial" w:eastAsia="Times New Roman" w:hAnsi="Arial" w:cs="Arial"/>
          <w:sz w:val="24"/>
          <w:szCs w:val="24"/>
          <w:lang w:eastAsia="en-GB"/>
        </w:rPr>
      </w:pPr>
      <w:proofErr w:type="spellStart"/>
      <w:r w:rsidRPr="0028013E">
        <w:rPr>
          <w:rFonts w:ascii="Arial" w:eastAsia="Times New Roman" w:hAnsi="Arial" w:cs="Arial"/>
          <w:color w:val="000000"/>
          <w:sz w:val="24"/>
          <w:szCs w:val="24"/>
          <w:lang w:eastAsia="en-GB"/>
        </w:rPr>
        <w:t>Mercuro</w:t>
      </w:r>
      <w:proofErr w:type="spellEnd"/>
      <w:r w:rsidRPr="0028013E">
        <w:rPr>
          <w:rFonts w:ascii="Arial" w:eastAsia="Times New Roman" w:hAnsi="Arial" w:cs="Arial"/>
          <w:color w:val="000000"/>
          <w:sz w:val="24"/>
          <w:szCs w:val="24"/>
          <w:lang w:eastAsia="en-GB"/>
        </w:rPr>
        <w:t xml:space="preserve">, E. et al (2020) ‘Adolescent brain development and progressive Legal responsibility in the Latin American Context’, </w:t>
      </w:r>
      <w:r w:rsidRPr="0028013E">
        <w:rPr>
          <w:rFonts w:ascii="Arial" w:eastAsia="Times New Roman" w:hAnsi="Arial" w:cs="Arial"/>
          <w:i/>
          <w:iCs/>
          <w:color w:val="000000"/>
          <w:sz w:val="24"/>
          <w:szCs w:val="24"/>
          <w:lang w:eastAsia="en-GB"/>
        </w:rPr>
        <w:t xml:space="preserve">Frontiers in Psychology, </w:t>
      </w:r>
      <w:r w:rsidRPr="0028013E">
        <w:rPr>
          <w:rFonts w:ascii="Arial" w:eastAsia="Times New Roman" w:hAnsi="Arial" w:cs="Arial"/>
          <w:color w:val="000000"/>
          <w:sz w:val="24"/>
          <w:szCs w:val="24"/>
          <w:lang w:eastAsia="en-GB"/>
        </w:rPr>
        <w:t xml:space="preserve">11, pp. 1. Available at: </w:t>
      </w:r>
      <w:hyperlink r:id="rId24" w:history="1">
        <w:r w:rsidRPr="0028013E">
          <w:rPr>
            <w:rFonts w:ascii="Arial" w:eastAsia="Times New Roman" w:hAnsi="Arial" w:cs="Arial"/>
            <w:color w:val="1155CC"/>
            <w:sz w:val="24"/>
            <w:szCs w:val="24"/>
            <w:u w:val="single"/>
            <w:lang w:eastAsia="en-GB"/>
          </w:rPr>
          <w:t>https://www.ncbi.nlm.nih.gov/pmc/articles/PMC7194023/pdf/fpsyg-11-00627.pdf</w:t>
        </w:r>
      </w:hyperlink>
      <w:r w:rsidRPr="0028013E">
        <w:rPr>
          <w:rFonts w:ascii="Arial" w:eastAsia="Times New Roman" w:hAnsi="Arial" w:cs="Arial"/>
          <w:color w:val="000000"/>
          <w:sz w:val="24"/>
          <w:szCs w:val="24"/>
          <w:lang w:eastAsia="en-GB"/>
        </w:rPr>
        <w:t xml:space="preserve"> (Accessed: 14th November 2022) </w:t>
      </w:r>
    </w:p>
    <w:p w14:paraId="53B8D7E6"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Parliamentary Office of Science and Technology (2018) </w:t>
      </w:r>
      <w:r w:rsidRPr="0028013E">
        <w:rPr>
          <w:rFonts w:ascii="Arial" w:eastAsia="Times New Roman" w:hAnsi="Arial" w:cs="Arial"/>
          <w:i/>
          <w:iCs/>
          <w:color w:val="000000"/>
          <w:sz w:val="24"/>
          <w:szCs w:val="24"/>
          <w:lang w:eastAsia="en-GB"/>
        </w:rPr>
        <w:t xml:space="preserve">Age of Criminal Responsibility. </w:t>
      </w:r>
      <w:r w:rsidRPr="0028013E">
        <w:rPr>
          <w:rFonts w:ascii="Arial" w:eastAsia="Times New Roman" w:hAnsi="Arial" w:cs="Arial"/>
          <w:color w:val="000000"/>
          <w:sz w:val="24"/>
          <w:szCs w:val="24"/>
          <w:lang w:eastAsia="en-GB"/>
        </w:rPr>
        <w:t>577. London. Available at:</w:t>
      </w:r>
      <w:hyperlink r:id="rId25" w:history="1">
        <w:r w:rsidRPr="0028013E">
          <w:rPr>
            <w:rFonts w:ascii="Arial" w:eastAsia="Times New Roman" w:hAnsi="Arial" w:cs="Arial"/>
            <w:color w:val="1155CC"/>
            <w:sz w:val="24"/>
            <w:szCs w:val="24"/>
            <w:u w:val="single"/>
            <w:lang w:eastAsia="en-GB"/>
          </w:rPr>
          <w:t>https://researchbriefings.files.parliament.uk/documents/POST-PN-0577/POST-PN-0577.pdf</w:t>
        </w:r>
      </w:hyperlink>
      <w:r w:rsidRPr="0028013E">
        <w:rPr>
          <w:rFonts w:ascii="Arial" w:eastAsia="Times New Roman" w:hAnsi="Arial" w:cs="Arial"/>
          <w:color w:val="000000"/>
          <w:sz w:val="24"/>
          <w:szCs w:val="24"/>
          <w:lang w:eastAsia="en-GB"/>
        </w:rPr>
        <w:t xml:space="preserve"> (Accessed:01 November 2022) </w:t>
      </w:r>
    </w:p>
    <w:p w14:paraId="753F7F33" w14:textId="77777777" w:rsidR="0028013E" w:rsidRPr="0028013E" w:rsidRDefault="0028013E" w:rsidP="0028013E">
      <w:pPr>
        <w:spacing w:before="240" w:line="480" w:lineRule="auto"/>
        <w:rPr>
          <w:rFonts w:ascii="Arial" w:eastAsia="Times New Roman" w:hAnsi="Arial" w:cs="Arial"/>
          <w:sz w:val="24"/>
          <w:szCs w:val="24"/>
          <w:lang w:eastAsia="en-GB"/>
        </w:rPr>
      </w:pPr>
      <w:proofErr w:type="spellStart"/>
      <w:r w:rsidRPr="0028013E">
        <w:rPr>
          <w:rFonts w:ascii="Arial" w:eastAsia="Times New Roman" w:hAnsi="Arial" w:cs="Arial"/>
          <w:color w:val="000000"/>
          <w:sz w:val="24"/>
          <w:szCs w:val="24"/>
          <w:lang w:eastAsia="en-GB"/>
        </w:rPr>
        <w:t>Pierpoint</w:t>
      </w:r>
      <w:proofErr w:type="spellEnd"/>
      <w:r w:rsidRPr="0028013E">
        <w:rPr>
          <w:rFonts w:ascii="Arial" w:eastAsia="Times New Roman" w:hAnsi="Arial" w:cs="Arial"/>
          <w:color w:val="000000"/>
          <w:sz w:val="24"/>
          <w:szCs w:val="24"/>
          <w:lang w:eastAsia="en-GB"/>
        </w:rPr>
        <w:t xml:space="preserve">, H. (2021) </w:t>
      </w:r>
      <w:r w:rsidRPr="0028013E">
        <w:rPr>
          <w:rFonts w:ascii="Arial" w:eastAsia="Times New Roman" w:hAnsi="Arial" w:cs="Arial"/>
          <w:i/>
          <w:iCs/>
          <w:color w:val="000000"/>
          <w:sz w:val="24"/>
          <w:szCs w:val="24"/>
          <w:lang w:eastAsia="en-GB"/>
        </w:rPr>
        <w:t xml:space="preserve">Why ten-year-old children should not be held criminally responsible. </w:t>
      </w:r>
      <w:r w:rsidRPr="0028013E">
        <w:rPr>
          <w:rFonts w:ascii="Arial" w:eastAsia="Times New Roman" w:hAnsi="Arial" w:cs="Arial"/>
          <w:color w:val="000000"/>
          <w:sz w:val="24"/>
          <w:szCs w:val="24"/>
          <w:lang w:eastAsia="en-GB"/>
        </w:rPr>
        <w:t xml:space="preserve">Available at: </w:t>
      </w:r>
      <w:hyperlink r:id="rId26" w:anchor=":~:text=Doli%20incapax%20meant%20that%20children,rather%20than%20naughty%20or%20mischievous" w:history="1">
        <w:r w:rsidRPr="0028013E">
          <w:rPr>
            <w:rFonts w:ascii="Arial" w:eastAsia="Times New Roman" w:hAnsi="Arial" w:cs="Arial"/>
            <w:color w:val="1155CC"/>
            <w:sz w:val="24"/>
            <w:szCs w:val="24"/>
            <w:u w:val="single"/>
            <w:lang w:eastAsia="en-GB"/>
          </w:rPr>
          <w:t>https://www.southwales.ac.uk/news/news-2021/why-ten-year-old-children-should-not-be-held-criminally-</w:t>
        </w:r>
        <w:r w:rsidRPr="0028013E">
          <w:rPr>
            <w:rFonts w:ascii="Arial" w:eastAsia="Times New Roman" w:hAnsi="Arial" w:cs="Arial"/>
            <w:color w:val="1155CC"/>
            <w:sz w:val="24"/>
            <w:szCs w:val="24"/>
            <w:u w:val="single"/>
            <w:lang w:eastAsia="en-GB"/>
          </w:rPr>
          <w:lastRenderedPageBreak/>
          <w:t>responsible/#:~:text=Doli%20incapax%20meant%20that%20children,rather%20than%20naughty%20or%20mischievous</w:t>
        </w:r>
      </w:hyperlink>
      <w:r w:rsidRPr="0028013E">
        <w:rPr>
          <w:rFonts w:ascii="Arial" w:eastAsia="Times New Roman" w:hAnsi="Arial" w:cs="Arial"/>
          <w:color w:val="000000"/>
          <w:sz w:val="24"/>
          <w:szCs w:val="24"/>
          <w:lang w:eastAsia="en-GB"/>
        </w:rPr>
        <w:t>. (Accessed: 16th November 2022) </w:t>
      </w:r>
    </w:p>
    <w:p w14:paraId="1FFFAFE8"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Pillay, A. (2019) ‘The Minimum Age of Criminal Responsibility, International Variation, and the Dual systems model in Neurodevelopment’, </w:t>
      </w:r>
      <w:r w:rsidRPr="0028013E">
        <w:rPr>
          <w:rFonts w:ascii="Arial" w:eastAsia="Times New Roman" w:hAnsi="Arial" w:cs="Arial"/>
          <w:i/>
          <w:iCs/>
          <w:color w:val="000000"/>
          <w:sz w:val="24"/>
          <w:szCs w:val="24"/>
          <w:lang w:eastAsia="en-GB"/>
        </w:rPr>
        <w:t>Journal of Child &amp; Adolescent Mental Health</w:t>
      </w:r>
      <w:r w:rsidRPr="0028013E">
        <w:rPr>
          <w:rFonts w:ascii="Arial" w:eastAsia="Times New Roman" w:hAnsi="Arial" w:cs="Arial"/>
          <w:color w:val="000000"/>
          <w:sz w:val="24"/>
          <w:szCs w:val="24"/>
          <w:lang w:eastAsia="en-GB"/>
        </w:rPr>
        <w:t xml:space="preserve">, 31(3), pp. 225-226. Available at: </w:t>
      </w:r>
      <w:hyperlink r:id="rId27" w:history="1">
        <w:r w:rsidRPr="0028013E">
          <w:rPr>
            <w:rFonts w:ascii="Arial" w:eastAsia="Times New Roman" w:hAnsi="Arial" w:cs="Arial"/>
            <w:color w:val="1155CC"/>
            <w:sz w:val="24"/>
            <w:szCs w:val="24"/>
            <w:u w:val="single"/>
            <w:lang w:eastAsia="en-GB"/>
          </w:rPr>
          <w:t>https://www-tandfonline-com.ezproxy.uwtsd.ac.uk/doi/pdf/10.2989/17280583.2019.1692851?needAccess=true&amp;</w:t>
        </w:r>
      </w:hyperlink>
      <w:r w:rsidRPr="0028013E">
        <w:rPr>
          <w:rFonts w:ascii="Arial" w:eastAsia="Times New Roman" w:hAnsi="Arial" w:cs="Arial"/>
          <w:color w:val="000000"/>
          <w:sz w:val="24"/>
          <w:szCs w:val="24"/>
          <w:lang w:eastAsia="en-GB"/>
        </w:rPr>
        <w:t xml:space="preserve"> (Accessed: 11 October 2022)</w:t>
      </w:r>
      <w:r w:rsidRPr="0028013E">
        <w:rPr>
          <w:rFonts w:ascii="Arial" w:eastAsia="Times New Roman" w:hAnsi="Arial" w:cs="Arial"/>
          <w:i/>
          <w:iCs/>
          <w:color w:val="000000"/>
          <w:sz w:val="24"/>
          <w:szCs w:val="24"/>
          <w:lang w:eastAsia="en-GB"/>
        </w:rPr>
        <w:t xml:space="preserve"> </w:t>
      </w:r>
      <w:r w:rsidRPr="0028013E">
        <w:rPr>
          <w:rFonts w:ascii="Arial" w:eastAsia="Times New Roman" w:hAnsi="Arial" w:cs="Arial"/>
          <w:color w:val="000000"/>
          <w:sz w:val="24"/>
          <w:szCs w:val="24"/>
          <w:lang w:eastAsia="en-GB"/>
        </w:rPr>
        <w:t> </w:t>
      </w:r>
    </w:p>
    <w:p w14:paraId="2F0C0BCF"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Public Health Scotland (2021) </w:t>
      </w:r>
      <w:r w:rsidRPr="0028013E">
        <w:rPr>
          <w:rFonts w:ascii="Arial" w:eastAsia="Times New Roman" w:hAnsi="Arial" w:cs="Arial"/>
          <w:i/>
          <w:iCs/>
          <w:color w:val="000000"/>
          <w:sz w:val="24"/>
          <w:szCs w:val="24"/>
          <w:lang w:eastAsia="en-GB"/>
        </w:rPr>
        <w:t xml:space="preserve">Overview of ACE’s. </w:t>
      </w:r>
      <w:r w:rsidRPr="0028013E">
        <w:rPr>
          <w:rFonts w:ascii="Arial" w:eastAsia="Times New Roman" w:hAnsi="Arial" w:cs="Arial"/>
          <w:color w:val="000000"/>
          <w:sz w:val="24"/>
          <w:szCs w:val="24"/>
          <w:lang w:eastAsia="en-GB"/>
        </w:rPr>
        <w:t xml:space="preserve">Available at: </w:t>
      </w:r>
      <w:hyperlink r:id="rId28" w:history="1">
        <w:r w:rsidRPr="0028013E">
          <w:rPr>
            <w:rFonts w:ascii="Arial" w:eastAsia="Times New Roman" w:hAnsi="Arial" w:cs="Arial"/>
            <w:color w:val="1155CC"/>
            <w:sz w:val="24"/>
            <w:szCs w:val="24"/>
            <w:u w:val="single"/>
            <w:lang w:eastAsia="en-GB"/>
          </w:rPr>
          <w:t>https://www.healthscotland.scot/population-groups/children/adverse-childhood-experiences-aces/overview-of-aces</w:t>
        </w:r>
      </w:hyperlink>
      <w:r w:rsidRPr="0028013E">
        <w:rPr>
          <w:rFonts w:ascii="Arial" w:eastAsia="Times New Roman" w:hAnsi="Arial" w:cs="Arial"/>
          <w:color w:val="000000"/>
          <w:sz w:val="24"/>
          <w:szCs w:val="24"/>
          <w:lang w:eastAsia="en-GB"/>
        </w:rPr>
        <w:t xml:space="preserve"> (Accessed: 14th November 2022) </w:t>
      </w:r>
    </w:p>
    <w:p w14:paraId="7C2DC456"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Roberts, L. (2014)’The Bulger Case: A spatial story’, </w:t>
      </w:r>
      <w:r w:rsidRPr="0028013E">
        <w:rPr>
          <w:rFonts w:ascii="Arial" w:eastAsia="Times New Roman" w:hAnsi="Arial" w:cs="Arial"/>
          <w:i/>
          <w:iCs/>
          <w:color w:val="000000"/>
          <w:sz w:val="24"/>
          <w:szCs w:val="24"/>
          <w:lang w:eastAsia="en-GB"/>
        </w:rPr>
        <w:t xml:space="preserve">The Cartographic Journal, </w:t>
      </w:r>
      <w:r w:rsidRPr="0028013E">
        <w:rPr>
          <w:rFonts w:ascii="Arial" w:eastAsia="Times New Roman" w:hAnsi="Arial" w:cs="Arial"/>
          <w:color w:val="000000"/>
          <w:sz w:val="24"/>
          <w:szCs w:val="24"/>
          <w:lang w:eastAsia="en-GB"/>
        </w:rPr>
        <w:t xml:space="preserve">51(2), pp. 141-151. Available at: </w:t>
      </w:r>
      <w:hyperlink r:id="rId29" w:history="1">
        <w:r w:rsidRPr="0028013E">
          <w:rPr>
            <w:rFonts w:ascii="Arial" w:eastAsia="Times New Roman" w:hAnsi="Arial" w:cs="Arial"/>
            <w:color w:val="1155CC"/>
            <w:sz w:val="24"/>
            <w:szCs w:val="24"/>
            <w:u w:val="single"/>
            <w:lang w:eastAsia="en-GB"/>
          </w:rPr>
          <w:t>https://www.tandfonline.com/doi/pdf/10.1179/1743277413Y.0000000075?needAccess=true</w:t>
        </w:r>
      </w:hyperlink>
      <w:r w:rsidRPr="0028013E">
        <w:rPr>
          <w:rFonts w:ascii="Arial" w:eastAsia="Times New Roman" w:hAnsi="Arial" w:cs="Arial"/>
          <w:color w:val="000000"/>
          <w:sz w:val="24"/>
          <w:szCs w:val="24"/>
          <w:lang w:eastAsia="en-GB"/>
        </w:rPr>
        <w:t xml:space="preserve"> (Accessed: 04 November 2022) </w:t>
      </w:r>
    </w:p>
    <w:p w14:paraId="02D203AB"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Sentencing Council (2022) </w:t>
      </w:r>
      <w:r w:rsidRPr="0028013E">
        <w:rPr>
          <w:rFonts w:ascii="Arial" w:eastAsia="Times New Roman" w:hAnsi="Arial" w:cs="Arial"/>
          <w:i/>
          <w:iCs/>
          <w:color w:val="000000"/>
          <w:sz w:val="24"/>
          <w:szCs w:val="24"/>
          <w:lang w:eastAsia="en-GB"/>
        </w:rPr>
        <w:t xml:space="preserve">Types of Sentences for children and Young People. </w:t>
      </w:r>
      <w:r w:rsidRPr="0028013E">
        <w:rPr>
          <w:rFonts w:ascii="Arial" w:eastAsia="Times New Roman" w:hAnsi="Arial" w:cs="Arial"/>
          <w:color w:val="000000"/>
          <w:sz w:val="24"/>
          <w:szCs w:val="24"/>
          <w:lang w:eastAsia="en-GB"/>
        </w:rPr>
        <w:t xml:space="preserve">Available at: </w:t>
      </w:r>
      <w:hyperlink r:id="rId30" w:history="1">
        <w:r w:rsidRPr="0028013E">
          <w:rPr>
            <w:rFonts w:ascii="Arial" w:eastAsia="Times New Roman" w:hAnsi="Arial" w:cs="Arial"/>
            <w:color w:val="1155CC"/>
            <w:sz w:val="24"/>
            <w:szCs w:val="24"/>
            <w:u w:val="single"/>
            <w:lang w:eastAsia="en-GB"/>
          </w:rPr>
          <w:t>https://www.sentencingcouncil.org.uk/sentencing-and-the-council/types-of-sentence/types-of-sentences-for-young-people/</w:t>
        </w:r>
      </w:hyperlink>
      <w:r w:rsidRPr="0028013E">
        <w:rPr>
          <w:rFonts w:ascii="Arial" w:eastAsia="Times New Roman" w:hAnsi="Arial" w:cs="Arial"/>
          <w:color w:val="000000"/>
          <w:sz w:val="24"/>
          <w:szCs w:val="24"/>
          <w:lang w:eastAsia="en-GB"/>
        </w:rPr>
        <w:t xml:space="preserve"> (Accessed: 04 November 2022)</w:t>
      </w:r>
    </w:p>
    <w:p w14:paraId="4DE3644D" w14:textId="77777777" w:rsidR="0028013E" w:rsidRPr="0028013E" w:rsidRDefault="0028013E" w:rsidP="0028013E">
      <w:pPr>
        <w:spacing w:before="240" w:line="480" w:lineRule="auto"/>
        <w:rPr>
          <w:rFonts w:ascii="Arial" w:eastAsia="Times New Roman" w:hAnsi="Arial" w:cs="Arial"/>
          <w:sz w:val="24"/>
          <w:szCs w:val="24"/>
          <w:lang w:eastAsia="en-GB"/>
        </w:rPr>
      </w:pPr>
      <w:proofErr w:type="spellStart"/>
      <w:r w:rsidRPr="0028013E">
        <w:rPr>
          <w:rFonts w:ascii="Arial" w:eastAsia="Times New Roman" w:hAnsi="Arial" w:cs="Arial"/>
          <w:color w:val="000000"/>
          <w:sz w:val="24"/>
          <w:szCs w:val="24"/>
          <w:lang w:eastAsia="en-GB"/>
        </w:rPr>
        <w:t>Skarlatidou</w:t>
      </w:r>
      <w:proofErr w:type="spellEnd"/>
      <w:r w:rsidRPr="0028013E">
        <w:rPr>
          <w:rFonts w:ascii="Arial" w:eastAsia="Times New Roman" w:hAnsi="Arial" w:cs="Arial"/>
          <w:color w:val="000000"/>
          <w:sz w:val="24"/>
          <w:szCs w:val="24"/>
          <w:lang w:eastAsia="en-GB"/>
        </w:rPr>
        <w:t xml:space="preserve">, A. (2021) ‘Understanding Knife Crime And trust in police with young people in East London’, </w:t>
      </w:r>
      <w:r w:rsidRPr="0028013E">
        <w:rPr>
          <w:rFonts w:ascii="Arial" w:eastAsia="Times New Roman" w:hAnsi="Arial" w:cs="Arial"/>
          <w:i/>
          <w:iCs/>
          <w:color w:val="000000"/>
          <w:sz w:val="24"/>
          <w:szCs w:val="24"/>
          <w:lang w:eastAsia="en-GB"/>
        </w:rPr>
        <w:t>Crime &amp; Delinquency</w:t>
      </w:r>
      <w:r w:rsidRPr="0028013E">
        <w:rPr>
          <w:rFonts w:ascii="Arial" w:eastAsia="Times New Roman" w:hAnsi="Arial" w:cs="Arial"/>
          <w:color w:val="000000"/>
          <w:sz w:val="24"/>
          <w:szCs w:val="24"/>
          <w:lang w:eastAsia="en-GB"/>
        </w:rPr>
        <w:t xml:space="preserve">, 1, pp.1-28. Available at: </w:t>
      </w:r>
      <w:hyperlink r:id="rId31" w:history="1">
        <w:r w:rsidRPr="0028013E">
          <w:rPr>
            <w:rFonts w:ascii="Arial" w:eastAsia="Times New Roman" w:hAnsi="Arial" w:cs="Arial"/>
            <w:color w:val="1155CC"/>
            <w:sz w:val="24"/>
            <w:szCs w:val="24"/>
            <w:u w:val="single"/>
            <w:lang w:eastAsia="en-GB"/>
          </w:rPr>
          <w:t>https://journals.sagepub.com/doi/epdf/10.1177/00111287211029873</w:t>
        </w:r>
      </w:hyperlink>
      <w:r w:rsidRPr="0028013E">
        <w:rPr>
          <w:rFonts w:ascii="Arial" w:eastAsia="Times New Roman" w:hAnsi="Arial" w:cs="Arial"/>
          <w:color w:val="000000"/>
          <w:sz w:val="24"/>
          <w:szCs w:val="24"/>
          <w:lang w:eastAsia="en-GB"/>
        </w:rPr>
        <w:t xml:space="preserve"> (Accessed: 16th November 2022)  </w:t>
      </w:r>
    </w:p>
    <w:p w14:paraId="278BCC1F"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South Wales Police (2022) </w:t>
      </w:r>
      <w:r w:rsidRPr="0028013E">
        <w:rPr>
          <w:rFonts w:ascii="Arial" w:eastAsia="Times New Roman" w:hAnsi="Arial" w:cs="Arial"/>
          <w:i/>
          <w:iCs/>
          <w:color w:val="000000"/>
          <w:sz w:val="24"/>
          <w:szCs w:val="24"/>
          <w:lang w:eastAsia="en-GB"/>
        </w:rPr>
        <w:t xml:space="preserve">Jury finds trio guilty </w:t>
      </w:r>
      <w:proofErr w:type="spellStart"/>
      <w:r w:rsidRPr="0028013E">
        <w:rPr>
          <w:rFonts w:ascii="Arial" w:eastAsia="Times New Roman" w:hAnsi="Arial" w:cs="Arial"/>
          <w:i/>
          <w:iCs/>
          <w:color w:val="000000"/>
          <w:sz w:val="24"/>
          <w:szCs w:val="24"/>
          <w:lang w:eastAsia="en-GB"/>
        </w:rPr>
        <w:t>if</w:t>
      </w:r>
      <w:proofErr w:type="spellEnd"/>
      <w:r w:rsidRPr="0028013E">
        <w:rPr>
          <w:rFonts w:ascii="Arial" w:eastAsia="Times New Roman" w:hAnsi="Arial" w:cs="Arial"/>
          <w:i/>
          <w:iCs/>
          <w:color w:val="000000"/>
          <w:sz w:val="24"/>
          <w:szCs w:val="24"/>
          <w:lang w:eastAsia="en-GB"/>
        </w:rPr>
        <w:t xml:space="preserve"> murdering Logan Mwangi. </w:t>
      </w:r>
      <w:r w:rsidRPr="0028013E">
        <w:rPr>
          <w:rFonts w:ascii="Arial" w:eastAsia="Times New Roman" w:hAnsi="Arial" w:cs="Arial"/>
          <w:color w:val="000000"/>
          <w:sz w:val="24"/>
          <w:szCs w:val="24"/>
          <w:lang w:eastAsia="en-GB"/>
        </w:rPr>
        <w:t xml:space="preserve">Available at: </w:t>
      </w:r>
      <w:hyperlink r:id="rId32" w:history="1">
        <w:r w:rsidRPr="0028013E">
          <w:rPr>
            <w:rFonts w:ascii="Arial" w:eastAsia="Times New Roman" w:hAnsi="Arial" w:cs="Arial"/>
            <w:color w:val="1155CC"/>
            <w:sz w:val="24"/>
            <w:szCs w:val="24"/>
            <w:u w:val="single"/>
            <w:lang w:eastAsia="en-GB"/>
          </w:rPr>
          <w:t>https://www.south-wales.police.uk/news/south-wales/news/2022/ebr-</w:t>
        </w:r>
        <w:r w:rsidRPr="0028013E">
          <w:rPr>
            <w:rFonts w:ascii="Arial" w:eastAsia="Times New Roman" w:hAnsi="Arial" w:cs="Arial"/>
            <w:color w:val="1155CC"/>
            <w:sz w:val="24"/>
            <w:szCs w:val="24"/>
            <w:u w:val="single"/>
            <w:lang w:eastAsia="en-GB"/>
          </w:rPr>
          <w:lastRenderedPageBreak/>
          <w:t>apr/jury-finds-trio-guilty-of-murdering-logan-mwangi/</w:t>
        </w:r>
      </w:hyperlink>
      <w:r w:rsidRPr="0028013E">
        <w:rPr>
          <w:rFonts w:ascii="Arial" w:eastAsia="Times New Roman" w:hAnsi="Arial" w:cs="Arial"/>
          <w:color w:val="000000"/>
          <w:sz w:val="24"/>
          <w:szCs w:val="24"/>
          <w:lang w:eastAsia="en-GB"/>
        </w:rPr>
        <w:t xml:space="preserve"> (Accessed: 13th November 2022)  </w:t>
      </w:r>
    </w:p>
    <w:p w14:paraId="39228C31"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Taylor, C. (2016) </w:t>
      </w:r>
      <w:r w:rsidRPr="0028013E">
        <w:rPr>
          <w:rFonts w:ascii="Arial" w:eastAsia="Times New Roman" w:hAnsi="Arial" w:cs="Arial"/>
          <w:i/>
          <w:iCs/>
          <w:color w:val="000000"/>
          <w:sz w:val="24"/>
          <w:szCs w:val="24"/>
          <w:lang w:eastAsia="en-GB"/>
        </w:rPr>
        <w:t xml:space="preserve">Review of the Youth Justice System in England and Wales. </w:t>
      </w:r>
      <w:r w:rsidRPr="0028013E">
        <w:rPr>
          <w:rFonts w:ascii="Arial" w:eastAsia="Times New Roman" w:hAnsi="Arial" w:cs="Arial"/>
          <w:color w:val="000000"/>
          <w:sz w:val="24"/>
          <w:szCs w:val="24"/>
          <w:lang w:eastAsia="en-GB"/>
        </w:rPr>
        <w:t xml:space="preserve">Available at: </w:t>
      </w:r>
      <w:hyperlink r:id="rId33" w:history="1">
        <w:r w:rsidRPr="0028013E">
          <w:rPr>
            <w:rFonts w:ascii="Arial" w:eastAsia="Times New Roman" w:hAnsi="Arial" w:cs="Arial"/>
            <w:color w:val="1155CC"/>
            <w:sz w:val="24"/>
            <w:szCs w:val="24"/>
            <w:u w:val="single"/>
            <w:lang w:eastAsia="en-GB"/>
          </w:rPr>
          <w:t>https://assets.publishing.service.gov.uk/government/uploads/system/uploads/attachment_data/file/577105/youth-justice-review-final-report-print.pdf</w:t>
        </w:r>
      </w:hyperlink>
      <w:r w:rsidRPr="0028013E">
        <w:rPr>
          <w:rFonts w:ascii="Arial" w:eastAsia="Times New Roman" w:hAnsi="Arial" w:cs="Arial"/>
          <w:color w:val="000000"/>
          <w:sz w:val="24"/>
          <w:szCs w:val="24"/>
          <w:lang w:eastAsia="en-GB"/>
        </w:rPr>
        <w:t xml:space="preserve"> (Accessed: 16th November 2022) </w:t>
      </w:r>
    </w:p>
    <w:p w14:paraId="7D68FFD9"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The Centre for Crime and Justice Studies (2022) </w:t>
      </w:r>
      <w:r w:rsidRPr="0028013E">
        <w:rPr>
          <w:rFonts w:ascii="Arial" w:eastAsia="Times New Roman" w:hAnsi="Arial" w:cs="Arial"/>
          <w:i/>
          <w:iCs/>
          <w:color w:val="000000"/>
          <w:sz w:val="24"/>
          <w:szCs w:val="24"/>
          <w:lang w:eastAsia="en-GB"/>
        </w:rPr>
        <w:t xml:space="preserve">New Report on The UK Criminal Justice Systems. </w:t>
      </w:r>
      <w:r w:rsidRPr="0028013E">
        <w:rPr>
          <w:rFonts w:ascii="Arial" w:eastAsia="Times New Roman" w:hAnsi="Arial" w:cs="Arial"/>
          <w:color w:val="000000"/>
          <w:sz w:val="24"/>
          <w:szCs w:val="24"/>
          <w:lang w:eastAsia="en-GB"/>
        </w:rPr>
        <w:t xml:space="preserve">Available at: </w:t>
      </w:r>
      <w:hyperlink r:id="rId34" w:anchor=":~:text=Criminal%20justice%20systems%20in%20the%20UK%20is%20divided%20into%20four,system%20across%20the%20United%20Kingdom" w:history="1">
        <w:r w:rsidRPr="0028013E">
          <w:rPr>
            <w:rFonts w:ascii="Arial" w:eastAsia="Times New Roman" w:hAnsi="Arial" w:cs="Arial"/>
            <w:color w:val="1155CC"/>
            <w:sz w:val="24"/>
            <w:szCs w:val="24"/>
            <w:u w:val="single"/>
            <w:lang w:eastAsia="en-GB"/>
          </w:rPr>
          <w:t>https://www.crimeandjustice.org.uk/news/2022-08-10/new-report-uk-criminal-justice-systems#:~:text=Criminal%20justice%20systems%20in%20the%20UK%20is%20divided%20into%20four,system%20across%20the%20United%20Kingdom</w:t>
        </w:r>
      </w:hyperlink>
      <w:r w:rsidRPr="0028013E">
        <w:rPr>
          <w:rFonts w:ascii="Arial" w:eastAsia="Times New Roman" w:hAnsi="Arial" w:cs="Arial"/>
          <w:color w:val="000000"/>
          <w:sz w:val="24"/>
          <w:szCs w:val="24"/>
          <w:lang w:eastAsia="en-GB"/>
        </w:rPr>
        <w:t>. (Accessed: 16th November 2022)</w:t>
      </w:r>
    </w:p>
    <w:p w14:paraId="402C360C" w14:textId="77777777" w:rsidR="0028013E" w:rsidRPr="0028013E" w:rsidRDefault="0028013E" w:rsidP="0028013E">
      <w:pPr>
        <w:spacing w:before="240" w:line="480" w:lineRule="auto"/>
        <w:rPr>
          <w:rFonts w:ascii="Arial" w:eastAsia="Times New Roman" w:hAnsi="Arial" w:cs="Arial"/>
          <w:sz w:val="24"/>
          <w:szCs w:val="24"/>
          <w:lang w:eastAsia="en-GB"/>
        </w:rPr>
      </w:pPr>
      <w:proofErr w:type="spellStart"/>
      <w:r w:rsidRPr="0028013E">
        <w:rPr>
          <w:rFonts w:ascii="Arial" w:eastAsia="Times New Roman" w:hAnsi="Arial" w:cs="Arial"/>
          <w:color w:val="000000"/>
          <w:sz w:val="24"/>
          <w:szCs w:val="24"/>
          <w:lang w:eastAsia="en-GB"/>
        </w:rPr>
        <w:t>Vanbuskirk</w:t>
      </w:r>
      <w:proofErr w:type="spellEnd"/>
      <w:r w:rsidRPr="0028013E">
        <w:rPr>
          <w:rFonts w:ascii="Arial" w:eastAsia="Times New Roman" w:hAnsi="Arial" w:cs="Arial"/>
          <w:color w:val="000000"/>
          <w:sz w:val="24"/>
          <w:szCs w:val="24"/>
          <w:lang w:eastAsia="en-GB"/>
        </w:rPr>
        <w:t xml:space="preserve">, S. (2022) </w:t>
      </w:r>
      <w:proofErr w:type="gramStart"/>
      <w:r w:rsidRPr="0028013E">
        <w:rPr>
          <w:rFonts w:ascii="Arial" w:eastAsia="Times New Roman" w:hAnsi="Arial" w:cs="Arial"/>
          <w:color w:val="000000"/>
          <w:sz w:val="24"/>
          <w:szCs w:val="24"/>
          <w:lang w:eastAsia="en-GB"/>
        </w:rPr>
        <w:t>10 Year old</w:t>
      </w:r>
      <w:proofErr w:type="gramEnd"/>
      <w:r w:rsidRPr="0028013E">
        <w:rPr>
          <w:rFonts w:ascii="Arial" w:eastAsia="Times New Roman" w:hAnsi="Arial" w:cs="Arial"/>
          <w:color w:val="000000"/>
          <w:sz w:val="24"/>
          <w:szCs w:val="24"/>
          <w:lang w:eastAsia="en-GB"/>
        </w:rPr>
        <w:t xml:space="preserve"> Child Development </w:t>
      </w:r>
      <w:r w:rsidRPr="0028013E">
        <w:rPr>
          <w:rFonts w:ascii="Arial" w:eastAsia="Times New Roman" w:hAnsi="Arial" w:cs="Arial"/>
          <w:i/>
          <w:iCs/>
          <w:color w:val="000000"/>
          <w:sz w:val="24"/>
          <w:szCs w:val="24"/>
          <w:lang w:eastAsia="en-GB"/>
        </w:rPr>
        <w:t xml:space="preserve">Milestones. </w:t>
      </w:r>
      <w:r w:rsidRPr="0028013E">
        <w:rPr>
          <w:rFonts w:ascii="Arial" w:eastAsia="Times New Roman" w:hAnsi="Arial" w:cs="Arial"/>
          <w:color w:val="000000"/>
          <w:sz w:val="24"/>
          <w:szCs w:val="24"/>
          <w:lang w:eastAsia="en-GB"/>
        </w:rPr>
        <w:t xml:space="preserve">Available at: </w:t>
      </w:r>
      <w:hyperlink r:id="rId35" w:history="1">
        <w:r w:rsidRPr="0028013E">
          <w:rPr>
            <w:rFonts w:ascii="Arial" w:eastAsia="Times New Roman" w:hAnsi="Arial" w:cs="Arial"/>
            <w:color w:val="1155CC"/>
            <w:sz w:val="24"/>
            <w:szCs w:val="24"/>
            <w:u w:val="single"/>
            <w:lang w:eastAsia="en-GB"/>
          </w:rPr>
          <w:t>https://www.verywellfamily.com/10-year-old-developmental-milestones-620710</w:t>
        </w:r>
      </w:hyperlink>
      <w:r w:rsidRPr="0028013E">
        <w:rPr>
          <w:rFonts w:ascii="Arial" w:eastAsia="Times New Roman" w:hAnsi="Arial" w:cs="Arial"/>
          <w:color w:val="000000"/>
          <w:sz w:val="24"/>
          <w:szCs w:val="24"/>
          <w:lang w:eastAsia="en-GB"/>
        </w:rPr>
        <w:t xml:space="preserve"> (Accessed: 16th November 2022) </w:t>
      </w:r>
    </w:p>
    <w:p w14:paraId="7B223AE7"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Youth Justice Board (2021) </w:t>
      </w:r>
      <w:r w:rsidRPr="0028013E">
        <w:rPr>
          <w:rFonts w:ascii="Arial" w:eastAsia="Times New Roman" w:hAnsi="Arial" w:cs="Arial"/>
          <w:i/>
          <w:iCs/>
          <w:color w:val="000000"/>
          <w:sz w:val="24"/>
          <w:szCs w:val="24"/>
          <w:lang w:eastAsia="en-GB"/>
        </w:rPr>
        <w:t xml:space="preserve">Strategic Plan 2021-2024. </w:t>
      </w:r>
      <w:r w:rsidRPr="0028013E">
        <w:rPr>
          <w:rFonts w:ascii="Arial" w:eastAsia="Times New Roman" w:hAnsi="Arial" w:cs="Arial"/>
          <w:color w:val="000000"/>
          <w:sz w:val="24"/>
          <w:szCs w:val="24"/>
          <w:lang w:eastAsia="en-GB"/>
        </w:rPr>
        <w:t xml:space="preserve">Available at: </w:t>
      </w:r>
      <w:hyperlink r:id="rId36" w:history="1">
        <w:r w:rsidRPr="0028013E">
          <w:rPr>
            <w:rFonts w:ascii="Arial" w:eastAsia="Times New Roman" w:hAnsi="Arial" w:cs="Arial"/>
            <w:color w:val="1155CC"/>
            <w:sz w:val="24"/>
            <w:szCs w:val="24"/>
            <w:u w:val="single"/>
            <w:lang w:eastAsia="en-GB"/>
          </w:rPr>
          <w:t>https://assets.publishing.service.gov.uk/government/uploads/system/uploads/attachment_data/file/966200/YJB_Strategic_Plan_2021_-_2024.pdf</w:t>
        </w:r>
      </w:hyperlink>
      <w:r w:rsidRPr="0028013E">
        <w:rPr>
          <w:rFonts w:ascii="Arial" w:eastAsia="Times New Roman" w:hAnsi="Arial" w:cs="Arial"/>
          <w:color w:val="000000"/>
          <w:sz w:val="24"/>
          <w:szCs w:val="24"/>
          <w:lang w:eastAsia="en-GB"/>
        </w:rPr>
        <w:t xml:space="preserve"> (Accessed: 15th November 2022) </w:t>
      </w:r>
    </w:p>
    <w:p w14:paraId="6B3ABA3C" w14:textId="77777777" w:rsidR="0028013E" w:rsidRPr="0028013E" w:rsidRDefault="0028013E" w:rsidP="0028013E">
      <w:pPr>
        <w:spacing w:before="240" w:line="480" w:lineRule="auto"/>
        <w:rPr>
          <w:rFonts w:ascii="Arial" w:eastAsia="Times New Roman" w:hAnsi="Arial" w:cs="Arial"/>
          <w:sz w:val="24"/>
          <w:szCs w:val="24"/>
          <w:lang w:eastAsia="en-GB"/>
        </w:rPr>
      </w:pPr>
      <w:r w:rsidRPr="0028013E">
        <w:rPr>
          <w:rFonts w:ascii="Arial" w:eastAsia="Times New Roman" w:hAnsi="Arial" w:cs="Arial"/>
          <w:color w:val="000000"/>
          <w:sz w:val="24"/>
          <w:szCs w:val="24"/>
          <w:lang w:eastAsia="en-GB"/>
        </w:rPr>
        <w:t xml:space="preserve">Youth Justice Boards (2022) </w:t>
      </w:r>
      <w:r w:rsidRPr="0028013E">
        <w:rPr>
          <w:rFonts w:ascii="Arial" w:eastAsia="Times New Roman" w:hAnsi="Arial" w:cs="Arial"/>
          <w:i/>
          <w:iCs/>
          <w:color w:val="000000"/>
          <w:sz w:val="24"/>
          <w:szCs w:val="24"/>
          <w:lang w:eastAsia="en-GB"/>
        </w:rPr>
        <w:t xml:space="preserve">Youth Justice Statistics 2020-21 England and Wales. </w:t>
      </w:r>
      <w:r w:rsidRPr="0028013E">
        <w:rPr>
          <w:rFonts w:ascii="Arial" w:eastAsia="Times New Roman" w:hAnsi="Arial" w:cs="Arial"/>
          <w:color w:val="000000"/>
          <w:sz w:val="24"/>
          <w:szCs w:val="24"/>
          <w:lang w:eastAsia="en-GB"/>
        </w:rPr>
        <w:t xml:space="preserve">Available at: </w:t>
      </w:r>
      <w:hyperlink r:id="rId37" w:history="1">
        <w:r w:rsidRPr="0028013E">
          <w:rPr>
            <w:rFonts w:ascii="Arial" w:eastAsia="Times New Roman" w:hAnsi="Arial" w:cs="Arial"/>
            <w:color w:val="1155CC"/>
            <w:sz w:val="24"/>
            <w:szCs w:val="24"/>
            <w:u w:val="single"/>
            <w:lang w:eastAsia="en-GB"/>
          </w:rPr>
          <w:t>https://assets.publishing.service.gov.uk/government/uploads/system/uploads/attach</w:t>
        </w:r>
        <w:r w:rsidRPr="0028013E">
          <w:rPr>
            <w:rFonts w:ascii="Arial" w:eastAsia="Times New Roman" w:hAnsi="Arial" w:cs="Arial"/>
            <w:color w:val="1155CC"/>
            <w:sz w:val="24"/>
            <w:szCs w:val="24"/>
            <w:u w:val="single"/>
            <w:lang w:eastAsia="en-GB"/>
          </w:rPr>
          <w:lastRenderedPageBreak/>
          <w:t>ment_data/file/1054236/Youth_Justice_Statistics_2020-21.pdf</w:t>
        </w:r>
      </w:hyperlink>
      <w:r w:rsidRPr="0028013E">
        <w:rPr>
          <w:rFonts w:ascii="Arial" w:eastAsia="Times New Roman" w:hAnsi="Arial" w:cs="Arial"/>
          <w:color w:val="000000"/>
          <w:sz w:val="24"/>
          <w:szCs w:val="24"/>
          <w:lang w:eastAsia="en-GB"/>
        </w:rPr>
        <w:t xml:space="preserve"> (Accessed: 13th November 2022) </w:t>
      </w:r>
    </w:p>
    <w:p w14:paraId="22EA029F" w14:textId="470775A0" w:rsidR="0028013E" w:rsidRPr="0028013E" w:rsidRDefault="0028013E" w:rsidP="0028013E">
      <w:pPr>
        <w:spacing w:after="0" w:line="480" w:lineRule="auto"/>
        <w:rPr>
          <w:rFonts w:ascii="Arial" w:eastAsia="Times New Roman" w:hAnsi="Arial" w:cs="Arial"/>
          <w:sz w:val="24"/>
          <w:szCs w:val="24"/>
          <w:u w:val="single"/>
          <w:lang w:eastAsia="en-GB"/>
        </w:rPr>
      </w:pPr>
      <w:r w:rsidRPr="0028013E">
        <w:rPr>
          <w:rFonts w:ascii="Arial" w:eastAsia="Times New Roman" w:hAnsi="Arial" w:cs="Arial"/>
          <w:color w:val="000000"/>
          <w:sz w:val="24"/>
          <w:szCs w:val="24"/>
          <w:lang w:eastAsia="en-GB"/>
        </w:rPr>
        <w:t xml:space="preserve">Youth Justice Department (2022) </w:t>
      </w:r>
      <w:r w:rsidRPr="0028013E">
        <w:rPr>
          <w:rFonts w:ascii="Arial" w:eastAsia="Times New Roman" w:hAnsi="Arial" w:cs="Arial"/>
          <w:i/>
          <w:iCs/>
          <w:color w:val="000000"/>
          <w:sz w:val="24"/>
          <w:szCs w:val="24"/>
          <w:lang w:eastAsia="en-GB"/>
        </w:rPr>
        <w:t xml:space="preserve">Age of Criminal responsibility. </w:t>
      </w:r>
      <w:r w:rsidRPr="0028013E">
        <w:rPr>
          <w:rFonts w:ascii="Arial" w:eastAsia="Times New Roman" w:hAnsi="Arial" w:cs="Arial"/>
          <w:color w:val="000000"/>
          <w:sz w:val="24"/>
          <w:szCs w:val="24"/>
          <w:lang w:eastAsia="en-GB"/>
        </w:rPr>
        <w:t xml:space="preserve">Available at: </w:t>
      </w:r>
      <w:hyperlink r:id="rId38" w:anchor=":~:text=The%20age%20of%20criminal%20responsibility,10%20who%20break%20the%20law" w:history="1">
        <w:r w:rsidRPr="0028013E">
          <w:rPr>
            <w:rFonts w:ascii="Arial" w:eastAsia="Times New Roman" w:hAnsi="Arial" w:cs="Arial"/>
            <w:color w:val="1155CC"/>
            <w:sz w:val="24"/>
            <w:szCs w:val="24"/>
            <w:u w:val="single"/>
            <w:lang w:eastAsia="en-GB"/>
          </w:rPr>
          <w:t>https://www.gov.uk/age-of-criminal-responsibility#:~:text=The%20age%20of%20criminal%20responsibility,10%20who%20break%20the%20law</w:t>
        </w:r>
      </w:hyperlink>
      <w:r w:rsidRPr="0028013E">
        <w:rPr>
          <w:rFonts w:ascii="Arial" w:eastAsia="Times New Roman" w:hAnsi="Arial" w:cs="Arial"/>
          <w:color w:val="000000"/>
          <w:sz w:val="24"/>
          <w:szCs w:val="24"/>
          <w:lang w:eastAsia="en-GB"/>
        </w:rPr>
        <w:t>. (Accessed: 16th November 2022)</w:t>
      </w:r>
    </w:p>
    <w:p w14:paraId="469257F6" w14:textId="77777777" w:rsidR="001E0104" w:rsidRDefault="001E0104"/>
    <w:sectPr w:rsidR="001E0104" w:rsidSect="0028013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104"/>
    <w:rsid w:val="001E0104"/>
    <w:rsid w:val="0028013E"/>
    <w:rsid w:val="008539BC"/>
    <w:rsid w:val="009506C9"/>
    <w:rsid w:val="00CD68B4"/>
    <w:rsid w:val="00D04B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E6E2D"/>
  <w15:docId w15:val="{3E3EC535-B21F-4478-B020-50F68E971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E0104"/>
    <w:rPr>
      <w:color w:val="0000FF"/>
      <w:u w:val="single"/>
    </w:rPr>
  </w:style>
  <w:style w:type="paragraph" w:styleId="NoSpacing">
    <w:name w:val="No Spacing"/>
    <w:link w:val="NoSpacingChar"/>
    <w:uiPriority w:val="1"/>
    <w:qFormat/>
    <w:rsid w:val="002801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013E"/>
    <w:rPr>
      <w:rFonts w:eastAsiaTheme="minorEastAsia"/>
      <w:lang w:val="en-US"/>
    </w:rPr>
  </w:style>
  <w:style w:type="paragraph" w:styleId="NormalWeb">
    <w:name w:val="Normal (Web)"/>
    <w:basedOn w:val="Normal"/>
    <w:uiPriority w:val="99"/>
    <w:semiHidden/>
    <w:unhideWhenUsed/>
    <w:rsid w:val="0028013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9939666">
      <w:bodyDiv w:val="1"/>
      <w:marLeft w:val="0"/>
      <w:marRight w:val="0"/>
      <w:marTop w:val="0"/>
      <w:marBottom w:val="0"/>
      <w:divBdr>
        <w:top w:val="none" w:sz="0" w:space="0" w:color="auto"/>
        <w:left w:val="none" w:sz="0" w:space="0" w:color="auto"/>
        <w:bottom w:val="none" w:sz="0" w:space="0" w:color="auto"/>
        <w:right w:val="none" w:sz="0" w:space="0" w:color="auto"/>
      </w:divBdr>
    </w:div>
    <w:div w:id="15585181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ps.gov.uk/crime-info/youth-crime" TargetMode="External"/><Relationship Id="rId18" Type="http://schemas.openxmlformats.org/officeDocument/2006/relationships/hyperlink" Target="https://www.haringey.gov.uk/business/licensing-and-regulations/trading-standards/trading-standards-age-restricted-sales" TargetMode="External"/><Relationship Id="rId26" Type="http://schemas.openxmlformats.org/officeDocument/2006/relationships/hyperlink" Target="https://www.southwales.ac.uk/news/news-2021/why-ten-year-old-children-should-not-be-held-criminally-responsible/" TargetMode="External"/><Relationship Id="rId39" Type="http://schemas.openxmlformats.org/officeDocument/2006/relationships/fontTable" Target="fontTable.xml"/><Relationship Id="rId21" Type="http://schemas.openxmlformats.org/officeDocument/2006/relationships/hyperlink" Target="https://www.judiciary.uk/wp-content/uploads/2019/03/bulger-judgment-040319.pdf" TargetMode="External"/><Relationship Id="rId34" Type="http://schemas.openxmlformats.org/officeDocument/2006/relationships/hyperlink" Target="https://www.crimeandjustice.org.uk/news/2022-08-10/new-report-uk-criminal-justice-systems" TargetMode="External"/><Relationship Id="rId7" Type="http://schemas.openxmlformats.org/officeDocument/2006/relationships/hyperlink" Target="https://thenayj.org.uk/wp-content/uploads/2015/06/2012-The-Age-of-Criminal-responsibility.pdf" TargetMode="External"/><Relationship Id="rId2" Type="http://schemas.openxmlformats.org/officeDocument/2006/relationships/styles" Target="styles.xml"/><Relationship Id="rId16" Type="http://schemas.openxmlformats.org/officeDocument/2006/relationships/hyperlink" Target="https://www.tandfonline.com/doi/pdf/10.1080/09649069.2019.1663023?needAccess=true" TargetMode="External"/><Relationship Id="rId20" Type="http://schemas.openxmlformats.org/officeDocument/2006/relationships/hyperlink" Target="https://publications.parliament.uk/pa/ld199798/ldjudgmt/jd970612/vandt01.htm" TargetMode="External"/><Relationship Id="rId29" Type="http://schemas.openxmlformats.org/officeDocument/2006/relationships/hyperlink" Target="https://www.tandfonline.com/doi/pdf/10.1179/1743277413Y.0000000075?needAccess=true"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assets.publishing.service.gov.uk/government/uploads/system/uploads/attachment_data/file/1054236/Youth_Justice_Statistics_2020-21.pdf" TargetMode="External"/><Relationship Id="rId24" Type="http://schemas.openxmlformats.org/officeDocument/2006/relationships/hyperlink" Target="https://www.ncbi.nlm.nih.gov/pmc/articles/PMC7194023/pdf/fpsyg-11-00627.pdf" TargetMode="External"/><Relationship Id="rId32" Type="http://schemas.openxmlformats.org/officeDocument/2006/relationships/hyperlink" Target="https://www.south-wales.police.uk/news/south-wales/news/2022/ebr-apr/jury-finds-trio-guilty-of-murdering-logan-mwangi/" TargetMode="External"/><Relationship Id="rId37" Type="http://schemas.openxmlformats.org/officeDocument/2006/relationships/hyperlink" Target="https://assets.publishing.service.gov.uk/government/uploads/system/uploads/attachment_data/file/1054236/Youth_Justice_Statistics_2020-21.pdf" TargetMode="External"/><Relationship Id="rId40" Type="http://schemas.openxmlformats.org/officeDocument/2006/relationships/glossaryDocument" Target="glossary/document.xml"/><Relationship Id="rId5" Type="http://schemas.openxmlformats.org/officeDocument/2006/relationships/image" Target="media/image1.png"/><Relationship Id="rId15" Type="http://schemas.openxmlformats.org/officeDocument/2006/relationships/hyperlink" Target="https://librarysearch.uwtsd.ac.uk/discovery/fulldisplay?docid=cdi_proquest_miscellaneous_1695993349&amp;context=PC&amp;vid=44WHELF_UWTSD:44WHELF_UWTSD_VU1&amp;lang=en&amp;search_scope=MyInst_and_CI&amp;adaptor=Primo%20Central&amp;tab=Everything&amp;query=any,contains,criminal%20responsibility&amp;facet=rtype,include,articles&amp;offset=0" TargetMode="External"/><Relationship Id="rId23" Type="http://schemas.openxmlformats.org/officeDocument/2006/relationships/hyperlink" Target="https://thelawbrigade.com/wp-content/uploads/2022/06/SOUJANYO-PATTNAYAK-SHIVAM-SOURAV-MALLICK-RUPAREKHA-JENA-SWAGATA-GUPTA-IPLR.pdf" TargetMode="External"/><Relationship Id="rId28" Type="http://schemas.openxmlformats.org/officeDocument/2006/relationships/hyperlink" Target="https://www.healthscotland.scot/population-groups/children/adverse-childhood-experiences-aces/overview-of-aces" TargetMode="External"/><Relationship Id="rId36" Type="http://schemas.openxmlformats.org/officeDocument/2006/relationships/hyperlink" Target="https://assets.publishing.service.gov.uk/government/uploads/system/uploads/attachment_data/file/966200/YJB_Strategic_Plan_2021_-_2024.pdf" TargetMode="External"/><Relationship Id="rId10" Type="http://schemas.openxmlformats.org/officeDocument/2006/relationships/hyperlink" Target="https://www.researchgate.net/publication/240679349_Catching_Up_With_Europe_Taking_the_Age_of_Criminal_Responsibility_Seriously_in_England" TargetMode="External"/><Relationship Id="rId19" Type="http://schemas.openxmlformats.org/officeDocument/2006/relationships/hyperlink" Target="https://bmcpublichealth.biomedcentral.com/counter/pdf/10.1186/s12889-020-09498-4.pdf" TargetMode="External"/><Relationship Id="rId31" Type="http://schemas.openxmlformats.org/officeDocument/2006/relationships/hyperlink" Target="https://journals.sagepub.com/doi/epdf/10.1177/00111287211029873" TargetMode="External"/><Relationship Id="rId4" Type="http://schemas.openxmlformats.org/officeDocument/2006/relationships/webSettings" Target="webSettings.xml"/><Relationship Id="rId9" Type="http://schemas.openxmlformats.org/officeDocument/2006/relationships/hyperlink" Target="https://www.crimeandinvestigation.co.uk/article/born-evil-what-drove-james-bulgers-underage-killers" TargetMode="External"/><Relationship Id="rId14" Type="http://schemas.openxmlformats.org/officeDocument/2006/relationships/hyperlink" Target="https://www.walesonline.co.uk/news/wales-news/full-story-murder-logan-mwangi-23549037" TargetMode="External"/><Relationship Id="rId22" Type="http://schemas.openxmlformats.org/officeDocument/2006/relationships/hyperlink" Target="https://www.local.gov.uk/sites/default/files/documents/15%2034%20-%20The%20relationship%20between%20family%20violence%20and%20youth%20offending-V4_1.pdf" TargetMode="External"/><Relationship Id="rId27" Type="http://schemas.openxmlformats.org/officeDocument/2006/relationships/hyperlink" Target="https://www-tandfonline-com.ezproxy.uwtsd.ac.uk/doi/pdf/10.2989/17280583.2019.1692851?needAccess=true&amp;" TargetMode="External"/><Relationship Id="rId30" Type="http://schemas.openxmlformats.org/officeDocument/2006/relationships/hyperlink" Target="https://www.sentencingcouncil.org.uk/sentencing-and-the-council/types-of-sentence/types-of-sentences-for-young-people/" TargetMode="External"/><Relationship Id="rId35" Type="http://schemas.openxmlformats.org/officeDocument/2006/relationships/hyperlink" Target="https://www.verywellfamily.com/10-year-old-developmental-milestones-620710" TargetMode="External"/><Relationship Id="rId8" Type="http://schemas.openxmlformats.org/officeDocument/2006/relationships/hyperlink" Target="https://www.crimeandjustice.org.uk/sites/crimeandjustice.org.uk/files/09627251.2015.1143641.pdf" TargetMode="External"/><Relationship Id="rId3" Type="http://schemas.openxmlformats.org/officeDocument/2006/relationships/settings" Target="settings.xml"/><Relationship Id="rId12" Type="http://schemas.openxmlformats.org/officeDocument/2006/relationships/hyperlink" Target="https://www.cps.gov.uk/cymruwales/news/logan-mwangis-killers-sentenced" TargetMode="External"/><Relationship Id="rId17" Type="http://schemas.openxmlformats.org/officeDocument/2006/relationships/hyperlink" Target="https://www.oblaw.co.uk/the-age-of-criminal-responsibility-should-it-be-increased/" TargetMode="External"/><Relationship Id="rId25" Type="http://schemas.openxmlformats.org/officeDocument/2006/relationships/hyperlink" Target="https://researchbriefings.files.parliament.uk/documents/POST-PN-0577/POST-PN-0577.pdf" TargetMode="External"/><Relationship Id="rId33" Type="http://schemas.openxmlformats.org/officeDocument/2006/relationships/hyperlink" Target="https://assets.publishing.service.gov.uk/government/uploads/system/uploads/attachment_data/file/577105/youth-justice-review-final-report-print.pdf" TargetMode="External"/><Relationship Id="rId38" Type="http://schemas.openxmlformats.org/officeDocument/2006/relationships/hyperlink" Target="https://www.gov.uk/age-of-criminal-responsibilit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581BF1CB3204BD9BF8004CD6F5A3404"/>
        <w:category>
          <w:name w:val="General"/>
          <w:gallery w:val="placeholder"/>
        </w:category>
        <w:types>
          <w:type w:val="bbPlcHdr"/>
        </w:types>
        <w:behaviors>
          <w:behavior w:val="content"/>
        </w:behaviors>
        <w:guid w:val="{DD17A552-6890-405F-BD01-61CBD9B71F1B}"/>
      </w:docPartPr>
      <w:docPartBody>
        <w:p w:rsidR="009323F3" w:rsidRDefault="008A5E40" w:rsidP="008A5E40">
          <w:pPr>
            <w:pStyle w:val="2581BF1CB3204BD9BF8004CD6F5A3404"/>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E40"/>
    <w:rsid w:val="002762F9"/>
    <w:rsid w:val="008A5E40"/>
    <w:rsid w:val="009323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581BF1CB3204BD9BF8004CD6F5A3404">
    <w:name w:val="2581BF1CB3204BD9BF8004CD6F5A3404"/>
    <w:rsid w:val="008A5E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mOdule code: BMCJ7001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4349</Words>
  <Characters>24794</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student ID: 1905097</Company>
  <LinksUpToDate>false</LinksUpToDate>
  <CharactersWithSpaces>29085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the arguments for and against raising the Minimum age of criminal responsibility</dc:title>
  <dc:subject/>
  <dc:creator>Anna Lewis</dc:creator>
  <cp:keywords/>
  <dc:description/>
  <cp:lastModifiedBy>Anna Lewis</cp:lastModifiedBy>
  <cp:revision>2</cp:revision>
  <dcterms:created xsi:type="dcterms:W3CDTF">2022-11-18T19:09:00Z</dcterms:created>
  <dcterms:modified xsi:type="dcterms:W3CDTF">2022-11-18T19:09:00Z</dcterms:modified>
</cp:coreProperties>
</file>