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86B70" w14:textId="1C6127B9" w:rsidR="008D4F97" w:rsidRPr="005B2EED" w:rsidRDefault="009B65D1" w:rsidP="008D4F97">
      <w:pPr>
        <w:rPr>
          <w:sz w:val="32"/>
          <w:szCs w:val="32"/>
        </w:rPr>
      </w:pPr>
      <w:r w:rsidRPr="005B2EED">
        <w:rPr>
          <w:sz w:val="32"/>
          <w:szCs w:val="32"/>
        </w:rPr>
        <w:t xml:space="preserve">Essay title: </w:t>
      </w:r>
      <w:r w:rsidR="008D4F97" w:rsidRPr="005B2EED">
        <w:rPr>
          <w:sz w:val="32"/>
          <w:szCs w:val="32"/>
        </w:rPr>
        <w:t>The Benefits and Drawbacks of Sourcing Locally</w:t>
      </w:r>
    </w:p>
    <w:p w14:paraId="75691EE3" w14:textId="73098DD4" w:rsidR="008D4F97" w:rsidRPr="005B2EED" w:rsidRDefault="008D4F97" w:rsidP="008D4F97">
      <w:pPr>
        <w:rPr>
          <w:sz w:val="32"/>
          <w:szCs w:val="32"/>
        </w:rPr>
      </w:pPr>
      <w:r w:rsidRPr="005B2EED">
        <w:rPr>
          <w:sz w:val="32"/>
          <w:szCs w:val="32"/>
        </w:rPr>
        <w:t>Student</w:t>
      </w:r>
      <w:r w:rsidRPr="005B2EED">
        <w:rPr>
          <w:sz w:val="32"/>
          <w:szCs w:val="32"/>
        </w:rPr>
        <w:t xml:space="preserve"> name</w:t>
      </w:r>
      <w:r w:rsidRPr="005B2EED">
        <w:rPr>
          <w:sz w:val="32"/>
          <w:szCs w:val="32"/>
        </w:rPr>
        <w:t>:</w:t>
      </w:r>
      <w:r w:rsidR="009B65D1" w:rsidRPr="005B2EED">
        <w:rPr>
          <w:sz w:val="32"/>
          <w:szCs w:val="32"/>
        </w:rPr>
        <w:t xml:space="preserve"> Kitty Mohamed</w:t>
      </w:r>
    </w:p>
    <w:p w14:paraId="4818334B" w14:textId="1918D659" w:rsidR="008D4F97" w:rsidRPr="005B2EED" w:rsidRDefault="008D4F97" w:rsidP="008D4F97">
      <w:pPr>
        <w:rPr>
          <w:sz w:val="32"/>
          <w:szCs w:val="32"/>
        </w:rPr>
      </w:pPr>
      <w:r w:rsidRPr="005B2EED">
        <w:rPr>
          <w:sz w:val="32"/>
          <w:szCs w:val="32"/>
        </w:rPr>
        <w:t xml:space="preserve"> </w:t>
      </w:r>
      <w:r w:rsidRPr="005B2EED">
        <w:rPr>
          <w:sz w:val="32"/>
          <w:szCs w:val="32"/>
        </w:rPr>
        <w:t>S</w:t>
      </w:r>
      <w:r w:rsidRPr="005B2EED">
        <w:rPr>
          <w:sz w:val="32"/>
          <w:szCs w:val="32"/>
        </w:rPr>
        <w:t>tudent ID number</w:t>
      </w:r>
      <w:r w:rsidRPr="005B2EED">
        <w:rPr>
          <w:sz w:val="32"/>
          <w:szCs w:val="32"/>
        </w:rPr>
        <w:t>:</w:t>
      </w:r>
      <w:r w:rsidR="005B2EED" w:rsidRPr="005B2EED">
        <w:rPr>
          <w:sz w:val="32"/>
          <w:szCs w:val="32"/>
        </w:rPr>
        <w:t>2517690</w:t>
      </w:r>
    </w:p>
    <w:p w14:paraId="63749B76" w14:textId="33BF1260" w:rsidR="008D4F97" w:rsidRPr="005B2EED" w:rsidRDefault="008D4F97" w:rsidP="008D4F97">
      <w:pPr>
        <w:rPr>
          <w:sz w:val="32"/>
          <w:szCs w:val="32"/>
        </w:rPr>
      </w:pPr>
      <w:r w:rsidRPr="005B2EED">
        <w:rPr>
          <w:sz w:val="32"/>
          <w:szCs w:val="32"/>
        </w:rPr>
        <w:t xml:space="preserve"> </w:t>
      </w:r>
      <w:r w:rsidRPr="005B2EED">
        <w:rPr>
          <w:sz w:val="32"/>
          <w:szCs w:val="32"/>
        </w:rPr>
        <w:t>M</w:t>
      </w:r>
      <w:r w:rsidRPr="005B2EED">
        <w:rPr>
          <w:sz w:val="32"/>
          <w:szCs w:val="32"/>
        </w:rPr>
        <w:t>odule title: Produce, Provenance and Sourcing BMGM4005</w:t>
      </w:r>
    </w:p>
    <w:p w14:paraId="208390A1" w14:textId="63927CB5" w:rsidR="004C3751" w:rsidRDefault="008D4F97" w:rsidP="008D4F97">
      <w:pPr>
        <w:rPr>
          <w:sz w:val="32"/>
          <w:szCs w:val="32"/>
        </w:rPr>
      </w:pPr>
      <w:r w:rsidRPr="005B2EED">
        <w:rPr>
          <w:sz w:val="32"/>
          <w:szCs w:val="32"/>
        </w:rPr>
        <w:t xml:space="preserve"> </w:t>
      </w:r>
      <w:r w:rsidRPr="005B2EED">
        <w:rPr>
          <w:sz w:val="32"/>
          <w:szCs w:val="32"/>
        </w:rPr>
        <w:t>L</w:t>
      </w:r>
      <w:r w:rsidRPr="005B2EED">
        <w:rPr>
          <w:sz w:val="32"/>
          <w:szCs w:val="32"/>
        </w:rPr>
        <w:t>ecturer’s name</w:t>
      </w:r>
      <w:r w:rsidRPr="005B2EED">
        <w:rPr>
          <w:sz w:val="32"/>
          <w:szCs w:val="32"/>
        </w:rPr>
        <w:t>:</w:t>
      </w:r>
      <w:r w:rsidR="005B2EED" w:rsidRPr="005B2EED">
        <w:rPr>
          <w:sz w:val="32"/>
          <w:szCs w:val="32"/>
        </w:rPr>
        <w:t xml:space="preserve"> Antoinette Milne</w:t>
      </w:r>
    </w:p>
    <w:p w14:paraId="50FD6956" w14:textId="77777777" w:rsidR="005B2EED" w:rsidRDefault="005B2EED" w:rsidP="008D4F97">
      <w:pPr>
        <w:rPr>
          <w:sz w:val="32"/>
          <w:szCs w:val="32"/>
        </w:rPr>
      </w:pPr>
    </w:p>
    <w:p w14:paraId="4CF38EC5" w14:textId="77777777" w:rsidR="005B2EED" w:rsidRDefault="005B2EED" w:rsidP="008D4F97">
      <w:pPr>
        <w:rPr>
          <w:sz w:val="32"/>
          <w:szCs w:val="32"/>
        </w:rPr>
      </w:pPr>
    </w:p>
    <w:p w14:paraId="726EB425" w14:textId="77777777" w:rsidR="005B2EED" w:rsidRDefault="005B2EED" w:rsidP="008D4F97">
      <w:pPr>
        <w:rPr>
          <w:sz w:val="32"/>
          <w:szCs w:val="32"/>
        </w:rPr>
      </w:pPr>
    </w:p>
    <w:p w14:paraId="1208769E" w14:textId="77777777" w:rsidR="005B2EED" w:rsidRDefault="005B2EED" w:rsidP="008D4F97">
      <w:pPr>
        <w:rPr>
          <w:sz w:val="32"/>
          <w:szCs w:val="32"/>
        </w:rPr>
      </w:pPr>
    </w:p>
    <w:p w14:paraId="52C36261" w14:textId="77777777" w:rsidR="005B2EED" w:rsidRDefault="005B2EED" w:rsidP="008D4F97">
      <w:pPr>
        <w:rPr>
          <w:sz w:val="32"/>
          <w:szCs w:val="32"/>
        </w:rPr>
      </w:pPr>
    </w:p>
    <w:p w14:paraId="5CB6229A" w14:textId="77777777" w:rsidR="005B2EED" w:rsidRDefault="005B2EED" w:rsidP="008D4F97">
      <w:pPr>
        <w:rPr>
          <w:sz w:val="32"/>
          <w:szCs w:val="32"/>
        </w:rPr>
      </w:pPr>
    </w:p>
    <w:p w14:paraId="6D91CF67" w14:textId="77777777" w:rsidR="005B2EED" w:rsidRDefault="005B2EED" w:rsidP="008D4F97">
      <w:pPr>
        <w:rPr>
          <w:sz w:val="32"/>
          <w:szCs w:val="32"/>
        </w:rPr>
      </w:pPr>
    </w:p>
    <w:p w14:paraId="4A026DCA" w14:textId="77777777" w:rsidR="005B2EED" w:rsidRDefault="005B2EED" w:rsidP="008D4F97">
      <w:pPr>
        <w:rPr>
          <w:sz w:val="32"/>
          <w:szCs w:val="32"/>
        </w:rPr>
      </w:pPr>
    </w:p>
    <w:p w14:paraId="1938DA34" w14:textId="77777777" w:rsidR="005B2EED" w:rsidRDefault="005B2EED" w:rsidP="008D4F97">
      <w:pPr>
        <w:rPr>
          <w:sz w:val="32"/>
          <w:szCs w:val="32"/>
        </w:rPr>
      </w:pPr>
    </w:p>
    <w:p w14:paraId="67D04396" w14:textId="77777777" w:rsidR="005B2EED" w:rsidRDefault="005B2EED" w:rsidP="008D4F97">
      <w:pPr>
        <w:rPr>
          <w:sz w:val="32"/>
          <w:szCs w:val="32"/>
        </w:rPr>
      </w:pPr>
    </w:p>
    <w:p w14:paraId="7AC69AFB" w14:textId="77777777" w:rsidR="005B2EED" w:rsidRDefault="005B2EED" w:rsidP="008D4F97">
      <w:pPr>
        <w:rPr>
          <w:sz w:val="32"/>
          <w:szCs w:val="32"/>
        </w:rPr>
      </w:pPr>
    </w:p>
    <w:p w14:paraId="6B597B8A" w14:textId="77777777" w:rsidR="005B2EED" w:rsidRDefault="005B2EED" w:rsidP="008D4F97">
      <w:pPr>
        <w:rPr>
          <w:sz w:val="32"/>
          <w:szCs w:val="32"/>
        </w:rPr>
      </w:pPr>
    </w:p>
    <w:p w14:paraId="12BC2F44" w14:textId="77777777" w:rsidR="005B2EED" w:rsidRDefault="005B2EED" w:rsidP="008D4F97">
      <w:pPr>
        <w:rPr>
          <w:sz w:val="32"/>
          <w:szCs w:val="32"/>
        </w:rPr>
      </w:pPr>
    </w:p>
    <w:p w14:paraId="115C6719" w14:textId="77777777" w:rsidR="005B2EED" w:rsidRDefault="005B2EED" w:rsidP="008D4F97">
      <w:pPr>
        <w:rPr>
          <w:sz w:val="32"/>
          <w:szCs w:val="32"/>
        </w:rPr>
      </w:pPr>
    </w:p>
    <w:p w14:paraId="12D371CE" w14:textId="77777777" w:rsidR="005B2EED" w:rsidRDefault="005B2EED" w:rsidP="008D4F97">
      <w:pPr>
        <w:rPr>
          <w:sz w:val="32"/>
          <w:szCs w:val="32"/>
        </w:rPr>
      </w:pPr>
    </w:p>
    <w:p w14:paraId="26930900" w14:textId="77777777" w:rsidR="005B2EED" w:rsidRDefault="005B2EED" w:rsidP="008D4F97">
      <w:pPr>
        <w:rPr>
          <w:sz w:val="32"/>
          <w:szCs w:val="32"/>
        </w:rPr>
      </w:pPr>
    </w:p>
    <w:p w14:paraId="60428808" w14:textId="77777777" w:rsidR="005B2EED" w:rsidRDefault="005B2EED" w:rsidP="008D4F97">
      <w:pPr>
        <w:rPr>
          <w:sz w:val="32"/>
          <w:szCs w:val="32"/>
        </w:rPr>
      </w:pPr>
    </w:p>
    <w:p w14:paraId="33D26578" w14:textId="77777777" w:rsidR="005B2EED" w:rsidRDefault="005B2EED" w:rsidP="008D4F97">
      <w:pPr>
        <w:rPr>
          <w:sz w:val="32"/>
          <w:szCs w:val="32"/>
        </w:rPr>
      </w:pPr>
    </w:p>
    <w:p w14:paraId="5F5F689D" w14:textId="010064A0"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p>
    <w:p w14:paraId="6A3D2BCB"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p>
    <w:p w14:paraId="12E1267D" w14:textId="70D70CA3" w:rsidR="00FB5768" w:rsidRPr="00FB5768" w:rsidRDefault="00FB5768" w:rsidP="008475DB">
      <w:pPr>
        <w:spacing w:after="200" w:line="480" w:lineRule="auto"/>
        <w:jc w:val="both"/>
        <w:rPr>
          <w:rFonts w:ascii="Times New Roman" w:eastAsia="Calibri" w:hAnsi="Times New Roman" w:cs="Arial"/>
          <w:bCs/>
          <w:kern w:val="0"/>
          <w:sz w:val="22"/>
          <w:szCs w:val="22"/>
          <w:lang w:val="en-US"/>
          <w14:ligatures w14:val="none"/>
        </w:rPr>
      </w:pPr>
      <w:bookmarkStart w:id="0" w:name="_Toc226384022"/>
      <w:r w:rsidRPr="00FB5768">
        <w:rPr>
          <w:rFonts w:ascii="Times New Roman" w:eastAsia="Calibri" w:hAnsi="Times New Roman" w:cs="Arial"/>
          <w:b/>
          <w:bCs/>
          <w:kern w:val="0"/>
          <w:sz w:val="22"/>
          <w:szCs w:val="22"/>
          <w:lang w:val="en-US"/>
          <w14:ligatures w14:val="none"/>
        </w:rPr>
        <w:t>Introduction</w:t>
      </w:r>
      <w:bookmarkEnd w:id="0"/>
      <w:r w:rsidRPr="00FB5768">
        <w:rPr>
          <w:rFonts w:ascii="Times New Roman" w:eastAsia="Calibri" w:hAnsi="Times New Roman" w:cs="Arial"/>
          <w:b/>
          <w:bCs/>
          <w:kern w:val="0"/>
          <w:sz w:val="22"/>
          <w:szCs w:val="22"/>
          <w:lang w:val="en-US"/>
          <w14:ligatures w14:val="none"/>
        </w:rPr>
        <w:t xml:space="preserve"> </w:t>
      </w:r>
    </w:p>
    <w:p w14:paraId="628E3FE2"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Local sourcing is a topic that began to be discussed within the contemporary food system</w:t>
      </w:r>
      <w:proofErr w:type="gramStart"/>
      <w:r w:rsidRPr="00FB5768">
        <w:rPr>
          <w:rFonts w:ascii="Times New Roman" w:eastAsia="Calibri" w:hAnsi="Times New Roman" w:cs="Arial"/>
          <w:bCs/>
          <w:kern w:val="0"/>
          <w:sz w:val="22"/>
          <w:szCs w:val="22"/>
          <w:lang w:val="en-US"/>
          <w14:ligatures w14:val="none"/>
        </w:rPr>
        <w:t>, in particular, as</w:t>
      </w:r>
      <w:proofErr w:type="gramEnd"/>
      <w:r w:rsidRPr="00FB5768">
        <w:rPr>
          <w:rFonts w:ascii="Times New Roman" w:eastAsia="Calibri" w:hAnsi="Times New Roman" w:cs="Arial"/>
          <w:bCs/>
          <w:kern w:val="0"/>
          <w:sz w:val="22"/>
          <w:szCs w:val="22"/>
          <w:lang w:val="en-US"/>
          <w14:ligatures w14:val="none"/>
        </w:rPr>
        <w:t xml:space="preserve"> the principles of sustainability, ethical consumption, and quality assurance increasingly impact the purchase strategy. Food that is locally sourced is generally understood as food that is produced and eaten within a geographically limited area (or in other words, the food can be in the same region or in the same country </w:t>
      </w:r>
      <w:r w:rsidRPr="00FB5768">
        <w:rPr>
          <w:rFonts w:ascii="Times New Roman" w:eastAsia="Calibri" w:hAnsi="Times New Roman" w:cs="Arial"/>
          <w:bCs/>
          <w:i/>
          <w:iCs/>
          <w:kern w:val="0"/>
          <w:sz w:val="22"/>
          <w:szCs w:val="22"/>
          <w:lang w:val="en-US"/>
          <w14:ligatures w14:val="none"/>
        </w:rPr>
        <w:t>(Dudziak et al.,</w:t>
      </w:r>
      <w:r w:rsidRPr="00FB5768">
        <w:rPr>
          <w:rFonts w:ascii="Times New Roman" w:eastAsia="Calibri" w:hAnsi="Times New Roman" w:cs="Arial"/>
          <w:bCs/>
          <w:kern w:val="0"/>
          <w:sz w:val="22"/>
          <w:szCs w:val="22"/>
          <w:lang w:val="en-US"/>
          <w14:ligatures w14:val="none"/>
        </w:rPr>
        <w:t xml:space="preserve"> 2023). Global sourcing, conversely, is founded on the longer supply chains, through which a wide variety of products are offered all year round and regardless of geography.</w:t>
      </w:r>
    </w:p>
    <w:p w14:paraId="06359CF8"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The researcher in this essay critically explains why local sourcing is different from global sourcing and what this implies regarding product quality and sustainability. It asserts that, despite the local sourcing may enhance freshness, traceability and the local economy, its positive impacts on sustainability are typically overstated, and it may impose operational and financial limitations on food businesses. Trade-offs in carbon footprint, cost structures and reliability of supply will be taken into consideration in the essay by relying on a combination of empirical studies and industry-centric evidence, consumer </w:t>
      </w:r>
      <w:proofErr w:type="spellStart"/>
      <w:r w:rsidRPr="00FB5768">
        <w:rPr>
          <w:rFonts w:ascii="Times New Roman" w:eastAsia="Calibri" w:hAnsi="Times New Roman" w:cs="Arial"/>
          <w:bCs/>
          <w:kern w:val="0"/>
          <w:sz w:val="22"/>
          <w:szCs w:val="22"/>
          <w:lang w:val="en-US"/>
          <w14:ligatures w14:val="none"/>
        </w:rPr>
        <w:t>behaviour</w:t>
      </w:r>
      <w:proofErr w:type="spellEnd"/>
      <w:r w:rsidRPr="00FB5768">
        <w:rPr>
          <w:rFonts w:ascii="Times New Roman" w:eastAsia="Calibri" w:hAnsi="Times New Roman" w:cs="Arial"/>
          <w:bCs/>
          <w:kern w:val="0"/>
          <w:sz w:val="22"/>
          <w:szCs w:val="22"/>
          <w:lang w:val="en-US"/>
          <w14:ligatures w14:val="none"/>
        </w:rPr>
        <w:t xml:space="preserve"> and actual application to Welsh restaurants.</w:t>
      </w:r>
    </w:p>
    <w:p w14:paraId="51D37DBB" w14:textId="77777777" w:rsidR="00FB5768" w:rsidRPr="00FB5768" w:rsidRDefault="00FB5768" w:rsidP="00FB5768">
      <w:pPr>
        <w:spacing w:after="200" w:line="480" w:lineRule="auto"/>
        <w:jc w:val="both"/>
        <w:outlineLvl w:val="0"/>
        <w:rPr>
          <w:rFonts w:ascii="Times New Roman" w:eastAsia="Calibri" w:hAnsi="Times New Roman" w:cs="Arial"/>
          <w:b/>
          <w:bCs/>
          <w:kern w:val="0"/>
          <w:sz w:val="22"/>
          <w:szCs w:val="22"/>
          <w:lang w:val="en-US"/>
          <w14:ligatures w14:val="none"/>
        </w:rPr>
      </w:pPr>
      <w:bookmarkStart w:id="1" w:name="_Toc226384023"/>
      <w:r w:rsidRPr="00FB5768">
        <w:rPr>
          <w:rFonts w:ascii="Times New Roman" w:eastAsia="Calibri" w:hAnsi="Times New Roman" w:cs="Arial"/>
          <w:b/>
          <w:bCs/>
          <w:kern w:val="0"/>
          <w:sz w:val="22"/>
          <w:szCs w:val="22"/>
          <w:lang w:val="en-US"/>
          <w14:ligatures w14:val="none"/>
        </w:rPr>
        <w:t>Defining Local Sourcing and Conceptual Framework</w:t>
      </w:r>
      <w:bookmarkEnd w:id="1"/>
      <w:r w:rsidRPr="00FB5768">
        <w:rPr>
          <w:rFonts w:ascii="Times New Roman" w:eastAsia="Calibri" w:hAnsi="Times New Roman" w:cs="Arial"/>
          <w:b/>
          <w:bCs/>
          <w:kern w:val="0"/>
          <w:sz w:val="22"/>
          <w:szCs w:val="22"/>
          <w:lang w:val="en-US"/>
          <w14:ligatures w14:val="none"/>
        </w:rPr>
        <w:t xml:space="preserve"> </w:t>
      </w:r>
    </w:p>
    <w:p w14:paraId="398B4C25"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Local sourcing is usually described as the acquisition of food produced within a given geographical area, but the distance can differ in various studies and policy realms</w:t>
      </w:r>
      <w:r w:rsidRPr="00FB5768">
        <w:rPr>
          <w:rFonts w:ascii="Times New Roman" w:eastAsia="Times New Roman" w:hAnsi="Times New Roman" w:cs="Times New Roman"/>
          <w:kern w:val="0"/>
          <w:lang w:val="en-US"/>
          <w14:ligatures w14:val="none"/>
        </w:rPr>
        <w:t xml:space="preserve"> </w:t>
      </w:r>
      <w:r w:rsidRPr="00FB5768">
        <w:rPr>
          <w:rFonts w:ascii="Times New Roman" w:eastAsia="Calibri" w:hAnsi="Times New Roman" w:cs="Arial"/>
          <w:bCs/>
          <w:kern w:val="0"/>
          <w:sz w:val="22"/>
          <w:szCs w:val="22"/>
          <w:lang w:val="en-US"/>
          <w14:ligatures w14:val="none"/>
        </w:rPr>
        <w:t>(</w:t>
      </w:r>
      <w:proofErr w:type="spellStart"/>
      <w:r w:rsidRPr="00FB5768">
        <w:rPr>
          <w:rFonts w:ascii="Times New Roman" w:eastAsia="Calibri" w:hAnsi="Times New Roman" w:cs="Arial"/>
          <w:bCs/>
          <w:kern w:val="0"/>
          <w:sz w:val="22"/>
          <w:szCs w:val="22"/>
          <w:lang w:val="en-US"/>
          <w14:ligatures w14:val="none"/>
        </w:rPr>
        <w:t>Kanosvamhira</w:t>
      </w:r>
      <w:proofErr w:type="spellEnd"/>
      <w:r w:rsidRPr="00FB5768">
        <w:rPr>
          <w:rFonts w:ascii="Times New Roman" w:eastAsia="Calibri" w:hAnsi="Times New Roman" w:cs="Arial"/>
          <w:bCs/>
          <w:kern w:val="0"/>
          <w:sz w:val="22"/>
          <w:szCs w:val="22"/>
          <w:lang w:val="en-US"/>
          <w14:ligatures w14:val="none"/>
        </w:rPr>
        <w:t xml:space="preserve"> and Tevera, 2024). This is also related to the idea of shorter food supply chains, in which there are fewer intermediaries between the producer and the consumer, and this increases the level of transparency and traceability</w:t>
      </w:r>
      <w:r w:rsidRPr="00FB5768">
        <w:rPr>
          <w:rFonts w:ascii="Times New Roman" w:eastAsia="Times New Roman" w:hAnsi="Times New Roman" w:cs="Times New Roman"/>
          <w:kern w:val="0"/>
          <w:lang w:val="en-US"/>
          <w14:ligatures w14:val="none"/>
        </w:rPr>
        <w:t xml:space="preserve"> </w:t>
      </w:r>
      <w:r w:rsidRPr="00FB5768">
        <w:rPr>
          <w:rFonts w:ascii="Times New Roman" w:eastAsia="Calibri" w:hAnsi="Times New Roman" w:cs="Arial"/>
          <w:bCs/>
          <w:kern w:val="0"/>
          <w:sz w:val="22"/>
          <w:szCs w:val="22"/>
          <w:lang w:val="en-US"/>
          <w14:ligatures w14:val="none"/>
        </w:rPr>
        <w:t>(</w:t>
      </w:r>
      <w:r w:rsidRPr="00FB5768">
        <w:rPr>
          <w:rFonts w:ascii="Times New Roman" w:eastAsia="Calibri" w:hAnsi="Times New Roman" w:cs="Arial"/>
          <w:bCs/>
          <w:i/>
          <w:iCs/>
          <w:kern w:val="0"/>
          <w:sz w:val="22"/>
          <w:szCs w:val="22"/>
          <w:lang w:val="en-US"/>
          <w14:ligatures w14:val="none"/>
        </w:rPr>
        <w:t>Essien et al.,</w:t>
      </w:r>
      <w:r w:rsidRPr="00FB5768">
        <w:rPr>
          <w:rFonts w:ascii="Times New Roman" w:eastAsia="Calibri" w:hAnsi="Times New Roman" w:cs="Arial"/>
          <w:bCs/>
          <w:kern w:val="0"/>
          <w:sz w:val="22"/>
          <w:szCs w:val="22"/>
          <w:lang w:val="en-US"/>
          <w14:ligatures w14:val="none"/>
        </w:rPr>
        <w:t xml:space="preserve"> 2023).</w:t>
      </w:r>
    </w:p>
    <w:p w14:paraId="2FF4FFC8" w14:textId="191A8B33"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One of the most prominent ideas behind the local sourcing discussions is the so-called food miles, which is the distance that food </w:t>
      </w:r>
      <w:proofErr w:type="gramStart"/>
      <w:r w:rsidRPr="00FB5768">
        <w:rPr>
          <w:rFonts w:ascii="Times New Roman" w:eastAsia="Calibri" w:hAnsi="Times New Roman" w:cs="Arial"/>
          <w:bCs/>
          <w:kern w:val="0"/>
          <w:sz w:val="22"/>
          <w:szCs w:val="22"/>
          <w:lang w:val="en-US"/>
          <w14:ligatures w14:val="none"/>
        </w:rPr>
        <w:t>has to</w:t>
      </w:r>
      <w:proofErr w:type="gramEnd"/>
      <w:r w:rsidRPr="00FB5768">
        <w:rPr>
          <w:rFonts w:ascii="Times New Roman" w:eastAsia="Calibri" w:hAnsi="Times New Roman" w:cs="Arial"/>
          <w:bCs/>
          <w:kern w:val="0"/>
          <w:sz w:val="22"/>
          <w:szCs w:val="22"/>
          <w:lang w:val="en-US"/>
          <w14:ligatures w14:val="none"/>
        </w:rPr>
        <w:t xml:space="preserve"> cover between production and consumption</w:t>
      </w:r>
      <w:r w:rsidRPr="00FB5768">
        <w:rPr>
          <w:rFonts w:ascii="Times New Roman" w:eastAsia="Times New Roman" w:hAnsi="Times New Roman" w:cs="Times New Roman"/>
          <w:kern w:val="0"/>
          <w:lang w:val="en-US"/>
          <w14:ligatures w14:val="none"/>
        </w:rPr>
        <w:t xml:space="preserve"> </w:t>
      </w:r>
      <w:r w:rsidRPr="00FB5768">
        <w:rPr>
          <w:rFonts w:ascii="Times New Roman" w:eastAsia="Calibri" w:hAnsi="Times New Roman" w:cs="Arial"/>
          <w:bCs/>
          <w:kern w:val="0"/>
          <w:sz w:val="22"/>
          <w:szCs w:val="22"/>
          <w:lang w:val="en-US"/>
          <w14:ligatures w14:val="none"/>
        </w:rPr>
        <w:t xml:space="preserve">(Zhong, 2023). Although it was originally viewed as an environmental impact measure, further studies have questioned its </w:t>
      </w:r>
      <w:r w:rsidRPr="00FB5768">
        <w:rPr>
          <w:rFonts w:ascii="Times New Roman" w:eastAsia="Calibri" w:hAnsi="Times New Roman" w:cs="Arial"/>
          <w:bCs/>
          <w:kern w:val="0"/>
          <w:sz w:val="22"/>
          <w:szCs w:val="22"/>
          <w:lang w:val="en-US"/>
          <w14:ligatures w14:val="none"/>
        </w:rPr>
        <w:lastRenderedPageBreak/>
        <w:t xml:space="preserve">suitability as a sustainability </w:t>
      </w:r>
      <w:proofErr w:type="gramStart"/>
      <w:r w:rsidRPr="00FB5768">
        <w:rPr>
          <w:rFonts w:ascii="Times New Roman" w:eastAsia="Calibri" w:hAnsi="Times New Roman" w:cs="Arial"/>
          <w:bCs/>
          <w:kern w:val="0"/>
          <w:sz w:val="22"/>
          <w:szCs w:val="22"/>
          <w:lang w:val="en-US"/>
          <w14:ligatures w14:val="none"/>
        </w:rPr>
        <w:t>measure in its own right, and</w:t>
      </w:r>
      <w:proofErr w:type="gramEnd"/>
      <w:r w:rsidRPr="00FB5768">
        <w:rPr>
          <w:rFonts w:ascii="Times New Roman" w:eastAsia="Calibri" w:hAnsi="Times New Roman" w:cs="Arial"/>
          <w:bCs/>
          <w:kern w:val="0"/>
          <w:sz w:val="22"/>
          <w:szCs w:val="22"/>
          <w:lang w:val="en-US"/>
          <w14:ligatures w14:val="none"/>
        </w:rPr>
        <w:t xml:space="preserve"> it has been noted that production methods are, in many cases, more important than transportation in the calculation of carbon emissions</w:t>
      </w:r>
      <w:r w:rsidR="003A51A2">
        <w:rPr>
          <w:rFonts w:ascii="Times New Roman" w:eastAsia="Calibri" w:hAnsi="Times New Roman" w:cs="Arial"/>
          <w:bCs/>
          <w:kern w:val="0"/>
          <w:sz w:val="22"/>
          <w:szCs w:val="22"/>
          <w:lang w:val="en-US"/>
          <w14:ligatures w14:val="none"/>
        </w:rPr>
        <w:t xml:space="preserve">             </w:t>
      </w:r>
      <w:proofErr w:type="gramStart"/>
      <w:r w:rsidR="003A51A2">
        <w:rPr>
          <w:rFonts w:ascii="Times New Roman" w:eastAsia="Calibri" w:hAnsi="Times New Roman" w:cs="Arial"/>
          <w:bCs/>
          <w:kern w:val="0"/>
          <w:sz w:val="22"/>
          <w:szCs w:val="22"/>
          <w:lang w:val="en-US"/>
          <w14:ligatures w14:val="none"/>
        </w:rPr>
        <w:t xml:space="preserve">  </w:t>
      </w:r>
      <w:r w:rsidRPr="00FB5768">
        <w:rPr>
          <w:rFonts w:ascii="Times New Roman" w:eastAsia="Times New Roman" w:hAnsi="Times New Roman" w:cs="Times New Roman"/>
          <w:kern w:val="0"/>
          <w:lang w:val="en-US"/>
          <w14:ligatures w14:val="none"/>
        </w:rPr>
        <w:t xml:space="preserve"> </w:t>
      </w:r>
      <w:r w:rsidRPr="00FB5768">
        <w:rPr>
          <w:rFonts w:ascii="Times New Roman" w:eastAsia="Calibri" w:hAnsi="Times New Roman" w:cs="Arial"/>
          <w:bCs/>
          <w:i/>
          <w:iCs/>
          <w:kern w:val="0"/>
          <w:sz w:val="22"/>
          <w:szCs w:val="22"/>
          <w:lang w:val="en-US"/>
          <w14:ligatures w14:val="none"/>
        </w:rPr>
        <w:t>(</w:t>
      </w:r>
      <w:proofErr w:type="gramEnd"/>
      <w:r w:rsidRPr="00FB5768">
        <w:rPr>
          <w:rFonts w:ascii="Times New Roman" w:eastAsia="Calibri" w:hAnsi="Times New Roman" w:cs="Arial"/>
          <w:bCs/>
          <w:i/>
          <w:iCs/>
          <w:kern w:val="0"/>
          <w:sz w:val="22"/>
          <w:szCs w:val="22"/>
          <w:lang w:val="en-US"/>
          <w14:ligatures w14:val="none"/>
        </w:rPr>
        <w:t>Mei et al</w:t>
      </w:r>
      <w:r w:rsidRPr="00FB5768">
        <w:rPr>
          <w:rFonts w:ascii="Times New Roman" w:eastAsia="Calibri" w:hAnsi="Times New Roman" w:cs="Arial"/>
          <w:bCs/>
          <w:kern w:val="0"/>
          <w:sz w:val="22"/>
          <w:szCs w:val="22"/>
          <w:lang w:val="en-US"/>
          <w14:ligatures w14:val="none"/>
        </w:rPr>
        <w:t>., 2024).</w:t>
      </w:r>
    </w:p>
    <w:p w14:paraId="65057B6A"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As such, a multidimensional approach should be used to assess local versus global sourcing, and this includes environmental sustainability, economic viability, and the quality of products. Such a framework is followed in this essay </w:t>
      </w:r>
      <w:proofErr w:type="gramStart"/>
      <w:r w:rsidRPr="00FB5768">
        <w:rPr>
          <w:rFonts w:ascii="Times New Roman" w:eastAsia="Calibri" w:hAnsi="Times New Roman" w:cs="Arial"/>
          <w:bCs/>
          <w:kern w:val="0"/>
          <w:sz w:val="22"/>
          <w:szCs w:val="22"/>
          <w:lang w:val="en-US"/>
          <w14:ligatures w14:val="none"/>
        </w:rPr>
        <w:t>in order to</w:t>
      </w:r>
      <w:proofErr w:type="gramEnd"/>
      <w:r w:rsidRPr="00FB5768">
        <w:rPr>
          <w:rFonts w:ascii="Times New Roman" w:eastAsia="Calibri" w:hAnsi="Times New Roman" w:cs="Arial"/>
          <w:bCs/>
          <w:kern w:val="0"/>
          <w:sz w:val="22"/>
          <w:szCs w:val="22"/>
          <w:lang w:val="en-US"/>
          <w14:ligatures w14:val="none"/>
        </w:rPr>
        <w:t xml:space="preserve"> avoid simple assumptions, especially the common but unsound assumption that local sourcing is more sustainable.</w:t>
      </w:r>
    </w:p>
    <w:p w14:paraId="1E5C7098" w14:textId="77777777" w:rsidR="00FB5768" w:rsidRPr="00FB5768" w:rsidRDefault="00FB5768" w:rsidP="00FB5768">
      <w:pPr>
        <w:spacing w:after="200" w:line="480" w:lineRule="auto"/>
        <w:jc w:val="both"/>
        <w:outlineLvl w:val="0"/>
        <w:rPr>
          <w:rFonts w:ascii="Times New Roman" w:eastAsia="Calibri" w:hAnsi="Times New Roman" w:cs="Arial"/>
          <w:b/>
          <w:bCs/>
          <w:kern w:val="0"/>
          <w:sz w:val="22"/>
          <w:szCs w:val="22"/>
          <w:lang w:val="en-US"/>
          <w14:ligatures w14:val="none"/>
        </w:rPr>
      </w:pPr>
      <w:bookmarkStart w:id="2" w:name="_Toc226384024"/>
      <w:r w:rsidRPr="00FB5768">
        <w:rPr>
          <w:rFonts w:ascii="Times New Roman" w:eastAsia="Calibri" w:hAnsi="Times New Roman" w:cs="Arial"/>
          <w:b/>
          <w:bCs/>
          <w:kern w:val="0"/>
          <w:sz w:val="22"/>
          <w:szCs w:val="22"/>
          <w:lang w:val="en-US"/>
          <w14:ligatures w14:val="none"/>
        </w:rPr>
        <w:t>Benefits of Local Sourcing</w:t>
      </w:r>
      <w:bookmarkEnd w:id="2"/>
      <w:r w:rsidRPr="00FB5768">
        <w:rPr>
          <w:rFonts w:ascii="Times New Roman" w:eastAsia="Calibri" w:hAnsi="Times New Roman" w:cs="Arial"/>
          <w:b/>
          <w:bCs/>
          <w:kern w:val="0"/>
          <w:sz w:val="22"/>
          <w:szCs w:val="22"/>
          <w:lang w:val="en-US"/>
          <w14:ligatures w14:val="none"/>
        </w:rPr>
        <w:t xml:space="preserve"> </w:t>
      </w:r>
    </w:p>
    <w:p w14:paraId="5B583DF3" w14:textId="77777777" w:rsidR="00FB5768" w:rsidRPr="00FB5768" w:rsidRDefault="00FB5768" w:rsidP="00FB5768">
      <w:pPr>
        <w:keepNext/>
        <w:keepLines/>
        <w:widowControl w:val="0"/>
        <w:autoSpaceDE w:val="0"/>
        <w:autoSpaceDN w:val="0"/>
        <w:spacing w:before="40" w:after="0" w:line="480" w:lineRule="auto"/>
        <w:jc w:val="both"/>
        <w:outlineLvl w:val="1"/>
        <w:rPr>
          <w:rFonts w:ascii="Times New Roman" w:eastAsia="Times New Roman" w:hAnsi="Times New Roman" w:cs="Times New Roman"/>
          <w:b/>
          <w:color w:val="000000"/>
          <w:sz w:val="22"/>
          <w:szCs w:val="26"/>
          <w:lang w:val="en-US"/>
        </w:rPr>
      </w:pPr>
      <w:bookmarkStart w:id="3" w:name="_Toc226384025"/>
      <w:r w:rsidRPr="00FB5768">
        <w:rPr>
          <w:rFonts w:ascii="Times New Roman" w:eastAsia="Times New Roman" w:hAnsi="Times New Roman" w:cs="Times New Roman"/>
          <w:b/>
          <w:color w:val="000000"/>
          <w:sz w:val="22"/>
          <w:szCs w:val="26"/>
          <w:lang w:val="en-US"/>
        </w:rPr>
        <w:t>Quality and Freshness</w:t>
      </w:r>
      <w:bookmarkEnd w:id="3"/>
    </w:p>
    <w:p w14:paraId="634D7F19"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One of the best advantages of local sourcing is enhanced quality of products. The reduced supply chain reduces transportation time so that produce is picked at the optimal level of ripeness instead of being transported across wide areas (</w:t>
      </w:r>
      <w:r w:rsidRPr="00FB5768">
        <w:rPr>
          <w:rFonts w:ascii="Times New Roman" w:eastAsia="Calibri" w:hAnsi="Times New Roman" w:cs="Arial"/>
          <w:bCs/>
          <w:i/>
          <w:iCs/>
          <w:kern w:val="0"/>
          <w:sz w:val="22"/>
          <w:szCs w:val="22"/>
          <w:lang w:val="en-US"/>
          <w14:ligatures w14:val="none"/>
        </w:rPr>
        <w:t>Xie et al.,</w:t>
      </w:r>
      <w:r w:rsidRPr="00FB5768">
        <w:rPr>
          <w:rFonts w:ascii="Times New Roman" w:eastAsia="Calibri" w:hAnsi="Times New Roman" w:cs="Arial"/>
          <w:bCs/>
          <w:kern w:val="0"/>
          <w:sz w:val="22"/>
          <w:szCs w:val="22"/>
          <w:lang w:val="en-US"/>
          <w14:ligatures w14:val="none"/>
        </w:rPr>
        <w:t xml:space="preserve"> 2023). It has a positive direct impact on </w:t>
      </w:r>
      <w:proofErr w:type="spellStart"/>
      <w:r w:rsidRPr="00FB5768">
        <w:rPr>
          <w:rFonts w:ascii="Times New Roman" w:eastAsia="Calibri" w:hAnsi="Times New Roman" w:cs="Arial"/>
          <w:bCs/>
          <w:kern w:val="0"/>
          <w:sz w:val="22"/>
          <w:szCs w:val="22"/>
          <w:lang w:val="en-US"/>
          <w14:ligatures w14:val="none"/>
        </w:rPr>
        <w:t>flavour</w:t>
      </w:r>
      <w:proofErr w:type="spellEnd"/>
      <w:r w:rsidRPr="00FB5768">
        <w:rPr>
          <w:rFonts w:ascii="Times New Roman" w:eastAsia="Calibri" w:hAnsi="Times New Roman" w:cs="Arial"/>
          <w:bCs/>
          <w:kern w:val="0"/>
          <w:sz w:val="22"/>
          <w:szCs w:val="22"/>
          <w:lang w:val="en-US"/>
          <w14:ligatures w14:val="none"/>
        </w:rPr>
        <w:t xml:space="preserve"> profiles and nutritional retention since lengthy storage and transportation have been associated with the degradation of nutrients, particularly in perishable foods such as fruits and vegetables (Liang, 2024). The assumption that local is the best quality does, however, possess some subtlety. Quality is also dictated by farming methods, storage and handling procedures; therefore, the local supply chains cannot be handled in a bad way to overcome the benefits.</w:t>
      </w:r>
    </w:p>
    <w:p w14:paraId="2F11CA89" w14:textId="77777777" w:rsidR="00FB5768" w:rsidRPr="00FB5768" w:rsidRDefault="00FB5768" w:rsidP="00FB5768">
      <w:pPr>
        <w:keepNext/>
        <w:keepLines/>
        <w:widowControl w:val="0"/>
        <w:autoSpaceDE w:val="0"/>
        <w:autoSpaceDN w:val="0"/>
        <w:spacing w:before="40" w:after="0" w:line="480" w:lineRule="auto"/>
        <w:jc w:val="both"/>
        <w:outlineLvl w:val="1"/>
        <w:rPr>
          <w:rFonts w:ascii="Times New Roman" w:eastAsia="Times New Roman" w:hAnsi="Times New Roman" w:cs="Times New Roman"/>
          <w:b/>
          <w:color w:val="000000"/>
          <w:sz w:val="22"/>
          <w:szCs w:val="26"/>
          <w:lang w:val="en-US"/>
        </w:rPr>
      </w:pPr>
      <w:bookmarkStart w:id="4" w:name="_Toc226384026"/>
      <w:r w:rsidRPr="00FB5768">
        <w:rPr>
          <w:rFonts w:ascii="Times New Roman" w:eastAsia="Times New Roman" w:hAnsi="Times New Roman" w:cs="Times New Roman"/>
          <w:b/>
          <w:color w:val="000000"/>
          <w:sz w:val="22"/>
          <w:szCs w:val="26"/>
          <w:lang w:val="en-US"/>
        </w:rPr>
        <w:t>Environmental Sustainability and Eco-Friendly Practices</w:t>
      </w:r>
      <w:bookmarkEnd w:id="4"/>
    </w:p>
    <w:p w14:paraId="5893A530"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The sourcing locally is often related to lower carbon emissions caused by shorter distances of transportation. Although this is true in some situations, its beneficial impact on the environment is situational. As an example, the importation of tomatoes from areas with the best growing conditions can produce lower total emissions than the domestic production of tomatoes in greenhouses that consume energy</w:t>
      </w:r>
      <w:r w:rsidRPr="00FB5768">
        <w:rPr>
          <w:rFonts w:ascii="Times New Roman" w:eastAsia="Times New Roman" w:hAnsi="Times New Roman" w:cs="Times New Roman"/>
          <w:kern w:val="0"/>
          <w:lang w:val="en-US"/>
          <w14:ligatures w14:val="none"/>
        </w:rPr>
        <w:t xml:space="preserve"> </w:t>
      </w:r>
      <w:r w:rsidRPr="00FB5768">
        <w:rPr>
          <w:rFonts w:ascii="Times New Roman" w:eastAsia="Calibri" w:hAnsi="Times New Roman" w:cs="Arial"/>
          <w:bCs/>
          <w:kern w:val="0"/>
          <w:sz w:val="22"/>
          <w:szCs w:val="22"/>
          <w:lang w:val="en-US"/>
          <w14:ligatures w14:val="none"/>
        </w:rPr>
        <w:t>(Zhu and Miller, 2025). However, local sourcing has the potential to reinforce environmentally friendly agricultural development, especially when connected to small-scale farming or organic agriculture. Such systems tend to focus on biodiversity, soil health, and limited chemical inputs, which would add to the ecological sustainability in general</w:t>
      </w:r>
      <w:r w:rsidRPr="00FB5768">
        <w:rPr>
          <w:rFonts w:ascii="Times New Roman" w:eastAsia="Times New Roman" w:hAnsi="Times New Roman" w:cs="Times New Roman"/>
          <w:kern w:val="0"/>
          <w:lang w:val="en-US"/>
          <w14:ligatures w14:val="none"/>
        </w:rPr>
        <w:t xml:space="preserve"> </w:t>
      </w:r>
      <w:r w:rsidRPr="00FB5768">
        <w:rPr>
          <w:rFonts w:ascii="Times New Roman" w:eastAsia="Calibri" w:hAnsi="Times New Roman" w:cs="Arial"/>
          <w:bCs/>
          <w:kern w:val="0"/>
          <w:sz w:val="22"/>
          <w:szCs w:val="22"/>
          <w:lang w:val="en-US"/>
          <w14:ligatures w14:val="none"/>
        </w:rPr>
        <w:t>(</w:t>
      </w:r>
      <w:proofErr w:type="spellStart"/>
      <w:r w:rsidRPr="00FB5768">
        <w:rPr>
          <w:rFonts w:ascii="Times New Roman" w:eastAsia="Calibri" w:hAnsi="Times New Roman" w:cs="Arial"/>
          <w:bCs/>
          <w:i/>
          <w:iCs/>
          <w:kern w:val="0"/>
          <w:sz w:val="22"/>
          <w:szCs w:val="22"/>
          <w:lang w:val="en-US"/>
          <w14:ligatures w14:val="none"/>
        </w:rPr>
        <w:t>Cárceles</w:t>
      </w:r>
      <w:proofErr w:type="spellEnd"/>
      <w:r w:rsidRPr="00FB5768">
        <w:rPr>
          <w:rFonts w:ascii="Times New Roman" w:eastAsia="Calibri" w:hAnsi="Times New Roman" w:cs="Arial"/>
          <w:bCs/>
          <w:i/>
          <w:iCs/>
          <w:kern w:val="0"/>
          <w:sz w:val="22"/>
          <w:szCs w:val="22"/>
          <w:lang w:val="en-US"/>
          <w14:ligatures w14:val="none"/>
        </w:rPr>
        <w:t xml:space="preserve"> Rodríguez et al</w:t>
      </w:r>
      <w:r w:rsidRPr="00FB5768">
        <w:rPr>
          <w:rFonts w:ascii="Times New Roman" w:eastAsia="Calibri" w:hAnsi="Times New Roman" w:cs="Arial"/>
          <w:bCs/>
          <w:kern w:val="0"/>
          <w:sz w:val="22"/>
          <w:szCs w:val="22"/>
          <w:lang w:val="en-US"/>
          <w14:ligatures w14:val="none"/>
        </w:rPr>
        <w:t>., 2022).</w:t>
      </w:r>
    </w:p>
    <w:p w14:paraId="3334FDDA" w14:textId="77777777" w:rsidR="00FB5768" w:rsidRPr="00FB5768" w:rsidRDefault="00FB5768" w:rsidP="00FB5768">
      <w:pPr>
        <w:keepNext/>
        <w:keepLines/>
        <w:widowControl w:val="0"/>
        <w:autoSpaceDE w:val="0"/>
        <w:autoSpaceDN w:val="0"/>
        <w:spacing w:before="40" w:after="0" w:line="480" w:lineRule="auto"/>
        <w:jc w:val="both"/>
        <w:outlineLvl w:val="1"/>
        <w:rPr>
          <w:rFonts w:ascii="Times New Roman" w:eastAsia="Times New Roman" w:hAnsi="Times New Roman" w:cs="Times New Roman"/>
          <w:b/>
          <w:color w:val="000000"/>
          <w:sz w:val="22"/>
          <w:szCs w:val="26"/>
          <w:lang w:val="en-US"/>
        </w:rPr>
      </w:pPr>
      <w:bookmarkStart w:id="5" w:name="_Toc226384027"/>
      <w:r w:rsidRPr="00FB5768">
        <w:rPr>
          <w:rFonts w:ascii="Times New Roman" w:eastAsia="Times New Roman" w:hAnsi="Times New Roman" w:cs="Times New Roman"/>
          <w:b/>
          <w:color w:val="000000"/>
          <w:sz w:val="22"/>
          <w:szCs w:val="26"/>
          <w:lang w:val="en-US"/>
        </w:rPr>
        <w:lastRenderedPageBreak/>
        <w:t>Supporting Local Economies</w:t>
      </w:r>
      <w:bookmarkEnd w:id="5"/>
    </w:p>
    <w:p w14:paraId="12FB5EC1"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In the locality, local sourcing is an economic advantage that enhances the economies of the local areas by retaining the value with the local supply chains. It enables small-scale farmers to sell their produce directly to the market, and it eliminates the necessity to go through middlemen and increases their income security (Seshadri et al., 2025). This </w:t>
      </w:r>
      <w:proofErr w:type="gramStart"/>
      <w:r w:rsidRPr="00FB5768">
        <w:rPr>
          <w:rFonts w:ascii="Times New Roman" w:eastAsia="Calibri" w:hAnsi="Times New Roman" w:cs="Arial"/>
          <w:bCs/>
          <w:kern w:val="0"/>
          <w:sz w:val="22"/>
          <w:szCs w:val="22"/>
          <w:lang w:val="en-US"/>
          <w14:ligatures w14:val="none"/>
        </w:rPr>
        <w:t>will</w:t>
      </w:r>
      <w:proofErr w:type="gramEnd"/>
      <w:r w:rsidRPr="00FB5768">
        <w:rPr>
          <w:rFonts w:ascii="Times New Roman" w:eastAsia="Calibri" w:hAnsi="Times New Roman" w:cs="Arial"/>
          <w:bCs/>
          <w:kern w:val="0"/>
          <w:sz w:val="22"/>
          <w:szCs w:val="22"/>
          <w:lang w:val="en-US"/>
          <w14:ligatures w14:val="none"/>
        </w:rPr>
        <w:t xml:space="preserve"> in the case of restaurants, be </w:t>
      </w:r>
      <w:proofErr w:type="gramStart"/>
      <w:r w:rsidRPr="00FB5768">
        <w:rPr>
          <w:rFonts w:ascii="Times New Roman" w:eastAsia="Calibri" w:hAnsi="Times New Roman" w:cs="Arial"/>
          <w:bCs/>
          <w:kern w:val="0"/>
          <w:sz w:val="22"/>
          <w:szCs w:val="22"/>
          <w:lang w:val="en-US"/>
          <w14:ligatures w14:val="none"/>
        </w:rPr>
        <w:t>in a position</w:t>
      </w:r>
      <w:proofErr w:type="gramEnd"/>
      <w:r w:rsidRPr="00FB5768">
        <w:rPr>
          <w:rFonts w:ascii="Times New Roman" w:eastAsia="Calibri" w:hAnsi="Times New Roman" w:cs="Arial"/>
          <w:bCs/>
          <w:kern w:val="0"/>
          <w:sz w:val="22"/>
          <w:szCs w:val="22"/>
          <w:lang w:val="en-US"/>
          <w14:ligatures w14:val="none"/>
        </w:rPr>
        <w:t xml:space="preserve"> to reinforce brand differentiation in response to community-focused ideals and ethical sourcing stories. However, this is a benefit which should be addressed. Local sourcing does not equal a fair economic outcome; there can be a power imbalance between restaurants and small suppliers, </w:t>
      </w:r>
      <w:proofErr w:type="gramStart"/>
      <w:r w:rsidRPr="00FB5768">
        <w:rPr>
          <w:rFonts w:ascii="Times New Roman" w:eastAsia="Calibri" w:hAnsi="Times New Roman" w:cs="Arial"/>
          <w:bCs/>
          <w:kern w:val="0"/>
          <w:sz w:val="22"/>
          <w:szCs w:val="22"/>
          <w:lang w:val="en-US"/>
          <w14:ligatures w14:val="none"/>
        </w:rPr>
        <w:t>in particular in</w:t>
      </w:r>
      <w:proofErr w:type="gramEnd"/>
      <w:r w:rsidRPr="00FB5768">
        <w:rPr>
          <w:rFonts w:ascii="Times New Roman" w:eastAsia="Calibri" w:hAnsi="Times New Roman" w:cs="Arial"/>
          <w:bCs/>
          <w:kern w:val="0"/>
          <w:sz w:val="22"/>
          <w:szCs w:val="22"/>
          <w:lang w:val="en-US"/>
          <w14:ligatures w14:val="none"/>
        </w:rPr>
        <w:t xml:space="preserve"> situations where there is price pressure.</w:t>
      </w:r>
    </w:p>
    <w:p w14:paraId="506EBB53" w14:textId="77777777" w:rsidR="00FB5768" w:rsidRPr="00FB5768" w:rsidRDefault="00FB5768" w:rsidP="00FB5768">
      <w:pPr>
        <w:spacing w:after="200" w:line="480" w:lineRule="auto"/>
        <w:jc w:val="both"/>
        <w:outlineLvl w:val="0"/>
        <w:rPr>
          <w:rFonts w:ascii="Times New Roman" w:eastAsia="Calibri" w:hAnsi="Times New Roman" w:cs="Arial"/>
          <w:b/>
          <w:bCs/>
          <w:kern w:val="0"/>
          <w:sz w:val="22"/>
          <w:szCs w:val="22"/>
          <w:lang w:val="en-US"/>
          <w14:ligatures w14:val="none"/>
        </w:rPr>
      </w:pPr>
      <w:bookmarkStart w:id="6" w:name="_Toc226384028"/>
      <w:r w:rsidRPr="00FB5768">
        <w:rPr>
          <w:rFonts w:ascii="Times New Roman" w:eastAsia="Calibri" w:hAnsi="Times New Roman" w:cs="Arial"/>
          <w:b/>
          <w:bCs/>
          <w:kern w:val="0"/>
          <w:sz w:val="22"/>
          <w:szCs w:val="22"/>
          <w:lang w:val="en-US"/>
          <w14:ligatures w14:val="none"/>
        </w:rPr>
        <w:t>Sustainability and the Limits of “Food Miles” (Approx. 200 words)</w:t>
      </w:r>
      <w:bookmarkEnd w:id="6"/>
    </w:p>
    <w:p w14:paraId="4315353F"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Local sourcing has been popularly justified </w:t>
      </w:r>
      <w:proofErr w:type="gramStart"/>
      <w:r w:rsidRPr="00FB5768">
        <w:rPr>
          <w:rFonts w:ascii="Times New Roman" w:eastAsia="Calibri" w:hAnsi="Times New Roman" w:cs="Arial"/>
          <w:bCs/>
          <w:kern w:val="0"/>
          <w:sz w:val="22"/>
          <w:szCs w:val="22"/>
          <w:lang w:val="en-US"/>
          <w14:ligatures w14:val="none"/>
        </w:rPr>
        <w:t>on the basis of</w:t>
      </w:r>
      <w:proofErr w:type="gramEnd"/>
      <w:r w:rsidRPr="00FB5768">
        <w:rPr>
          <w:rFonts w:ascii="Times New Roman" w:eastAsia="Calibri" w:hAnsi="Times New Roman" w:cs="Arial"/>
          <w:bCs/>
          <w:kern w:val="0"/>
          <w:sz w:val="22"/>
          <w:szCs w:val="22"/>
          <w:lang w:val="en-US"/>
          <w14:ligatures w14:val="none"/>
        </w:rPr>
        <w:t xml:space="preserve"> the food miles concept, but it is a simplistic way of understanding sustainability. Transportation is a comparatively minor percentage of the overall food system emissions, about 10-15% relative to production processes, which can be more than 80%</w:t>
      </w:r>
      <w:r w:rsidRPr="00FB5768">
        <w:rPr>
          <w:rFonts w:ascii="Times New Roman" w:eastAsia="Times New Roman" w:hAnsi="Times New Roman" w:cs="Times New Roman"/>
          <w:kern w:val="0"/>
          <w:lang w:val="en-US"/>
          <w14:ligatures w14:val="none"/>
        </w:rPr>
        <w:t xml:space="preserve"> </w:t>
      </w:r>
      <w:r w:rsidRPr="00FB5768">
        <w:rPr>
          <w:rFonts w:ascii="Times New Roman" w:eastAsia="Calibri" w:hAnsi="Times New Roman" w:cs="Arial"/>
          <w:bCs/>
          <w:kern w:val="0"/>
          <w:sz w:val="22"/>
          <w:szCs w:val="22"/>
          <w:lang w:val="en-US"/>
          <w14:ligatures w14:val="none"/>
        </w:rPr>
        <w:t>(Li et al., 2022). This disproves the notion that distance reduction is enough to lead to environmental sustainability. An example is the case of lamb imported in New Zealand being proven to have a lesser carbon footprint compared to locally produced lamb in the UK, since they had more effective farming systems</w:t>
      </w:r>
      <w:r w:rsidRPr="00FB5768">
        <w:rPr>
          <w:rFonts w:ascii="Times New Roman" w:eastAsia="Times New Roman" w:hAnsi="Times New Roman" w:cs="Times New Roman"/>
          <w:kern w:val="0"/>
          <w:lang w:val="en-US"/>
          <w14:ligatures w14:val="none"/>
        </w:rPr>
        <w:t xml:space="preserve"> </w:t>
      </w:r>
      <w:r w:rsidRPr="00FB5768">
        <w:rPr>
          <w:rFonts w:ascii="Times New Roman" w:eastAsia="Calibri" w:hAnsi="Times New Roman" w:cs="Arial"/>
          <w:bCs/>
          <w:i/>
          <w:iCs/>
          <w:kern w:val="0"/>
          <w:sz w:val="22"/>
          <w:szCs w:val="22"/>
          <w:lang w:val="en-US"/>
          <w14:ligatures w14:val="none"/>
        </w:rPr>
        <w:t>(</w:t>
      </w:r>
      <w:proofErr w:type="spellStart"/>
      <w:r w:rsidRPr="00FB5768">
        <w:rPr>
          <w:rFonts w:ascii="Times New Roman" w:eastAsia="Calibri" w:hAnsi="Times New Roman" w:cs="Arial"/>
          <w:bCs/>
          <w:i/>
          <w:iCs/>
          <w:kern w:val="0"/>
          <w:sz w:val="22"/>
          <w:szCs w:val="22"/>
          <w:lang w:val="en-US"/>
          <w14:ligatures w14:val="none"/>
        </w:rPr>
        <w:t>Mazzetto</w:t>
      </w:r>
      <w:proofErr w:type="spellEnd"/>
      <w:r w:rsidRPr="00FB5768">
        <w:rPr>
          <w:rFonts w:ascii="Times New Roman" w:eastAsia="Calibri" w:hAnsi="Times New Roman" w:cs="Arial"/>
          <w:bCs/>
          <w:i/>
          <w:iCs/>
          <w:kern w:val="0"/>
          <w:sz w:val="22"/>
          <w:szCs w:val="22"/>
          <w:lang w:val="en-US"/>
          <w14:ligatures w14:val="none"/>
        </w:rPr>
        <w:t xml:space="preserve"> et al.,</w:t>
      </w:r>
      <w:r w:rsidRPr="00FB5768">
        <w:rPr>
          <w:rFonts w:ascii="Times New Roman" w:eastAsia="Calibri" w:hAnsi="Times New Roman" w:cs="Arial"/>
          <w:bCs/>
          <w:kern w:val="0"/>
          <w:sz w:val="22"/>
          <w:szCs w:val="22"/>
          <w:lang w:val="en-US"/>
          <w14:ligatures w14:val="none"/>
        </w:rPr>
        <w:t xml:space="preserve"> 2023). Thus, the idea of sustainability is to be evaluated in a holistic manner, with elements like energy consumption, land productivity and agricultural inputs. Although local sourcing may be a way of achieving sustainability, it cannot be looked at as a one-size-fits-all solution. A more advanced strategy is on what is termed sustainable sourcing, which </w:t>
      </w:r>
      <w:proofErr w:type="spellStart"/>
      <w:r w:rsidRPr="00FB5768">
        <w:rPr>
          <w:rFonts w:ascii="Times New Roman" w:eastAsia="Calibri" w:hAnsi="Times New Roman" w:cs="Arial"/>
          <w:bCs/>
          <w:kern w:val="0"/>
          <w:sz w:val="22"/>
          <w:szCs w:val="22"/>
          <w:lang w:val="en-US"/>
          <w14:ligatures w14:val="none"/>
        </w:rPr>
        <w:t>emphasises</w:t>
      </w:r>
      <w:proofErr w:type="spellEnd"/>
      <w:r w:rsidRPr="00FB5768">
        <w:rPr>
          <w:rFonts w:ascii="Times New Roman" w:eastAsia="Calibri" w:hAnsi="Times New Roman" w:cs="Arial"/>
          <w:bCs/>
          <w:kern w:val="0"/>
          <w:sz w:val="22"/>
          <w:szCs w:val="22"/>
          <w:lang w:val="en-US"/>
          <w14:ligatures w14:val="none"/>
        </w:rPr>
        <w:t xml:space="preserve"> environmental efficiency irrespective of geographical origin.</w:t>
      </w:r>
    </w:p>
    <w:p w14:paraId="1FA8806A" w14:textId="77777777" w:rsidR="00FB5768" w:rsidRPr="00FB5768" w:rsidRDefault="00FB5768" w:rsidP="00FB5768">
      <w:pPr>
        <w:spacing w:after="200" w:line="480" w:lineRule="auto"/>
        <w:jc w:val="both"/>
        <w:outlineLvl w:val="0"/>
        <w:rPr>
          <w:rFonts w:ascii="Times New Roman" w:eastAsia="Calibri" w:hAnsi="Times New Roman" w:cs="Arial"/>
          <w:b/>
          <w:bCs/>
          <w:kern w:val="0"/>
          <w:sz w:val="22"/>
          <w:szCs w:val="22"/>
          <w:lang w:val="en-US"/>
          <w14:ligatures w14:val="none"/>
        </w:rPr>
      </w:pPr>
      <w:bookmarkStart w:id="7" w:name="_Toc226384029"/>
      <w:r w:rsidRPr="00FB5768">
        <w:rPr>
          <w:rFonts w:ascii="Times New Roman" w:eastAsia="Calibri" w:hAnsi="Times New Roman" w:cs="Arial"/>
          <w:b/>
          <w:bCs/>
          <w:kern w:val="0"/>
          <w:sz w:val="22"/>
          <w:szCs w:val="22"/>
          <w:lang w:val="en-US"/>
          <w14:ligatures w14:val="none"/>
        </w:rPr>
        <w:t>Drawbacks of Local Sourcing</w:t>
      </w:r>
      <w:bookmarkEnd w:id="7"/>
      <w:r w:rsidRPr="00FB5768">
        <w:rPr>
          <w:rFonts w:ascii="Times New Roman" w:eastAsia="Calibri" w:hAnsi="Times New Roman" w:cs="Arial"/>
          <w:b/>
          <w:bCs/>
          <w:kern w:val="0"/>
          <w:sz w:val="22"/>
          <w:szCs w:val="22"/>
          <w:lang w:val="en-US"/>
          <w14:ligatures w14:val="none"/>
        </w:rPr>
        <w:t xml:space="preserve"> </w:t>
      </w:r>
    </w:p>
    <w:p w14:paraId="1E5323C6" w14:textId="77777777" w:rsidR="00FB5768" w:rsidRPr="00FB5768" w:rsidRDefault="00FB5768" w:rsidP="00FB5768">
      <w:pPr>
        <w:keepNext/>
        <w:keepLines/>
        <w:widowControl w:val="0"/>
        <w:autoSpaceDE w:val="0"/>
        <w:autoSpaceDN w:val="0"/>
        <w:spacing w:before="40" w:after="0" w:line="480" w:lineRule="auto"/>
        <w:jc w:val="both"/>
        <w:outlineLvl w:val="1"/>
        <w:rPr>
          <w:rFonts w:ascii="Times New Roman" w:eastAsia="Times New Roman" w:hAnsi="Times New Roman" w:cs="Times New Roman"/>
          <w:b/>
          <w:color w:val="000000"/>
          <w:sz w:val="22"/>
          <w:szCs w:val="26"/>
          <w:lang w:val="en-US"/>
        </w:rPr>
      </w:pPr>
      <w:bookmarkStart w:id="8" w:name="_Toc226384030"/>
      <w:r w:rsidRPr="00FB5768">
        <w:rPr>
          <w:rFonts w:ascii="Times New Roman" w:eastAsia="Times New Roman" w:hAnsi="Times New Roman" w:cs="Times New Roman"/>
          <w:b/>
          <w:color w:val="000000"/>
          <w:sz w:val="22"/>
          <w:szCs w:val="26"/>
          <w:lang w:val="en-US"/>
        </w:rPr>
        <w:t>Cost and Economic Constraints</w:t>
      </w:r>
      <w:bookmarkEnd w:id="8"/>
    </w:p>
    <w:p w14:paraId="76901E6B"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In small-scale farming, economies of scale may not be high enough, and </w:t>
      </w:r>
      <w:proofErr w:type="spellStart"/>
      <w:r w:rsidRPr="00FB5768">
        <w:rPr>
          <w:rFonts w:ascii="Times New Roman" w:eastAsia="Calibri" w:hAnsi="Times New Roman" w:cs="Arial"/>
          <w:bCs/>
          <w:kern w:val="0"/>
          <w:sz w:val="22"/>
          <w:szCs w:val="22"/>
          <w:lang w:val="en-US"/>
          <w14:ligatures w14:val="none"/>
        </w:rPr>
        <w:t>labour</w:t>
      </w:r>
      <w:proofErr w:type="spellEnd"/>
      <w:r w:rsidRPr="00FB5768">
        <w:rPr>
          <w:rFonts w:ascii="Times New Roman" w:eastAsia="Calibri" w:hAnsi="Times New Roman" w:cs="Arial"/>
          <w:bCs/>
          <w:kern w:val="0"/>
          <w:sz w:val="22"/>
          <w:szCs w:val="22"/>
          <w:lang w:val="en-US"/>
          <w14:ligatures w14:val="none"/>
        </w:rPr>
        <w:t xml:space="preserve"> may also be more intense, making it more expensive to source locally</w:t>
      </w:r>
      <w:r w:rsidRPr="00FB5768">
        <w:rPr>
          <w:rFonts w:ascii="Times New Roman" w:eastAsia="Times New Roman" w:hAnsi="Times New Roman" w:cs="Times New Roman"/>
          <w:kern w:val="0"/>
          <w:lang w:val="en-US"/>
          <w14:ligatures w14:val="none"/>
        </w:rPr>
        <w:t xml:space="preserve"> </w:t>
      </w:r>
      <w:r w:rsidRPr="00FB5768">
        <w:rPr>
          <w:rFonts w:ascii="Times New Roman" w:eastAsia="Calibri" w:hAnsi="Times New Roman" w:cs="Arial"/>
          <w:bCs/>
          <w:kern w:val="0"/>
          <w:sz w:val="22"/>
          <w:szCs w:val="22"/>
          <w:lang w:val="en-US"/>
          <w14:ligatures w14:val="none"/>
        </w:rPr>
        <w:t xml:space="preserve">(Manono, 2025). The low profit margins of </w:t>
      </w:r>
      <w:r w:rsidRPr="00FB5768">
        <w:rPr>
          <w:rFonts w:ascii="Times New Roman" w:eastAsia="Calibri" w:hAnsi="Times New Roman" w:cs="Arial"/>
          <w:bCs/>
          <w:kern w:val="0"/>
          <w:sz w:val="22"/>
          <w:szCs w:val="22"/>
          <w:lang w:val="en-US"/>
          <w14:ligatures w14:val="none"/>
        </w:rPr>
        <w:lastRenderedPageBreak/>
        <w:t>restaurants may force them to resort to using local suppliers as a sole source of costly supplies, especially when they are dealing with big-volume distributors who can offer them lower prices.</w:t>
      </w:r>
    </w:p>
    <w:p w14:paraId="11EBF79E" w14:textId="77777777" w:rsidR="00FB5768" w:rsidRPr="00FB5768" w:rsidRDefault="00FB5768" w:rsidP="00FB5768">
      <w:pPr>
        <w:keepNext/>
        <w:keepLines/>
        <w:widowControl w:val="0"/>
        <w:autoSpaceDE w:val="0"/>
        <w:autoSpaceDN w:val="0"/>
        <w:spacing w:before="40" w:after="0" w:line="480" w:lineRule="auto"/>
        <w:jc w:val="both"/>
        <w:outlineLvl w:val="1"/>
        <w:rPr>
          <w:rFonts w:ascii="Times New Roman" w:eastAsia="Times New Roman" w:hAnsi="Times New Roman" w:cs="Times New Roman"/>
          <w:b/>
          <w:color w:val="000000"/>
          <w:sz w:val="22"/>
          <w:szCs w:val="26"/>
          <w:lang w:val="en-US"/>
        </w:rPr>
      </w:pPr>
      <w:bookmarkStart w:id="9" w:name="_Toc226384031"/>
      <w:r w:rsidRPr="00FB5768">
        <w:rPr>
          <w:rFonts w:ascii="Times New Roman" w:eastAsia="Times New Roman" w:hAnsi="Times New Roman" w:cs="Times New Roman"/>
          <w:b/>
          <w:color w:val="000000"/>
          <w:sz w:val="22"/>
          <w:szCs w:val="26"/>
          <w:lang w:val="en-US"/>
        </w:rPr>
        <w:t>Seasonality and Limited Availability</w:t>
      </w:r>
      <w:bookmarkEnd w:id="9"/>
    </w:p>
    <w:p w14:paraId="24872EE8"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One of the greatest shortcomings of local sourcing is that it relies on seasonal production. This limits the flexibility of the menu and may result in inconsistent supply, especially in areas with less agricultural variety. Global sourcing is a more stable option in case a restaurant wants to offer similar products.</w:t>
      </w:r>
    </w:p>
    <w:p w14:paraId="711F5132" w14:textId="77777777" w:rsidR="00FB5768" w:rsidRPr="00FB5768" w:rsidRDefault="00FB5768" w:rsidP="00FB5768">
      <w:pPr>
        <w:keepNext/>
        <w:keepLines/>
        <w:widowControl w:val="0"/>
        <w:autoSpaceDE w:val="0"/>
        <w:autoSpaceDN w:val="0"/>
        <w:spacing w:before="40" w:after="0" w:line="480" w:lineRule="auto"/>
        <w:jc w:val="both"/>
        <w:outlineLvl w:val="1"/>
        <w:rPr>
          <w:rFonts w:ascii="Times New Roman" w:eastAsia="Times New Roman" w:hAnsi="Times New Roman" w:cs="Times New Roman"/>
          <w:b/>
          <w:color w:val="000000"/>
          <w:sz w:val="22"/>
          <w:szCs w:val="26"/>
          <w:lang w:val="en-US"/>
        </w:rPr>
      </w:pPr>
      <w:bookmarkStart w:id="10" w:name="_Toc226384032"/>
      <w:r w:rsidRPr="00FB5768">
        <w:rPr>
          <w:rFonts w:ascii="Times New Roman" w:eastAsia="Times New Roman" w:hAnsi="Times New Roman" w:cs="Times New Roman"/>
          <w:b/>
          <w:color w:val="000000"/>
          <w:sz w:val="22"/>
          <w:szCs w:val="26"/>
          <w:lang w:val="en-US"/>
        </w:rPr>
        <w:t>Shelf Life and Preservation Issues</w:t>
      </w:r>
      <w:bookmarkEnd w:id="10"/>
    </w:p>
    <w:p w14:paraId="597ADFFA"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Local produce can be fresher, but it can also have less shelf life, particularly without preservatives. This has the potential to augment food waste in case demand forecasting is erroneous, against part of the environmental advantages of local sourcing</w:t>
      </w:r>
      <w:r w:rsidRPr="00FB5768">
        <w:rPr>
          <w:rFonts w:ascii="Times New Roman" w:eastAsia="Times New Roman" w:hAnsi="Times New Roman" w:cs="Times New Roman"/>
          <w:kern w:val="0"/>
          <w:lang w:val="en-US"/>
          <w14:ligatures w14:val="none"/>
        </w:rPr>
        <w:t xml:space="preserve"> </w:t>
      </w:r>
      <w:r w:rsidRPr="00FB5768">
        <w:rPr>
          <w:rFonts w:ascii="Times New Roman" w:eastAsia="Calibri" w:hAnsi="Times New Roman" w:cs="Arial"/>
          <w:bCs/>
          <w:i/>
          <w:iCs/>
          <w:kern w:val="0"/>
          <w:sz w:val="22"/>
          <w:szCs w:val="22"/>
          <w:lang w:val="en-US"/>
          <w14:ligatures w14:val="none"/>
        </w:rPr>
        <w:t>(</w:t>
      </w:r>
      <w:proofErr w:type="spellStart"/>
      <w:r w:rsidRPr="00FB5768">
        <w:rPr>
          <w:rFonts w:ascii="Times New Roman" w:eastAsia="Calibri" w:hAnsi="Times New Roman" w:cs="Arial"/>
          <w:bCs/>
          <w:i/>
          <w:iCs/>
          <w:kern w:val="0"/>
          <w:sz w:val="22"/>
          <w:szCs w:val="22"/>
          <w:lang w:val="en-US"/>
          <w14:ligatures w14:val="none"/>
        </w:rPr>
        <w:t>Fatorachian</w:t>
      </w:r>
      <w:proofErr w:type="spellEnd"/>
      <w:r w:rsidRPr="00FB5768">
        <w:rPr>
          <w:rFonts w:ascii="Times New Roman" w:eastAsia="Calibri" w:hAnsi="Times New Roman" w:cs="Arial"/>
          <w:bCs/>
          <w:kern w:val="0"/>
          <w:sz w:val="22"/>
          <w:szCs w:val="22"/>
          <w:lang w:val="en-US"/>
          <w14:ligatures w14:val="none"/>
        </w:rPr>
        <w:t xml:space="preserve"> et al., 2025).</w:t>
      </w:r>
    </w:p>
    <w:p w14:paraId="59EF5A8D" w14:textId="77777777" w:rsidR="00FB5768" w:rsidRPr="00FB5768" w:rsidRDefault="00FB5768" w:rsidP="00FB5768">
      <w:pPr>
        <w:keepNext/>
        <w:keepLines/>
        <w:widowControl w:val="0"/>
        <w:autoSpaceDE w:val="0"/>
        <w:autoSpaceDN w:val="0"/>
        <w:spacing w:before="40" w:after="0" w:line="480" w:lineRule="auto"/>
        <w:jc w:val="both"/>
        <w:outlineLvl w:val="1"/>
        <w:rPr>
          <w:rFonts w:ascii="Times New Roman" w:eastAsia="Times New Roman" w:hAnsi="Times New Roman" w:cs="Times New Roman"/>
          <w:b/>
          <w:color w:val="000000"/>
          <w:sz w:val="22"/>
          <w:szCs w:val="26"/>
          <w:lang w:val="en-US"/>
        </w:rPr>
      </w:pPr>
      <w:bookmarkStart w:id="11" w:name="_Toc226384033"/>
      <w:r w:rsidRPr="00FB5768">
        <w:rPr>
          <w:rFonts w:ascii="Times New Roman" w:eastAsia="Times New Roman" w:hAnsi="Times New Roman" w:cs="Times New Roman"/>
          <w:b/>
          <w:color w:val="000000"/>
          <w:sz w:val="22"/>
          <w:szCs w:val="26"/>
          <w:lang w:val="en-US"/>
        </w:rPr>
        <w:t>Quality Variability</w:t>
      </w:r>
      <w:bookmarkEnd w:id="11"/>
    </w:p>
    <w:p w14:paraId="4E71C02B"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However, unlike what many people believe, local sourcing does not ensure a high level of uniformity. Small-scale production can also lead to variability caused by weather conditions, lack of resources </w:t>
      </w:r>
      <w:proofErr w:type="gramStart"/>
      <w:r w:rsidRPr="00FB5768">
        <w:rPr>
          <w:rFonts w:ascii="Times New Roman" w:eastAsia="Calibri" w:hAnsi="Times New Roman" w:cs="Arial"/>
          <w:bCs/>
          <w:kern w:val="0"/>
          <w:sz w:val="22"/>
          <w:szCs w:val="22"/>
          <w:lang w:val="en-US"/>
          <w14:ligatures w14:val="none"/>
        </w:rPr>
        <w:t>in regard to</w:t>
      </w:r>
      <w:proofErr w:type="gramEnd"/>
      <w:r w:rsidRPr="00FB5768">
        <w:rPr>
          <w:rFonts w:ascii="Times New Roman" w:eastAsia="Calibri" w:hAnsi="Times New Roman" w:cs="Arial"/>
          <w:bCs/>
          <w:kern w:val="0"/>
          <w:sz w:val="22"/>
          <w:szCs w:val="22"/>
          <w:lang w:val="en-US"/>
          <w14:ligatures w14:val="none"/>
        </w:rPr>
        <w:t xml:space="preserve"> technology </w:t>
      </w:r>
      <w:proofErr w:type="gramStart"/>
      <w:r w:rsidRPr="00FB5768">
        <w:rPr>
          <w:rFonts w:ascii="Times New Roman" w:eastAsia="Calibri" w:hAnsi="Times New Roman" w:cs="Arial"/>
          <w:bCs/>
          <w:kern w:val="0"/>
          <w:sz w:val="22"/>
          <w:szCs w:val="22"/>
          <w:lang w:val="en-US"/>
          <w14:ligatures w14:val="none"/>
        </w:rPr>
        <w:t>and also</w:t>
      </w:r>
      <w:proofErr w:type="gramEnd"/>
      <w:r w:rsidRPr="00FB5768">
        <w:rPr>
          <w:rFonts w:ascii="Times New Roman" w:eastAsia="Calibri" w:hAnsi="Times New Roman" w:cs="Arial"/>
          <w:bCs/>
          <w:kern w:val="0"/>
          <w:sz w:val="22"/>
          <w:szCs w:val="22"/>
          <w:lang w:val="en-US"/>
          <w14:ligatures w14:val="none"/>
        </w:rPr>
        <w:t xml:space="preserve"> unequal harvesting. Global supply chains, on the contrary, tend to have global quality control mechanisms that are </w:t>
      </w:r>
      <w:proofErr w:type="spellStart"/>
      <w:r w:rsidRPr="00FB5768">
        <w:rPr>
          <w:rFonts w:ascii="Times New Roman" w:eastAsia="Calibri" w:hAnsi="Times New Roman" w:cs="Arial"/>
          <w:bCs/>
          <w:kern w:val="0"/>
          <w:sz w:val="22"/>
          <w:szCs w:val="22"/>
          <w:lang w:val="en-US"/>
          <w14:ligatures w14:val="none"/>
        </w:rPr>
        <w:t>standardised</w:t>
      </w:r>
      <w:proofErr w:type="spellEnd"/>
      <w:r w:rsidRPr="00FB5768">
        <w:rPr>
          <w:rFonts w:ascii="Times New Roman" w:eastAsia="Calibri" w:hAnsi="Times New Roman" w:cs="Arial"/>
          <w:bCs/>
          <w:kern w:val="0"/>
          <w:sz w:val="22"/>
          <w:szCs w:val="22"/>
          <w:lang w:val="en-US"/>
          <w14:ligatures w14:val="none"/>
        </w:rPr>
        <w:t>.</w:t>
      </w:r>
    </w:p>
    <w:p w14:paraId="7CE60F81" w14:textId="77777777" w:rsidR="00FB5768" w:rsidRPr="00FB5768" w:rsidRDefault="00FB5768" w:rsidP="00FB5768">
      <w:pPr>
        <w:spacing w:after="200" w:line="480" w:lineRule="auto"/>
        <w:jc w:val="both"/>
        <w:outlineLvl w:val="0"/>
        <w:rPr>
          <w:rFonts w:ascii="Times New Roman" w:eastAsia="Calibri" w:hAnsi="Times New Roman" w:cs="Arial"/>
          <w:b/>
          <w:bCs/>
          <w:kern w:val="0"/>
          <w:sz w:val="22"/>
          <w:szCs w:val="22"/>
          <w:lang w:val="en-US"/>
          <w14:ligatures w14:val="none"/>
        </w:rPr>
      </w:pPr>
      <w:bookmarkStart w:id="12" w:name="_Toc226384034"/>
      <w:r w:rsidRPr="00FB5768">
        <w:rPr>
          <w:rFonts w:ascii="Times New Roman" w:eastAsia="Calibri" w:hAnsi="Times New Roman" w:cs="Arial"/>
          <w:b/>
          <w:bCs/>
          <w:kern w:val="0"/>
          <w:sz w:val="22"/>
          <w:szCs w:val="22"/>
          <w:lang w:val="en-US"/>
          <w14:ligatures w14:val="none"/>
        </w:rPr>
        <w:t>Consumer Preferences and Gastronomy Trends</w:t>
      </w:r>
      <w:bookmarkEnd w:id="12"/>
    </w:p>
    <w:p w14:paraId="20EDB88F"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Consumer demand is critical in </w:t>
      </w:r>
      <w:proofErr w:type="gramStart"/>
      <w:r w:rsidRPr="00FB5768">
        <w:rPr>
          <w:rFonts w:ascii="Times New Roman" w:eastAsia="Calibri" w:hAnsi="Times New Roman" w:cs="Arial"/>
          <w:bCs/>
          <w:kern w:val="0"/>
          <w:sz w:val="22"/>
          <w:szCs w:val="22"/>
          <w:lang w:val="en-US"/>
          <w14:ligatures w14:val="none"/>
        </w:rPr>
        <w:t>the sourcing</w:t>
      </w:r>
      <w:proofErr w:type="gramEnd"/>
      <w:r w:rsidRPr="00FB5768">
        <w:rPr>
          <w:rFonts w:ascii="Times New Roman" w:eastAsia="Calibri" w:hAnsi="Times New Roman" w:cs="Arial"/>
          <w:bCs/>
          <w:kern w:val="0"/>
          <w:sz w:val="22"/>
          <w:szCs w:val="22"/>
          <w:lang w:val="en-US"/>
          <w14:ligatures w14:val="none"/>
        </w:rPr>
        <w:t xml:space="preserve"> decisions</w:t>
      </w:r>
      <w:r w:rsidRPr="00FB5768">
        <w:rPr>
          <w:rFonts w:ascii="Times New Roman" w:eastAsia="Times New Roman" w:hAnsi="Times New Roman" w:cs="Times New Roman"/>
          <w:kern w:val="0"/>
          <w:lang w:val="en-US"/>
          <w14:ligatures w14:val="none"/>
        </w:rPr>
        <w:t xml:space="preserve"> </w:t>
      </w:r>
      <w:r w:rsidRPr="00FB5768">
        <w:rPr>
          <w:rFonts w:ascii="Times New Roman" w:eastAsia="Calibri" w:hAnsi="Times New Roman" w:cs="Arial"/>
          <w:bCs/>
          <w:kern w:val="0"/>
          <w:sz w:val="22"/>
          <w:szCs w:val="22"/>
          <w:lang w:val="en-US"/>
          <w14:ligatures w14:val="none"/>
        </w:rPr>
        <w:t xml:space="preserve">(Isabel et al., 2024). This trend fits with local </w:t>
      </w:r>
      <w:proofErr w:type="gramStart"/>
      <w:r w:rsidRPr="00FB5768">
        <w:rPr>
          <w:rFonts w:ascii="Times New Roman" w:eastAsia="Calibri" w:hAnsi="Times New Roman" w:cs="Arial"/>
          <w:bCs/>
          <w:kern w:val="0"/>
          <w:sz w:val="22"/>
          <w:szCs w:val="22"/>
          <w:lang w:val="en-US"/>
          <w14:ligatures w14:val="none"/>
        </w:rPr>
        <w:t>sourcing</w:t>
      </w:r>
      <w:proofErr w:type="gramEnd"/>
      <w:r w:rsidRPr="00FB5768">
        <w:rPr>
          <w:rFonts w:ascii="Times New Roman" w:eastAsia="Calibri" w:hAnsi="Times New Roman" w:cs="Arial"/>
          <w:bCs/>
          <w:kern w:val="0"/>
          <w:sz w:val="22"/>
          <w:szCs w:val="22"/>
          <w:lang w:val="en-US"/>
          <w14:ligatures w14:val="none"/>
        </w:rPr>
        <w:t xml:space="preserve"> because it provides traceability and a perceived relationship with producers. The other major </w:t>
      </w:r>
      <w:proofErr w:type="gramStart"/>
      <w:r w:rsidRPr="00FB5768">
        <w:rPr>
          <w:rFonts w:ascii="Times New Roman" w:eastAsia="Calibri" w:hAnsi="Times New Roman" w:cs="Arial"/>
          <w:bCs/>
          <w:kern w:val="0"/>
          <w:sz w:val="22"/>
          <w:szCs w:val="22"/>
          <w:lang w:val="en-US"/>
          <w14:ligatures w14:val="none"/>
        </w:rPr>
        <w:t>driver</w:t>
      </w:r>
      <w:proofErr w:type="gramEnd"/>
      <w:r w:rsidRPr="00FB5768">
        <w:rPr>
          <w:rFonts w:ascii="Times New Roman" w:eastAsia="Calibri" w:hAnsi="Times New Roman" w:cs="Arial"/>
          <w:bCs/>
          <w:kern w:val="0"/>
          <w:sz w:val="22"/>
          <w:szCs w:val="22"/>
          <w:lang w:val="en-US"/>
          <w14:ligatures w14:val="none"/>
        </w:rPr>
        <w:t xml:space="preserve"> is sustainability, but there is a mismatch between the attitudes of consumers and their real </w:t>
      </w:r>
      <w:proofErr w:type="spellStart"/>
      <w:r w:rsidRPr="00FB5768">
        <w:rPr>
          <w:rFonts w:ascii="Times New Roman" w:eastAsia="Calibri" w:hAnsi="Times New Roman" w:cs="Arial"/>
          <w:bCs/>
          <w:kern w:val="0"/>
          <w:sz w:val="22"/>
          <w:szCs w:val="22"/>
          <w:lang w:val="en-US"/>
          <w14:ligatures w14:val="none"/>
        </w:rPr>
        <w:t>behaviour</w:t>
      </w:r>
      <w:proofErr w:type="spellEnd"/>
      <w:r w:rsidRPr="00FB5768">
        <w:rPr>
          <w:rFonts w:ascii="Times New Roman" w:eastAsia="Calibri" w:hAnsi="Times New Roman" w:cs="Arial"/>
          <w:bCs/>
          <w:kern w:val="0"/>
          <w:sz w:val="22"/>
          <w:szCs w:val="22"/>
          <w:lang w:val="en-US"/>
          <w14:ligatures w14:val="none"/>
        </w:rPr>
        <w:t>. Although consumers often state that they would prefer purchasing locally produced products, price and convenience are major factors that affect purchase decisions</w:t>
      </w:r>
      <w:r w:rsidRPr="00FB5768">
        <w:rPr>
          <w:rFonts w:ascii="Times New Roman" w:eastAsia="Times New Roman" w:hAnsi="Times New Roman" w:cs="Times New Roman"/>
          <w:kern w:val="0"/>
          <w:lang w:val="en-US"/>
          <w14:ligatures w14:val="none"/>
        </w:rPr>
        <w:t xml:space="preserve"> </w:t>
      </w:r>
      <w:r w:rsidRPr="00FB5768">
        <w:rPr>
          <w:rFonts w:ascii="Times New Roman" w:eastAsia="Calibri" w:hAnsi="Times New Roman" w:cs="Arial"/>
          <w:bCs/>
          <w:kern w:val="0"/>
          <w:sz w:val="22"/>
          <w:szCs w:val="22"/>
          <w:lang w:val="en-US"/>
          <w14:ligatures w14:val="none"/>
        </w:rPr>
        <w:t>(Dudziak et al., 2023). This attitude-</w:t>
      </w:r>
      <w:proofErr w:type="spellStart"/>
      <w:r w:rsidRPr="00FB5768">
        <w:rPr>
          <w:rFonts w:ascii="Times New Roman" w:eastAsia="Calibri" w:hAnsi="Times New Roman" w:cs="Arial"/>
          <w:bCs/>
          <w:kern w:val="0"/>
          <w:sz w:val="22"/>
          <w:szCs w:val="22"/>
          <w:lang w:val="en-US"/>
          <w14:ligatures w14:val="none"/>
        </w:rPr>
        <w:t>behaviour</w:t>
      </w:r>
      <w:proofErr w:type="spellEnd"/>
      <w:r w:rsidRPr="00FB5768">
        <w:rPr>
          <w:rFonts w:ascii="Times New Roman" w:eastAsia="Calibri" w:hAnsi="Times New Roman" w:cs="Arial"/>
          <w:bCs/>
          <w:kern w:val="0"/>
          <w:sz w:val="22"/>
          <w:szCs w:val="22"/>
          <w:lang w:val="en-US"/>
          <w14:ligatures w14:val="none"/>
        </w:rPr>
        <w:t xml:space="preserve"> gap defies the notion that the demand for local produce will always lead to commercial success. Gastronomically, local sourcing facilitates the creation of local culinary identities. Nevertheless, global sourcing is still crucial to various cuisines that are dependent on imported components. Restaurants are thus forced to strike a balance between authenticity and practicality by combining both local and global sourcing models.</w:t>
      </w:r>
    </w:p>
    <w:p w14:paraId="5ACE009E" w14:textId="77777777" w:rsidR="00FB5768" w:rsidRPr="00FB5768" w:rsidRDefault="00FB5768" w:rsidP="00FB5768">
      <w:pPr>
        <w:spacing w:after="200" w:line="480" w:lineRule="auto"/>
        <w:jc w:val="both"/>
        <w:outlineLvl w:val="0"/>
        <w:rPr>
          <w:rFonts w:ascii="Times New Roman" w:eastAsia="Calibri" w:hAnsi="Times New Roman" w:cs="Arial"/>
          <w:b/>
          <w:bCs/>
          <w:kern w:val="0"/>
          <w:sz w:val="22"/>
          <w:szCs w:val="22"/>
          <w:lang w:val="en-US"/>
          <w14:ligatures w14:val="none"/>
        </w:rPr>
      </w:pPr>
      <w:bookmarkStart w:id="13" w:name="_Toc226384035"/>
      <w:r w:rsidRPr="00FB5768">
        <w:rPr>
          <w:rFonts w:ascii="Times New Roman" w:eastAsia="Calibri" w:hAnsi="Times New Roman" w:cs="Arial"/>
          <w:b/>
          <w:bCs/>
          <w:kern w:val="0"/>
          <w:sz w:val="22"/>
          <w:szCs w:val="22"/>
          <w:lang w:val="en-US"/>
          <w14:ligatures w14:val="none"/>
        </w:rPr>
        <w:lastRenderedPageBreak/>
        <w:t>Case Studies: Welsh Restaurants</w:t>
      </w:r>
      <w:bookmarkEnd w:id="13"/>
    </w:p>
    <w:p w14:paraId="2BFA8FDB"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Global Bites is a chain of restaurants located in Europe and has a wide menu that depicts different cuisines around the world. Having branches in various nations, it </w:t>
      </w:r>
      <w:proofErr w:type="gramStart"/>
      <w:r w:rsidRPr="00FB5768">
        <w:rPr>
          <w:rFonts w:ascii="Times New Roman" w:eastAsia="Calibri" w:hAnsi="Times New Roman" w:cs="Arial"/>
          <w:bCs/>
          <w:kern w:val="0"/>
          <w:sz w:val="22"/>
          <w:szCs w:val="22"/>
          <w:lang w:val="en-US"/>
          <w14:ligatures w14:val="none"/>
        </w:rPr>
        <w:t>has to</w:t>
      </w:r>
      <w:proofErr w:type="gramEnd"/>
      <w:r w:rsidRPr="00FB5768">
        <w:rPr>
          <w:rFonts w:ascii="Times New Roman" w:eastAsia="Calibri" w:hAnsi="Times New Roman" w:cs="Arial"/>
          <w:bCs/>
          <w:kern w:val="0"/>
          <w:sz w:val="22"/>
          <w:szCs w:val="22"/>
          <w:lang w:val="en-US"/>
          <w14:ligatures w14:val="none"/>
        </w:rPr>
        <w:t xml:space="preserve"> deal with the issue of authenticity and the inclusion of local and international components, trying to preserve the quality without cost and supply chain risks.</w:t>
      </w:r>
    </w:p>
    <w:p w14:paraId="466D91F6" w14:textId="77777777" w:rsidR="00FB5768" w:rsidRPr="00FB5768" w:rsidRDefault="00FB5768" w:rsidP="00FB5768">
      <w:pPr>
        <w:keepNext/>
        <w:keepLines/>
        <w:widowControl w:val="0"/>
        <w:autoSpaceDE w:val="0"/>
        <w:autoSpaceDN w:val="0"/>
        <w:spacing w:before="40" w:after="0" w:line="480" w:lineRule="auto"/>
        <w:jc w:val="both"/>
        <w:outlineLvl w:val="1"/>
        <w:rPr>
          <w:rFonts w:ascii="Times New Roman" w:eastAsia="Times New Roman" w:hAnsi="Times New Roman" w:cs="Times New Roman"/>
          <w:b/>
          <w:color w:val="000000"/>
          <w:sz w:val="22"/>
          <w:szCs w:val="26"/>
          <w:lang w:val="en-US"/>
        </w:rPr>
      </w:pPr>
      <w:r w:rsidRPr="00FB5768">
        <w:rPr>
          <w:rFonts w:ascii="Times New Roman" w:eastAsia="Times New Roman" w:hAnsi="Times New Roman" w:cs="Times New Roman"/>
          <w:b/>
          <w:color w:val="000000"/>
          <w:sz w:val="22"/>
          <w:szCs w:val="26"/>
          <w:lang w:val="en-US"/>
        </w:rPr>
        <w:t>Link to Kraljic Matrix:</w:t>
      </w:r>
    </w:p>
    <w:p w14:paraId="74855631" w14:textId="77777777" w:rsidR="00FB5768" w:rsidRPr="00FB5768" w:rsidRDefault="00FB5768" w:rsidP="00FB5768">
      <w:pPr>
        <w:numPr>
          <w:ilvl w:val="0"/>
          <w:numId w:val="1"/>
        </w:numPr>
        <w:spacing w:after="200" w:line="480" w:lineRule="auto"/>
        <w:contextualSpacing/>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Strategic Items: Fresh seafood and </w:t>
      </w:r>
      <w:proofErr w:type="spellStart"/>
      <w:r w:rsidRPr="00FB5768">
        <w:rPr>
          <w:rFonts w:ascii="Times New Roman" w:eastAsia="Calibri" w:hAnsi="Times New Roman" w:cs="Arial"/>
          <w:bCs/>
          <w:kern w:val="0"/>
          <w:sz w:val="22"/>
          <w:szCs w:val="22"/>
          <w:lang w:val="en-US"/>
          <w14:ligatures w14:val="none"/>
        </w:rPr>
        <w:t>speciality</w:t>
      </w:r>
      <w:proofErr w:type="spellEnd"/>
      <w:r w:rsidRPr="00FB5768">
        <w:rPr>
          <w:rFonts w:ascii="Times New Roman" w:eastAsia="Calibri" w:hAnsi="Times New Roman" w:cs="Arial"/>
          <w:bCs/>
          <w:kern w:val="0"/>
          <w:sz w:val="22"/>
          <w:szCs w:val="22"/>
          <w:lang w:val="en-US"/>
          <w14:ligatures w14:val="none"/>
        </w:rPr>
        <w:t xml:space="preserve"> meats, which are required in the signature dishes, are procured worldwide to maintain uniformity and authenticity across all locations. As an illustration, fresh Mediterranean fish is obtained through reputable international suppliers </w:t>
      </w:r>
      <w:proofErr w:type="gramStart"/>
      <w:r w:rsidRPr="00FB5768">
        <w:rPr>
          <w:rFonts w:ascii="Times New Roman" w:eastAsia="Calibri" w:hAnsi="Times New Roman" w:cs="Arial"/>
          <w:bCs/>
          <w:kern w:val="0"/>
          <w:sz w:val="22"/>
          <w:szCs w:val="22"/>
          <w:lang w:val="en-US"/>
          <w14:ligatures w14:val="none"/>
        </w:rPr>
        <w:t>in order to</w:t>
      </w:r>
      <w:proofErr w:type="gramEnd"/>
      <w:r w:rsidRPr="00FB5768">
        <w:rPr>
          <w:rFonts w:ascii="Times New Roman" w:eastAsia="Calibri" w:hAnsi="Times New Roman" w:cs="Arial"/>
          <w:bCs/>
          <w:kern w:val="0"/>
          <w:sz w:val="22"/>
          <w:szCs w:val="22"/>
          <w:lang w:val="en-US"/>
          <w14:ligatures w14:val="none"/>
        </w:rPr>
        <w:t xml:space="preserve"> ensure high standards.</w:t>
      </w:r>
    </w:p>
    <w:p w14:paraId="3A488F1C" w14:textId="77777777" w:rsidR="00FB5768" w:rsidRPr="00FB5768" w:rsidRDefault="00FB5768" w:rsidP="00FB5768">
      <w:pPr>
        <w:numPr>
          <w:ilvl w:val="0"/>
          <w:numId w:val="1"/>
        </w:numPr>
        <w:spacing w:after="200" w:line="480" w:lineRule="auto"/>
        <w:contextualSpacing/>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Leverage Items: Rice and olive oil are common items that are bought in large quantities by global suppliers, and since they are important yet not unique to certain dishes, this leads to lower costs due to economies of scale.</w:t>
      </w:r>
    </w:p>
    <w:p w14:paraId="0CA70203" w14:textId="77777777" w:rsidR="00FB5768" w:rsidRPr="00FB5768" w:rsidRDefault="00FB5768" w:rsidP="00FB5768">
      <w:pPr>
        <w:numPr>
          <w:ilvl w:val="0"/>
          <w:numId w:val="1"/>
        </w:numPr>
        <w:spacing w:after="200" w:line="480" w:lineRule="auto"/>
        <w:contextualSpacing/>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Bottleneck Items: Seasonal vegetables, which are essential to some of the dishes, are locally obtained. This, however, poses a threat because they are not available in large numbers. To reduce the risk of this, Global Bites will enter into an agreement with various local farms, whereby it will get a steady supply.</w:t>
      </w:r>
    </w:p>
    <w:p w14:paraId="7E04E296" w14:textId="77777777" w:rsidR="00FB5768" w:rsidRPr="00FB5768" w:rsidRDefault="00FB5768" w:rsidP="00FB5768">
      <w:pPr>
        <w:numPr>
          <w:ilvl w:val="0"/>
          <w:numId w:val="1"/>
        </w:numPr>
        <w:spacing w:after="200" w:line="480" w:lineRule="auto"/>
        <w:contextualSpacing/>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Non-Critical Items: basic condiments and packaging are sourced worldwide </w:t>
      </w:r>
      <w:proofErr w:type="gramStart"/>
      <w:r w:rsidRPr="00FB5768">
        <w:rPr>
          <w:rFonts w:ascii="Times New Roman" w:eastAsia="Calibri" w:hAnsi="Times New Roman" w:cs="Arial"/>
          <w:bCs/>
          <w:kern w:val="0"/>
          <w:sz w:val="22"/>
          <w:szCs w:val="22"/>
          <w:lang w:val="en-US"/>
          <w14:ligatures w14:val="none"/>
        </w:rPr>
        <w:t>in order to</w:t>
      </w:r>
      <w:proofErr w:type="gramEnd"/>
      <w:r w:rsidRPr="00FB5768">
        <w:rPr>
          <w:rFonts w:ascii="Times New Roman" w:eastAsia="Calibri" w:hAnsi="Times New Roman" w:cs="Arial"/>
          <w:bCs/>
          <w:kern w:val="0"/>
          <w:sz w:val="22"/>
          <w:szCs w:val="22"/>
          <w:lang w:val="en-US"/>
          <w14:ligatures w14:val="none"/>
        </w:rPr>
        <w:t xml:space="preserve"> be cost-effective and available.</w:t>
      </w:r>
    </w:p>
    <w:p w14:paraId="1C7588DC"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Using the Kraljic Matrix, Global Bites will be able to balance costs, quality, and supply risk by strategically managing sourcing decisions.</w:t>
      </w:r>
    </w:p>
    <w:p w14:paraId="641016D8" w14:textId="77777777" w:rsidR="00FB5768" w:rsidRPr="00FB5768" w:rsidRDefault="00FB5768" w:rsidP="00FB5768">
      <w:pPr>
        <w:spacing w:after="200" w:line="480" w:lineRule="auto"/>
        <w:jc w:val="center"/>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noProof/>
          <w:kern w:val="0"/>
          <w:sz w:val="22"/>
          <w:szCs w:val="22"/>
          <w:lang w:val="en-US"/>
          <w14:ligatures w14:val="none"/>
        </w:rPr>
        <w:lastRenderedPageBreak/>
        <w:drawing>
          <wp:inline distT="0" distB="0" distL="0" distR="0" wp14:anchorId="0F9DF7F9" wp14:editId="3A3EB38B">
            <wp:extent cx="3032760" cy="33909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2760" cy="3390900"/>
                    </a:xfrm>
                    <a:prstGeom prst="rect">
                      <a:avLst/>
                    </a:prstGeom>
                    <a:noFill/>
                    <a:ln>
                      <a:noFill/>
                    </a:ln>
                  </pic:spPr>
                </pic:pic>
              </a:graphicData>
            </a:graphic>
          </wp:inline>
        </w:drawing>
      </w:r>
    </w:p>
    <w:p w14:paraId="58493BC7" w14:textId="77777777" w:rsidR="00FB5768" w:rsidRPr="00FB5768" w:rsidRDefault="00FB5768" w:rsidP="00FB5768">
      <w:pPr>
        <w:spacing w:after="200" w:line="480" w:lineRule="auto"/>
        <w:jc w:val="both"/>
        <w:outlineLvl w:val="0"/>
        <w:rPr>
          <w:rFonts w:ascii="Times New Roman" w:eastAsia="Calibri" w:hAnsi="Times New Roman" w:cs="Arial"/>
          <w:b/>
          <w:bCs/>
          <w:kern w:val="0"/>
          <w:sz w:val="22"/>
          <w:szCs w:val="22"/>
          <w:lang w:val="en-US"/>
          <w14:ligatures w14:val="none"/>
        </w:rPr>
      </w:pPr>
      <w:bookmarkStart w:id="14" w:name="_Toc226384036"/>
      <w:r w:rsidRPr="00FB5768">
        <w:rPr>
          <w:rFonts w:ascii="Times New Roman" w:eastAsia="Calibri" w:hAnsi="Times New Roman" w:cs="Arial"/>
          <w:b/>
          <w:bCs/>
          <w:kern w:val="0"/>
          <w:sz w:val="22"/>
          <w:szCs w:val="22"/>
          <w:lang w:val="en-US"/>
          <w14:ligatures w14:val="none"/>
        </w:rPr>
        <w:t>Conclusion</w:t>
      </w:r>
      <w:bookmarkEnd w:id="14"/>
      <w:r w:rsidRPr="00FB5768">
        <w:rPr>
          <w:rFonts w:ascii="Times New Roman" w:eastAsia="Calibri" w:hAnsi="Times New Roman" w:cs="Arial"/>
          <w:b/>
          <w:bCs/>
          <w:kern w:val="0"/>
          <w:sz w:val="22"/>
          <w:szCs w:val="22"/>
          <w:lang w:val="en-US"/>
          <w14:ligatures w14:val="none"/>
        </w:rPr>
        <w:t xml:space="preserve"> </w:t>
      </w:r>
    </w:p>
    <w:p w14:paraId="0C871CEF"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Local sourcing has explicit benefits in the areas of freshness, traceability, and a boost to local economies, as well as responding to the modern consumer culture of sustainability and provenance. Nevertheless, its advantages are often exaggerated, especially when considered based on the food miles alone. This essay has indicated that the results of sustainability are more based on the production processes rather than the geographical proximity and that the local sourcing has much to offer in terms of cost, consistency and availability. Therefore, the local sourcing is not practical or universally sustainable. A better solution will be to combine local and global sourcing strategies so that the businesses can balance environmental responsibility and economic viability with product quality. Finally, the discussion ought to be directed towards sustainable versus unsustainable sourcing rather than the concept of local versus global.</w:t>
      </w:r>
    </w:p>
    <w:p w14:paraId="366DB5EC" w14:textId="77777777" w:rsidR="00FB5768" w:rsidRPr="00FB5768" w:rsidRDefault="00FB5768" w:rsidP="00FB5768">
      <w:pPr>
        <w:spacing w:after="200" w:line="480" w:lineRule="auto"/>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br w:type="page"/>
      </w:r>
    </w:p>
    <w:p w14:paraId="29E8E1F2" w14:textId="77777777" w:rsidR="00FB5768" w:rsidRPr="00FB5768" w:rsidRDefault="00FB5768" w:rsidP="00FB5768">
      <w:pPr>
        <w:spacing w:after="200" w:line="480" w:lineRule="auto"/>
        <w:jc w:val="both"/>
        <w:outlineLvl w:val="0"/>
        <w:rPr>
          <w:rFonts w:ascii="Times New Roman" w:eastAsia="Calibri" w:hAnsi="Times New Roman" w:cs="Arial"/>
          <w:b/>
          <w:bCs/>
          <w:kern w:val="0"/>
          <w:sz w:val="22"/>
          <w:szCs w:val="22"/>
          <w:lang w:val="en-US"/>
          <w14:ligatures w14:val="none"/>
        </w:rPr>
      </w:pPr>
      <w:bookmarkStart w:id="15" w:name="_Toc226384037"/>
      <w:r w:rsidRPr="00FB5768">
        <w:rPr>
          <w:rFonts w:ascii="Times New Roman" w:eastAsia="Calibri" w:hAnsi="Times New Roman" w:cs="Arial"/>
          <w:b/>
          <w:bCs/>
          <w:kern w:val="0"/>
          <w:sz w:val="22"/>
          <w:szCs w:val="22"/>
          <w:lang w:val="en-US"/>
          <w14:ligatures w14:val="none"/>
        </w:rPr>
        <w:lastRenderedPageBreak/>
        <w:t>References</w:t>
      </w:r>
      <w:bookmarkEnd w:id="15"/>
    </w:p>
    <w:p w14:paraId="6630D821"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proofErr w:type="spellStart"/>
      <w:r w:rsidRPr="00FB5768">
        <w:rPr>
          <w:rFonts w:ascii="Times New Roman" w:eastAsia="Calibri" w:hAnsi="Times New Roman" w:cs="Arial"/>
          <w:bCs/>
          <w:kern w:val="0"/>
          <w:sz w:val="22"/>
          <w:szCs w:val="22"/>
          <w:lang w:val="en-US"/>
          <w14:ligatures w14:val="none"/>
        </w:rPr>
        <w:t>Cárceles</w:t>
      </w:r>
      <w:proofErr w:type="spellEnd"/>
      <w:r w:rsidRPr="00FB5768">
        <w:rPr>
          <w:rFonts w:ascii="Times New Roman" w:eastAsia="Calibri" w:hAnsi="Times New Roman" w:cs="Arial"/>
          <w:bCs/>
          <w:kern w:val="0"/>
          <w:sz w:val="22"/>
          <w:szCs w:val="22"/>
          <w:lang w:val="en-US"/>
          <w14:ligatures w14:val="none"/>
        </w:rPr>
        <w:t xml:space="preserve"> Rodríguez, B., Durán-Zuazo, V.H., Soriano Rodríguez, M., García-Tejero, I.F., Gálvez Ruiz, B. and Cuadros Tavira, S., 2022. Conservation Agriculture as a Sustainable System for Soil Health: A Review. </w:t>
      </w:r>
      <w:r w:rsidRPr="00FB5768">
        <w:rPr>
          <w:rFonts w:ascii="Times New Roman" w:eastAsia="Calibri" w:hAnsi="Times New Roman" w:cs="Arial"/>
          <w:bCs/>
          <w:i/>
          <w:iCs/>
          <w:kern w:val="0"/>
          <w:sz w:val="22"/>
          <w:szCs w:val="22"/>
          <w:lang w:val="en-US"/>
          <w14:ligatures w14:val="none"/>
        </w:rPr>
        <w:t>Soil Systems</w:t>
      </w:r>
      <w:r w:rsidRPr="00FB5768">
        <w:rPr>
          <w:rFonts w:ascii="Times New Roman" w:eastAsia="Calibri" w:hAnsi="Times New Roman" w:cs="Arial"/>
          <w:bCs/>
          <w:kern w:val="0"/>
          <w:sz w:val="22"/>
          <w:szCs w:val="22"/>
          <w:lang w:val="en-US"/>
          <w14:ligatures w14:val="none"/>
        </w:rPr>
        <w:t xml:space="preserve">, [online] 6(4), p.87. </w:t>
      </w:r>
      <w:hyperlink r:id="rId9" w:history="1">
        <w:r w:rsidRPr="00FB5768">
          <w:rPr>
            <w:rFonts w:ascii="Times New Roman" w:eastAsia="Calibri" w:hAnsi="Times New Roman" w:cs="Arial"/>
            <w:bCs/>
            <w:color w:val="0563C1"/>
            <w:kern w:val="0"/>
            <w:sz w:val="22"/>
            <w:szCs w:val="22"/>
            <w:u w:val="single"/>
            <w:lang w:val="en-US"/>
            <w14:ligatures w14:val="none"/>
          </w:rPr>
          <w:t>https://doi.org/10.3390/soilsystems6040087</w:t>
        </w:r>
      </w:hyperlink>
      <w:r w:rsidRPr="00FB5768">
        <w:rPr>
          <w:rFonts w:ascii="Times New Roman" w:eastAsia="Calibri" w:hAnsi="Times New Roman" w:cs="Arial"/>
          <w:bCs/>
          <w:kern w:val="0"/>
          <w:sz w:val="22"/>
          <w:szCs w:val="22"/>
          <w:lang w:val="en-US"/>
          <w14:ligatures w14:val="none"/>
        </w:rPr>
        <w:t xml:space="preserve">. </w:t>
      </w:r>
    </w:p>
    <w:p w14:paraId="7AE0544F"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Dudziak, A., Stoma, M. and </w:t>
      </w:r>
      <w:proofErr w:type="spellStart"/>
      <w:r w:rsidRPr="00FB5768">
        <w:rPr>
          <w:rFonts w:ascii="Times New Roman" w:eastAsia="Calibri" w:hAnsi="Times New Roman" w:cs="Arial"/>
          <w:bCs/>
          <w:kern w:val="0"/>
          <w:sz w:val="22"/>
          <w:szCs w:val="22"/>
          <w:lang w:val="en-US"/>
          <w14:ligatures w14:val="none"/>
        </w:rPr>
        <w:t>Osmólska</w:t>
      </w:r>
      <w:proofErr w:type="spellEnd"/>
      <w:r w:rsidRPr="00FB5768">
        <w:rPr>
          <w:rFonts w:ascii="Times New Roman" w:eastAsia="Calibri" w:hAnsi="Times New Roman" w:cs="Arial"/>
          <w:bCs/>
          <w:kern w:val="0"/>
          <w:sz w:val="22"/>
          <w:szCs w:val="22"/>
          <w:lang w:val="en-US"/>
          <w14:ligatures w14:val="none"/>
        </w:rPr>
        <w:t xml:space="preserve">, E., 2023. Analysis of Consumer </w:t>
      </w:r>
      <w:proofErr w:type="spellStart"/>
      <w:r w:rsidRPr="00FB5768">
        <w:rPr>
          <w:rFonts w:ascii="Times New Roman" w:eastAsia="Calibri" w:hAnsi="Times New Roman" w:cs="Arial"/>
          <w:bCs/>
          <w:kern w:val="0"/>
          <w:sz w:val="22"/>
          <w:szCs w:val="22"/>
          <w:lang w:val="en-US"/>
          <w14:ligatures w14:val="none"/>
        </w:rPr>
        <w:t>Behaviour</w:t>
      </w:r>
      <w:proofErr w:type="spellEnd"/>
      <w:r w:rsidRPr="00FB5768">
        <w:rPr>
          <w:rFonts w:ascii="Times New Roman" w:eastAsia="Calibri" w:hAnsi="Times New Roman" w:cs="Arial"/>
          <w:bCs/>
          <w:kern w:val="0"/>
          <w:sz w:val="22"/>
          <w:szCs w:val="22"/>
          <w:lang w:val="en-US"/>
          <w14:ligatures w14:val="none"/>
        </w:rPr>
        <w:t xml:space="preserve"> in the Context of the Place of Purchasing Food Products with Particular Emphasis on Local Products. </w:t>
      </w:r>
      <w:r w:rsidRPr="00FB5768">
        <w:rPr>
          <w:rFonts w:ascii="Times New Roman" w:eastAsia="Calibri" w:hAnsi="Times New Roman" w:cs="Arial"/>
          <w:bCs/>
          <w:i/>
          <w:iCs/>
          <w:kern w:val="0"/>
          <w:sz w:val="22"/>
          <w:szCs w:val="22"/>
          <w:lang w:val="en-US"/>
          <w14:ligatures w14:val="none"/>
        </w:rPr>
        <w:t>International Journal of Environmental Research and Public Health</w:t>
      </w:r>
      <w:r w:rsidRPr="00FB5768">
        <w:rPr>
          <w:rFonts w:ascii="Times New Roman" w:eastAsia="Calibri" w:hAnsi="Times New Roman" w:cs="Arial"/>
          <w:bCs/>
          <w:kern w:val="0"/>
          <w:sz w:val="22"/>
          <w:szCs w:val="22"/>
          <w:lang w:val="en-US"/>
          <w14:ligatures w14:val="none"/>
        </w:rPr>
        <w:t xml:space="preserve">, [online] 20(3), p.2413. </w:t>
      </w:r>
      <w:hyperlink r:id="rId10" w:history="1">
        <w:r w:rsidRPr="00FB5768">
          <w:rPr>
            <w:rFonts w:ascii="Times New Roman" w:eastAsia="Calibri" w:hAnsi="Times New Roman" w:cs="Arial"/>
            <w:bCs/>
            <w:color w:val="0563C1"/>
            <w:kern w:val="0"/>
            <w:sz w:val="22"/>
            <w:szCs w:val="22"/>
            <w:u w:val="single"/>
            <w:lang w:val="en-US"/>
            <w14:ligatures w14:val="none"/>
          </w:rPr>
          <w:t>https://doi.org/10.3390/ijerph20032413</w:t>
        </w:r>
      </w:hyperlink>
      <w:r w:rsidRPr="00FB5768">
        <w:rPr>
          <w:rFonts w:ascii="Times New Roman" w:eastAsia="Calibri" w:hAnsi="Times New Roman" w:cs="Arial"/>
          <w:bCs/>
          <w:kern w:val="0"/>
          <w:sz w:val="22"/>
          <w:szCs w:val="22"/>
          <w:lang w:val="en-US"/>
          <w14:ligatures w14:val="none"/>
        </w:rPr>
        <w:t xml:space="preserve">. </w:t>
      </w:r>
    </w:p>
    <w:p w14:paraId="0B0F513D"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Essien, A., </w:t>
      </w:r>
      <w:proofErr w:type="spellStart"/>
      <w:r w:rsidRPr="00FB5768">
        <w:rPr>
          <w:rFonts w:ascii="Times New Roman" w:eastAsia="Calibri" w:hAnsi="Times New Roman" w:cs="Arial"/>
          <w:bCs/>
          <w:kern w:val="0"/>
          <w:sz w:val="22"/>
          <w:szCs w:val="22"/>
          <w:lang w:val="en-US"/>
          <w14:ligatures w14:val="none"/>
        </w:rPr>
        <w:t>Chukwukelu</w:t>
      </w:r>
      <w:proofErr w:type="spellEnd"/>
      <w:r w:rsidRPr="00FB5768">
        <w:rPr>
          <w:rFonts w:ascii="Times New Roman" w:eastAsia="Calibri" w:hAnsi="Times New Roman" w:cs="Arial"/>
          <w:bCs/>
          <w:kern w:val="0"/>
          <w:sz w:val="22"/>
          <w:szCs w:val="22"/>
          <w:lang w:val="en-US"/>
          <w14:ligatures w14:val="none"/>
        </w:rPr>
        <w:t>, G., Kazantsev, N. and Subramanian, N., 2023. Unveiling the factors influencing transparency and traceability in agri-food supply chains: an interconnected framework. </w:t>
      </w:r>
      <w:r w:rsidRPr="00FB5768">
        <w:rPr>
          <w:rFonts w:ascii="Times New Roman" w:eastAsia="Calibri" w:hAnsi="Times New Roman" w:cs="Arial"/>
          <w:bCs/>
          <w:i/>
          <w:iCs/>
          <w:kern w:val="0"/>
          <w:sz w:val="22"/>
          <w:szCs w:val="22"/>
          <w:lang w:val="en-US"/>
          <w14:ligatures w14:val="none"/>
        </w:rPr>
        <w:t>Supply Chain Management</w:t>
      </w:r>
      <w:r w:rsidRPr="00FB5768">
        <w:rPr>
          <w:rFonts w:ascii="Times New Roman" w:eastAsia="Calibri" w:hAnsi="Times New Roman" w:cs="Arial"/>
          <w:bCs/>
          <w:kern w:val="0"/>
          <w:sz w:val="22"/>
          <w:szCs w:val="22"/>
          <w:lang w:val="en-US"/>
          <w14:ligatures w14:val="none"/>
        </w:rPr>
        <w:t xml:space="preserve">. </w:t>
      </w:r>
      <w:hyperlink r:id="rId11" w:history="1">
        <w:r w:rsidRPr="00FB5768">
          <w:rPr>
            <w:rFonts w:ascii="Times New Roman" w:eastAsia="Calibri" w:hAnsi="Times New Roman" w:cs="Arial"/>
            <w:bCs/>
            <w:color w:val="0563C1"/>
            <w:kern w:val="0"/>
            <w:sz w:val="22"/>
            <w:szCs w:val="22"/>
            <w:u w:val="single"/>
            <w:lang w:val="en-US"/>
            <w14:ligatures w14:val="none"/>
          </w:rPr>
          <w:t>https://doi.org/10.1108/scm-02-2023-0083</w:t>
        </w:r>
      </w:hyperlink>
      <w:r w:rsidRPr="00FB5768">
        <w:rPr>
          <w:rFonts w:ascii="Times New Roman" w:eastAsia="Calibri" w:hAnsi="Times New Roman" w:cs="Arial"/>
          <w:bCs/>
          <w:kern w:val="0"/>
          <w:sz w:val="22"/>
          <w:szCs w:val="22"/>
          <w:lang w:val="en-US"/>
          <w14:ligatures w14:val="none"/>
        </w:rPr>
        <w:t xml:space="preserve">. </w:t>
      </w:r>
    </w:p>
    <w:p w14:paraId="65AC526C"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proofErr w:type="spellStart"/>
      <w:r w:rsidRPr="00FB5768">
        <w:rPr>
          <w:rFonts w:ascii="Times New Roman" w:eastAsia="Calibri" w:hAnsi="Times New Roman" w:cs="Arial"/>
          <w:bCs/>
          <w:kern w:val="0"/>
          <w:sz w:val="22"/>
          <w:szCs w:val="22"/>
          <w:lang w:val="en-US"/>
          <w14:ligatures w14:val="none"/>
        </w:rPr>
        <w:t>Fatorachian</w:t>
      </w:r>
      <w:proofErr w:type="spellEnd"/>
      <w:r w:rsidRPr="00FB5768">
        <w:rPr>
          <w:rFonts w:ascii="Times New Roman" w:eastAsia="Calibri" w:hAnsi="Times New Roman" w:cs="Arial"/>
          <w:bCs/>
          <w:kern w:val="0"/>
          <w:sz w:val="22"/>
          <w:szCs w:val="22"/>
          <w:lang w:val="en-US"/>
          <w14:ligatures w14:val="none"/>
        </w:rPr>
        <w:t>, H., Kazemi, H. and Pawar, K., 2025. Digital Technologies in Food Supply Chain Waste Management: A Case Study on Sustainable Practices in Smart Cities. </w:t>
      </w:r>
      <w:r w:rsidRPr="00FB5768">
        <w:rPr>
          <w:rFonts w:ascii="Times New Roman" w:eastAsia="Calibri" w:hAnsi="Times New Roman" w:cs="Arial"/>
          <w:bCs/>
          <w:i/>
          <w:iCs/>
          <w:kern w:val="0"/>
          <w:sz w:val="22"/>
          <w:szCs w:val="22"/>
          <w:lang w:val="en-US"/>
          <w14:ligatures w14:val="none"/>
        </w:rPr>
        <w:t>Sustainability</w:t>
      </w:r>
      <w:r w:rsidRPr="00FB5768">
        <w:rPr>
          <w:rFonts w:ascii="Times New Roman" w:eastAsia="Calibri" w:hAnsi="Times New Roman" w:cs="Arial"/>
          <w:bCs/>
          <w:kern w:val="0"/>
          <w:sz w:val="22"/>
          <w:szCs w:val="22"/>
          <w:lang w:val="en-US"/>
          <w14:ligatures w14:val="none"/>
        </w:rPr>
        <w:t xml:space="preserve">, [online] 17(5), p.1996. </w:t>
      </w:r>
      <w:hyperlink r:id="rId12" w:history="1">
        <w:r w:rsidRPr="00FB5768">
          <w:rPr>
            <w:rFonts w:ascii="Times New Roman" w:eastAsia="Calibri" w:hAnsi="Times New Roman" w:cs="Arial"/>
            <w:bCs/>
            <w:color w:val="0563C1"/>
            <w:kern w:val="0"/>
            <w:sz w:val="22"/>
            <w:szCs w:val="22"/>
            <w:u w:val="single"/>
            <w:lang w:val="en-US"/>
            <w14:ligatures w14:val="none"/>
          </w:rPr>
          <w:t>https://doi.org/10.3390/su17051996</w:t>
        </w:r>
      </w:hyperlink>
      <w:r w:rsidRPr="00FB5768">
        <w:rPr>
          <w:rFonts w:ascii="Times New Roman" w:eastAsia="Calibri" w:hAnsi="Times New Roman" w:cs="Arial"/>
          <w:bCs/>
          <w:kern w:val="0"/>
          <w:sz w:val="22"/>
          <w:szCs w:val="22"/>
          <w:lang w:val="en-US"/>
          <w14:ligatures w14:val="none"/>
        </w:rPr>
        <w:t xml:space="preserve">. </w:t>
      </w:r>
    </w:p>
    <w:p w14:paraId="1EE2DB18"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Isabel, E., Bergey, P. and Smith, B., 2024. Blockchain technology for supply chain provenance: increasing supply chain efficiency and consumer trust. </w:t>
      </w:r>
      <w:r w:rsidRPr="00FB5768">
        <w:rPr>
          <w:rFonts w:ascii="Times New Roman" w:eastAsia="Calibri" w:hAnsi="Times New Roman" w:cs="Arial"/>
          <w:bCs/>
          <w:i/>
          <w:iCs/>
          <w:kern w:val="0"/>
          <w:sz w:val="22"/>
          <w:szCs w:val="22"/>
          <w:lang w:val="en-US"/>
          <w14:ligatures w14:val="none"/>
        </w:rPr>
        <w:t>Supply Chain Management</w:t>
      </w:r>
      <w:r w:rsidRPr="00FB5768">
        <w:rPr>
          <w:rFonts w:ascii="Times New Roman" w:eastAsia="Calibri" w:hAnsi="Times New Roman" w:cs="Arial"/>
          <w:bCs/>
          <w:kern w:val="0"/>
          <w:sz w:val="22"/>
          <w:szCs w:val="22"/>
          <w:lang w:val="en-US"/>
          <w14:ligatures w14:val="none"/>
        </w:rPr>
        <w:t xml:space="preserve">, 29(4). </w:t>
      </w:r>
      <w:hyperlink r:id="rId13" w:history="1">
        <w:r w:rsidRPr="00FB5768">
          <w:rPr>
            <w:rFonts w:ascii="Times New Roman" w:eastAsia="Calibri" w:hAnsi="Times New Roman" w:cs="Arial"/>
            <w:bCs/>
            <w:color w:val="0563C1"/>
            <w:kern w:val="0"/>
            <w:sz w:val="22"/>
            <w:szCs w:val="22"/>
            <w:u w:val="single"/>
            <w:lang w:val="en-US"/>
            <w14:ligatures w14:val="none"/>
          </w:rPr>
          <w:t>https://doi.org/10.1108/scm-08-2023-0383</w:t>
        </w:r>
      </w:hyperlink>
      <w:r w:rsidRPr="00FB5768">
        <w:rPr>
          <w:rFonts w:ascii="Times New Roman" w:eastAsia="Calibri" w:hAnsi="Times New Roman" w:cs="Arial"/>
          <w:bCs/>
          <w:kern w:val="0"/>
          <w:sz w:val="22"/>
          <w:szCs w:val="22"/>
          <w:lang w:val="en-US"/>
          <w14:ligatures w14:val="none"/>
        </w:rPr>
        <w:t xml:space="preserve">. </w:t>
      </w:r>
    </w:p>
    <w:p w14:paraId="7FFBE3BC"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proofErr w:type="spellStart"/>
      <w:r w:rsidRPr="00FB5768">
        <w:rPr>
          <w:rFonts w:ascii="Times New Roman" w:eastAsia="Calibri" w:hAnsi="Times New Roman" w:cs="Arial"/>
          <w:bCs/>
          <w:kern w:val="0"/>
          <w:sz w:val="22"/>
          <w:szCs w:val="22"/>
          <w:lang w:val="en-US"/>
          <w14:ligatures w14:val="none"/>
        </w:rPr>
        <w:t>Kanosvamhira</w:t>
      </w:r>
      <w:proofErr w:type="spellEnd"/>
      <w:r w:rsidRPr="00FB5768">
        <w:rPr>
          <w:rFonts w:ascii="Times New Roman" w:eastAsia="Calibri" w:hAnsi="Times New Roman" w:cs="Arial"/>
          <w:bCs/>
          <w:kern w:val="0"/>
          <w:sz w:val="22"/>
          <w:szCs w:val="22"/>
          <w:lang w:val="en-US"/>
          <w14:ligatures w14:val="none"/>
        </w:rPr>
        <w:t>, T.P. and Tevera, D., 2024. Unveiling quiet activism: Urban community gardens as agents of food sovereignty. </w:t>
      </w:r>
      <w:r w:rsidRPr="00FB5768">
        <w:rPr>
          <w:rFonts w:ascii="Times New Roman" w:eastAsia="Calibri" w:hAnsi="Times New Roman" w:cs="Arial"/>
          <w:bCs/>
          <w:i/>
          <w:iCs/>
          <w:kern w:val="0"/>
          <w:sz w:val="22"/>
          <w:szCs w:val="22"/>
          <w:lang w:val="en-US"/>
          <w14:ligatures w14:val="none"/>
        </w:rPr>
        <w:t>Geographical Research</w:t>
      </w:r>
      <w:r w:rsidRPr="00FB5768">
        <w:rPr>
          <w:rFonts w:ascii="Times New Roman" w:eastAsia="Calibri" w:hAnsi="Times New Roman" w:cs="Arial"/>
          <w:bCs/>
          <w:kern w:val="0"/>
          <w:sz w:val="22"/>
          <w:szCs w:val="22"/>
          <w:lang w:val="en-US"/>
          <w14:ligatures w14:val="none"/>
        </w:rPr>
        <w:t xml:space="preserve">. </w:t>
      </w:r>
      <w:hyperlink r:id="rId14" w:history="1">
        <w:r w:rsidRPr="00FB5768">
          <w:rPr>
            <w:rFonts w:ascii="Times New Roman" w:eastAsia="Calibri" w:hAnsi="Times New Roman" w:cs="Arial"/>
            <w:bCs/>
            <w:color w:val="0563C1"/>
            <w:kern w:val="0"/>
            <w:sz w:val="22"/>
            <w:szCs w:val="22"/>
            <w:u w:val="single"/>
            <w:lang w:val="en-US"/>
            <w14:ligatures w14:val="none"/>
          </w:rPr>
          <w:t>https://doi.org/10.1111/1745-5871.12661</w:t>
        </w:r>
      </w:hyperlink>
      <w:r w:rsidRPr="00FB5768">
        <w:rPr>
          <w:rFonts w:ascii="Times New Roman" w:eastAsia="Calibri" w:hAnsi="Times New Roman" w:cs="Arial"/>
          <w:bCs/>
          <w:kern w:val="0"/>
          <w:sz w:val="22"/>
          <w:szCs w:val="22"/>
          <w:lang w:val="en-US"/>
          <w14:ligatures w14:val="none"/>
        </w:rPr>
        <w:t xml:space="preserve">. </w:t>
      </w:r>
    </w:p>
    <w:p w14:paraId="7D5C9017"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 xml:space="preserve">Li, M., Jia, N., Lenzen, M., Malik, A., Wei, L., Jin, Y. and </w:t>
      </w:r>
      <w:proofErr w:type="spellStart"/>
      <w:r w:rsidRPr="00FB5768">
        <w:rPr>
          <w:rFonts w:ascii="Times New Roman" w:eastAsia="Calibri" w:hAnsi="Times New Roman" w:cs="Arial"/>
          <w:bCs/>
          <w:kern w:val="0"/>
          <w:sz w:val="22"/>
          <w:szCs w:val="22"/>
          <w:lang w:val="en-US"/>
          <w14:ligatures w14:val="none"/>
        </w:rPr>
        <w:t>Raubenheimer</w:t>
      </w:r>
      <w:proofErr w:type="spellEnd"/>
      <w:r w:rsidRPr="00FB5768">
        <w:rPr>
          <w:rFonts w:ascii="Times New Roman" w:eastAsia="Calibri" w:hAnsi="Times New Roman" w:cs="Arial"/>
          <w:bCs/>
          <w:kern w:val="0"/>
          <w:sz w:val="22"/>
          <w:szCs w:val="22"/>
          <w:lang w:val="en-US"/>
          <w14:ligatures w14:val="none"/>
        </w:rPr>
        <w:t xml:space="preserve">, D., 2022. Global </w:t>
      </w:r>
      <w:proofErr w:type="gramStart"/>
      <w:r w:rsidRPr="00FB5768">
        <w:rPr>
          <w:rFonts w:ascii="Times New Roman" w:eastAsia="Calibri" w:hAnsi="Times New Roman" w:cs="Arial"/>
          <w:bCs/>
          <w:kern w:val="0"/>
          <w:sz w:val="22"/>
          <w:szCs w:val="22"/>
          <w:lang w:val="en-US"/>
          <w14:ligatures w14:val="none"/>
        </w:rPr>
        <w:t>food-miles</w:t>
      </w:r>
      <w:proofErr w:type="gramEnd"/>
      <w:r w:rsidRPr="00FB5768">
        <w:rPr>
          <w:rFonts w:ascii="Times New Roman" w:eastAsia="Calibri" w:hAnsi="Times New Roman" w:cs="Arial"/>
          <w:bCs/>
          <w:kern w:val="0"/>
          <w:sz w:val="22"/>
          <w:szCs w:val="22"/>
          <w:lang w:val="en-US"/>
          <w14:ligatures w14:val="none"/>
        </w:rPr>
        <w:t xml:space="preserve"> account for nearly 20% of total </w:t>
      </w:r>
      <w:proofErr w:type="gramStart"/>
      <w:r w:rsidRPr="00FB5768">
        <w:rPr>
          <w:rFonts w:ascii="Times New Roman" w:eastAsia="Calibri" w:hAnsi="Times New Roman" w:cs="Arial"/>
          <w:bCs/>
          <w:kern w:val="0"/>
          <w:sz w:val="22"/>
          <w:szCs w:val="22"/>
          <w:lang w:val="en-US"/>
          <w14:ligatures w14:val="none"/>
        </w:rPr>
        <w:t>food-systems emissions</w:t>
      </w:r>
      <w:proofErr w:type="gramEnd"/>
      <w:r w:rsidRPr="00FB5768">
        <w:rPr>
          <w:rFonts w:ascii="Times New Roman" w:eastAsia="Calibri" w:hAnsi="Times New Roman" w:cs="Arial"/>
          <w:bCs/>
          <w:kern w:val="0"/>
          <w:sz w:val="22"/>
          <w:szCs w:val="22"/>
          <w:lang w:val="en-US"/>
          <w14:ligatures w14:val="none"/>
        </w:rPr>
        <w:t>. </w:t>
      </w:r>
      <w:r w:rsidRPr="00FB5768">
        <w:rPr>
          <w:rFonts w:ascii="Times New Roman" w:eastAsia="Calibri" w:hAnsi="Times New Roman" w:cs="Arial"/>
          <w:bCs/>
          <w:i/>
          <w:iCs/>
          <w:kern w:val="0"/>
          <w:sz w:val="22"/>
          <w:szCs w:val="22"/>
          <w:lang w:val="en-US"/>
          <w14:ligatures w14:val="none"/>
        </w:rPr>
        <w:t>Nature Food</w:t>
      </w:r>
      <w:r w:rsidRPr="00FB5768">
        <w:rPr>
          <w:rFonts w:ascii="Times New Roman" w:eastAsia="Calibri" w:hAnsi="Times New Roman" w:cs="Arial"/>
          <w:bCs/>
          <w:kern w:val="0"/>
          <w:sz w:val="22"/>
          <w:szCs w:val="22"/>
          <w:lang w:val="en-US"/>
          <w14:ligatures w14:val="none"/>
        </w:rPr>
        <w:t xml:space="preserve">, [online] 3(6), pp.445–453. </w:t>
      </w:r>
      <w:hyperlink r:id="rId15" w:history="1">
        <w:r w:rsidRPr="00FB5768">
          <w:rPr>
            <w:rFonts w:ascii="Times New Roman" w:eastAsia="Calibri" w:hAnsi="Times New Roman" w:cs="Arial"/>
            <w:bCs/>
            <w:color w:val="0563C1"/>
            <w:kern w:val="0"/>
            <w:sz w:val="22"/>
            <w:szCs w:val="22"/>
            <w:u w:val="single"/>
            <w:lang w:val="en-US"/>
            <w14:ligatures w14:val="none"/>
          </w:rPr>
          <w:t>https://doi.org/10.1038/s43016-022-00531-w</w:t>
        </w:r>
      </w:hyperlink>
      <w:r w:rsidRPr="00FB5768">
        <w:rPr>
          <w:rFonts w:ascii="Times New Roman" w:eastAsia="Calibri" w:hAnsi="Times New Roman" w:cs="Arial"/>
          <w:bCs/>
          <w:kern w:val="0"/>
          <w:sz w:val="22"/>
          <w:szCs w:val="22"/>
          <w:lang w:val="en-US"/>
          <w14:ligatures w14:val="none"/>
        </w:rPr>
        <w:t xml:space="preserve">. </w:t>
      </w:r>
    </w:p>
    <w:p w14:paraId="6310B8AA"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lastRenderedPageBreak/>
        <w:t>Liang, Y., 2024. Different drying methods’ effects on the nutritional components and flavor of fruits. </w:t>
      </w:r>
      <w:r w:rsidRPr="00FB5768">
        <w:rPr>
          <w:rFonts w:ascii="Times New Roman" w:eastAsia="Calibri" w:hAnsi="Times New Roman" w:cs="Arial"/>
          <w:bCs/>
          <w:i/>
          <w:iCs/>
          <w:kern w:val="0"/>
          <w:sz w:val="22"/>
          <w:szCs w:val="22"/>
          <w:lang w:val="en-US"/>
          <w14:ligatures w14:val="none"/>
        </w:rPr>
        <w:t>Journal of Food and Drug Safety Research</w:t>
      </w:r>
      <w:r w:rsidRPr="00FB5768">
        <w:rPr>
          <w:rFonts w:ascii="Times New Roman" w:eastAsia="Calibri" w:hAnsi="Times New Roman" w:cs="Arial"/>
          <w:bCs/>
          <w:kern w:val="0"/>
          <w:sz w:val="22"/>
          <w:szCs w:val="22"/>
          <w:lang w:val="en-US"/>
          <w14:ligatures w14:val="none"/>
        </w:rPr>
        <w:t xml:space="preserve">, 1(2). </w:t>
      </w:r>
      <w:hyperlink r:id="rId16" w:history="1">
        <w:r w:rsidRPr="00FB5768">
          <w:rPr>
            <w:rFonts w:ascii="Times New Roman" w:eastAsia="Calibri" w:hAnsi="Times New Roman" w:cs="Arial"/>
            <w:bCs/>
            <w:color w:val="0563C1"/>
            <w:kern w:val="0"/>
            <w:sz w:val="22"/>
            <w:szCs w:val="22"/>
            <w:u w:val="single"/>
            <w:lang w:val="en-US"/>
            <w14:ligatures w14:val="none"/>
          </w:rPr>
          <w:t>https://doi.org/10.70767/jfdsr.v1i2.227</w:t>
        </w:r>
      </w:hyperlink>
      <w:r w:rsidRPr="00FB5768">
        <w:rPr>
          <w:rFonts w:ascii="Times New Roman" w:eastAsia="Calibri" w:hAnsi="Times New Roman" w:cs="Arial"/>
          <w:bCs/>
          <w:kern w:val="0"/>
          <w:sz w:val="22"/>
          <w:szCs w:val="22"/>
          <w:lang w:val="en-US"/>
          <w14:ligatures w14:val="none"/>
        </w:rPr>
        <w:t xml:space="preserve">. </w:t>
      </w:r>
    </w:p>
    <w:p w14:paraId="13894AC5"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Manono, B.O., 2025. Small-Scale Farming in the United States: Challenges and Pathways to Enhanced Productivity and Profitability. </w:t>
      </w:r>
      <w:r w:rsidRPr="00FB5768">
        <w:rPr>
          <w:rFonts w:ascii="Times New Roman" w:eastAsia="Calibri" w:hAnsi="Times New Roman" w:cs="Arial"/>
          <w:bCs/>
          <w:i/>
          <w:iCs/>
          <w:kern w:val="0"/>
          <w:sz w:val="22"/>
          <w:szCs w:val="22"/>
          <w:lang w:val="en-US"/>
          <w14:ligatures w14:val="none"/>
        </w:rPr>
        <w:t>Sustainability</w:t>
      </w:r>
      <w:r w:rsidRPr="00FB5768">
        <w:rPr>
          <w:rFonts w:ascii="Times New Roman" w:eastAsia="Calibri" w:hAnsi="Times New Roman" w:cs="Arial"/>
          <w:bCs/>
          <w:kern w:val="0"/>
          <w:sz w:val="22"/>
          <w:szCs w:val="22"/>
          <w:lang w:val="en-US"/>
          <w14:ligatures w14:val="none"/>
        </w:rPr>
        <w:t xml:space="preserve">, [online] 17(15), pp.6752–6752. </w:t>
      </w:r>
      <w:hyperlink r:id="rId17" w:history="1">
        <w:r w:rsidRPr="00FB5768">
          <w:rPr>
            <w:rFonts w:ascii="Times New Roman" w:eastAsia="Calibri" w:hAnsi="Times New Roman" w:cs="Arial"/>
            <w:bCs/>
            <w:color w:val="0563C1"/>
            <w:kern w:val="0"/>
            <w:sz w:val="22"/>
            <w:szCs w:val="22"/>
            <w:u w:val="single"/>
            <w:lang w:val="en-US"/>
            <w14:ligatures w14:val="none"/>
          </w:rPr>
          <w:t>https://doi.org/10.3390/su17156752</w:t>
        </w:r>
      </w:hyperlink>
      <w:r w:rsidRPr="00FB5768">
        <w:rPr>
          <w:rFonts w:ascii="Times New Roman" w:eastAsia="Calibri" w:hAnsi="Times New Roman" w:cs="Arial"/>
          <w:bCs/>
          <w:kern w:val="0"/>
          <w:sz w:val="22"/>
          <w:szCs w:val="22"/>
          <w:lang w:val="en-US"/>
          <w14:ligatures w14:val="none"/>
        </w:rPr>
        <w:t xml:space="preserve">. </w:t>
      </w:r>
    </w:p>
    <w:p w14:paraId="15062875"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proofErr w:type="spellStart"/>
      <w:r w:rsidRPr="00FB5768">
        <w:rPr>
          <w:rFonts w:ascii="Times New Roman" w:eastAsia="Calibri" w:hAnsi="Times New Roman" w:cs="Arial"/>
          <w:bCs/>
          <w:kern w:val="0"/>
          <w:sz w:val="22"/>
          <w:szCs w:val="22"/>
          <w:lang w:val="en-US"/>
          <w14:ligatures w14:val="none"/>
        </w:rPr>
        <w:t>Mazzetto</w:t>
      </w:r>
      <w:proofErr w:type="spellEnd"/>
      <w:r w:rsidRPr="00FB5768">
        <w:rPr>
          <w:rFonts w:ascii="Times New Roman" w:eastAsia="Calibri" w:hAnsi="Times New Roman" w:cs="Arial"/>
          <w:bCs/>
          <w:kern w:val="0"/>
          <w:sz w:val="22"/>
          <w:szCs w:val="22"/>
          <w:lang w:val="en-US"/>
          <w14:ligatures w14:val="none"/>
        </w:rPr>
        <w:t>, A.M., Falconer, S. and Ledgard, S., 2023. Carbon footprint of New Zealand beef and sheep meat exported to different markets. </w:t>
      </w:r>
      <w:r w:rsidRPr="00FB5768">
        <w:rPr>
          <w:rFonts w:ascii="Times New Roman" w:eastAsia="Calibri" w:hAnsi="Times New Roman" w:cs="Arial"/>
          <w:bCs/>
          <w:i/>
          <w:iCs/>
          <w:kern w:val="0"/>
          <w:sz w:val="22"/>
          <w:szCs w:val="22"/>
          <w:lang w:val="en-US"/>
          <w14:ligatures w14:val="none"/>
        </w:rPr>
        <w:t>Environmental Impact Assessment Review</w:t>
      </w:r>
      <w:r w:rsidRPr="00FB5768">
        <w:rPr>
          <w:rFonts w:ascii="Times New Roman" w:eastAsia="Calibri" w:hAnsi="Times New Roman" w:cs="Arial"/>
          <w:bCs/>
          <w:kern w:val="0"/>
          <w:sz w:val="22"/>
          <w:szCs w:val="22"/>
          <w:lang w:val="en-US"/>
          <w14:ligatures w14:val="none"/>
        </w:rPr>
        <w:t xml:space="preserve">, 98, p.106946. </w:t>
      </w:r>
      <w:hyperlink r:id="rId18" w:history="1">
        <w:r w:rsidRPr="00FB5768">
          <w:rPr>
            <w:rFonts w:ascii="Times New Roman" w:eastAsia="Calibri" w:hAnsi="Times New Roman" w:cs="Arial"/>
            <w:bCs/>
            <w:color w:val="0563C1"/>
            <w:kern w:val="0"/>
            <w:sz w:val="22"/>
            <w:szCs w:val="22"/>
            <w:u w:val="single"/>
            <w:lang w:val="en-US"/>
            <w14:ligatures w14:val="none"/>
          </w:rPr>
          <w:t>https://doi.org/10.1016/j.eiar.2022.106946</w:t>
        </w:r>
      </w:hyperlink>
      <w:r w:rsidRPr="00FB5768">
        <w:rPr>
          <w:rFonts w:ascii="Times New Roman" w:eastAsia="Calibri" w:hAnsi="Times New Roman" w:cs="Arial"/>
          <w:bCs/>
          <w:kern w:val="0"/>
          <w:sz w:val="22"/>
          <w:szCs w:val="22"/>
          <w:lang w:val="en-US"/>
          <w14:ligatures w14:val="none"/>
        </w:rPr>
        <w:t xml:space="preserve">. </w:t>
      </w:r>
    </w:p>
    <w:p w14:paraId="284ACF85"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Mei, Y., Zhou, D., Wang, H., Ke, X., Liu, Z., Tian, X. and Wang, Z., 2024. Study on carbon emission calculation during the materialization phase of subway stations and comparative analysis of carbon emissions from various construction methods. </w:t>
      </w:r>
      <w:r w:rsidRPr="00FB5768">
        <w:rPr>
          <w:rFonts w:ascii="Times New Roman" w:eastAsia="Calibri" w:hAnsi="Times New Roman" w:cs="Arial"/>
          <w:bCs/>
          <w:i/>
          <w:iCs/>
          <w:kern w:val="0"/>
          <w:sz w:val="22"/>
          <w:szCs w:val="22"/>
          <w:lang w:val="en-US"/>
          <w14:ligatures w14:val="none"/>
        </w:rPr>
        <w:t>Case Studies in Construction Materials</w:t>
      </w:r>
      <w:r w:rsidRPr="00FB5768">
        <w:rPr>
          <w:rFonts w:ascii="Times New Roman" w:eastAsia="Calibri" w:hAnsi="Times New Roman" w:cs="Arial"/>
          <w:bCs/>
          <w:kern w:val="0"/>
          <w:sz w:val="22"/>
          <w:szCs w:val="22"/>
          <w:lang w:val="en-US"/>
          <w14:ligatures w14:val="none"/>
        </w:rPr>
        <w:t xml:space="preserve">, 21, p.e03923. </w:t>
      </w:r>
      <w:hyperlink r:id="rId19" w:history="1">
        <w:r w:rsidRPr="00FB5768">
          <w:rPr>
            <w:rFonts w:ascii="Times New Roman" w:eastAsia="Calibri" w:hAnsi="Times New Roman" w:cs="Arial"/>
            <w:bCs/>
            <w:color w:val="0563C1"/>
            <w:kern w:val="0"/>
            <w:sz w:val="22"/>
            <w:szCs w:val="22"/>
            <w:u w:val="single"/>
            <w:lang w:val="en-US"/>
            <w14:ligatures w14:val="none"/>
          </w:rPr>
          <w:t>https://doi.org/10.1016/j.cscm.2024.e03923</w:t>
        </w:r>
      </w:hyperlink>
      <w:r w:rsidRPr="00FB5768">
        <w:rPr>
          <w:rFonts w:ascii="Times New Roman" w:eastAsia="Calibri" w:hAnsi="Times New Roman" w:cs="Arial"/>
          <w:bCs/>
          <w:kern w:val="0"/>
          <w:sz w:val="22"/>
          <w:szCs w:val="22"/>
          <w:lang w:val="en-US"/>
          <w14:ligatures w14:val="none"/>
        </w:rPr>
        <w:t xml:space="preserve">. </w:t>
      </w:r>
    </w:p>
    <w:p w14:paraId="5907F1F0"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Seshadri, S., K Nathan, S. and Kannan R, J., 2025. Empowering Farmers: Strategies for Transforming Agricultural Supply Chains. </w:t>
      </w:r>
      <w:r w:rsidRPr="00FB5768">
        <w:rPr>
          <w:rFonts w:ascii="Times New Roman" w:eastAsia="Calibri" w:hAnsi="Times New Roman" w:cs="Arial"/>
          <w:bCs/>
          <w:i/>
          <w:iCs/>
          <w:kern w:val="0"/>
          <w:sz w:val="22"/>
          <w:szCs w:val="22"/>
          <w:lang w:val="en-US"/>
          <w14:ligatures w14:val="none"/>
        </w:rPr>
        <w:t>SSRN Electronic Journal</w:t>
      </w:r>
      <w:r w:rsidRPr="00FB5768">
        <w:rPr>
          <w:rFonts w:ascii="Times New Roman" w:eastAsia="Calibri" w:hAnsi="Times New Roman" w:cs="Arial"/>
          <w:bCs/>
          <w:kern w:val="0"/>
          <w:sz w:val="22"/>
          <w:szCs w:val="22"/>
          <w:lang w:val="en-US"/>
          <w14:ligatures w14:val="none"/>
        </w:rPr>
        <w:t xml:space="preserve">. [online] </w:t>
      </w:r>
      <w:hyperlink r:id="rId20" w:history="1">
        <w:r w:rsidRPr="00FB5768">
          <w:rPr>
            <w:rFonts w:ascii="Times New Roman" w:eastAsia="Calibri" w:hAnsi="Times New Roman" w:cs="Arial"/>
            <w:bCs/>
            <w:color w:val="0563C1"/>
            <w:kern w:val="0"/>
            <w:sz w:val="22"/>
            <w:szCs w:val="22"/>
            <w:u w:val="single"/>
            <w:lang w:val="en-US"/>
            <w14:ligatures w14:val="none"/>
          </w:rPr>
          <w:t>https://doi.org/10.2139/ssrn.5229148</w:t>
        </w:r>
      </w:hyperlink>
      <w:r w:rsidRPr="00FB5768">
        <w:rPr>
          <w:rFonts w:ascii="Times New Roman" w:eastAsia="Calibri" w:hAnsi="Times New Roman" w:cs="Arial"/>
          <w:bCs/>
          <w:kern w:val="0"/>
          <w:sz w:val="22"/>
          <w:szCs w:val="22"/>
          <w:lang w:val="en-US"/>
          <w14:ligatures w14:val="none"/>
        </w:rPr>
        <w:t xml:space="preserve">. </w:t>
      </w:r>
    </w:p>
    <w:p w14:paraId="20D96F1D"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Xie, R., Zhang, Y., Luo, H., Yu, P. and Chen, Z., 2023. Optimizing decisions for post‐harvest ripening agricultural produce supply chain management: a dynamic quality‐based model. </w:t>
      </w:r>
      <w:r w:rsidRPr="00FB5768">
        <w:rPr>
          <w:rFonts w:ascii="Times New Roman" w:eastAsia="Calibri" w:hAnsi="Times New Roman" w:cs="Arial"/>
          <w:bCs/>
          <w:i/>
          <w:iCs/>
          <w:kern w:val="0"/>
          <w:sz w:val="22"/>
          <w:szCs w:val="22"/>
          <w:lang w:val="en-US"/>
          <w14:ligatures w14:val="none"/>
        </w:rPr>
        <w:t>International Transactions in Operational Research</w:t>
      </w:r>
      <w:r w:rsidRPr="00FB5768">
        <w:rPr>
          <w:rFonts w:ascii="Times New Roman" w:eastAsia="Calibri" w:hAnsi="Times New Roman" w:cs="Arial"/>
          <w:bCs/>
          <w:kern w:val="0"/>
          <w:sz w:val="22"/>
          <w:szCs w:val="22"/>
          <w:lang w:val="en-US"/>
          <w14:ligatures w14:val="none"/>
        </w:rPr>
        <w:t xml:space="preserve">, 30(6), pp.3625–3653. </w:t>
      </w:r>
      <w:hyperlink r:id="rId21" w:history="1">
        <w:r w:rsidRPr="00FB5768">
          <w:rPr>
            <w:rFonts w:ascii="Times New Roman" w:eastAsia="Calibri" w:hAnsi="Times New Roman" w:cs="Arial"/>
            <w:bCs/>
            <w:color w:val="0563C1"/>
            <w:kern w:val="0"/>
            <w:sz w:val="22"/>
            <w:szCs w:val="22"/>
            <w:u w:val="single"/>
            <w:lang w:val="en-US"/>
            <w14:ligatures w14:val="none"/>
          </w:rPr>
          <w:t>https://doi.org/10.1111/itor.13285</w:t>
        </w:r>
      </w:hyperlink>
      <w:r w:rsidRPr="00FB5768">
        <w:rPr>
          <w:rFonts w:ascii="Times New Roman" w:eastAsia="Calibri" w:hAnsi="Times New Roman" w:cs="Arial"/>
          <w:bCs/>
          <w:kern w:val="0"/>
          <w:sz w:val="22"/>
          <w:szCs w:val="22"/>
          <w:lang w:val="en-US"/>
          <w14:ligatures w14:val="none"/>
        </w:rPr>
        <w:t xml:space="preserve">. </w:t>
      </w:r>
    </w:p>
    <w:p w14:paraId="508866BA"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Zhong, S., 2023. Relational proximity: The search for local food in China. </w:t>
      </w:r>
      <w:r w:rsidRPr="00FB5768">
        <w:rPr>
          <w:rFonts w:ascii="Times New Roman" w:eastAsia="Calibri" w:hAnsi="Times New Roman" w:cs="Arial"/>
          <w:bCs/>
          <w:i/>
          <w:iCs/>
          <w:kern w:val="0"/>
          <w:sz w:val="22"/>
          <w:szCs w:val="22"/>
          <w:lang w:val="en-US"/>
          <w14:ligatures w14:val="none"/>
        </w:rPr>
        <w:t>Food, Culture, and Society</w:t>
      </w:r>
      <w:r w:rsidRPr="00FB5768">
        <w:rPr>
          <w:rFonts w:ascii="Times New Roman" w:eastAsia="Calibri" w:hAnsi="Times New Roman" w:cs="Arial"/>
          <w:bCs/>
          <w:kern w:val="0"/>
          <w:sz w:val="22"/>
          <w:szCs w:val="22"/>
          <w:lang w:val="en-US"/>
          <w14:ligatures w14:val="none"/>
        </w:rPr>
        <w:t xml:space="preserve">, pp.1–19. </w:t>
      </w:r>
      <w:hyperlink r:id="rId22" w:history="1">
        <w:r w:rsidRPr="00FB5768">
          <w:rPr>
            <w:rFonts w:ascii="Times New Roman" w:eastAsia="Calibri" w:hAnsi="Times New Roman" w:cs="Arial"/>
            <w:bCs/>
            <w:color w:val="0563C1"/>
            <w:kern w:val="0"/>
            <w:sz w:val="22"/>
            <w:szCs w:val="22"/>
            <w:u w:val="single"/>
            <w:lang w:val="en-US"/>
            <w14:ligatures w14:val="none"/>
          </w:rPr>
          <w:t>https://doi.org/10.1080/15528014.2023.2239105</w:t>
        </w:r>
      </w:hyperlink>
      <w:r w:rsidRPr="00FB5768">
        <w:rPr>
          <w:rFonts w:ascii="Times New Roman" w:eastAsia="Calibri" w:hAnsi="Times New Roman" w:cs="Arial"/>
          <w:bCs/>
          <w:kern w:val="0"/>
          <w:sz w:val="22"/>
          <w:szCs w:val="22"/>
          <w:lang w:val="en-US"/>
          <w14:ligatures w14:val="none"/>
        </w:rPr>
        <w:t xml:space="preserve">. </w:t>
      </w:r>
    </w:p>
    <w:p w14:paraId="1BD9DA72" w14:textId="77777777" w:rsidR="00FB5768" w:rsidRPr="00FB5768" w:rsidRDefault="00FB5768" w:rsidP="00FB5768">
      <w:pPr>
        <w:spacing w:after="200" w:line="480" w:lineRule="auto"/>
        <w:ind w:left="720" w:hanging="720"/>
        <w:jc w:val="both"/>
        <w:rPr>
          <w:rFonts w:ascii="Times New Roman" w:eastAsia="Calibri" w:hAnsi="Times New Roman" w:cs="Arial"/>
          <w:bCs/>
          <w:kern w:val="0"/>
          <w:sz w:val="22"/>
          <w:szCs w:val="22"/>
          <w:lang w:val="en-US"/>
          <w14:ligatures w14:val="none"/>
        </w:rPr>
      </w:pPr>
      <w:r w:rsidRPr="00FB5768">
        <w:rPr>
          <w:rFonts w:ascii="Times New Roman" w:eastAsia="Calibri" w:hAnsi="Times New Roman" w:cs="Arial"/>
          <w:bCs/>
          <w:kern w:val="0"/>
          <w:sz w:val="22"/>
          <w:szCs w:val="22"/>
          <w:lang w:val="en-US"/>
          <w14:ligatures w14:val="none"/>
        </w:rPr>
        <w:t>Zhu, Z. and Miller, S.A., 2025. Greenhouse gas emissions of tomato production and supply: A systematic review. </w:t>
      </w:r>
      <w:r w:rsidRPr="00FB5768">
        <w:rPr>
          <w:rFonts w:ascii="Times New Roman" w:eastAsia="Calibri" w:hAnsi="Times New Roman" w:cs="Arial"/>
          <w:bCs/>
          <w:i/>
          <w:iCs/>
          <w:kern w:val="0"/>
          <w:sz w:val="22"/>
          <w:szCs w:val="22"/>
          <w:lang w:val="en-US"/>
          <w14:ligatures w14:val="none"/>
        </w:rPr>
        <w:t>Resources, Conservation and Recycling</w:t>
      </w:r>
      <w:r w:rsidRPr="00FB5768">
        <w:rPr>
          <w:rFonts w:ascii="Times New Roman" w:eastAsia="Calibri" w:hAnsi="Times New Roman" w:cs="Arial"/>
          <w:bCs/>
          <w:kern w:val="0"/>
          <w:sz w:val="22"/>
          <w:szCs w:val="22"/>
          <w:lang w:val="en-US"/>
          <w14:ligatures w14:val="none"/>
        </w:rPr>
        <w:t xml:space="preserve">, 218, p.108236. </w:t>
      </w:r>
      <w:hyperlink r:id="rId23" w:history="1">
        <w:r w:rsidRPr="00FB5768">
          <w:rPr>
            <w:rFonts w:ascii="Times New Roman" w:eastAsia="Calibri" w:hAnsi="Times New Roman" w:cs="Arial"/>
            <w:bCs/>
            <w:color w:val="0563C1"/>
            <w:kern w:val="0"/>
            <w:sz w:val="22"/>
            <w:szCs w:val="22"/>
            <w:u w:val="single"/>
            <w:lang w:val="en-US"/>
            <w14:ligatures w14:val="none"/>
          </w:rPr>
          <w:t>https://doi.org/10.1016/j.resconrec.2025.108236</w:t>
        </w:r>
      </w:hyperlink>
      <w:r w:rsidRPr="00FB5768">
        <w:rPr>
          <w:rFonts w:ascii="Times New Roman" w:eastAsia="Calibri" w:hAnsi="Times New Roman" w:cs="Arial"/>
          <w:bCs/>
          <w:kern w:val="0"/>
          <w:sz w:val="22"/>
          <w:szCs w:val="22"/>
          <w:lang w:val="en-US"/>
          <w14:ligatures w14:val="none"/>
        </w:rPr>
        <w:t xml:space="preserve">. </w:t>
      </w:r>
    </w:p>
    <w:p w14:paraId="1A241BCF" w14:textId="77777777" w:rsidR="005B2EED" w:rsidRPr="00FB5768" w:rsidRDefault="005B2EED" w:rsidP="008D4F97">
      <w:pPr>
        <w:rPr>
          <w:sz w:val="32"/>
          <w:szCs w:val="32"/>
          <w:lang w:val="en-US"/>
        </w:rPr>
      </w:pPr>
    </w:p>
    <w:sectPr w:rsidR="005B2EED" w:rsidRPr="00FB57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D90510"/>
    <w:multiLevelType w:val="hybridMultilevel"/>
    <w:tmpl w:val="BDF2A7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9062647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246"/>
    <w:rsid w:val="0023005C"/>
    <w:rsid w:val="003A51A2"/>
    <w:rsid w:val="00482246"/>
    <w:rsid w:val="004C3751"/>
    <w:rsid w:val="005B2EED"/>
    <w:rsid w:val="008475DB"/>
    <w:rsid w:val="00885084"/>
    <w:rsid w:val="008D04E4"/>
    <w:rsid w:val="008D4F97"/>
    <w:rsid w:val="008E7F83"/>
    <w:rsid w:val="009B65D1"/>
    <w:rsid w:val="00A32341"/>
    <w:rsid w:val="00A94865"/>
    <w:rsid w:val="00B11596"/>
    <w:rsid w:val="00F00C79"/>
    <w:rsid w:val="00F13EC7"/>
    <w:rsid w:val="00F56FC2"/>
    <w:rsid w:val="00FA21B1"/>
    <w:rsid w:val="00FB5768"/>
    <w:rsid w:val="00FE2C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9A96B"/>
  <w15:chartTrackingRefBased/>
  <w15:docId w15:val="{A656EE07-E59A-4551-B73E-1365635D5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2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22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22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22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22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22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22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22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22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2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22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22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22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22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22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22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22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2246"/>
    <w:rPr>
      <w:rFonts w:eastAsiaTheme="majorEastAsia" w:cstheme="majorBidi"/>
      <w:color w:val="272727" w:themeColor="text1" w:themeTint="D8"/>
    </w:rPr>
  </w:style>
  <w:style w:type="paragraph" w:styleId="Title">
    <w:name w:val="Title"/>
    <w:basedOn w:val="Normal"/>
    <w:next w:val="Normal"/>
    <w:link w:val="TitleChar"/>
    <w:uiPriority w:val="10"/>
    <w:qFormat/>
    <w:rsid w:val="004822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2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2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22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2246"/>
    <w:pPr>
      <w:spacing w:before="160"/>
      <w:jc w:val="center"/>
    </w:pPr>
    <w:rPr>
      <w:i/>
      <w:iCs/>
      <w:color w:val="404040" w:themeColor="text1" w:themeTint="BF"/>
    </w:rPr>
  </w:style>
  <w:style w:type="character" w:customStyle="1" w:styleId="QuoteChar">
    <w:name w:val="Quote Char"/>
    <w:basedOn w:val="DefaultParagraphFont"/>
    <w:link w:val="Quote"/>
    <w:uiPriority w:val="29"/>
    <w:rsid w:val="00482246"/>
    <w:rPr>
      <w:i/>
      <w:iCs/>
      <w:color w:val="404040" w:themeColor="text1" w:themeTint="BF"/>
    </w:rPr>
  </w:style>
  <w:style w:type="paragraph" w:styleId="ListParagraph">
    <w:name w:val="List Paragraph"/>
    <w:basedOn w:val="Normal"/>
    <w:uiPriority w:val="34"/>
    <w:qFormat/>
    <w:rsid w:val="00482246"/>
    <w:pPr>
      <w:ind w:left="720"/>
      <w:contextualSpacing/>
    </w:pPr>
  </w:style>
  <w:style w:type="character" w:styleId="IntenseEmphasis">
    <w:name w:val="Intense Emphasis"/>
    <w:basedOn w:val="DefaultParagraphFont"/>
    <w:uiPriority w:val="21"/>
    <w:qFormat/>
    <w:rsid w:val="00482246"/>
    <w:rPr>
      <w:i/>
      <w:iCs/>
      <w:color w:val="0F4761" w:themeColor="accent1" w:themeShade="BF"/>
    </w:rPr>
  </w:style>
  <w:style w:type="paragraph" w:styleId="IntenseQuote">
    <w:name w:val="Intense Quote"/>
    <w:basedOn w:val="Normal"/>
    <w:next w:val="Normal"/>
    <w:link w:val="IntenseQuoteChar"/>
    <w:uiPriority w:val="30"/>
    <w:qFormat/>
    <w:rsid w:val="004822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2246"/>
    <w:rPr>
      <w:i/>
      <w:iCs/>
      <w:color w:val="0F4761" w:themeColor="accent1" w:themeShade="BF"/>
    </w:rPr>
  </w:style>
  <w:style w:type="character" w:styleId="IntenseReference">
    <w:name w:val="Intense Reference"/>
    <w:basedOn w:val="DefaultParagraphFont"/>
    <w:uiPriority w:val="32"/>
    <w:qFormat/>
    <w:rsid w:val="0048224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scm-08-2023-0383" TargetMode="External"/><Relationship Id="rId18" Type="http://schemas.openxmlformats.org/officeDocument/2006/relationships/hyperlink" Target="https://doi.org/10.1016/j.eiar.2022.106946" TargetMode="External"/><Relationship Id="rId3" Type="http://schemas.openxmlformats.org/officeDocument/2006/relationships/customXml" Target="../customXml/item3.xml"/><Relationship Id="rId21" Type="http://schemas.openxmlformats.org/officeDocument/2006/relationships/hyperlink" Target="https://doi.org/10.1111/itor.13285" TargetMode="External"/><Relationship Id="rId7" Type="http://schemas.openxmlformats.org/officeDocument/2006/relationships/webSettings" Target="webSettings.xml"/><Relationship Id="rId12" Type="http://schemas.openxmlformats.org/officeDocument/2006/relationships/hyperlink" Target="https://doi.org/10.3390/su17051996" TargetMode="External"/><Relationship Id="rId17" Type="http://schemas.openxmlformats.org/officeDocument/2006/relationships/hyperlink" Target="https://doi.org/10.3390/su1715675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70767/jfdsr.v1i2.227" TargetMode="External"/><Relationship Id="rId20" Type="http://schemas.openxmlformats.org/officeDocument/2006/relationships/hyperlink" Target="https://doi.org/10.2139/ssrn.522914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08/scm-02-2023-0083"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oi.org/10.1038/s43016-022-00531-w" TargetMode="External"/><Relationship Id="rId23" Type="http://schemas.openxmlformats.org/officeDocument/2006/relationships/hyperlink" Target="https://doi.org/10.1016/j.resconrec.2025.108236" TargetMode="External"/><Relationship Id="rId10" Type="http://schemas.openxmlformats.org/officeDocument/2006/relationships/hyperlink" Target="https://doi.org/10.3390/ijerph20032413" TargetMode="External"/><Relationship Id="rId19" Type="http://schemas.openxmlformats.org/officeDocument/2006/relationships/hyperlink" Target="https://doi.org/10.1016/j.cscm.2024.e03923" TargetMode="External"/><Relationship Id="rId4" Type="http://schemas.openxmlformats.org/officeDocument/2006/relationships/numbering" Target="numbering.xml"/><Relationship Id="rId9" Type="http://schemas.openxmlformats.org/officeDocument/2006/relationships/hyperlink" Target="https://doi.org/10.3390/soilsystems6040087" TargetMode="External"/><Relationship Id="rId14" Type="http://schemas.openxmlformats.org/officeDocument/2006/relationships/hyperlink" Target="https://doi.org/10.1111/1745-5871.12661" TargetMode="External"/><Relationship Id="rId22" Type="http://schemas.openxmlformats.org/officeDocument/2006/relationships/hyperlink" Target="https://doi.org/10.1080/15528014.2023.2239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fd9c2d5927d2a72d328fe0e3260f1cb1">
  <xsd:schema xmlns:xsd="http://www.w3.org/2001/XMLSchema" xmlns:xs="http://www.w3.org/2001/XMLSchema" xmlns:p="http://schemas.microsoft.com/office/2006/metadata/properties" xmlns:ns3="b4f9f7ee-5770-4a14-8925-17f3d16e50b7" targetNamespace="http://schemas.microsoft.com/office/2006/metadata/properties" ma:root="true" ma:fieldsID="aa4419ae581425e9b53431fb6a5aa5c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C4C1F34E-671A-4BB1-8E8D-72576C2D35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137E2A-B241-48AF-9681-73490B7033E6}">
  <ds:schemaRefs>
    <ds:schemaRef ds:uri="http://schemas.microsoft.com/sharepoint/v3/contenttype/forms"/>
  </ds:schemaRefs>
</ds:datastoreItem>
</file>

<file path=customXml/itemProps3.xml><?xml version="1.0" encoding="utf-8"?>
<ds:datastoreItem xmlns:ds="http://schemas.openxmlformats.org/officeDocument/2006/customXml" ds:itemID="{5DB7207B-7E8D-4399-86BA-42DD11576F22}">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2373</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Kitty Mohamed (2517690)</dc:creator>
  <cp:keywords/>
  <dc:description/>
  <cp:lastModifiedBy>Kitty Mohamed (2517690)</cp:lastModifiedBy>
  <cp:revision>14</cp:revision>
  <dcterms:created xsi:type="dcterms:W3CDTF">2026-04-18T09:22:00Z</dcterms:created>
  <dcterms:modified xsi:type="dcterms:W3CDTF">2026-04-18T09:52:00Z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