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tbl>
      <w:tblPr>
        <w:tblpPr w:leftFromText="180" w:rightFromText="180" w:vertAnchor="text" w:horzAnchor="margin" w:tblpY="1771"/>
        <w:tblW w:w="97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7"/>
        <w:gridCol w:w="7487"/>
      </w:tblGrid>
      <w:tr w:rsidR="00B516A3" w:rsidRPr="009935B9" w14:paraId="3F9EA6E9" w14:textId="77777777" w:rsidTr="00953671">
        <w:trPr>
          <w:trHeight w:val="467"/>
        </w:trPr>
        <w:tc>
          <w:tcPr>
            <w:tcW w:w="2237" w:type="dxa"/>
          </w:tcPr>
          <w:p w14:paraId="11E2C437" w14:textId="77777777" w:rsidR="00B516A3" w:rsidRPr="00B516A3" w:rsidRDefault="00B516A3" w:rsidP="00953671">
            <w:pPr>
              <w:jc w:val="left"/>
              <w:rPr>
                <w:rFonts w:ascii="Arial" w:hAnsi="Arial" w:cs="Arial"/>
                <w:sz w:val="22"/>
              </w:rPr>
            </w:pPr>
            <w:bookmarkStart w:id="0" w:name="__RefHeading___Toc82856599"/>
            <w:bookmarkEnd w:id="0"/>
            <w:r w:rsidRPr="009935B9">
              <w:rPr>
                <w:rFonts w:ascii="Arial" w:hAnsi="Arial" w:cs="Arial"/>
                <w:sz w:val="22"/>
              </w:rPr>
              <w:t>Module:</w:t>
            </w:r>
          </w:p>
        </w:tc>
        <w:tc>
          <w:tcPr>
            <w:tcW w:w="7487" w:type="dxa"/>
          </w:tcPr>
          <w:p w14:paraId="438E27EE" w14:textId="77777777" w:rsidR="00B516A3" w:rsidRPr="009935B9" w:rsidRDefault="00B516A3" w:rsidP="00953671">
            <w:pPr>
              <w:jc w:val="left"/>
              <w:rPr>
                <w:rFonts w:ascii="Arial" w:hAnsi="Arial" w:cs="Arial"/>
                <w:b/>
                <w:i/>
                <w:color w:val="auto"/>
                <w:sz w:val="22"/>
              </w:rPr>
            </w:pPr>
            <w:r w:rsidRPr="009935B9">
              <w:rPr>
                <w:rFonts w:ascii="Arial" w:hAnsi="Arial" w:cs="Arial"/>
                <w:sz w:val="22"/>
              </w:rPr>
              <w:t>Psychology in Health and Social Care</w:t>
            </w:r>
          </w:p>
        </w:tc>
      </w:tr>
      <w:tr w:rsidR="00B516A3" w:rsidRPr="009935B9" w14:paraId="344EB965" w14:textId="77777777" w:rsidTr="00953671">
        <w:trPr>
          <w:trHeight w:val="467"/>
        </w:trPr>
        <w:tc>
          <w:tcPr>
            <w:tcW w:w="2237" w:type="dxa"/>
          </w:tcPr>
          <w:p w14:paraId="4475FD21" w14:textId="77777777" w:rsidR="00B516A3" w:rsidRPr="009935B9" w:rsidRDefault="00B516A3" w:rsidP="00953671">
            <w:pPr>
              <w:jc w:val="left"/>
              <w:rPr>
                <w:rFonts w:ascii="Arial" w:hAnsi="Arial" w:cs="Arial"/>
                <w:b/>
                <w:i/>
                <w:color w:val="auto"/>
                <w:sz w:val="22"/>
              </w:rPr>
            </w:pPr>
            <w:r w:rsidRPr="009935B9">
              <w:rPr>
                <w:rFonts w:ascii="Arial" w:hAnsi="Arial" w:cs="Arial"/>
                <w:sz w:val="22"/>
              </w:rPr>
              <w:t>Module code:</w:t>
            </w:r>
          </w:p>
        </w:tc>
        <w:tc>
          <w:tcPr>
            <w:tcW w:w="7487" w:type="dxa"/>
          </w:tcPr>
          <w:p w14:paraId="7D7CB593" w14:textId="77777777" w:rsidR="00B516A3" w:rsidRPr="009935B9" w:rsidRDefault="00B516A3" w:rsidP="00953671">
            <w:pPr>
              <w:jc w:val="left"/>
              <w:rPr>
                <w:rFonts w:ascii="Arial" w:hAnsi="Arial" w:cs="Arial"/>
                <w:b/>
                <w:i/>
                <w:color w:val="auto"/>
                <w:sz w:val="22"/>
              </w:rPr>
            </w:pPr>
            <w:r w:rsidRPr="009935B9">
              <w:rPr>
                <w:rFonts w:ascii="Arial" w:hAnsi="Arial" w:cs="Arial"/>
                <w:sz w:val="22"/>
              </w:rPr>
              <w:t>LCHS4010</w:t>
            </w:r>
          </w:p>
        </w:tc>
      </w:tr>
      <w:tr w:rsidR="00B516A3" w:rsidRPr="009935B9" w14:paraId="66ADA577" w14:textId="77777777" w:rsidTr="00953671">
        <w:trPr>
          <w:trHeight w:val="467"/>
        </w:trPr>
        <w:tc>
          <w:tcPr>
            <w:tcW w:w="2237" w:type="dxa"/>
          </w:tcPr>
          <w:p w14:paraId="4B2B2E3C" w14:textId="77777777" w:rsidR="00B516A3" w:rsidRPr="009935B9" w:rsidRDefault="00B516A3" w:rsidP="00953671">
            <w:pPr>
              <w:jc w:val="left"/>
              <w:rPr>
                <w:rFonts w:ascii="Arial" w:hAnsi="Arial" w:cs="Arial"/>
                <w:b/>
                <w:i/>
                <w:color w:val="auto"/>
                <w:sz w:val="22"/>
              </w:rPr>
            </w:pPr>
            <w:r w:rsidRPr="009935B9">
              <w:rPr>
                <w:rFonts w:ascii="Arial" w:hAnsi="Arial" w:cs="Arial"/>
                <w:sz w:val="22"/>
              </w:rPr>
              <w:t>Assessment 2:</w:t>
            </w:r>
          </w:p>
        </w:tc>
        <w:tc>
          <w:tcPr>
            <w:tcW w:w="7487" w:type="dxa"/>
          </w:tcPr>
          <w:p w14:paraId="529985C5" w14:textId="77777777" w:rsidR="00B516A3" w:rsidRPr="009935B9" w:rsidRDefault="00B516A3" w:rsidP="00953671">
            <w:pPr>
              <w:jc w:val="left"/>
              <w:rPr>
                <w:rFonts w:ascii="Arial" w:hAnsi="Arial" w:cs="Arial"/>
                <w:b/>
                <w:i/>
                <w:color w:val="auto"/>
                <w:sz w:val="22"/>
              </w:rPr>
            </w:pPr>
            <w:r w:rsidRPr="009935B9">
              <w:rPr>
                <w:rFonts w:ascii="Arial" w:hAnsi="Arial" w:cs="Arial"/>
                <w:sz w:val="22"/>
              </w:rPr>
              <w:t>Written Report</w:t>
            </w:r>
          </w:p>
        </w:tc>
      </w:tr>
      <w:tr w:rsidR="00B516A3" w:rsidRPr="009935B9" w14:paraId="6D953006" w14:textId="77777777" w:rsidTr="00953671">
        <w:trPr>
          <w:trHeight w:val="1402"/>
        </w:trPr>
        <w:tc>
          <w:tcPr>
            <w:tcW w:w="2237" w:type="dxa"/>
          </w:tcPr>
          <w:p w14:paraId="2EB1AA56" w14:textId="77777777" w:rsidR="00B516A3" w:rsidRPr="009935B9" w:rsidRDefault="00B516A3" w:rsidP="00953671">
            <w:pPr>
              <w:jc w:val="left"/>
              <w:rPr>
                <w:rFonts w:ascii="Arial" w:hAnsi="Arial" w:cs="Arial"/>
                <w:b/>
                <w:i/>
                <w:color w:val="auto"/>
                <w:sz w:val="22"/>
              </w:rPr>
            </w:pPr>
            <w:r w:rsidRPr="009935B9">
              <w:rPr>
                <w:rFonts w:ascii="Arial" w:hAnsi="Arial" w:cs="Arial"/>
                <w:sz w:val="22"/>
              </w:rPr>
              <w:t>Assessment Title:</w:t>
            </w:r>
          </w:p>
        </w:tc>
        <w:tc>
          <w:tcPr>
            <w:tcW w:w="7487" w:type="dxa"/>
          </w:tcPr>
          <w:p w14:paraId="70E0727E" w14:textId="77777777" w:rsidR="00B516A3" w:rsidRPr="009935B9" w:rsidRDefault="00B516A3" w:rsidP="00953671">
            <w:pPr>
              <w:jc w:val="left"/>
              <w:rPr>
                <w:rFonts w:ascii="Arial" w:hAnsi="Arial" w:cs="Arial"/>
                <w:color w:val="auto"/>
                <w:sz w:val="22"/>
              </w:rPr>
            </w:pPr>
            <w:r w:rsidRPr="009935B9">
              <w:rPr>
                <w:rFonts w:ascii="Arial" w:hAnsi="Arial" w:cs="Arial"/>
                <w:color w:val="auto"/>
                <w:sz w:val="22"/>
              </w:rPr>
              <w:t>Depression in Older Adults Living in Residential Care: Critical Application of Erikson's Psychosocial Theory and Socioemotional Selectivity Theory</w:t>
            </w:r>
          </w:p>
        </w:tc>
      </w:tr>
    </w:tbl>
    <w:p w14:paraId="7995851A" w14:textId="5BE54D90" w:rsidR="00B322E0" w:rsidRDefault="00B516A3" w:rsidP="009C2D59">
      <w:pPr>
        <w:rPr>
          <w:rFonts w:ascii="Arial" w:hAnsi="Arial" w:cs="Arial"/>
          <w:bCs/>
          <w:iCs/>
          <w:color w:val="auto"/>
          <w:sz w:val="28"/>
          <w:szCs w:val="28"/>
        </w:rPr>
      </w:pPr>
      <w:r w:rsidRPr="00B516A3">
        <w:rPr>
          <w:rFonts w:ascii="Arial" w:hAnsi="Arial" w:cs="Arial"/>
          <w:bCs/>
          <w:iCs/>
          <w:color w:val="auto"/>
          <w:sz w:val="28"/>
          <w:szCs w:val="28"/>
        </w:rPr>
        <w:t xml:space="preserve">Name: </w:t>
      </w:r>
      <w:r>
        <w:rPr>
          <w:rFonts w:ascii="Arial" w:hAnsi="Arial" w:cs="Arial"/>
          <w:bCs/>
          <w:iCs/>
          <w:color w:val="auto"/>
          <w:sz w:val="28"/>
          <w:szCs w:val="28"/>
        </w:rPr>
        <w:t>Shamaila Awan</w:t>
      </w:r>
    </w:p>
    <w:p w14:paraId="1B3A377C" w14:textId="62F64CF5" w:rsidR="00953671" w:rsidRDefault="00E62510" w:rsidP="009C2D59">
      <w:pPr>
        <w:rPr>
          <w:rFonts w:ascii="Arial" w:hAnsi="Arial" w:cs="Arial"/>
          <w:bCs/>
          <w:iCs/>
          <w:color w:val="auto"/>
          <w:sz w:val="28"/>
          <w:szCs w:val="28"/>
        </w:rPr>
      </w:pPr>
      <w:r>
        <w:rPr>
          <w:rFonts w:ascii="Arial" w:hAnsi="Arial" w:cs="Arial"/>
          <w:bCs/>
          <w:iCs/>
          <w:color w:val="auto"/>
          <w:sz w:val="28"/>
          <w:szCs w:val="28"/>
        </w:rPr>
        <w:t>Student ID: 2432004</w:t>
      </w:r>
      <w:r w:rsidR="00953671">
        <w:rPr>
          <w:rFonts w:ascii="Arial" w:hAnsi="Arial" w:cs="Arial"/>
          <w:bCs/>
          <w:iCs/>
          <w:color w:val="auto"/>
          <w:sz w:val="28"/>
          <w:szCs w:val="28"/>
        </w:rPr>
        <w:t xml:space="preserve"> </w:t>
      </w:r>
    </w:p>
    <w:p w14:paraId="16AA3086" w14:textId="1DC55134" w:rsidR="00953671" w:rsidRPr="00B516A3" w:rsidRDefault="00953671" w:rsidP="009C2D59">
      <w:pPr>
        <w:rPr>
          <w:rFonts w:ascii="Arial" w:hAnsi="Arial" w:cs="Arial"/>
          <w:bCs/>
          <w:iCs/>
          <w:color w:val="auto"/>
          <w:sz w:val="28"/>
          <w:szCs w:val="28"/>
        </w:rPr>
      </w:pPr>
      <w:r>
        <w:rPr>
          <w:rFonts w:ascii="Arial" w:hAnsi="Arial" w:cs="Arial"/>
          <w:bCs/>
          <w:iCs/>
          <w:color w:val="auto"/>
          <w:sz w:val="28"/>
          <w:szCs w:val="28"/>
        </w:rPr>
        <w:t xml:space="preserve">Lecturer name: </w:t>
      </w:r>
      <w:r w:rsidR="00EC0999">
        <w:rPr>
          <w:rFonts w:ascii="Arial" w:hAnsi="Arial" w:cs="Arial"/>
          <w:bCs/>
          <w:iCs/>
          <w:color w:val="auto"/>
          <w:sz w:val="28"/>
          <w:szCs w:val="28"/>
        </w:rPr>
        <w:t>Helan parson</w:t>
      </w:r>
    </w:p>
    <w:p w14:paraId="0BED5493" w14:textId="77777777" w:rsidR="00B322E0" w:rsidRPr="00DF39D0" w:rsidRDefault="00B322E0">
      <w:pPr>
        <w:jc w:val="center"/>
        <w:rPr>
          <w:rFonts w:ascii="Arial" w:hAnsi="Arial" w:cs="Arial"/>
          <w:b/>
          <w:i/>
          <w:color w:val="auto"/>
          <w:sz w:val="40"/>
          <w:szCs w:val="40"/>
        </w:rPr>
      </w:pPr>
    </w:p>
    <w:p w14:paraId="2AD239C9" w14:textId="77777777" w:rsidR="00793373" w:rsidRPr="00DA5AA3" w:rsidRDefault="00793373">
      <w:pPr>
        <w:pStyle w:val="ContentsHeading"/>
        <w:pageBreakBefore/>
        <w:rPr>
          <w:rFonts w:ascii="Arial" w:hAnsi="Arial" w:cs="Arial"/>
          <w:color w:val="auto"/>
          <w:sz w:val="22"/>
          <w:szCs w:val="22"/>
        </w:rPr>
      </w:pPr>
      <w:r w:rsidRPr="00DA5AA3">
        <w:rPr>
          <w:rFonts w:ascii="Arial" w:hAnsi="Arial" w:cs="Arial"/>
          <w:color w:val="auto"/>
          <w:sz w:val="22"/>
          <w:szCs w:val="22"/>
        </w:rPr>
        <w:lastRenderedPageBreak/>
        <w:t>Table of Contents</w:t>
      </w:r>
    </w:p>
    <w:p w14:paraId="5DFF9834" w14:textId="77777777" w:rsidR="001402F2" w:rsidRPr="009935B9" w:rsidRDefault="00793373">
      <w:pPr>
        <w:pStyle w:val="TOC1"/>
        <w:rPr>
          <w:rFonts w:ascii="Arial" w:eastAsia="Times New Roman" w:hAnsi="Arial" w:cs="Arial"/>
          <w:noProof/>
          <w:color w:val="auto"/>
          <w:sz w:val="22"/>
          <w:lang w:eastAsia="en-GB"/>
        </w:rPr>
      </w:pPr>
      <w:r w:rsidRPr="00DA5AA3">
        <w:rPr>
          <w:rFonts w:ascii="Arial" w:hAnsi="Arial" w:cs="Arial"/>
          <w:color w:val="auto"/>
          <w:sz w:val="22"/>
        </w:rPr>
        <w:fldChar w:fldCharType="begin"/>
      </w:r>
      <w:r w:rsidRPr="00DA5AA3">
        <w:rPr>
          <w:rFonts w:ascii="Arial" w:hAnsi="Arial" w:cs="Arial"/>
          <w:color w:val="auto"/>
          <w:sz w:val="22"/>
        </w:rPr>
        <w:instrText xml:space="preserve"> TOC \f \o "1-9" \o "1-9" </w:instrText>
      </w:r>
      <w:r w:rsidRPr="00DA5AA3">
        <w:rPr>
          <w:rFonts w:ascii="Arial" w:hAnsi="Arial" w:cs="Arial"/>
          <w:color w:val="auto"/>
          <w:sz w:val="22"/>
        </w:rPr>
        <w:fldChar w:fldCharType="separate"/>
      </w:r>
      <w:r w:rsidR="001402F2" w:rsidRPr="00DA5AA3">
        <w:rPr>
          <w:rFonts w:ascii="Arial" w:hAnsi="Arial" w:cs="Arial"/>
          <w:noProof/>
          <w:sz w:val="22"/>
        </w:rPr>
        <w:t>1. Introduction</w:t>
      </w:r>
      <w:r w:rsidR="001402F2" w:rsidRPr="00DA5AA3">
        <w:rPr>
          <w:rFonts w:ascii="Arial" w:hAnsi="Arial" w:cs="Arial"/>
          <w:noProof/>
          <w:sz w:val="22"/>
        </w:rPr>
        <w:tab/>
      </w:r>
      <w:r w:rsidR="001402F2" w:rsidRPr="00DA5AA3">
        <w:rPr>
          <w:rFonts w:ascii="Arial" w:hAnsi="Arial" w:cs="Arial"/>
          <w:noProof/>
          <w:sz w:val="22"/>
        </w:rPr>
        <w:fldChar w:fldCharType="begin"/>
      </w:r>
      <w:r w:rsidR="001402F2" w:rsidRPr="00DA5AA3">
        <w:rPr>
          <w:rFonts w:ascii="Arial" w:hAnsi="Arial" w:cs="Arial"/>
          <w:noProof/>
          <w:sz w:val="22"/>
        </w:rPr>
        <w:instrText xml:space="preserve"> PAGEREF _Toc242188336 \h </w:instrText>
      </w:r>
      <w:r w:rsidR="001402F2" w:rsidRPr="00DA5AA3">
        <w:rPr>
          <w:rFonts w:ascii="Arial" w:hAnsi="Arial" w:cs="Arial"/>
          <w:noProof/>
          <w:sz w:val="22"/>
        </w:rPr>
      </w:r>
      <w:r w:rsidR="001402F2" w:rsidRPr="00DA5AA3">
        <w:rPr>
          <w:rFonts w:ascii="Arial" w:hAnsi="Arial" w:cs="Arial"/>
          <w:noProof/>
          <w:sz w:val="22"/>
        </w:rPr>
        <w:fldChar w:fldCharType="separate"/>
      </w:r>
      <w:r w:rsidR="001402F2" w:rsidRPr="00DA5AA3">
        <w:rPr>
          <w:rFonts w:ascii="Arial" w:hAnsi="Arial" w:cs="Arial"/>
          <w:noProof/>
          <w:sz w:val="22"/>
        </w:rPr>
        <w:t>3</w:t>
      </w:r>
      <w:r w:rsidR="001402F2" w:rsidRPr="00DA5AA3">
        <w:rPr>
          <w:rFonts w:ascii="Arial" w:hAnsi="Arial" w:cs="Arial"/>
          <w:noProof/>
          <w:sz w:val="22"/>
        </w:rPr>
        <w:fldChar w:fldCharType="end"/>
      </w:r>
    </w:p>
    <w:p w14:paraId="317EE7F8"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2. Depression in the Residential-Care Context</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_Toc242188337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3</w:t>
      </w:r>
      <w:r w:rsidRPr="00DA5AA3">
        <w:rPr>
          <w:rFonts w:ascii="Arial" w:hAnsi="Arial" w:cs="Arial"/>
          <w:noProof/>
          <w:sz w:val="22"/>
        </w:rPr>
        <w:fldChar w:fldCharType="end"/>
      </w:r>
    </w:p>
    <w:p w14:paraId="6C95F034"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3. Erikson’s Psychosocial Theory: Ego Integrity versus Despair</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_Toc242188338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4</w:t>
      </w:r>
      <w:r w:rsidRPr="00DA5AA3">
        <w:rPr>
          <w:rFonts w:ascii="Arial" w:hAnsi="Arial" w:cs="Arial"/>
          <w:noProof/>
          <w:sz w:val="22"/>
        </w:rPr>
        <w:fldChar w:fldCharType="end"/>
      </w:r>
    </w:p>
    <w:p w14:paraId="4F2CF64C"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4. Application of Erikson in Residential Care</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_Toc242188339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4</w:t>
      </w:r>
      <w:r w:rsidRPr="00DA5AA3">
        <w:rPr>
          <w:rFonts w:ascii="Arial" w:hAnsi="Arial" w:cs="Arial"/>
          <w:noProof/>
          <w:sz w:val="22"/>
        </w:rPr>
        <w:fldChar w:fldCharType="end"/>
      </w:r>
    </w:p>
    <w:p w14:paraId="0AF1A1BF"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5. Socioemotional Selectivity Theory</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_Toc242188340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5</w:t>
      </w:r>
      <w:r w:rsidRPr="00DA5AA3">
        <w:rPr>
          <w:rFonts w:ascii="Arial" w:hAnsi="Arial" w:cs="Arial"/>
          <w:noProof/>
          <w:sz w:val="22"/>
        </w:rPr>
        <w:fldChar w:fldCharType="end"/>
      </w:r>
    </w:p>
    <w:p w14:paraId="72D6D195"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6. Application of SST to Depression and Residential Care</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_Toc242188341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5</w:t>
      </w:r>
      <w:r w:rsidRPr="00DA5AA3">
        <w:rPr>
          <w:rFonts w:ascii="Arial" w:hAnsi="Arial" w:cs="Arial"/>
          <w:noProof/>
          <w:sz w:val="22"/>
        </w:rPr>
        <w:fldChar w:fldCharType="end"/>
      </w:r>
    </w:p>
    <w:p w14:paraId="36333FFC"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7. Comparative Evaluation, Challenges and Professional Strategies</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_Toc242188342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6</w:t>
      </w:r>
      <w:r w:rsidRPr="00DA5AA3">
        <w:rPr>
          <w:rFonts w:ascii="Arial" w:hAnsi="Arial" w:cs="Arial"/>
          <w:noProof/>
          <w:sz w:val="22"/>
        </w:rPr>
        <w:fldChar w:fldCharType="end"/>
      </w:r>
    </w:p>
    <w:p w14:paraId="672A6DF4"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8. Conclusion</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_Toc242188343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7</w:t>
      </w:r>
      <w:r w:rsidRPr="00DA5AA3">
        <w:rPr>
          <w:rFonts w:ascii="Arial" w:hAnsi="Arial" w:cs="Arial"/>
          <w:noProof/>
          <w:sz w:val="22"/>
        </w:rPr>
        <w:fldChar w:fldCharType="end"/>
      </w:r>
    </w:p>
    <w:p w14:paraId="61C90773" w14:textId="77777777" w:rsidR="001402F2" w:rsidRPr="009935B9" w:rsidRDefault="001402F2">
      <w:pPr>
        <w:pStyle w:val="TOC1"/>
        <w:rPr>
          <w:rFonts w:ascii="Arial" w:eastAsia="Times New Roman" w:hAnsi="Arial" w:cs="Arial"/>
          <w:noProof/>
          <w:color w:val="auto"/>
          <w:sz w:val="22"/>
          <w:lang w:eastAsia="en-GB"/>
        </w:rPr>
      </w:pPr>
      <w:r w:rsidRPr="00DA5AA3">
        <w:rPr>
          <w:rFonts w:ascii="Arial" w:hAnsi="Arial" w:cs="Arial"/>
          <w:noProof/>
          <w:sz w:val="22"/>
        </w:rPr>
        <w:t>References</w:t>
      </w:r>
      <w:r w:rsidRPr="00DA5AA3">
        <w:rPr>
          <w:rFonts w:ascii="Arial" w:hAnsi="Arial" w:cs="Arial"/>
          <w:noProof/>
          <w:sz w:val="22"/>
        </w:rPr>
        <w:tab/>
      </w:r>
      <w:r w:rsidRPr="00DA5AA3">
        <w:rPr>
          <w:rFonts w:ascii="Arial" w:hAnsi="Arial" w:cs="Arial"/>
          <w:noProof/>
          <w:sz w:val="22"/>
        </w:rPr>
        <w:fldChar w:fldCharType="begin"/>
      </w:r>
      <w:r w:rsidRPr="00DA5AA3">
        <w:rPr>
          <w:rFonts w:ascii="Arial" w:hAnsi="Arial" w:cs="Arial"/>
          <w:noProof/>
          <w:sz w:val="22"/>
        </w:rPr>
        <w:instrText xml:space="preserve"> PAGEREF _Toc242188344 \h </w:instrText>
      </w:r>
      <w:r w:rsidRPr="00DA5AA3">
        <w:rPr>
          <w:rFonts w:ascii="Arial" w:hAnsi="Arial" w:cs="Arial"/>
          <w:noProof/>
          <w:sz w:val="22"/>
        </w:rPr>
      </w:r>
      <w:r w:rsidRPr="00DA5AA3">
        <w:rPr>
          <w:rFonts w:ascii="Arial" w:hAnsi="Arial" w:cs="Arial"/>
          <w:noProof/>
          <w:sz w:val="22"/>
        </w:rPr>
        <w:fldChar w:fldCharType="separate"/>
      </w:r>
      <w:r w:rsidRPr="00DA5AA3">
        <w:rPr>
          <w:rFonts w:ascii="Arial" w:hAnsi="Arial" w:cs="Arial"/>
          <w:noProof/>
          <w:sz w:val="22"/>
        </w:rPr>
        <w:t>9</w:t>
      </w:r>
      <w:r w:rsidRPr="00DA5AA3">
        <w:rPr>
          <w:rFonts w:ascii="Arial" w:hAnsi="Arial" w:cs="Arial"/>
          <w:noProof/>
          <w:sz w:val="22"/>
        </w:rPr>
        <w:fldChar w:fldCharType="end"/>
      </w:r>
    </w:p>
    <w:p w14:paraId="782FB080" w14:textId="77777777" w:rsidR="005901D0" w:rsidRPr="00DA5AA3" w:rsidRDefault="00793373" w:rsidP="005901D0">
      <w:pPr>
        <w:pStyle w:val="TOC1"/>
        <w:rPr>
          <w:rFonts w:ascii="Arial" w:hAnsi="Arial" w:cs="Arial"/>
          <w:color w:val="auto"/>
          <w:sz w:val="22"/>
        </w:rPr>
      </w:pPr>
      <w:r w:rsidRPr="00DA5AA3">
        <w:rPr>
          <w:rFonts w:ascii="Arial" w:hAnsi="Arial" w:cs="Arial"/>
          <w:color w:val="auto"/>
          <w:sz w:val="22"/>
        </w:rPr>
        <w:fldChar w:fldCharType="end"/>
      </w:r>
    </w:p>
    <w:p w14:paraId="589303A7" w14:textId="77777777" w:rsidR="001402F2" w:rsidRPr="00DA5AA3" w:rsidRDefault="001402F2" w:rsidP="005901D0">
      <w:pPr>
        <w:pStyle w:val="TOC1"/>
        <w:rPr>
          <w:rFonts w:ascii="Arial" w:hAnsi="Arial" w:cs="Arial"/>
          <w:b/>
          <w:color w:val="auto"/>
          <w:sz w:val="22"/>
        </w:rPr>
      </w:pPr>
      <w:r w:rsidRPr="00DA5AA3">
        <w:rPr>
          <w:rFonts w:ascii="Arial" w:hAnsi="Arial" w:cs="Arial"/>
          <w:b/>
          <w:color w:val="auto"/>
          <w:sz w:val="22"/>
        </w:rPr>
        <w:t>List of Tables</w:t>
      </w:r>
    </w:p>
    <w:p w14:paraId="1AFFFFC0" w14:textId="77777777" w:rsidR="001402F2" w:rsidRPr="009935B9" w:rsidRDefault="001402F2">
      <w:pPr>
        <w:pStyle w:val="TableofFigures"/>
        <w:tabs>
          <w:tab w:val="right" w:leader="dot" w:pos="9350"/>
        </w:tabs>
        <w:rPr>
          <w:rFonts w:ascii="Arial" w:eastAsia="Times New Roman" w:hAnsi="Arial" w:cs="Arial"/>
          <w:noProof/>
          <w:color w:val="auto"/>
          <w:sz w:val="22"/>
          <w:lang w:eastAsia="en-GB"/>
        </w:rPr>
      </w:pPr>
      <w:r w:rsidRPr="00DA5AA3">
        <w:rPr>
          <w:rFonts w:ascii="Arial" w:hAnsi="Arial" w:cs="Arial"/>
          <w:color w:val="auto"/>
          <w:sz w:val="22"/>
        </w:rPr>
        <w:fldChar w:fldCharType="begin"/>
      </w:r>
      <w:r w:rsidRPr="00DA5AA3">
        <w:rPr>
          <w:rFonts w:ascii="Arial" w:hAnsi="Arial" w:cs="Arial"/>
          <w:color w:val="auto"/>
          <w:sz w:val="22"/>
        </w:rPr>
        <w:instrText xml:space="preserve"> TOC \h \z \c "Table" </w:instrText>
      </w:r>
      <w:r w:rsidRPr="00DA5AA3">
        <w:rPr>
          <w:rFonts w:ascii="Arial" w:hAnsi="Arial" w:cs="Arial"/>
          <w:color w:val="auto"/>
          <w:sz w:val="22"/>
        </w:rPr>
        <w:fldChar w:fldCharType="separate"/>
      </w:r>
      <w:hyperlink w:anchor="_Toc242188561" w:history="1">
        <w:r w:rsidRPr="00DA5AA3">
          <w:rPr>
            <w:rStyle w:val="Hyperlink"/>
            <w:rFonts w:ascii="Arial" w:hAnsi="Arial" w:cs="Arial"/>
            <w:noProof/>
            <w:sz w:val="22"/>
          </w:rPr>
          <w:t>Table 1: Critical comparison of the two psychological theories</w:t>
        </w:r>
        <w:r w:rsidRPr="00DA5AA3">
          <w:rPr>
            <w:rFonts w:ascii="Arial" w:hAnsi="Arial" w:cs="Arial"/>
            <w:noProof/>
            <w:webHidden/>
            <w:sz w:val="22"/>
          </w:rPr>
          <w:tab/>
        </w:r>
        <w:r w:rsidRPr="00DA5AA3">
          <w:rPr>
            <w:rFonts w:ascii="Arial" w:hAnsi="Arial" w:cs="Arial"/>
            <w:noProof/>
            <w:webHidden/>
            <w:sz w:val="22"/>
          </w:rPr>
          <w:fldChar w:fldCharType="begin"/>
        </w:r>
        <w:r w:rsidRPr="00DA5AA3">
          <w:rPr>
            <w:rFonts w:ascii="Arial" w:hAnsi="Arial" w:cs="Arial"/>
            <w:noProof/>
            <w:webHidden/>
            <w:sz w:val="22"/>
          </w:rPr>
          <w:instrText xml:space="preserve"> PAGEREF _Toc242188561 \h </w:instrText>
        </w:r>
        <w:r w:rsidRPr="00DA5AA3">
          <w:rPr>
            <w:rFonts w:ascii="Arial" w:hAnsi="Arial" w:cs="Arial"/>
            <w:noProof/>
            <w:webHidden/>
            <w:sz w:val="22"/>
          </w:rPr>
        </w:r>
        <w:r w:rsidRPr="00DA5AA3">
          <w:rPr>
            <w:rFonts w:ascii="Arial" w:hAnsi="Arial" w:cs="Arial"/>
            <w:noProof/>
            <w:webHidden/>
            <w:sz w:val="22"/>
          </w:rPr>
          <w:fldChar w:fldCharType="separate"/>
        </w:r>
        <w:r w:rsidRPr="00DA5AA3">
          <w:rPr>
            <w:rFonts w:ascii="Arial" w:hAnsi="Arial" w:cs="Arial"/>
            <w:noProof/>
            <w:webHidden/>
            <w:sz w:val="22"/>
          </w:rPr>
          <w:t>6</w:t>
        </w:r>
        <w:r w:rsidRPr="00DA5AA3">
          <w:rPr>
            <w:rFonts w:ascii="Arial" w:hAnsi="Arial" w:cs="Arial"/>
            <w:noProof/>
            <w:webHidden/>
            <w:sz w:val="22"/>
          </w:rPr>
          <w:fldChar w:fldCharType="end"/>
        </w:r>
      </w:hyperlink>
    </w:p>
    <w:p w14:paraId="6A0339AC" w14:textId="77777777" w:rsidR="001402F2" w:rsidRPr="009935B9" w:rsidRDefault="001402F2">
      <w:pPr>
        <w:pStyle w:val="TableofFigures"/>
        <w:tabs>
          <w:tab w:val="right" w:leader="dot" w:pos="9350"/>
        </w:tabs>
        <w:rPr>
          <w:rFonts w:ascii="Arial" w:eastAsia="Times New Roman" w:hAnsi="Arial" w:cs="Arial"/>
          <w:noProof/>
          <w:color w:val="auto"/>
          <w:sz w:val="22"/>
          <w:lang w:eastAsia="en-GB"/>
        </w:rPr>
      </w:pPr>
      <w:hyperlink w:anchor="_Toc242188562" w:history="1">
        <w:r w:rsidRPr="00DA5AA3">
          <w:rPr>
            <w:rStyle w:val="Hyperlink"/>
            <w:rFonts w:ascii="Arial" w:hAnsi="Arial" w:cs="Arial"/>
            <w:noProof/>
            <w:sz w:val="22"/>
          </w:rPr>
          <w:t>Table 2: Professional challenges and evidence-informed strategies</w:t>
        </w:r>
        <w:r w:rsidRPr="00DA5AA3">
          <w:rPr>
            <w:rFonts w:ascii="Arial" w:hAnsi="Arial" w:cs="Arial"/>
            <w:noProof/>
            <w:webHidden/>
            <w:sz w:val="22"/>
          </w:rPr>
          <w:tab/>
        </w:r>
        <w:r w:rsidRPr="00DA5AA3">
          <w:rPr>
            <w:rFonts w:ascii="Arial" w:hAnsi="Arial" w:cs="Arial"/>
            <w:noProof/>
            <w:webHidden/>
            <w:sz w:val="22"/>
          </w:rPr>
          <w:fldChar w:fldCharType="begin"/>
        </w:r>
        <w:r w:rsidRPr="00DA5AA3">
          <w:rPr>
            <w:rFonts w:ascii="Arial" w:hAnsi="Arial" w:cs="Arial"/>
            <w:noProof/>
            <w:webHidden/>
            <w:sz w:val="22"/>
          </w:rPr>
          <w:instrText xml:space="preserve"> PAGEREF _Toc242188562 \h </w:instrText>
        </w:r>
        <w:r w:rsidRPr="00DA5AA3">
          <w:rPr>
            <w:rFonts w:ascii="Arial" w:hAnsi="Arial" w:cs="Arial"/>
            <w:noProof/>
            <w:webHidden/>
            <w:sz w:val="22"/>
          </w:rPr>
        </w:r>
        <w:r w:rsidRPr="00DA5AA3">
          <w:rPr>
            <w:rFonts w:ascii="Arial" w:hAnsi="Arial" w:cs="Arial"/>
            <w:noProof/>
            <w:webHidden/>
            <w:sz w:val="22"/>
          </w:rPr>
          <w:fldChar w:fldCharType="separate"/>
        </w:r>
        <w:r w:rsidRPr="00DA5AA3">
          <w:rPr>
            <w:rFonts w:ascii="Arial" w:hAnsi="Arial" w:cs="Arial"/>
            <w:noProof/>
            <w:webHidden/>
            <w:sz w:val="22"/>
          </w:rPr>
          <w:t>7</w:t>
        </w:r>
        <w:r w:rsidRPr="00DA5AA3">
          <w:rPr>
            <w:rFonts w:ascii="Arial" w:hAnsi="Arial" w:cs="Arial"/>
            <w:noProof/>
            <w:webHidden/>
            <w:sz w:val="22"/>
          </w:rPr>
          <w:fldChar w:fldCharType="end"/>
        </w:r>
      </w:hyperlink>
    </w:p>
    <w:p w14:paraId="18C85BEB" w14:textId="77777777" w:rsidR="00793373" w:rsidRPr="00DF39D0" w:rsidRDefault="001402F2">
      <w:pPr>
        <w:rPr>
          <w:rFonts w:ascii="Arial" w:hAnsi="Arial" w:cs="Arial"/>
          <w:color w:val="auto"/>
          <w:szCs w:val="24"/>
        </w:rPr>
      </w:pPr>
      <w:r w:rsidRPr="00DA5AA3">
        <w:rPr>
          <w:rFonts w:ascii="Arial" w:hAnsi="Arial" w:cs="Arial"/>
          <w:color w:val="auto"/>
          <w:sz w:val="22"/>
        </w:rPr>
        <w:fldChar w:fldCharType="end"/>
      </w:r>
    </w:p>
    <w:p w14:paraId="597B1771" w14:textId="77777777" w:rsidR="00FA3835" w:rsidRPr="00DF39D0" w:rsidRDefault="00FA3835">
      <w:pPr>
        <w:rPr>
          <w:rFonts w:ascii="Arial" w:hAnsi="Arial" w:cs="Arial"/>
          <w:color w:val="auto"/>
          <w:szCs w:val="24"/>
        </w:rPr>
      </w:pPr>
    </w:p>
    <w:p w14:paraId="623F386B" w14:textId="77777777" w:rsidR="00FA3835" w:rsidRPr="00DF39D0" w:rsidRDefault="00FA3835">
      <w:pPr>
        <w:rPr>
          <w:rFonts w:ascii="Arial" w:hAnsi="Arial" w:cs="Arial"/>
          <w:color w:val="auto"/>
          <w:szCs w:val="24"/>
        </w:rPr>
      </w:pPr>
    </w:p>
    <w:p w14:paraId="2E645011" w14:textId="77777777" w:rsidR="000824D7" w:rsidRPr="00DF39D0" w:rsidRDefault="006407FE" w:rsidP="004A42D9">
      <w:pPr>
        <w:pStyle w:val="Heading1"/>
        <w:rPr>
          <w:rFonts w:ascii="Arial" w:hAnsi="Arial" w:cs="Arial"/>
          <w:sz w:val="22"/>
          <w:szCs w:val="22"/>
        </w:rPr>
      </w:pPr>
      <w:r w:rsidRPr="00DF39D0">
        <w:rPr>
          <w:rFonts w:ascii="Arial" w:hAnsi="Arial" w:cs="Arial"/>
        </w:rPr>
        <w:br w:type="page"/>
      </w:r>
      <w:bookmarkStart w:id="1" w:name="_Toc242188336"/>
      <w:r w:rsidR="001402F2" w:rsidRPr="00DF39D0">
        <w:rPr>
          <w:rFonts w:ascii="Arial" w:hAnsi="Arial" w:cs="Arial"/>
          <w:sz w:val="22"/>
          <w:szCs w:val="22"/>
        </w:rPr>
        <w:lastRenderedPageBreak/>
        <w:t xml:space="preserve">1. </w:t>
      </w:r>
      <w:r w:rsidR="00607926" w:rsidRPr="00DF39D0">
        <w:rPr>
          <w:rFonts w:ascii="Arial" w:hAnsi="Arial" w:cs="Arial"/>
          <w:sz w:val="22"/>
          <w:szCs w:val="22"/>
        </w:rPr>
        <w:t>Introduction</w:t>
      </w:r>
      <w:bookmarkEnd w:id="1"/>
    </w:p>
    <w:p w14:paraId="596064EE" w14:textId="77777777" w:rsidR="00BA0006" w:rsidRPr="00DF39D0" w:rsidRDefault="00BA0006" w:rsidP="00BA0006">
      <w:pPr>
        <w:rPr>
          <w:rFonts w:ascii="Arial" w:hAnsi="Arial" w:cs="Arial"/>
          <w:sz w:val="22"/>
        </w:rPr>
      </w:pPr>
      <w:r w:rsidRPr="00DF39D0">
        <w:rPr>
          <w:rFonts w:ascii="Arial" w:hAnsi="Arial" w:cs="Arial"/>
          <w:sz w:val="22"/>
        </w:rPr>
        <w:t>Depression in older adults residing in residential care is a clinically relevant issue due to the possible presence of relocation, bereavement, functional decline, loss of autonomy, and disrupted relationships within the same period of an individual's life. Based on the analysis of 48 studies covering 28,501 residents of nursing homes in 2024, the prevalence of depressive mood was 53%, and that of major depressive disorder was 27%, with loneliness, pain, functional impairment, lack of autonomy, and inadequate social support being important correlates (Wang et al., 2024). This review provides a critical examination of depression in adults aged 65 years and above based on the psychosocial theory of Erikson, especially ego integrity vs. despair, and Socioemotional Selectivity Theory (SST). Instead of considering either theory as the comprehensive causal explanation for the problem, it should be said that each of them sheds light on distinct aspects – while Erikson's theory explains the meanings and evaluations of people's lives, SST explains the shifting priorities and meaningful relationships.</w:t>
      </w:r>
    </w:p>
    <w:p w14:paraId="620CE69C" w14:textId="77777777" w:rsidR="00BA0006" w:rsidRPr="00DF39D0" w:rsidRDefault="00BA0006" w:rsidP="00BA0006">
      <w:pPr>
        <w:rPr>
          <w:rFonts w:ascii="Arial" w:hAnsi="Arial" w:cs="Arial"/>
          <w:sz w:val="22"/>
        </w:rPr>
      </w:pPr>
    </w:p>
    <w:p w14:paraId="23F7DAF2" w14:textId="77777777" w:rsidR="00BA0006" w:rsidRPr="00DF39D0" w:rsidRDefault="00BA0006" w:rsidP="00BA0006">
      <w:pPr>
        <w:pStyle w:val="Heading1"/>
        <w:rPr>
          <w:rFonts w:ascii="Arial" w:hAnsi="Arial" w:cs="Arial"/>
          <w:sz w:val="22"/>
          <w:szCs w:val="22"/>
        </w:rPr>
      </w:pPr>
      <w:bookmarkStart w:id="2" w:name="_Toc242188337"/>
      <w:r w:rsidRPr="00DF39D0">
        <w:rPr>
          <w:rFonts w:ascii="Arial" w:hAnsi="Arial" w:cs="Arial"/>
          <w:sz w:val="22"/>
          <w:szCs w:val="22"/>
        </w:rPr>
        <w:t>2. Depression in the Residential-Care Context</w:t>
      </w:r>
      <w:bookmarkEnd w:id="2"/>
    </w:p>
    <w:p w14:paraId="76973B72" w14:textId="77777777" w:rsidR="00BA0006" w:rsidRPr="00DF39D0" w:rsidRDefault="00BA0006" w:rsidP="00BA0006">
      <w:pPr>
        <w:rPr>
          <w:rFonts w:ascii="Arial" w:hAnsi="Arial" w:cs="Arial"/>
          <w:sz w:val="22"/>
        </w:rPr>
      </w:pPr>
      <w:r w:rsidRPr="00DF39D0">
        <w:rPr>
          <w:rFonts w:ascii="Arial" w:hAnsi="Arial" w:cs="Arial"/>
          <w:sz w:val="22"/>
        </w:rPr>
        <w:t xml:space="preserve">Depression in the older adult population cannot be equated with the effects of normal aging or temporary </w:t>
      </w:r>
      <w:r w:rsidR="00B57D48" w:rsidRPr="00DF39D0">
        <w:rPr>
          <w:rFonts w:ascii="Arial" w:hAnsi="Arial" w:cs="Arial"/>
          <w:sz w:val="22"/>
        </w:rPr>
        <w:t>sadness. This can be characteris</w:t>
      </w:r>
      <w:r w:rsidRPr="00DF39D0">
        <w:rPr>
          <w:rFonts w:ascii="Arial" w:hAnsi="Arial" w:cs="Arial"/>
          <w:sz w:val="22"/>
        </w:rPr>
        <w:t>ed by constant moodiness, anhedonia, hopelessness, disturbances in sleeping and eating habits, withdrawal, and decreased engagement. Among older adults, the estimated prevalence remains high, with a pooled depression prevalence rate of 19.2% for a recent global meta-analysis and a higher prevalence among nursing home residents (Jalali et al., 2024). In China, research on care homes has demonstrated an estimated pooled prevalence rate of depressive symptoms among care home residents at 36.8% (Tang et al., 2022). The connections in families are also pertinent to this issue since an integrative review study found that loneliness and social isolation were key factors in the development of depression, underlining the psychological significance of visits within the family (Tan et al., 2023). Therefore, the development of depression can be explained using a biopsychosocial framework, as physical diseases and dependence coincide with social isolation, environmental constraints, and psychological interpretation of the loss. It is hard, however, to determine causality in this context since the research conducted is mainly observational.</w:t>
      </w:r>
    </w:p>
    <w:p w14:paraId="22D073D6" w14:textId="77777777" w:rsidR="00BA0006" w:rsidRPr="00DF39D0" w:rsidRDefault="00BA0006" w:rsidP="00BA0006">
      <w:pPr>
        <w:rPr>
          <w:rFonts w:ascii="Arial" w:hAnsi="Arial" w:cs="Arial"/>
          <w:sz w:val="22"/>
        </w:rPr>
      </w:pPr>
    </w:p>
    <w:p w14:paraId="31F8901E" w14:textId="77777777" w:rsidR="00BA0006" w:rsidRPr="00DF39D0" w:rsidRDefault="00BA0006" w:rsidP="00BA0006">
      <w:pPr>
        <w:pStyle w:val="Heading1"/>
        <w:rPr>
          <w:rFonts w:ascii="Arial" w:hAnsi="Arial" w:cs="Arial"/>
          <w:sz w:val="22"/>
          <w:szCs w:val="22"/>
        </w:rPr>
      </w:pPr>
      <w:bookmarkStart w:id="3" w:name="_Toc242188338"/>
      <w:r w:rsidRPr="00DF39D0">
        <w:rPr>
          <w:rFonts w:ascii="Arial" w:hAnsi="Arial" w:cs="Arial"/>
          <w:sz w:val="22"/>
          <w:szCs w:val="22"/>
        </w:rPr>
        <w:t>3. Erikson’s Psychosocial Theory: Ego Integrity versus Despair</w:t>
      </w:r>
      <w:bookmarkEnd w:id="3"/>
    </w:p>
    <w:p w14:paraId="27BD8B4B" w14:textId="77777777" w:rsidR="00BA0006" w:rsidRPr="00DF39D0" w:rsidRDefault="00BA0006" w:rsidP="00BA0006">
      <w:pPr>
        <w:rPr>
          <w:rFonts w:ascii="Arial" w:hAnsi="Arial" w:cs="Arial"/>
          <w:sz w:val="22"/>
        </w:rPr>
      </w:pPr>
      <w:r w:rsidRPr="00DF39D0">
        <w:rPr>
          <w:rFonts w:ascii="Arial" w:hAnsi="Arial" w:cs="Arial"/>
          <w:sz w:val="22"/>
        </w:rPr>
        <w:t xml:space="preserve">Development through Erikson’s theory is a lifelong process involving different psychosocial tasks at various stages. At the late adulthood stage, the individual faces the problem of ego integrity </w:t>
      </w:r>
      <w:r w:rsidRPr="00DF39D0">
        <w:rPr>
          <w:rFonts w:ascii="Arial" w:hAnsi="Arial" w:cs="Arial"/>
          <w:sz w:val="22"/>
        </w:rPr>
        <w:lastRenderedPageBreak/>
        <w:t>versus despair</w:t>
      </w:r>
      <w:r w:rsidR="00D9702A" w:rsidRPr="00D9702A">
        <w:t xml:space="preserve"> </w:t>
      </w:r>
      <w:r w:rsidR="00D9702A" w:rsidRPr="00D9702A">
        <w:rPr>
          <w:rFonts w:ascii="Arial" w:hAnsi="Arial" w:cs="Arial"/>
          <w:sz w:val="22"/>
        </w:rPr>
        <w:t>(Erikson, 1950)</w:t>
      </w:r>
      <w:r w:rsidRPr="00DF39D0">
        <w:rPr>
          <w:rFonts w:ascii="Arial" w:hAnsi="Arial" w:cs="Arial"/>
          <w:sz w:val="22"/>
        </w:rPr>
        <w:t>. Ego integrity involves acceptance, continuity, meaning, and the idea that the person’s life has value, whereas despair involves regret, loss, and the perception of failure and lack of acceptance of finitude. This hypothesis is supported by contemporary evidence. For example, among 693 older adults aged between 65 and 89 years, ego integrity and despair showed opposing relationships with well-being and psychological distress, whereas need satisfaction explained a large portion of their relationships with depression (</w:t>
      </w:r>
      <w:r w:rsidR="001402F2" w:rsidRPr="00DF39D0">
        <w:rPr>
          <w:rFonts w:ascii="Arial" w:hAnsi="Arial" w:cs="Arial"/>
          <w:sz w:val="22"/>
        </w:rPr>
        <w:t xml:space="preserve">Van der </w:t>
      </w:r>
      <w:proofErr w:type="spellStart"/>
      <w:r w:rsidR="001402F2" w:rsidRPr="00DF39D0">
        <w:rPr>
          <w:rFonts w:ascii="Arial" w:hAnsi="Arial" w:cs="Arial"/>
          <w:sz w:val="22"/>
        </w:rPr>
        <w:t>Kaap-Deeder</w:t>
      </w:r>
      <w:proofErr w:type="spellEnd"/>
      <w:r w:rsidR="001402F2" w:rsidRPr="00DF39D0">
        <w:rPr>
          <w:rFonts w:ascii="Arial" w:hAnsi="Arial" w:cs="Arial"/>
          <w:sz w:val="22"/>
        </w:rPr>
        <w:t xml:space="preserve"> et al., 2021</w:t>
      </w:r>
      <w:r w:rsidRPr="00DF39D0">
        <w:rPr>
          <w:rFonts w:ascii="Arial" w:hAnsi="Arial" w:cs="Arial"/>
          <w:sz w:val="22"/>
        </w:rPr>
        <w:t>). Clinical findings also show that integrity and hopelessness might mediate the link between maladaptive coping skills and depression among geriatric patients (Desmet et al., 2022). Thus, the theory provides a possible explanation for how moving to new places, loss, and reduction in independence could be psychological</w:t>
      </w:r>
      <w:r w:rsidR="00B57D48" w:rsidRPr="00DF39D0">
        <w:rPr>
          <w:rFonts w:ascii="Arial" w:hAnsi="Arial" w:cs="Arial"/>
          <w:sz w:val="22"/>
        </w:rPr>
        <w:t>ly detrimental if they jeopardis</w:t>
      </w:r>
      <w:r w:rsidRPr="00DF39D0">
        <w:rPr>
          <w:rFonts w:ascii="Arial" w:hAnsi="Arial" w:cs="Arial"/>
          <w:sz w:val="22"/>
        </w:rPr>
        <w:t>e one’s sense of self or perpetuate feelings of guilt. Nevertheless, Erikson should not be considered as deterministic. Not all the residents will reach the same level of development simply because of age, but different factors like culture, religion, socio-economic status, and biography will affect their idea of 'living a fulfilled life'.</w:t>
      </w:r>
    </w:p>
    <w:p w14:paraId="2D957F29" w14:textId="77777777" w:rsidR="00BA0006" w:rsidRPr="00DF39D0" w:rsidRDefault="00BA0006" w:rsidP="00BA0006">
      <w:pPr>
        <w:rPr>
          <w:rFonts w:ascii="Arial" w:hAnsi="Arial" w:cs="Arial"/>
          <w:sz w:val="22"/>
        </w:rPr>
      </w:pPr>
    </w:p>
    <w:p w14:paraId="5B3C033D" w14:textId="77777777" w:rsidR="00BA0006" w:rsidRPr="00DF39D0" w:rsidRDefault="00BA0006" w:rsidP="00BA0006">
      <w:pPr>
        <w:pStyle w:val="Heading1"/>
        <w:rPr>
          <w:rFonts w:ascii="Arial" w:hAnsi="Arial" w:cs="Arial"/>
          <w:sz w:val="22"/>
          <w:szCs w:val="22"/>
        </w:rPr>
      </w:pPr>
      <w:bookmarkStart w:id="4" w:name="_Toc242188339"/>
      <w:r w:rsidRPr="00DF39D0">
        <w:rPr>
          <w:rFonts w:ascii="Arial" w:hAnsi="Arial" w:cs="Arial"/>
          <w:sz w:val="22"/>
          <w:szCs w:val="22"/>
        </w:rPr>
        <w:t>4. Application of Erikson in Residential Care</w:t>
      </w:r>
      <w:bookmarkEnd w:id="4"/>
    </w:p>
    <w:p w14:paraId="28550F9B" w14:textId="77777777" w:rsidR="00BA0006" w:rsidRPr="00DF39D0" w:rsidRDefault="00BA0006" w:rsidP="00BA0006">
      <w:pPr>
        <w:rPr>
          <w:rFonts w:ascii="Arial" w:hAnsi="Arial" w:cs="Arial"/>
          <w:sz w:val="22"/>
        </w:rPr>
      </w:pPr>
      <w:r w:rsidRPr="00DF39D0">
        <w:rPr>
          <w:rFonts w:ascii="Arial" w:hAnsi="Arial" w:cs="Arial"/>
          <w:sz w:val="22"/>
        </w:rPr>
        <w:t>If applied judiciously, Erikson’s theory can help practitioners to respect the identities of the residents and not classify them based on their dependence. The process of life story work allows practitioners to plan care, communication and meaningful activities in terms of significant roles, relationships, accomplishments, routines and losses. Reminiscence therapy and life review are especially congruent with ego integrity because they allow residents to reinterpret their experience, link up their past and present identities and continue to feel a sense of identity continuity. A meta-analysis of 27 studies which included 1,755 older adults showed that the reminiscence therapy reduces depression symptoms and increases life satisfaction (Xu et al., 2023). Likewise, results of randomised trials suggest that life review and reminiscence intervention contribute to improved quality of life and increased life satisfaction in a range of settings (Zhong et al., 2023). However, practitioners should avoid any attempt to impose positive interpretations because traumatic experiences, bereavement and conflicts in the family might make reflection distressing. Hence, practitioners need to encourage voluntary reflection, pay attention to the emotional reactions of residents and refer them to psychological assessment if necessary.</w:t>
      </w:r>
    </w:p>
    <w:p w14:paraId="62447BFB" w14:textId="77777777" w:rsidR="00BA0006" w:rsidRPr="00DF39D0" w:rsidRDefault="00BA0006" w:rsidP="00BA0006">
      <w:pPr>
        <w:rPr>
          <w:rFonts w:ascii="Arial" w:hAnsi="Arial" w:cs="Arial"/>
          <w:sz w:val="22"/>
        </w:rPr>
      </w:pPr>
    </w:p>
    <w:p w14:paraId="785541BE" w14:textId="77777777" w:rsidR="00BA0006" w:rsidRPr="00DF39D0" w:rsidRDefault="00BA0006" w:rsidP="00BA0006">
      <w:pPr>
        <w:pStyle w:val="Heading1"/>
        <w:rPr>
          <w:rFonts w:ascii="Arial" w:hAnsi="Arial" w:cs="Arial"/>
          <w:sz w:val="22"/>
          <w:szCs w:val="22"/>
        </w:rPr>
      </w:pPr>
      <w:bookmarkStart w:id="5" w:name="_Toc242188340"/>
      <w:r w:rsidRPr="00DF39D0">
        <w:rPr>
          <w:rFonts w:ascii="Arial" w:hAnsi="Arial" w:cs="Arial"/>
          <w:sz w:val="22"/>
          <w:szCs w:val="22"/>
        </w:rPr>
        <w:lastRenderedPageBreak/>
        <w:t>5. Socioemotional Selectivity Theory</w:t>
      </w:r>
      <w:bookmarkEnd w:id="5"/>
    </w:p>
    <w:p w14:paraId="79C815FF" w14:textId="77777777" w:rsidR="00BA0006" w:rsidRPr="00DF39D0" w:rsidRDefault="00BA0006" w:rsidP="00BA0006">
      <w:pPr>
        <w:rPr>
          <w:rFonts w:ascii="Arial" w:hAnsi="Arial" w:cs="Arial"/>
          <w:sz w:val="22"/>
        </w:rPr>
      </w:pPr>
      <w:r w:rsidRPr="00DF39D0">
        <w:rPr>
          <w:rFonts w:ascii="Arial" w:hAnsi="Arial" w:cs="Arial"/>
          <w:sz w:val="22"/>
        </w:rPr>
        <w:t>According to SST, time in the future perspective is invo</w:t>
      </w:r>
      <w:r w:rsidR="00B57D48" w:rsidRPr="00DF39D0">
        <w:rPr>
          <w:rFonts w:ascii="Arial" w:hAnsi="Arial" w:cs="Arial"/>
          <w:sz w:val="22"/>
        </w:rPr>
        <w:t>lved in the process of prioritis</w:t>
      </w:r>
      <w:r w:rsidRPr="00DF39D0">
        <w:rPr>
          <w:rFonts w:ascii="Arial" w:hAnsi="Arial" w:cs="Arial"/>
          <w:sz w:val="22"/>
        </w:rPr>
        <w:t xml:space="preserve">ing motivation. In the case where there is abundance of time, knowledge and new goals become priorities, but when there is restriction of time, emotionally valuable goals and relationships become priorities. This applies mainly to elderly people, though what is important is the time perspective and not age. As demonstrated in one study involving 478 adults with a mean age of 72.11, social satisfaction played a mediating role between future time perspective and successful aging, while the number of close social partners played an intermediate part in this process (Soylu and </w:t>
      </w:r>
      <w:proofErr w:type="spellStart"/>
      <w:r w:rsidRPr="00DF39D0">
        <w:rPr>
          <w:rFonts w:ascii="Arial" w:hAnsi="Arial" w:cs="Arial"/>
          <w:sz w:val="22"/>
        </w:rPr>
        <w:t>Ozekes</w:t>
      </w:r>
      <w:proofErr w:type="spellEnd"/>
      <w:r w:rsidR="001402F2" w:rsidRPr="00DF39D0">
        <w:rPr>
          <w:rFonts w:ascii="Arial" w:hAnsi="Arial" w:cs="Arial"/>
          <w:sz w:val="22"/>
        </w:rPr>
        <w:t>, 2022</w:t>
      </w:r>
      <w:r w:rsidRPr="00DF39D0">
        <w:rPr>
          <w:rFonts w:ascii="Arial" w:hAnsi="Arial" w:cs="Arial"/>
          <w:sz w:val="22"/>
        </w:rPr>
        <w:t xml:space="preserve">). Age differences were also found in the future time perspective, social goals, and preferred social network for 271 older Koreans, while subjective age was relevant </w:t>
      </w:r>
      <w:r w:rsidR="001402F2" w:rsidRPr="00DF39D0">
        <w:rPr>
          <w:rFonts w:ascii="Arial" w:hAnsi="Arial" w:cs="Arial"/>
          <w:sz w:val="22"/>
        </w:rPr>
        <w:t>(Bae, Jeon and Walker, 2022)</w:t>
      </w:r>
      <w:r w:rsidRPr="00DF39D0">
        <w:rPr>
          <w:rFonts w:ascii="Arial" w:hAnsi="Arial" w:cs="Arial"/>
          <w:sz w:val="22"/>
        </w:rPr>
        <w:t>. Thus, the SST focus on the selective investment of emotional resources can be justified, although there is not always conclusive evidence. Experimentally, selective investment was partly confirmed in the sense that older adults created more positive social environment by eliminating negative partners but did not prune negative relations</w:t>
      </w:r>
      <w:r w:rsidR="001402F2" w:rsidRPr="00DF39D0">
        <w:rPr>
          <w:rFonts w:ascii="Arial" w:hAnsi="Arial" w:cs="Arial"/>
          <w:sz w:val="22"/>
        </w:rPr>
        <w:t>hips (Rolison and Lamarche, 2022</w:t>
      </w:r>
      <w:r w:rsidRPr="00DF39D0">
        <w:rPr>
          <w:rFonts w:ascii="Arial" w:hAnsi="Arial" w:cs="Arial"/>
          <w:sz w:val="22"/>
        </w:rPr>
        <w:t>). Therefore, social workers should not perceive small social networks as abnormality and assume that all older people want to have fewer relationships.</w:t>
      </w:r>
    </w:p>
    <w:p w14:paraId="0C00E122" w14:textId="77777777" w:rsidR="00BA0006" w:rsidRPr="00DF39D0" w:rsidRDefault="00BA0006" w:rsidP="00BA0006">
      <w:pPr>
        <w:rPr>
          <w:rFonts w:ascii="Arial" w:hAnsi="Arial" w:cs="Arial"/>
          <w:sz w:val="22"/>
        </w:rPr>
      </w:pPr>
    </w:p>
    <w:p w14:paraId="18C994D2" w14:textId="77777777" w:rsidR="00BA0006" w:rsidRPr="00DF39D0" w:rsidRDefault="00BA0006" w:rsidP="00BA0006">
      <w:pPr>
        <w:pStyle w:val="Heading1"/>
        <w:rPr>
          <w:rFonts w:ascii="Arial" w:hAnsi="Arial" w:cs="Arial"/>
          <w:sz w:val="22"/>
          <w:szCs w:val="22"/>
        </w:rPr>
      </w:pPr>
      <w:bookmarkStart w:id="6" w:name="_Toc242188341"/>
      <w:r w:rsidRPr="00DF39D0">
        <w:rPr>
          <w:rFonts w:ascii="Arial" w:hAnsi="Arial" w:cs="Arial"/>
          <w:sz w:val="22"/>
          <w:szCs w:val="22"/>
        </w:rPr>
        <w:t>6. Application of SST to Depression and Residential Care</w:t>
      </w:r>
      <w:bookmarkEnd w:id="6"/>
    </w:p>
    <w:p w14:paraId="085EEA00" w14:textId="77777777" w:rsidR="00BA0006" w:rsidRPr="00DF39D0" w:rsidRDefault="00BA0006" w:rsidP="00BA0006">
      <w:pPr>
        <w:rPr>
          <w:rFonts w:ascii="Arial" w:hAnsi="Arial" w:cs="Arial"/>
          <w:sz w:val="22"/>
        </w:rPr>
      </w:pPr>
      <w:r w:rsidRPr="00DF39D0">
        <w:rPr>
          <w:rFonts w:ascii="Arial" w:hAnsi="Arial" w:cs="Arial"/>
          <w:sz w:val="22"/>
        </w:rPr>
        <w:t>Social and Emotional Selectivity Theory (SST) focuses on the emotional nature of social connections rather than the mere frequency of social interaction. Residency can interfere with existing social, familial, and community networks; thus, although common group activities might foster more social interaction, they do not necessarily foster social connection. Path analysis of 210 residents revealed that social support and life satisfaction had a positive impact on adjustment, while depression had a direct negative influence, suggesting that adaptation involves supportive social relationships as opposed to social activities alone (Zhao et al., 2023).  Similarly, qualitative data also identified the following factors: social support, presence of people from outside the residential facility, personal knowledge of other residents, and person-centred approach as factors facilitating social interaction (Chapman et al., 2024). Thus</w:t>
      </w:r>
      <w:r w:rsidR="00B57D48" w:rsidRPr="00DF39D0">
        <w:rPr>
          <w:rFonts w:ascii="Arial" w:hAnsi="Arial" w:cs="Arial"/>
          <w:sz w:val="22"/>
        </w:rPr>
        <w:t>, staff members need to recognis</w:t>
      </w:r>
      <w:r w:rsidRPr="00DF39D0">
        <w:rPr>
          <w:rFonts w:ascii="Arial" w:hAnsi="Arial" w:cs="Arial"/>
          <w:sz w:val="22"/>
        </w:rPr>
        <w:t>e supportive relationships, maintain ties with the community, foster supportive familial visits, and encourage meaningful one</w:t>
      </w:r>
      <w:r w:rsidR="00B57D48" w:rsidRPr="00DF39D0">
        <w:rPr>
          <w:rFonts w:ascii="Arial" w:hAnsi="Arial" w:cs="Arial"/>
          <w:sz w:val="22"/>
        </w:rPr>
        <w:t>-to-one interactions. Personalis</w:t>
      </w:r>
      <w:r w:rsidRPr="00DF39D0">
        <w:rPr>
          <w:rFonts w:ascii="Arial" w:hAnsi="Arial" w:cs="Arial"/>
          <w:sz w:val="22"/>
        </w:rPr>
        <w:t>ation is also of clinical significance as a Bayesian network meta-analysis of 118 studies identified cognitive treatment interventions as the most effective in the treatment of depression, and intervention effects depended on the severity of symptoms (Declercq et al., 2024).</w:t>
      </w:r>
    </w:p>
    <w:p w14:paraId="3C43ADD5" w14:textId="77777777" w:rsidR="00BA0006" w:rsidRPr="00DF39D0" w:rsidRDefault="00BA0006" w:rsidP="00BA0006">
      <w:pPr>
        <w:pStyle w:val="Caption"/>
        <w:keepNext/>
        <w:rPr>
          <w:rFonts w:ascii="Arial" w:hAnsi="Arial" w:cs="Arial"/>
          <w:sz w:val="22"/>
          <w:szCs w:val="22"/>
        </w:rPr>
      </w:pPr>
      <w:bookmarkStart w:id="7" w:name="_Toc242188561"/>
      <w:r w:rsidRPr="00DF39D0">
        <w:rPr>
          <w:rFonts w:ascii="Arial" w:hAnsi="Arial" w:cs="Arial"/>
          <w:sz w:val="22"/>
          <w:szCs w:val="22"/>
        </w:rPr>
        <w:lastRenderedPageBreak/>
        <w:t xml:space="preserve">Table </w:t>
      </w:r>
      <w:r w:rsidRPr="00DF39D0">
        <w:rPr>
          <w:rFonts w:ascii="Arial" w:hAnsi="Arial" w:cs="Arial"/>
          <w:sz w:val="22"/>
          <w:szCs w:val="22"/>
        </w:rPr>
        <w:fldChar w:fldCharType="begin"/>
      </w:r>
      <w:r w:rsidRPr="00DF39D0">
        <w:rPr>
          <w:rFonts w:ascii="Arial" w:hAnsi="Arial" w:cs="Arial"/>
          <w:sz w:val="22"/>
          <w:szCs w:val="22"/>
        </w:rPr>
        <w:instrText xml:space="preserve"> SEQ Table \* ARABIC </w:instrText>
      </w:r>
      <w:r w:rsidRPr="00DF39D0">
        <w:rPr>
          <w:rFonts w:ascii="Arial" w:hAnsi="Arial" w:cs="Arial"/>
          <w:sz w:val="22"/>
          <w:szCs w:val="22"/>
        </w:rPr>
        <w:fldChar w:fldCharType="separate"/>
      </w:r>
      <w:r w:rsidRPr="00DF39D0">
        <w:rPr>
          <w:rFonts w:ascii="Arial" w:hAnsi="Arial" w:cs="Arial"/>
          <w:noProof/>
          <w:sz w:val="22"/>
          <w:szCs w:val="22"/>
        </w:rPr>
        <w:t>1</w:t>
      </w:r>
      <w:r w:rsidRPr="00DF39D0">
        <w:rPr>
          <w:rFonts w:ascii="Arial" w:hAnsi="Arial" w:cs="Arial"/>
          <w:sz w:val="22"/>
          <w:szCs w:val="22"/>
        </w:rPr>
        <w:fldChar w:fldCharType="end"/>
      </w:r>
      <w:r w:rsidRPr="00DF39D0">
        <w:rPr>
          <w:rFonts w:ascii="Arial" w:hAnsi="Arial" w:cs="Arial"/>
          <w:sz w:val="22"/>
          <w:szCs w:val="22"/>
        </w:rPr>
        <w:t>: Critical comparison of the two psychological theories</w:t>
      </w:r>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00"/>
        <w:gridCol w:w="3124"/>
        <w:gridCol w:w="3126"/>
      </w:tblGrid>
      <w:tr w:rsidR="00BA0006" w:rsidRPr="009935B9" w14:paraId="49C9BDA9" w14:textId="77777777" w:rsidTr="009935B9">
        <w:tc>
          <w:tcPr>
            <w:tcW w:w="3192" w:type="dxa"/>
          </w:tcPr>
          <w:p w14:paraId="0B70A830" w14:textId="77777777" w:rsidR="00BA0006" w:rsidRPr="009935B9" w:rsidRDefault="00BA0006" w:rsidP="00BA0006">
            <w:pPr>
              <w:rPr>
                <w:rFonts w:ascii="Arial" w:hAnsi="Arial" w:cs="Arial"/>
                <w:b/>
                <w:sz w:val="22"/>
              </w:rPr>
            </w:pPr>
            <w:r w:rsidRPr="009935B9">
              <w:rPr>
                <w:rFonts w:ascii="Arial" w:hAnsi="Arial" w:cs="Arial"/>
                <w:b/>
                <w:sz w:val="22"/>
              </w:rPr>
              <w:t>Dimension</w:t>
            </w:r>
          </w:p>
        </w:tc>
        <w:tc>
          <w:tcPr>
            <w:tcW w:w="3192" w:type="dxa"/>
          </w:tcPr>
          <w:p w14:paraId="7BF0EAD0" w14:textId="77777777" w:rsidR="00BA0006" w:rsidRPr="009935B9" w:rsidRDefault="00BA0006" w:rsidP="00BA0006">
            <w:pPr>
              <w:rPr>
                <w:rFonts w:ascii="Arial" w:hAnsi="Arial" w:cs="Arial"/>
                <w:b/>
                <w:sz w:val="22"/>
              </w:rPr>
            </w:pPr>
            <w:r w:rsidRPr="009935B9">
              <w:rPr>
                <w:rFonts w:ascii="Arial" w:hAnsi="Arial" w:cs="Arial"/>
                <w:b/>
                <w:sz w:val="22"/>
              </w:rPr>
              <w:t>Erikson: ego integrity vs despair</w:t>
            </w:r>
          </w:p>
        </w:tc>
        <w:tc>
          <w:tcPr>
            <w:tcW w:w="3192" w:type="dxa"/>
          </w:tcPr>
          <w:p w14:paraId="646D224D" w14:textId="77777777" w:rsidR="00BA0006" w:rsidRPr="009935B9" w:rsidRDefault="00BA0006" w:rsidP="00BA0006">
            <w:pPr>
              <w:rPr>
                <w:rFonts w:ascii="Arial" w:hAnsi="Arial" w:cs="Arial"/>
                <w:b/>
                <w:sz w:val="22"/>
              </w:rPr>
            </w:pPr>
            <w:r w:rsidRPr="009935B9">
              <w:rPr>
                <w:rFonts w:ascii="Arial" w:hAnsi="Arial" w:cs="Arial"/>
                <w:b/>
                <w:sz w:val="22"/>
              </w:rPr>
              <w:t>Socioemotional Selectivity Theory</w:t>
            </w:r>
          </w:p>
        </w:tc>
      </w:tr>
      <w:tr w:rsidR="00BA0006" w:rsidRPr="009935B9" w14:paraId="1E2546C6" w14:textId="77777777" w:rsidTr="009935B9">
        <w:tc>
          <w:tcPr>
            <w:tcW w:w="3192" w:type="dxa"/>
          </w:tcPr>
          <w:p w14:paraId="5B7DE67E" w14:textId="77777777" w:rsidR="00BA0006" w:rsidRPr="009935B9" w:rsidRDefault="00BA0006" w:rsidP="00BA0006">
            <w:pPr>
              <w:rPr>
                <w:rFonts w:ascii="Arial" w:hAnsi="Arial" w:cs="Arial"/>
                <w:sz w:val="22"/>
              </w:rPr>
            </w:pPr>
            <w:r w:rsidRPr="009935B9">
              <w:rPr>
                <w:rFonts w:ascii="Arial" w:hAnsi="Arial" w:cs="Arial"/>
                <w:sz w:val="22"/>
              </w:rPr>
              <w:t>Primary focus</w:t>
            </w:r>
          </w:p>
        </w:tc>
        <w:tc>
          <w:tcPr>
            <w:tcW w:w="3192" w:type="dxa"/>
          </w:tcPr>
          <w:p w14:paraId="08005169" w14:textId="77777777" w:rsidR="00BA0006" w:rsidRPr="009935B9" w:rsidRDefault="00BA0006" w:rsidP="00BA0006">
            <w:pPr>
              <w:rPr>
                <w:rFonts w:ascii="Arial" w:hAnsi="Arial" w:cs="Arial"/>
                <w:sz w:val="22"/>
              </w:rPr>
            </w:pPr>
            <w:r w:rsidRPr="009935B9">
              <w:rPr>
                <w:rFonts w:ascii="Arial" w:hAnsi="Arial" w:cs="Arial"/>
                <w:sz w:val="22"/>
              </w:rPr>
              <w:t>Life review, identity, coherence and acceptance</w:t>
            </w:r>
          </w:p>
        </w:tc>
        <w:tc>
          <w:tcPr>
            <w:tcW w:w="3192" w:type="dxa"/>
          </w:tcPr>
          <w:p w14:paraId="0F3FD043" w14:textId="77777777" w:rsidR="00BA0006" w:rsidRPr="009935B9" w:rsidRDefault="00BA0006" w:rsidP="00BA0006">
            <w:pPr>
              <w:rPr>
                <w:rFonts w:ascii="Arial" w:hAnsi="Arial" w:cs="Arial"/>
                <w:sz w:val="22"/>
              </w:rPr>
            </w:pPr>
            <w:r w:rsidRPr="009935B9">
              <w:rPr>
                <w:rFonts w:ascii="Arial" w:hAnsi="Arial" w:cs="Arial"/>
                <w:sz w:val="22"/>
              </w:rPr>
              <w:t>Future-time perspective, emotional goals and relationship selectivity</w:t>
            </w:r>
          </w:p>
        </w:tc>
      </w:tr>
      <w:tr w:rsidR="00BA0006" w:rsidRPr="009935B9" w14:paraId="0AA8D8A5" w14:textId="77777777" w:rsidTr="009935B9">
        <w:tc>
          <w:tcPr>
            <w:tcW w:w="3192" w:type="dxa"/>
          </w:tcPr>
          <w:p w14:paraId="1718E8C2" w14:textId="77777777" w:rsidR="00BA0006" w:rsidRPr="009935B9" w:rsidRDefault="00BA0006" w:rsidP="00BA0006">
            <w:pPr>
              <w:rPr>
                <w:rFonts w:ascii="Arial" w:hAnsi="Arial" w:cs="Arial"/>
                <w:sz w:val="22"/>
              </w:rPr>
            </w:pPr>
            <w:r w:rsidRPr="009935B9">
              <w:rPr>
                <w:rFonts w:ascii="Arial" w:hAnsi="Arial" w:cs="Arial"/>
                <w:sz w:val="22"/>
              </w:rPr>
              <w:t>Depression mechanism</w:t>
            </w:r>
          </w:p>
        </w:tc>
        <w:tc>
          <w:tcPr>
            <w:tcW w:w="3192" w:type="dxa"/>
          </w:tcPr>
          <w:p w14:paraId="31A61140" w14:textId="77777777" w:rsidR="00BA0006" w:rsidRPr="009935B9" w:rsidRDefault="00BA0006" w:rsidP="00BA0006">
            <w:pPr>
              <w:rPr>
                <w:rFonts w:ascii="Arial" w:hAnsi="Arial" w:cs="Arial"/>
                <w:sz w:val="22"/>
              </w:rPr>
            </w:pPr>
            <w:r w:rsidRPr="009935B9">
              <w:rPr>
                <w:rFonts w:ascii="Arial" w:hAnsi="Arial" w:cs="Arial"/>
                <w:sz w:val="22"/>
              </w:rPr>
              <w:t>Regret, unresolved loss and threatened identity may intensify despair</w:t>
            </w:r>
          </w:p>
        </w:tc>
        <w:tc>
          <w:tcPr>
            <w:tcW w:w="3192" w:type="dxa"/>
          </w:tcPr>
          <w:p w14:paraId="4AF0959F" w14:textId="77777777" w:rsidR="00BA0006" w:rsidRPr="009935B9" w:rsidRDefault="00BA0006" w:rsidP="00BA0006">
            <w:pPr>
              <w:rPr>
                <w:rFonts w:ascii="Arial" w:hAnsi="Arial" w:cs="Arial"/>
                <w:sz w:val="22"/>
              </w:rPr>
            </w:pPr>
            <w:r w:rsidRPr="009935B9">
              <w:rPr>
                <w:rFonts w:ascii="Arial" w:hAnsi="Arial" w:cs="Arial"/>
                <w:sz w:val="22"/>
              </w:rPr>
              <w:t>Loss of emotionally meaningful relationships may reduce satisfaction and belonging</w:t>
            </w:r>
          </w:p>
        </w:tc>
      </w:tr>
      <w:tr w:rsidR="00BA0006" w:rsidRPr="009935B9" w14:paraId="47B5ABDF" w14:textId="77777777" w:rsidTr="009935B9">
        <w:tc>
          <w:tcPr>
            <w:tcW w:w="3192" w:type="dxa"/>
          </w:tcPr>
          <w:p w14:paraId="0A8BEA4B" w14:textId="77777777" w:rsidR="00BA0006" w:rsidRPr="009935B9" w:rsidRDefault="00BA0006" w:rsidP="00BA0006">
            <w:pPr>
              <w:rPr>
                <w:rFonts w:ascii="Arial" w:hAnsi="Arial" w:cs="Arial"/>
                <w:sz w:val="22"/>
              </w:rPr>
            </w:pPr>
            <w:r w:rsidRPr="009935B9">
              <w:rPr>
                <w:rFonts w:ascii="Arial" w:hAnsi="Arial" w:cs="Arial"/>
                <w:sz w:val="22"/>
              </w:rPr>
              <w:t>Practice implication</w:t>
            </w:r>
          </w:p>
        </w:tc>
        <w:tc>
          <w:tcPr>
            <w:tcW w:w="3192" w:type="dxa"/>
          </w:tcPr>
          <w:p w14:paraId="34A7E323" w14:textId="77777777" w:rsidR="00BA0006" w:rsidRPr="009935B9" w:rsidRDefault="00BA0006" w:rsidP="00BA0006">
            <w:pPr>
              <w:rPr>
                <w:rFonts w:ascii="Arial" w:hAnsi="Arial" w:cs="Arial"/>
                <w:sz w:val="22"/>
              </w:rPr>
            </w:pPr>
            <w:r w:rsidRPr="009935B9">
              <w:rPr>
                <w:rFonts w:ascii="Arial" w:hAnsi="Arial" w:cs="Arial"/>
                <w:sz w:val="22"/>
              </w:rPr>
              <w:t>Life-story work, reminiscence, meaningful roles</w:t>
            </w:r>
          </w:p>
        </w:tc>
        <w:tc>
          <w:tcPr>
            <w:tcW w:w="3192" w:type="dxa"/>
          </w:tcPr>
          <w:p w14:paraId="27C18FC8" w14:textId="77777777" w:rsidR="00BA0006" w:rsidRPr="009935B9" w:rsidRDefault="00BA0006" w:rsidP="00BA0006">
            <w:pPr>
              <w:rPr>
                <w:rFonts w:ascii="Arial" w:hAnsi="Arial" w:cs="Arial"/>
                <w:sz w:val="22"/>
              </w:rPr>
            </w:pPr>
            <w:r w:rsidRPr="009935B9">
              <w:rPr>
                <w:rFonts w:ascii="Arial" w:hAnsi="Arial" w:cs="Arial"/>
                <w:sz w:val="22"/>
              </w:rPr>
              <w:t>Prioritise preferred relationships, choice and emotionally meaningful contact</w:t>
            </w:r>
          </w:p>
        </w:tc>
      </w:tr>
      <w:tr w:rsidR="00BA0006" w:rsidRPr="009935B9" w14:paraId="4AB0EC2F" w14:textId="77777777" w:rsidTr="009935B9">
        <w:tc>
          <w:tcPr>
            <w:tcW w:w="3192" w:type="dxa"/>
          </w:tcPr>
          <w:p w14:paraId="1F8F570A" w14:textId="77777777" w:rsidR="00BA0006" w:rsidRPr="009935B9" w:rsidRDefault="00BA0006" w:rsidP="00BA0006">
            <w:pPr>
              <w:rPr>
                <w:rFonts w:ascii="Arial" w:hAnsi="Arial" w:cs="Arial"/>
                <w:sz w:val="22"/>
              </w:rPr>
            </w:pPr>
            <w:r w:rsidRPr="009935B9">
              <w:rPr>
                <w:rFonts w:ascii="Arial" w:hAnsi="Arial" w:cs="Arial"/>
                <w:sz w:val="22"/>
              </w:rPr>
              <w:t>Key limitation</w:t>
            </w:r>
          </w:p>
        </w:tc>
        <w:tc>
          <w:tcPr>
            <w:tcW w:w="3192" w:type="dxa"/>
          </w:tcPr>
          <w:p w14:paraId="590AE9FB" w14:textId="77777777" w:rsidR="00BA0006" w:rsidRPr="009935B9" w:rsidRDefault="00BA0006" w:rsidP="00BA0006">
            <w:pPr>
              <w:rPr>
                <w:rFonts w:ascii="Arial" w:hAnsi="Arial" w:cs="Arial"/>
                <w:sz w:val="22"/>
              </w:rPr>
            </w:pPr>
            <w:r w:rsidRPr="009935B9">
              <w:rPr>
                <w:rFonts w:ascii="Arial" w:hAnsi="Arial" w:cs="Arial"/>
                <w:sz w:val="22"/>
              </w:rPr>
              <w:t>Stage model may be culturally and developmentally over-generalised</w:t>
            </w:r>
          </w:p>
        </w:tc>
        <w:tc>
          <w:tcPr>
            <w:tcW w:w="3192" w:type="dxa"/>
          </w:tcPr>
          <w:p w14:paraId="12BF29BD" w14:textId="77777777" w:rsidR="00BA0006" w:rsidRPr="009935B9" w:rsidRDefault="00BA0006" w:rsidP="00BA0006">
            <w:pPr>
              <w:rPr>
                <w:rFonts w:ascii="Arial" w:hAnsi="Arial" w:cs="Arial"/>
                <w:sz w:val="22"/>
              </w:rPr>
            </w:pPr>
            <w:r w:rsidRPr="009935B9">
              <w:rPr>
                <w:rFonts w:ascii="Arial" w:hAnsi="Arial" w:cs="Arial"/>
                <w:sz w:val="22"/>
              </w:rPr>
              <w:t>Smaller networks may reflect constraint rather than voluntary selectivity</w:t>
            </w:r>
          </w:p>
        </w:tc>
      </w:tr>
    </w:tbl>
    <w:p w14:paraId="0061AD95" w14:textId="77777777" w:rsidR="00BA0006" w:rsidRPr="00DF39D0" w:rsidRDefault="00BA0006" w:rsidP="00BA0006">
      <w:pPr>
        <w:rPr>
          <w:rFonts w:ascii="Arial" w:hAnsi="Arial" w:cs="Arial"/>
          <w:sz w:val="22"/>
        </w:rPr>
      </w:pPr>
    </w:p>
    <w:p w14:paraId="3E4CCCD3" w14:textId="77777777" w:rsidR="00BA0006" w:rsidRPr="00DF39D0" w:rsidRDefault="00BA0006" w:rsidP="00BA0006">
      <w:pPr>
        <w:pStyle w:val="Heading1"/>
        <w:rPr>
          <w:rFonts w:ascii="Arial" w:hAnsi="Arial" w:cs="Arial"/>
          <w:sz w:val="22"/>
          <w:szCs w:val="22"/>
        </w:rPr>
      </w:pPr>
      <w:bookmarkStart w:id="8" w:name="_Toc242188342"/>
      <w:r w:rsidRPr="00DF39D0">
        <w:rPr>
          <w:rFonts w:ascii="Arial" w:hAnsi="Arial" w:cs="Arial"/>
          <w:sz w:val="22"/>
          <w:szCs w:val="22"/>
        </w:rPr>
        <w:t>7. Comparative Evaluation, Challenges and Professional Strategies</w:t>
      </w:r>
      <w:bookmarkEnd w:id="8"/>
    </w:p>
    <w:p w14:paraId="235A8E20" w14:textId="77777777" w:rsidR="00BA0006" w:rsidRPr="00DF39D0" w:rsidRDefault="00BA0006" w:rsidP="00BA0006">
      <w:pPr>
        <w:rPr>
          <w:rFonts w:ascii="Arial" w:hAnsi="Arial" w:cs="Arial"/>
          <w:sz w:val="22"/>
        </w:rPr>
      </w:pPr>
      <w:r w:rsidRPr="00DF39D0">
        <w:rPr>
          <w:rFonts w:ascii="Arial" w:hAnsi="Arial" w:cs="Arial"/>
          <w:sz w:val="22"/>
        </w:rPr>
        <w:t xml:space="preserve">However, the two theories are complementary to each other but work on different levels. Erikson's theory helps to understand how people understand and interpret the totality of their life. SST provides understanding of why current relationships and psychological motives become selective. However, their disadvantages help to learn even more. Erikson's theory may be misleading because of its excessive focus on the linear nature of developmental stages. Furthermore, this theory may include culturally biased ideas about successful aging. SST may be too general in terms of the process of motivational changes while ignoring the fact of involuntary isolation due to </w:t>
      </w:r>
      <w:r w:rsidR="00B57D48" w:rsidRPr="00DF39D0">
        <w:rPr>
          <w:rFonts w:ascii="Arial" w:hAnsi="Arial" w:cs="Arial"/>
          <w:sz w:val="22"/>
        </w:rPr>
        <w:t>bereavement, disability, organis</w:t>
      </w:r>
      <w:r w:rsidRPr="00DF39D0">
        <w:rPr>
          <w:rFonts w:ascii="Arial" w:hAnsi="Arial" w:cs="Arial"/>
          <w:sz w:val="22"/>
        </w:rPr>
        <w:t>ational procedures or lack of personnel. Both theories do not address fully the biological aspects of depression. Intervention research supports the importance of pluralism in treatment as a network meta-analysis of 182 long-term-care studies showed significant effect of several non-pharmacological methods (Atchison et al.,</w:t>
      </w:r>
      <w:r w:rsidR="001402F2" w:rsidRPr="00DF39D0">
        <w:rPr>
          <w:rFonts w:ascii="Arial" w:hAnsi="Arial" w:cs="Arial"/>
          <w:sz w:val="22"/>
        </w:rPr>
        <w:t xml:space="preserve"> 2024</w:t>
      </w:r>
      <w:r w:rsidRPr="00DF39D0">
        <w:rPr>
          <w:rFonts w:ascii="Arial" w:hAnsi="Arial" w:cs="Arial"/>
          <w:sz w:val="22"/>
        </w:rPr>
        <w:t>).</w:t>
      </w:r>
    </w:p>
    <w:p w14:paraId="640B30D3" w14:textId="77777777" w:rsidR="00BA0006" w:rsidRPr="00DF39D0" w:rsidRDefault="00BA0006" w:rsidP="00BA0006">
      <w:pPr>
        <w:pStyle w:val="Caption"/>
        <w:keepNext/>
        <w:rPr>
          <w:rFonts w:ascii="Arial" w:hAnsi="Arial" w:cs="Arial"/>
          <w:sz w:val="22"/>
          <w:szCs w:val="22"/>
        </w:rPr>
      </w:pPr>
      <w:bookmarkStart w:id="9" w:name="_Toc242188562"/>
      <w:r w:rsidRPr="00DF39D0">
        <w:rPr>
          <w:rFonts w:ascii="Arial" w:hAnsi="Arial" w:cs="Arial"/>
          <w:sz w:val="22"/>
          <w:szCs w:val="22"/>
        </w:rPr>
        <w:t xml:space="preserve">Table </w:t>
      </w:r>
      <w:r w:rsidRPr="00DF39D0">
        <w:rPr>
          <w:rFonts w:ascii="Arial" w:hAnsi="Arial" w:cs="Arial"/>
          <w:sz w:val="22"/>
          <w:szCs w:val="22"/>
        </w:rPr>
        <w:fldChar w:fldCharType="begin"/>
      </w:r>
      <w:r w:rsidRPr="00DF39D0">
        <w:rPr>
          <w:rFonts w:ascii="Arial" w:hAnsi="Arial" w:cs="Arial"/>
          <w:sz w:val="22"/>
          <w:szCs w:val="22"/>
        </w:rPr>
        <w:instrText xml:space="preserve"> SEQ Table \* ARABIC </w:instrText>
      </w:r>
      <w:r w:rsidRPr="00DF39D0">
        <w:rPr>
          <w:rFonts w:ascii="Arial" w:hAnsi="Arial" w:cs="Arial"/>
          <w:sz w:val="22"/>
          <w:szCs w:val="22"/>
        </w:rPr>
        <w:fldChar w:fldCharType="separate"/>
      </w:r>
      <w:r w:rsidRPr="00DF39D0">
        <w:rPr>
          <w:rFonts w:ascii="Arial" w:hAnsi="Arial" w:cs="Arial"/>
          <w:noProof/>
          <w:sz w:val="22"/>
          <w:szCs w:val="22"/>
        </w:rPr>
        <w:t>2</w:t>
      </w:r>
      <w:r w:rsidRPr="00DF39D0">
        <w:rPr>
          <w:rFonts w:ascii="Arial" w:hAnsi="Arial" w:cs="Arial"/>
          <w:sz w:val="22"/>
          <w:szCs w:val="22"/>
        </w:rPr>
        <w:fldChar w:fldCharType="end"/>
      </w:r>
      <w:r w:rsidRPr="00DF39D0">
        <w:rPr>
          <w:rFonts w:ascii="Arial" w:hAnsi="Arial" w:cs="Arial"/>
          <w:sz w:val="22"/>
          <w:szCs w:val="22"/>
        </w:rPr>
        <w:t>: Professional challenges and evidence-informed strategies</w:t>
      </w:r>
      <w:bookmarkEnd w:id="9"/>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39"/>
        <w:gridCol w:w="3097"/>
        <w:gridCol w:w="3114"/>
      </w:tblGrid>
      <w:tr w:rsidR="00BA0006" w:rsidRPr="009935B9" w14:paraId="77954573" w14:textId="77777777" w:rsidTr="009935B9">
        <w:tc>
          <w:tcPr>
            <w:tcW w:w="3192" w:type="dxa"/>
          </w:tcPr>
          <w:p w14:paraId="1C5CE845" w14:textId="77777777" w:rsidR="00BA0006" w:rsidRPr="009935B9" w:rsidRDefault="00BA0006" w:rsidP="00BA0006">
            <w:pPr>
              <w:rPr>
                <w:rFonts w:ascii="Arial" w:hAnsi="Arial" w:cs="Arial"/>
                <w:b/>
                <w:sz w:val="22"/>
              </w:rPr>
            </w:pPr>
            <w:r w:rsidRPr="009935B9">
              <w:rPr>
                <w:rFonts w:ascii="Arial" w:hAnsi="Arial" w:cs="Arial"/>
                <w:b/>
                <w:sz w:val="22"/>
              </w:rPr>
              <w:t>Challenge</w:t>
            </w:r>
          </w:p>
        </w:tc>
        <w:tc>
          <w:tcPr>
            <w:tcW w:w="3192" w:type="dxa"/>
          </w:tcPr>
          <w:p w14:paraId="33475BD6" w14:textId="77777777" w:rsidR="00BA0006" w:rsidRPr="009935B9" w:rsidRDefault="00BA0006" w:rsidP="00BA0006">
            <w:pPr>
              <w:rPr>
                <w:rFonts w:ascii="Arial" w:hAnsi="Arial" w:cs="Arial"/>
                <w:b/>
                <w:sz w:val="22"/>
              </w:rPr>
            </w:pPr>
            <w:r w:rsidRPr="009935B9">
              <w:rPr>
                <w:rFonts w:ascii="Arial" w:hAnsi="Arial" w:cs="Arial"/>
                <w:b/>
                <w:sz w:val="22"/>
              </w:rPr>
              <w:t>Implication for care</w:t>
            </w:r>
          </w:p>
        </w:tc>
        <w:tc>
          <w:tcPr>
            <w:tcW w:w="3192" w:type="dxa"/>
          </w:tcPr>
          <w:p w14:paraId="539AE021" w14:textId="77777777" w:rsidR="00BA0006" w:rsidRPr="009935B9" w:rsidRDefault="00BA0006" w:rsidP="00BA0006">
            <w:pPr>
              <w:rPr>
                <w:rFonts w:ascii="Arial" w:hAnsi="Arial" w:cs="Arial"/>
                <w:b/>
                <w:sz w:val="22"/>
              </w:rPr>
            </w:pPr>
            <w:r w:rsidRPr="009935B9">
              <w:rPr>
                <w:rFonts w:ascii="Arial" w:hAnsi="Arial" w:cs="Arial"/>
                <w:b/>
                <w:sz w:val="22"/>
              </w:rPr>
              <w:t>Strategy</w:t>
            </w:r>
          </w:p>
        </w:tc>
      </w:tr>
      <w:tr w:rsidR="00BA0006" w:rsidRPr="009935B9" w14:paraId="651F1AF8" w14:textId="77777777" w:rsidTr="009935B9">
        <w:tc>
          <w:tcPr>
            <w:tcW w:w="3192" w:type="dxa"/>
          </w:tcPr>
          <w:p w14:paraId="34964976" w14:textId="77777777" w:rsidR="00BA0006" w:rsidRPr="009935B9" w:rsidRDefault="00BA0006" w:rsidP="00BA0006">
            <w:pPr>
              <w:rPr>
                <w:rFonts w:ascii="Arial" w:hAnsi="Arial" w:cs="Arial"/>
                <w:sz w:val="22"/>
              </w:rPr>
            </w:pPr>
            <w:r w:rsidRPr="009935B9">
              <w:rPr>
                <w:rFonts w:ascii="Arial" w:hAnsi="Arial" w:cs="Arial"/>
                <w:sz w:val="22"/>
              </w:rPr>
              <w:lastRenderedPageBreak/>
              <w:t>Cognitive impairment</w:t>
            </w:r>
          </w:p>
        </w:tc>
        <w:tc>
          <w:tcPr>
            <w:tcW w:w="3192" w:type="dxa"/>
          </w:tcPr>
          <w:p w14:paraId="048CF0F0" w14:textId="77777777" w:rsidR="00BA0006" w:rsidRPr="009935B9" w:rsidRDefault="00BA0006" w:rsidP="00BA0006">
            <w:pPr>
              <w:rPr>
                <w:rFonts w:ascii="Arial" w:hAnsi="Arial" w:cs="Arial"/>
                <w:sz w:val="22"/>
              </w:rPr>
            </w:pPr>
            <w:r w:rsidRPr="009935B9">
              <w:rPr>
                <w:rFonts w:ascii="Arial" w:hAnsi="Arial" w:cs="Arial"/>
                <w:sz w:val="22"/>
              </w:rPr>
              <w:t>Limits abstract life review and self-report</w:t>
            </w:r>
          </w:p>
        </w:tc>
        <w:tc>
          <w:tcPr>
            <w:tcW w:w="3192" w:type="dxa"/>
          </w:tcPr>
          <w:p w14:paraId="2E03DC17" w14:textId="77777777" w:rsidR="00BA0006" w:rsidRPr="009935B9" w:rsidRDefault="00BA0006" w:rsidP="00BA0006">
            <w:pPr>
              <w:rPr>
                <w:rFonts w:ascii="Arial" w:hAnsi="Arial" w:cs="Arial"/>
                <w:sz w:val="22"/>
              </w:rPr>
            </w:pPr>
            <w:r w:rsidRPr="009935B9">
              <w:rPr>
                <w:rFonts w:ascii="Arial" w:hAnsi="Arial" w:cs="Arial"/>
                <w:sz w:val="22"/>
              </w:rPr>
              <w:t>Use simplified prompts, sensory cues, collateral history and adapted communication</w:t>
            </w:r>
          </w:p>
        </w:tc>
      </w:tr>
      <w:tr w:rsidR="00BA0006" w:rsidRPr="009935B9" w14:paraId="74A8137A" w14:textId="77777777" w:rsidTr="009935B9">
        <w:tc>
          <w:tcPr>
            <w:tcW w:w="3192" w:type="dxa"/>
          </w:tcPr>
          <w:p w14:paraId="755A9A45" w14:textId="77777777" w:rsidR="00BA0006" w:rsidRPr="009935B9" w:rsidRDefault="00BA0006" w:rsidP="00BA0006">
            <w:pPr>
              <w:rPr>
                <w:rFonts w:ascii="Arial" w:hAnsi="Arial" w:cs="Arial"/>
                <w:sz w:val="22"/>
              </w:rPr>
            </w:pPr>
            <w:r w:rsidRPr="009935B9">
              <w:rPr>
                <w:rFonts w:ascii="Arial" w:hAnsi="Arial" w:cs="Arial"/>
                <w:sz w:val="22"/>
              </w:rPr>
              <w:t>Cultural/biographical diversity</w:t>
            </w:r>
          </w:p>
        </w:tc>
        <w:tc>
          <w:tcPr>
            <w:tcW w:w="3192" w:type="dxa"/>
          </w:tcPr>
          <w:p w14:paraId="2FDD44C6" w14:textId="77777777" w:rsidR="00BA0006" w:rsidRPr="009935B9" w:rsidRDefault="00BA0006" w:rsidP="00BA0006">
            <w:pPr>
              <w:rPr>
                <w:rFonts w:ascii="Arial" w:hAnsi="Arial" w:cs="Arial"/>
                <w:sz w:val="22"/>
              </w:rPr>
            </w:pPr>
            <w:r w:rsidRPr="009935B9">
              <w:rPr>
                <w:rFonts w:ascii="Arial" w:hAnsi="Arial" w:cs="Arial"/>
                <w:sz w:val="22"/>
              </w:rPr>
              <w:t>Definitions of fulfilment and meaningful relationships differ</w:t>
            </w:r>
          </w:p>
        </w:tc>
        <w:tc>
          <w:tcPr>
            <w:tcW w:w="3192" w:type="dxa"/>
          </w:tcPr>
          <w:p w14:paraId="56A43592" w14:textId="77777777" w:rsidR="00BA0006" w:rsidRPr="009935B9" w:rsidRDefault="00BA0006" w:rsidP="00BA0006">
            <w:pPr>
              <w:rPr>
                <w:rFonts w:ascii="Arial" w:hAnsi="Arial" w:cs="Arial"/>
                <w:sz w:val="22"/>
              </w:rPr>
            </w:pPr>
            <w:r w:rsidRPr="009935B9">
              <w:rPr>
                <w:rFonts w:ascii="Arial" w:hAnsi="Arial" w:cs="Arial"/>
                <w:sz w:val="22"/>
              </w:rPr>
              <w:t>Co-produce care goals; avoid universal assumptions about ageing</w:t>
            </w:r>
          </w:p>
        </w:tc>
      </w:tr>
      <w:tr w:rsidR="00BA0006" w:rsidRPr="009935B9" w14:paraId="0EA2C376" w14:textId="77777777" w:rsidTr="009935B9">
        <w:tc>
          <w:tcPr>
            <w:tcW w:w="3192" w:type="dxa"/>
          </w:tcPr>
          <w:p w14:paraId="6F002FAC" w14:textId="77777777" w:rsidR="00BA0006" w:rsidRPr="009935B9" w:rsidRDefault="00BA0006" w:rsidP="00BA0006">
            <w:pPr>
              <w:rPr>
                <w:rFonts w:ascii="Arial" w:hAnsi="Arial" w:cs="Arial"/>
                <w:sz w:val="22"/>
              </w:rPr>
            </w:pPr>
            <w:r w:rsidRPr="009935B9">
              <w:rPr>
                <w:rFonts w:ascii="Arial" w:hAnsi="Arial" w:cs="Arial"/>
                <w:sz w:val="22"/>
              </w:rPr>
              <w:t>Staffing/time constraints</w:t>
            </w:r>
          </w:p>
        </w:tc>
        <w:tc>
          <w:tcPr>
            <w:tcW w:w="3192" w:type="dxa"/>
          </w:tcPr>
          <w:p w14:paraId="7531B92A" w14:textId="77777777" w:rsidR="00BA0006" w:rsidRPr="009935B9" w:rsidRDefault="00BA0006" w:rsidP="00BA0006">
            <w:pPr>
              <w:rPr>
                <w:rFonts w:ascii="Arial" w:hAnsi="Arial" w:cs="Arial"/>
                <w:sz w:val="22"/>
              </w:rPr>
            </w:pPr>
            <w:r w:rsidRPr="009935B9">
              <w:rPr>
                <w:rFonts w:ascii="Arial" w:hAnsi="Arial" w:cs="Arial"/>
                <w:sz w:val="22"/>
              </w:rPr>
              <w:t>Meaningful engagement may be displaced by task-focused care</w:t>
            </w:r>
          </w:p>
        </w:tc>
        <w:tc>
          <w:tcPr>
            <w:tcW w:w="3192" w:type="dxa"/>
          </w:tcPr>
          <w:p w14:paraId="0F997ED1" w14:textId="77777777" w:rsidR="00BA0006" w:rsidRPr="009935B9" w:rsidRDefault="00BA0006" w:rsidP="00BA0006">
            <w:pPr>
              <w:rPr>
                <w:rFonts w:ascii="Arial" w:hAnsi="Arial" w:cs="Arial"/>
                <w:sz w:val="22"/>
              </w:rPr>
            </w:pPr>
            <w:r w:rsidRPr="009935B9">
              <w:rPr>
                <w:rFonts w:ascii="Arial" w:hAnsi="Arial" w:cs="Arial"/>
                <w:sz w:val="22"/>
              </w:rPr>
              <w:t>Embed short relational interactions into routine care and allocate key-worker responsibility</w:t>
            </w:r>
          </w:p>
        </w:tc>
      </w:tr>
      <w:tr w:rsidR="00BA0006" w:rsidRPr="009935B9" w14:paraId="1CD9A1AD" w14:textId="77777777" w:rsidTr="009935B9">
        <w:tc>
          <w:tcPr>
            <w:tcW w:w="3192" w:type="dxa"/>
          </w:tcPr>
          <w:p w14:paraId="15314DCD" w14:textId="77777777" w:rsidR="00BA0006" w:rsidRPr="009935B9" w:rsidRDefault="00BA0006" w:rsidP="00BA0006">
            <w:pPr>
              <w:rPr>
                <w:rFonts w:ascii="Arial" w:hAnsi="Arial" w:cs="Arial"/>
                <w:sz w:val="22"/>
              </w:rPr>
            </w:pPr>
            <w:r w:rsidRPr="009935B9">
              <w:rPr>
                <w:rFonts w:ascii="Arial" w:hAnsi="Arial" w:cs="Arial"/>
                <w:sz w:val="22"/>
              </w:rPr>
              <w:t>Symptoms overlap with frailty/dementia</w:t>
            </w:r>
          </w:p>
        </w:tc>
        <w:tc>
          <w:tcPr>
            <w:tcW w:w="3192" w:type="dxa"/>
          </w:tcPr>
          <w:p w14:paraId="1F827356" w14:textId="77777777" w:rsidR="00BA0006" w:rsidRPr="009935B9" w:rsidRDefault="00BA0006" w:rsidP="00BA0006">
            <w:pPr>
              <w:rPr>
                <w:rFonts w:ascii="Arial" w:hAnsi="Arial" w:cs="Arial"/>
                <w:sz w:val="22"/>
              </w:rPr>
            </w:pPr>
            <w:r w:rsidRPr="009935B9">
              <w:rPr>
                <w:rFonts w:ascii="Arial" w:hAnsi="Arial" w:cs="Arial"/>
                <w:sz w:val="22"/>
              </w:rPr>
              <w:t>Depression may be missed or normalised</w:t>
            </w:r>
          </w:p>
        </w:tc>
        <w:tc>
          <w:tcPr>
            <w:tcW w:w="3192" w:type="dxa"/>
          </w:tcPr>
          <w:p w14:paraId="6A8F771E" w14:textId="77777777" w:rsidR="00BA0006" w:rsidRPr="009935B9" w:rsidRDefault="00BA0006" w:rsidP="00BA0006">
            <w:pPr>
              <w:rPr>
                <w:rFonts w:ascii="Arial" w:hAnsi="Arial" w:cs="Arial"/>
                <w:sz w:val="22"/>
              </w:rPr>
            </w:pPr>
            <w:r w:rsidRPr="009935B9">
              <w:rPr>
                <w:rFonts w:ascii="Arial" w:hAnsi="Arial" w:cs="Arial"/>
                <w:sz w:val="22"/>
              </w:rPr>
              <w:t>Use appropriate screening, clinical review and multidisciplinary referral</w:t>
            </w:r>
          </w:p>
        </w:tc>
      </w:tr>
    </w:tbl>
    <w:p w14:paraId="641C3347" w14:textId="77777777" w:rsidR="00BA0006" w:rsidRPr="00DF39D0" w:rsidRDefault="00BA0006" w:rsidP="00BA0006">
      <w:pPr>
        <w:rPr>
          <w:rFonts w:ascii="Arial" w:hAnsi="Arial" w:cs="Arial"/>
          <w:sz w:val="22"/>
        </w:rPr>
      </w:pPr>
    </w:p>
    <w:p w14:paraId="28E804EF" w14:textId="77777777" w:rsidR="00BA0006" w:rsidRPr="00DF39D0" w:rsidRDefault="00BA0006" w:rsidP="00BA0006">
      <w:pPr>
        <w:pStyle w:val="Heading1"/>
        <w:rPr>
          <w:rFonts w:ascii="Arial" w:hAnsi="Arial" w:cs="Arial"/>
          <w:sz w:val="22"/>
          <w:szCs w:val="22"/>
        </w:rPr>
      </w:pPr>
      <w:bookmarkStart w:id="10" w:name="_Toc242188343"/>
      <w:r w:rsidRPr="00DF39D0">
        <w:rPr>
          <w:rFonts w:ascii="Arial" w:hAnsi="Arial" w:cs="Arial"/>
          <w:sz w:val="22"/>
          <w:szCs w:val="22"/>
        </w:rPr>
        <w:t>8. Conclusion</w:t>
      </w:r>
      <w:bookmarkEnd w:id="10"/>
    </w:p>
    <w:p w14:paraId="68120C01" w14:textId="77777777" w:rsidR="00BA0006" w:rsidRPr="00DF39D0" w:rsidRDefault="00BA0006" w:rsidP="00BA0006">
      <w:pPr>
        <w:rPr>
          <w:rFonts w:ascii="Arial" w:hAnsi="Arial" w:cs="Arial"/>
          <w:sz w:val="22"/>
        </w:rPr>
      </w:pPr>
      <w:r w:rsidRPr="00DF39D0">
        <w:rPr>
          <w:rFonts w:ascii="Arial" w:hAnsi="Arial" w:cs="Arial"/>
          <w:sz w:val="22"/>
        </w:rPr>
        <w:t>Depression among residents living in long-term care settings results from the interaction of various psychological, social, environmental and biological factors, rather than just aging. Erikson’s theory is useful in explaining identity, meaning of life and how integrity and despair might be experienced in a state of transition, while SST helps explain how the emotional significance of relationships and time horizons affect well-being. Combining the two theories provides justification for conducting life story work, voluntary reminiscence, meaningful roles, relationship continuity</w:t>
      </w:r>
      <w:r w:rsidR="00B57D48" w:rsidRPr="00DF39D0">
        <w:rPr>
          <w:rFonts w:ascii="Arial" w:hAnsi="Arial" w:cs="Arial"/>
          <w:sz w:val="22"/>
        </w:rPr>
        <w:t xml:space="preserve"> and individually based socialis</w:t>
      </w:r>
      <w:r w:rsidRPr="00DF39D0">
        <w:rPr>
          <w:rFonts w:ascii="Arial" w:hAnsi="Arial" w:cs="Arial"/>
          <w:sz w:val="22"/>
        </w:rPr>
        <w:t>ation. The limitations of the explanations provided by each of the theories are significant in that neither should substitute for an assessment of pain, multimorbidity, cognitive impairment, medication, safeguarding and environmental barriers. Effective distinction level practice requires that theory guide care, rather than dictate it.</w:t>
      </w:r>
    </w:p>
    <w:p w14:paraId="176371A2" w14:textId="77777777" w:rsidR="0074789A" w:rsidRPr="00DF39D0" w:rsidRDefault="00E61475" w:rsidP="00073CCE">
      <w:pPr>
        <w:pStyle w:val="Heading1"/>
        <w:ind w:left="0" w:firstLine="0"/>
        <w:rPr>
          <w:rFonts w:ascii="Arial" w:hAnsi="Arial" w:cs="Arial"/>
          <w:sz w:val="22"/>
          <w:szCs w:val="22"/>
        </w:rPr>
      </w:pPr>
      <w:r w:rsidRPr="00DF39D0">
        <w:rPr>
          <w:rFonts w:ascii="Arial" w:hAnsi="Arial" w:cs="Arial"/>
          <w:sz w:val="22"/>
          <w:szCs w:val="22"/>
        </w:rPr>
        <w:br w:type="page"/>
      </w:r>
      <w:bookmarkStart w:id="11" w:name="_Toc242188344"/>
      <w:r w:rsidR="0082293E" w:rsidRPr="00DF39D0">
        <w:rPr>
          <w:rFonts w:ascii="Arial" w:hAnsi="Arial" w:cs="Arial"/>
          <w:sz w:val="22"/>
          <w:szCs w:val="22"/>
        </w:rPr>
        <w:lastRenderedPageBreak/>
        <w:t>R</w:t>
      </w:r>
      <w:r w:rsidR="001402F2" w:rsidRPr="00DF39D0">
        <w:rPr>
          <w:rFonts w:ascii="Arial" w:hAnsi="Arial" w:cs="Arial"/>
          <w:sz w:val="22"/>
          <w:szCs w:val="22"/>
        </w:rPr>
        <w:t>eferences</w:t>
      </w:r>
      <w:bookmarkEnd w:id="11"/>
    </w:p>
    <w:p w14:paraId="5D0B2393"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Atchison, K., Hoang, P.M., </w:t>
      </w:r>
      <w:proofErr w:type="spellStart"/>
      <w:r w:rsidRPr="00DF39D0">
        <w:rPr>
          <w:rFonts w:ascii="Arial" w:hAnsi="Arial" w:cs="Arial"/>
          <w:sz w:val="22"/>
          <w:szCs w:val="22"/>
        </w:rPr>
        <w:t>Merrikh</w:t>
      </w:r>
      <w:proofErr w:type="spellEnd"/>
      <w:r w:rsidRPr="00DF39D0">
        <w:rPr>
          <w:rFonts w:ascii="Arial" w:hAnsi="Arial" w:cs="Arial"/>
          <w:sz w:val="22"/>
          <w:szCs w:val="22"/>
        </w:rPr>
        <w:t xml:space="preserve">, D., Chang, C., Watt, J.A., Hofmeister, M. and Goodarzi, Z. (2024). Treatments for depression for older adults living in long-term care: A systematic review and network meta-analysis. </w:t>
      </w:r>
      <w:r w:rsidRPr="00DF39D0">
        <w:rPr>
          <w:rFonts w:ascii="Arial" w:hAnsi="Arial" w:cs="Arial"/>
          <w:i/>
          <w:iCs/>
          <w:sz w:val="22"/>
          <w:szCs w:val="22"/>
        </w:rPr>
        <w:t>Journal of the American Medical Directors Association</w:t>
      </w:r>
      <w:r w:rsidRPr="00DF39D0">
        <w:rPr>
          <w:rFonts w:ascii="Arial" w:hAnsi="Arial" w:cs="Arial"/>
          <w:sz w:val="22"/>
          <w:szCs w:val="22"/>
        </w:rPr>
        <w:t xml:space="preserve">, [online] p.105435. </w:t>
      </w:r>
      <w:hyperlink r:id="rId8" w:history="1">
        <w:r w:rsidRPr="00DF39D0">
          <w:rPr>
            <w:rStyle w:val="Hyperlink"/>
            <w:rFonts w:ascii="Arial" w:hAnsi="Arial" w:cs="Arial"/>
            <w:sz w:val="22"/>
            <w:szCs w:val="22"/>
          </w:rPr>
          <w:t>https://doi.org/10.1016/j.jamda.2024.105435</w:t>
        </w:r>
      </w:hyperlink>
      <w:r w:rsidRPr="00DF39D0">
        <w:rPr>
          <w:rFonts w:ascii="Arial" w:hAnsi="Arial" w:cs="Arial"/>
          <w:sz w:val="22"/>
          <w:szCs w:val="22"/>
        </w:rPr>
        <w:t xml:space="preserve">. </w:t>
      </w:r>
    </w:p>
    <w:p w14:paraId="0F60A26F"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Bae, M., Jeon, S. and Walker, K. (2022). Future time perspective, priority of social goals, and friend networks in old age: Evidence for socioemotional selectivity theory using subjective age gap. </w:t>
      </w:r>
      <w:r w:rsidRPr="00DF39D0">
        <w:rPr>
          <w:rFonts w:ascii="Arial" w:hAnsi="Arial" w:cs="Arial"/>
          <w:i/>
          <w:iCs/>
          <w:sz w:val="22"/>
          <w:szCs w:val="22"/>
        </w:rPr>
        <w:t>Healthcare</w:t>
      </w:r>
      <w:r w:rsidRPr="00DF39D0">
        <w:rPr>
          <w:rFonts w:ascii="Arial" w:hAnsi="Arial" w:cs="Arial"/>
          <w:sz w:val="22"/>
          <w:szCs w:val="22"/>
        </w:rPr>
        <w:t xml:space="preserve">, 11(1), p.22. </w:t>
      </w:r>
      <w:hyperlink r:id="rId9" w:history="1">
        <w:r w:rsidRPr="00DF39D0">
          <w:rPr>
            <w:rStyle w:val="Hyperlink"/>
            <w:rFonts w:ascii="Arial" w:hAnsi="Arial" w:cs="Arial"/>
            <w:sz w:val="22"/>
            <w:szCs w:val="22"/>
          </w:rPr>
          <w:t>https://doi.org/10.3390/healthcare11010022</w:t>
        </w:r>
      </w:hyperlink>
      <w:r w:rsidRPr="00DF39D0">
        <w:rPr>
          <w:rFonts w:ascii="Arial" w:hAnsi="Arial" w:cs="Arial"/>
          <w:sz w:val="22"/>
          <w:szCs w:val="22"/>
        </w:rPr>
        <w:t xml:space="preserve">. </w:t>
      </w:r>
    </w:p>
    <w:p w14:paraId="0944429C"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Chapman, H., Bethell, J., Dewan, N., </w:t>
      </w:r>
      <w:proofErr w:type="spellStart"/>
      <w:r w:rsidRPr="00DF39D0">
        <w:rPr>
          <w:rFonts w:ascii="Arial" w:hAnsi="Arial" w:cs="Arial"/>
          <w:sz w:val="22"/>
          <w:szCs w:val="22"/>
        </w:rPr>
        <w:t>Liougas</w:t>
      </w:r>
      <w:proofErr w:type="spellEnd"/>
      <w:r w:rsidRPr="00DF39D0">
        <w:rPr>
          <w:rFonts w:ascii="Arial" w:hAnsi="Arial" w:cs="Arial"/>
          <w:sz w:val="22"/>
          <w:szCs w:val="22"/>
        </w:rPr>
        <w:t xml:space="preserve">, M.P., Livingston, G., McGilton, K.S. and </w:t>
      </w:r>
      <w:proofErr w:type="spellStart"/>
      <w:r w:rsidRPr="00DF39D0">
        <w:rPr>
          <w:rFonts w:ascii="Arial" w:hAnsi="Arial" w:cs="Arial"/>
          <w:sz w:val="22"/>
          <w:szCs w:val="22"/>
        </w:rPr>
        <w:t>Sommerlad</w:t>
      </w:r>
      <w:proofErr w:type="spellEnd"/>
      <w:r w:rsidRPr="00DF39D0">
        <w:rPr>
          <w:rFonts w:ascii="Arial" w:hAnsi="Arial" w:cs="Arial"/>
          <w:sz w:val="22"/>
          <w:szCs w:val="22"/>
        </w:rPr>
        <w:t xml:space="preserve">, A. (2024). Social connection in long-term care homes: A qualitative study of barriers and facilitators. </w:t>
      </w:r>
      <w:r w:rsidRPr="00DF39D0">
        <w:rPr>
          <w:rFonts w:ascii="Arial" w:hAnsi="Arial" w:cs="Arial"/>
          <w:i/>
          <w:iCs/>
          <w:sz w:val="22"/>
          <w:szCs w:val="22"/>
        </w:rPr>
        <w:t>BMC Geriatrics</w:t>
      </w:r>
      <w:r w:rsidRPr="00DF39D0">
        <w:rPr>
          <w:rFonts w:ascii="Arial" w:hAnsi="Arial" w:cs="Arial"/>
          <w:sz w:val="22"/>
          <w:szCs w:val="22"/>
        </w:rPr>
        <w:t xml:space="preserve">, 24(1). </w:t>
      </w:r>
      <w:hyperlink r:id="rId10" w:history="1">
        <w:r w:rsidRPr="00DF39D0">
          <w:rPr>
            <w:rStyle w:val="Hyperlink"/>
            <w:rFonts w:ascii="Arial" w:hAnsi="Arial" w:cs="Arial"/>
            <w:sz w:val="22"/>
            <w:szCs w:val="22"/>
          </w:rPr>
          <w:t>https://doi.org/10.1186/s12877-024-05454-8</w:t>
        </w:r>
      </w:hyperlink>
      <w:r w:rsidRPr="00DF39D0">
        <w:rPr>
          <w:rFonts w:ascii="Arial" w:hAnsi="Arial" w:cs="Arial"/>
          <w:sz w:val="22"/>
          <w:szCs w:val="22"/>
        </w:rPr>
        <w:t xml:space="preserve">. </w:t>
      </w:r>
    </w:p>
    <w:p w14:paraId="1ABC1CB0"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Declercq, N., </w:t>
      </w:r>
      <w:proofErr w:type="spellStart"/>
      <w:r w:rsidRPr="00DF39D0">
        <w:rPr>
          <w:rFonts w:ascii="Arial" w:hAnsi="Arial" w:cs="Arial"/>
          <w:sz w:val="22"/>
          <w:szCs w:val="22"/>
        </w:rPr>
        <w:t>Leontjevas</w:t>
      </w:r>
      <w:proofErr w:type="spellEnd"/>
      <w:r w:rsidRPr="00DF39D0">
        <w:rPr>
          <w:rFonts w:ascii="Arial" w:hAnsi="Arial" w:cs="Arial"/>
          <w:sz w:val="22"/>
          <w:szCs w:val="22"/>
        </w:rPr>
        <w:t xml:space="preserve">, R., </w:t>
      </w:r>
      <w:proofErr w:type="spellStart"/>
      <w:r w:rsidRPr="00DF39D0">
        <w:rPr>
          <w:rFonts w:ascii="Arial" w:hAnsi="Arial" w:cs="Arial"/>
          <w:sz w:val="22"/>
          <w:szCs w:val="22"/>
        </w:rPr>
        <w:t>Verboon</w:t>
      </w:r>
      <w:proofErr w:type="spellEnd"/>
      <w:r w:rsidRPr="00DF39D0">
        <w:rPr>
          <w:rFonts w:ascii="Arial" w:hAnsi="Arial" w:cs="Arial"/>
          <w:sz w:val="22"/>
          <w:szCs w:val="22"/>
        </w:rPr>
        <w:t xml:space="preserve">, P., Vriendt, P. De, Gerritsen, D.L. and Hooren, S. van (2024). A </w:t>
      </w:r>
      <w:proofErr w:type="spellStart"/>
      <w:r w:rsidRPr="00DF39D0">
        <w:rPr>
          <w:rFonts w:ascii="Arial" w:hAnsi="Arial" w:cs="Arial"/>
          <w:sz w:val="22"/>
          <w:szCs w:val="22"/>
        </w:rPr>
        <w:t>bayesian</w:t>
      </w:r>
      <w:proofErr w:type="spellEnd"/>
      <w:r w:rsidRPr="00DF39D0">
        <w:rPr>
          <w:rFonts w:ascii="Arial" w:hAnsi="Arial" w:cs="Arial"/>
          <w:sz w:val="22"/>
          <w:szCs w:val="22"/>
        </w:rPr>
        <w:t xml:space="preserve"> network meta-analysis to explore modifying factors in randomized controlled trials: What works for whom to reduce depression in nursing home residents? </w:t>
      </w:r>
      <w:r w:rsidRPr="00DF39D0">
        <w:rPr>
          <w:rFonts w:ascii="Arial" w:hAnsi="Arial" w:cs="Arial"/>
          <w:i/>
          <w:iCs/>
          <w:sz w:val="22"/>
          <w:szCs w:val="22"/>
        </w:rPr>
        <w:t>BMC Geriatrics</w:t>
      </w:r>
      <w:r w:rsidRPr="00DF39D0">
        <w:rPr>
          <w:rFonts w:ascii="Arial" w:hAnsi="Arial" w:cs="Arial"/>
          <w:sz w:val="22"/>
          <w:szCs w:val="22"/>
        </w:rPr>
        <w:t xml:space="preserve">, [online] 24(1). </w:t>
      </w:r>
      <w:hyperlink r:id="rId11" w:history="1">
        <w:r w:rsidRPr="00DF39D0">
          <w:rPr>
            <w:rStyle w:val="Hyperlink"/>
            <w:rFonts w:ascii="Arial" w:hAnsi="Arial" w:cs="Arial"/>
            <w:sz w:val="22"/>
            <w:szCs w:val="22"/>
          </w:rPr>
          <w:t>https://doi.org/10.1186/s12877-024-05117-8</w:t>
        </w:r>
      </w:hyperlink>
      <w:r w:rsidRPr="00DF39D0">
        <w:rPr>
          <w:rFonts w:ascii="Arial" w:hAnsi="Arial" w:cs="Arial"/>
          <w:sz w:val="22"/>
          <w:szCs w:val="22"/>
        </w:rPr>
        <w:t xml:space="preserve">. </w:t>
      </w:r>
    </w:p>
    <w:p w14:paraId="3DA54063" w14:textId="77777777" w:rsidR="001402F2"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Desmet, L., Dezutter, J., </w:t>
      </w:r>
      <w:proofErr w:type="spellStart"/>
      <w:r w:rsidRPr="00DF39D0">
        <w:rPr>
          <w:rFonts w:ascii="Arial" w:hAnsi="Arial" w:cs="Arial"/>
          <w:sz w:val="22"/>
          <w:szCs w:val="22"/>
        </w:rPr>
        <w:t>Vandenhoeck</w:t>
      </w:r>
      <w:proofErr w:type="spellEnd"/>
      <w:r w:rsidRPr="00DF39D0">
        <w:rPr>
          <w:rFonts w:ascii="Arial" w:hAnsi="Arial" w:cs="Arial"/>
          <w:sz w:val="22"/>
          <w:szCs w:val="22"/>
        </w:rPr>
        <w:t xml:space="preserve">, A. and Dillen, A. (2022). Religious coping styles and depressive symptoms in geriatric patients: Understanding the relationship through experiences of integrity and despair. </w:t>
      </w:r>
      <w:r w:rsidRPr="00DF39D0">
        <w:rPr>
          <w:rFonts w:ascii="Arial" w:hAnsi="Arial" w:cs="Arial"/>
          <w:i/>
          <w:iCs/>
          <w:sz w:val="22"/>
          <w:szCs w:val="22"/>
        </w:rPr>
        <w:t>International Journal of Environmental Research and Public Health</w:t>
      </w:r>
      <w:r w:rsidRPr="00DF39D0">
        <w:rPr>
          <w:rFonts w:ascii="Arial" w:hAnsi="Arial" w:cs="Arial"/>
          <w:sz w:val="22"/>
          <w:szCs w:val="22"/>
        </w:rPr>
        <w:t xml:space="preserve">, 19(7), p.3835. </w:t>
      </w:r>
      <w:hyperlink r:id="rId12" w:history="1">
        <w:r w:rsidRPr="00DF39D0">
          <w:rPr>
            <w:rStyle w:val="Hyperlink"/>
            <w:rFonts w:ascii="Arial" w:hAnsi="Arial" w:cs="Arial"/>
            <w:sz w:val="22"/>
            <w:szCs w:val="22"/>
          </w:rPr>
          <w:t>https://doi.org/10.3390/ijerph19073835</w:t>
        </w:r>
      </w:hyperlink>
      <w:r w:rsidRPr="00DF39D0">
        <w:rPr>
          <w:rFonts w:ascii="Arial" w:hAnsi="Arial" w:cs="Arial"/>
          <w:sz w:val="22"/>
          <w:szCs w:val="22"/>
        </w:rPr>
        <w:t xml:space="preserve">. </w:t>
      </w:r>
    </w:p>
    <w:p w14:paraId="07A3F581" w14:textId="77777777" w:rsidR="00D9702A" w:rsidRPr="00DF39D0" w:rsidRDefault="00D9702A" w:rsidP="001402F2">
      <w:pPr>
        <w:pStyle w:val="NormalWeb"/>
        <w:spacing w:after="240" w:line="240" w:lineRule="auto"/>
        <w:ind w:left="720" w:hanging="720"/>
        <w:rPr>
          <w:rFonts w:ascii="Arial" w:hAnsi="Arial" w:cs="Arial"/>
          <w:sz w:val="22"/>
          <w:szCs w:val="22"/>
        </w:rPr>
      </w:pPr>
      <w:r w:rsidRPr="00D9702A">
        <w:rPr>
          <w:rFonts w:ascii="Arial" w:hAnsi="Arial" w:cs="Arial"/>
          <w:sz w:val="22"/>
          <w:szCs w:val="22"/>
        </w:rPr>
        <w:t xml:space="preserve">Erikson, E.H. (1950). Childhood and society. New </w:t>
      </w:r>
      <w:proofErr w:type="gramStart"/>
      <w:r w:rsidRPr="00D9702A">
        <w:rPr>
          <w:rFonts w:ascii="Arial" w:hAnsi="Arial" w:cs="Arial"/>
          <w:sz w:val="22"/>
          <w:szCs w:val="22"/>
        </w:rPr>
        <w:t>York ;</w:t>
      </w:r>
      <w:proofErr w:type="gramEnd"/>
      <w:r w:rsidRPr="00D9702A">
        <w:rPr>
          <w:rFonts w:ascii="Arial" w:hAnsi="Arial" w:cs="Arial"/>
          <w:sz w:val="22"/>
          <w:szCs w:val="22"/>
        </w:rPr>
        <w:t xml:space="preserve"> London Uk: W.W. Norton &amp; Company.</w:t>
      </w:r>
    </w:p>
    <w:p w14:paraId="380DF9AE"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Jalali, A., </w:t>
      </w:r>
      <w:proofErr w:type="spellStart"/>
      <w:r w:rsidRPr="00DF39D0">
        <w:rPr>
          <w:rFonts w:ascii="Arial" w:hAnsi="Arial" w:cs="Arial"/>
          <w:sz w:val="22"/>
          <w:szCs w:val="22"/>
        </w:rPr>
        <w:t>Ziapour</w:t>
      </w:r>
      <w:proofErr w:type="spellEnd"/>
      <w:r w:rsidRPr="00DF39D0">
        <w:rPr>
          <w:rFonts w:ascii="Arial" w:hAnsi="Arial" w:cs="Arial"/>
          <w:sz w:val="22"/>
          <w:szCs w:val="22"/>
        </w:rPr>
        <w:t xml:space="preserve">, A., Karimi, Z., Rezaei, M., Emami, B., </w:t>
      </w:r>
      <w:proofErr w:type="spellStart"/>
      <w:r w:rsidRPr="00DF39D0">
        <w:rPr>
          <w:rFonts w:ascii="Arial" w:hAnsi="Arial" w:cs="Arial"/>
          <w:sz w:val="22"/>
          <w:szCs w:val="22"/>
        </w:rPr>
        <w:t>Kalhori</w:t>
      </w:r>
      <w:proofErr w:type="spellEnd"/>
      <w:r w:rsidRPr="00DF39D0">
        <w:rPr>
          <w:rFonts w:ascii="Arial" w:hAnsi="Arial" w:cs="Arial"/>
          <w:sz w:val="22"/>
          <w:szCs w:val="22"/>
        </w:rPr>
        <w:t xml:space="preserve">, R.P., Khosravi, F., </w:t>
      </w:r>
      <w:proofErr w:type="spellStart"/>
      <w:r w:rsidRPr="00DF39D0">
        <w:rPr>
          <w:rFonts w:ascii="Arial" w:hAnsi="Arial" w:cs="Arial"/>
          <w:sz w:val="22"/>
          <w:szCs w:val="22"/>
        </w:rPr>
        <w:t>Sameni</w:t>
      </w:r>
      <w:proofErr w:type="spellEnd"/>
      <w:r w:rsidRPr="00DF39D0">
        <w:rPr>
          <w:rFonts w:ascii="Arial" w:hAnsi="Arial" w:cs="Arial"/>
          <w:sz w:val="22"/>
          <w:szCs w:val="22"/>
        </w:rPr>
        <w:t xml:space="preserve">, J.S. and </w:t>
      </w:r>
      <w:proofErr w:type="spellStart"/>
      <w:r w:rsidRPr="00DF39D0">
        <w:rPr>
          <w:rFonts w:ascii="Arial" w:hAnsi="Arial" w:cs="Arial"/>
          <w:sz w:val="22"/>
          <w:szCs w:val="22"/>
        </w:rPr>
        <w:t>Kazeminia</w:t>
      </w:r>
      <w:proofErr w:type="spellEnd"/>
      <w:r w:rsidRPr="00DF39D0">
        <w:rPr>
          <w:rFonts w:ascii="Arial" w:hAnsi="Arial" w:cs="Arial"/>
          <w:sz w:val="22"/>
          <w:szCs w:val="22"/>
        </w:rPr>
        <w:t xml:space="preserve">, M. (2024). Global prevalence of depression, anxiety, and stress in the elderly population: A systematic review and meta-analysis. </w:t>
      </w:r>
      <w:r w:rsidRPr="00DF39D0">
        <w:rPr>
          <w:rFonts w:ascii="Arial" w:hAnsi="Arial" w:cs="Arial"/>
          <w:i/>
          <w:iCs/>
          <w:sz w:val="22"/>
          <w:szCs w:val="22"/>
        </w:rPr>
        <w:t>BMC Geriatrics</w:t>
      </w:r>
      <w:r w:rsidRPr="00DF39D0">
        <w:rPr>
          <w:rFonts w:ascii="Arial" w:hAnsi="Arial" w:cs="Arial"/>
          <w:sz w:val="22"/>
          <w:szCs w:val="22"/>
        </w:rPr>
        <w:t xml:space="preserve">, 24(1). </w:t>
      </w:r>
      <w:hyperlink r:id="rId13" w:history="1">
        <w:r w:rsidRPr="00DF39D0">
          <w:rPr>
            <w:rStyle w:val="Hyperlink"/>
            <w:rFonts w:ascii="Arial" w:hAnsi="Arial" w:cs="Arial"/>
            <w:sz w:val="22"/>
            <w:szCs w:val="22"/>
          </w:rPr>
          <w:t>https://doi.org/10.1186/s12877-024-05311-8</w:t>
        </w:r>
      </w:hyperlink>
      <w:r w:rsidRPr="00DF39D0">
        <w:rPr>
          <w:rFonts w:ascii="Arial" w:hAnsi="Arial" w:cs="Arial"/>
          <w:sz w:val="22"/>
          <w:szCs w:val="22"/>
        </w:rPr>
        <w:t xml:space="preserve">. </w:t>
      </w:r>
    </w:p>
    <w:p w14:paraId="0B305B4F"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Rolison, J.J. and Lamarche, V.M. (2022). Do older adults construct more emotionally gratifying social environments than younger adults? Evidence from a social network decision task. </w:t>
      </w:r>
      <w:r w:rsidRPr="00DF39D0">
        <w:rPr>
          <w:rFonts w:ascii="Arial" w:hAnsi="Arial" w:cs="Arial"/>
          <w:i/>
          <w:iCs/>
          <w:sz w:val="22"/>
          <w:szCs w:val="22"/>
        </w:rPr>
        <w:t>Current Psychology</w:t>
      </w:r>
      <w:r w:rsidRPr="00DF39D0">
        <w:rPr>
          <w:rFonts w:ascii="Arial" w:hAnsi="Arial" w:cs="Arial"/>
          <w:sz w:val="22"/>
          <w:szCs w:val="22"/>
        </w:rPr>
        <w:t xml:space="preserve">. </w:t>
      </w:r>
      <w:hyperlink r:id="rId14" w:history="1">
        <w:r w:rsidRPr="00DF39D0">
          <w:rPr>
            <w:rStyle w:val="Hyperlink"/>
            <w:rFonts w:ascii="Arial" w:hAnsi="Arial" w:cs="Arial"/>
            <w:sz w:val="22"/>
            <w:szCs w:val="22"/>
          </w:rPr>
          <w:t>https://doi.org/10.1007/s12144-022-03960-9</w:t>
        </w:r>
      </w:hyperlink>
      <w:r w:rsidRPr="00DF39D0">
        <w:rPr>
          <w:rFonts w:ascii="Arial" w:hAnsi="Arial" w:cs="Arial"/>
          <w:sz w:val="22"/>
          <w:szCs w:val="22"/>
        </w:rPr>
        <w:t xml:space="preserve">. </w:t>
      </w:r>
    </w:p>
    <w:p w14:paraId="592BAA08"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Soylu, C. and </w:t>
      </w:r>
      <w:proofErr w:type="spellStart"/>
      <w:r w:rsidRPr="00DF39D0">
        <w:rPr>
          <w:rFonts w:ascii="Arial" w:hAnsi="Arial" w:cs="Arial"/>
          <w:sz w:val="22"/>
          <w:szCs w:val="22"/>
        </w:rPr>
        <w:t>Ozekes</w:t>
      </w:r>
      <w:proofErr w:type="spellEnd"/>
      <w:r w:rsidRPr="00DF39D0">
        <w:rPr>
          <w:rFonts w:ascii="Arial" w:hAnsi="Arial" w:cs="Arial"/>
          <w:sz w:val="22"/>
          <w:szCs w:val="22"/>
        </w:rPr>
        <w:t xml:space="preserve">, B.C. (2022). Testing a model of biopsychosocial successful aging based on socioemotional selectivity theory in the second half of life. </w:t>
      </w:r>
      <w:r w:rsidRPr="00DF39D0">
        <w:rPr>
          <w:rFonts w:ascii="Arial" w:hAnsi="Arial" w:cs="Arial"/>
          <w:i/>
          <w:iCs/>
          <w:sz w:val="22"/>
          <w:szCs w:val="22"/>
        </w:rPr>
        <w:t>International Psychogeriatrics</w:t>
      </w:r>
      <w:r w:rsidRPr="00DF39D0">
        <w:rPr>
          <w:rFonts w:ascii="Arial" w:hAnsi="Arial" w:cs="Arial"/>
          <w:sz w:val="22"/>
          <w:szCs w:val="22"/>
        </w:rPr>
        <w:t xml:space="preserve">, 35(10), pp.1–11. </w:t>
      </w:r>
      <w:hyperlink r:id="rId15" w:history="1">
        <w:r w:rsidRPr="00DF39D0">
          <w:rPr>
            <w:rStyle w:val="Hyperlink"/>
            <w:rFonts w:ascii="Arial" w:hAnsi="Arial" w:cs="Arial"/>
            <w:sz w:val="22"/>
            <w:szCs w:val="22"/>
          </w:rPr>
          <w:t>https://doi.org/10.1017/s1041610222001090</w:t>
        </w:r>
      </w:hyperlink>
      <w:r w:rsidRPr="00DF39D0">
        <w:rPr>
          <w:rFonts w:ascii="Arial" w:hAnsi="Arial" w:cs="Arial"/>
          <w:sz w:val="22"/>
          <w:szCs w:val="22"/>
        </w:rPr>
        <w:t xml:space="preserve">. </w:t>
      </w:r>
    </w:p>
    <w:p w14:paraId="7B26E7EB"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Tan, J.D.L., </w:t>
      </w:r>
      <w:proofErr w:type="spellStart"/>
      <w:r w:rsidRPr="00DF39D0">
        <w:rPr>
          <w:rFonts w:ascii="Arial" w:hAnsi="Arial" w:cs="Arial"/>
          <w:sz w:val="22"/>
          <w:szCs w:val="22"/>
        </w:rPr>
        <w:t>Maneze</w:t>
      </w:r>
      <w:proofErr w:type="spellEnd"/>
      <w:r w:rsidRPr="00DF39D0">
        <w:rPr>
          <w:rFonts w:ascii="Arial" w:hAnsi="Arial" w:cs="Arial"/>
          <w:sz w:val="22"/>
          <w:szCs w:val="22"/>
        </w:rPr>
        <w:t xml:space="preserve">, D., </w:t>
      </w:r>
      <w:proofErr w:type="spellStart"/>
      <w:r w:rsidRPr="00DF39D0">
        <w:rPr>
          <w:rFonts w:ascii="Arial" w:hAnsi="Arial" w:cs="Arial"/>
          <w:sz w:val="22"/>
          <w:szCs w:val="22"/>
        </w:rPr>
        <w:t>Montayre</w:t>
      </w:r>
      <w:proofErr w:type="spellEnd"/>
      <w:r w:rsidRPr="00DF39D0">
        <w:rPr>
          <w:rFonts w:ascii="Arial" w:hAnsi="Arial" w:cs="Arial"/>
          <w:sz w:val="22"/>
          <w:szCs w:val="22"/>
        </w:rPr>
        <w:t xml:space="preserve">, J., Ramjan, L.M., Wang, D. and </w:t>
      </w:r>
      <w:proofErr w:type="spellStart"/>
      <w:r w:rsidRPr="00DF39D0">
        <w:rPr>
          <w:rFonts w:ascii="Arial" w:hAnsi="Arial" w:cs="Arial"/>
          <w:sz w:val="22"/>
          <w:szCs w:val="22"/>
        </w:rPr>
        <w:t>Salamonson</w:t>
      </w:r>
      <w:proofErr w:type="spellEnd"/>
      <w:r w:rsidRPr="00DF39D0">
        <w:rPr>
          <w:rFonts w:ascii="Arial" w:hAnsi="Arial" w:cs="Arial"/>
          <w:sz w:val="22"/>
          <w:szCs w:val="22"/>
        </w:rPr>
        <w:t xml:space="preserve">, Y. (2023). Family visits and depression among residential aged care residents: An integrative review. </w:t>
      </w:r>
      <w:r w:rsidRPr="00DF39D0">
        <w:rPr>
          <w:rFonts w:ascii="Arial" w:hAnsi="Arial" w:cs="Arial"/>
          <w:i/>
          <w:iCs/>
          <w:sz w:val="22"/>
          <w:szCs w:val="22"/>
        </w:rPr>
        <w:t>International Journal of Nursing Studies</w:t>
      </w:r>
      <w:r w:rsidRPr="00DF39D0">
        <w:rPr>
          <w:rFonts w:ascii="Arial" w:hAnsi="Arial" w:cs="Arial"/>
          <w:sz w:val="22"/>
          <w:szCs w:val="22"/>
        </w:rPr>
        <w:t xml:space="preserve">, [online] 146(1), p.104568. </w:t>
      </w:r>
      <w:hyperlink r:id="rId16" w:history="1">
        <w:r w:rsidRPr="00DF39D0">
          <w:rPr>
            <w:rStyle w:val="Hyperlink"/>
            <w:rFonts w:ascii="Arial" w:hAnsi="Arial" w:cs="Arial"/>
            <w:sz w:val="22"/>
            <w:szCs w:val="22"/>
          </w:rPr>
          <w:t>https://doi.org/10.1016/j.ijnurstu.2023.104568</w:t>
        </w:r>
      </w:hyperlink>
      <w:r w:rsidRPr="00DF39D0">
        <w:rPr>
          <w:rFonts w:ascii="Arial" w:hAnsi="Arial" w:cs="Arial"/>
          <w:sz w:val="22"/>
          <w:szCs w:val="22"/>
        </w:rPr>
        <w:t xml:space="preserve">. </w:t>
      </w:r>
    </w:p>
    <w:p w14:paraId="1E9C1B9C"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Tang, T., Jiang, J. and Tang, X. (2022). Prevalence of depression among older adults living in care homes in China: A systematic review and meta-analysis. </w:t>
      </w:r>
      <w:r w:rsidRPr="00DF39D0">
        <w:rPr>
          <w:rFonts w:ascii="Arial" w:hAnsi="Arial" w:cs="Arial"/>
          <w:i/>
          <w:iCs/>
          <w:sz w:val="22"/>
          <w:szCs w:val="22"/>
        </w:rPr>
        <w:t>International Journal of Nursing Studies</w:t>
      </w:r>
      <w:r w:rsidRPr="00DF39D0">
        <w:rPr>
          <w:rFonts w:ascii="Arial" w:hAnsi="Arial" w:cs="Arial"/>
          <w:sz w:val="22"/>
          <w:szCs w:val="22"/>
        </w:rPr>
        <w:t xml:space="preserve">, 125, p.104114. </w:t>
      </w:r>
      <w:hyperlink r:id="rId17" w:history="1">
        <w:r w:rsidRPr="00DF39D0">
          <w:rPr>
            <w:rStyle w:val="Hyperlink"/>
            <w:rFonts w:ascii="Arial" w:hAnsi="Arial" w:cs="Arial"/>
            <w:sz w:val="22"/>
            <w:szCs w:val="22"/>
          </w:rPr>
          <w:t>https://doi.org/10.1016/j.ijnurstu.2021.104114</w:t>
        </w:r>
      </w:hyperlink>
      <w:r w:rsidRPr="00DF39D0">
        <w:rPr>
          <w:rFonts w:ascii="Arial" w:hAnsi="Arial" w:cs="Arial"/>
          <w:sz w:val="22"/>
          <w:szCs w:val="22"/>
        </w:rPr>
        <w:t xml:space="preserve">. </w:t>
      </w:r>
    </w:p>
    <w:p w14:paraId="65DBDF19"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lastRenderedPageBreak/>
        <w:t xml:space="preserve">Van Der </w:t>
      </w:r>
      <w:proofErr w:type="spellStart"/>
      <w:r w:rsidRPr="00DF39D0">
        <w:rPr>
          <w:rFonts w:ascii="Arial" w:hAnsi="Arial" w:cs="Arial"/>
          <w:sz w:val="22"/>
          <w:szCs w:val="22"/>
        </w:rPr>
        <w:t>Kaap-Deeder</w:t>
      </w:r>
      <w:proofErr w:type="spellEnd"/>
      <w:r w:rsidRPr="00DF39D0">
        <w:rPr>
          <w:rFonts w:ascii="Arial" w:hAnsi="Arial" w:cs="Arial"/>
          <w:sz w:val="22"/>
          <w:szCs w:val="22"/>
        </w:rPr>
        <w:t xml:space="preserve">, J., </w:t>
      </w:r>
      <w:proofErr w:type="spellStart"/>
      <w:r w:rsidRPr="00DF39D0">
        <w:rPr>
          <w:rFonts w:ascii="Arial" w:hAnsi="Arial" w:cs="Arial"/>
          <w:sz w:val="22"/>
          <w:szCs w:val="22"/>
        </w:rPr>
        <w:t>Vermote</w:t>
      </w:r>
      <w:proofErr w:type="spellEnd"/>
      <w:r w:rsidRPr="00DF39D0">
        <w:rPr>
          <w:rFonts w:ascii="Arial" w:hAnsi="Arial" w:cs="Arial"/>
          <w:sz w:val="22"/>
          <w:szCs w:val="22"/>
        </w:rPr>
        <w:t xml:space="preserve">, B., </w:t>
      </w:r>
      <w:proofErr w:type="spellStart"/>
      <w:r w:rsidRPr="00DF39D0">
        <w:rPr>
          <w:rFonts w:ascii="Arial" w:hAnsi="Arial" w:cs="Arial"/>
          <w:sz w:val="22"/>
          <w:szCs w:val="22"/>
        </w:rPr>
        <w:t>Waterschoot</w:t>
      </w:r>
      <w:proofErr w:type="spellEnd"/>
      <w:r w:rsidRPr="00DF39D0">
        <w:rPr>
          <w:rFonts w:ascii="Arial" w:hAnsi="Arial" w:cs="Arial"/>
          <w:sz w:val="22"/>
          <w:szCs w:val="22"/>
        </w:rPr>
        <w:t xml:space="preserve">, J., Soenens, B., </w:t>
      </w:r>
      <w:proofErr w:type="spellStart"/>
      <w:r w:rsidRPr="00DF39D0">
        <w:rPr>
          <w:rFonts w:ascii="Arial" w:hAnsi="Arial" w:cs="Arial"/>
          <w:sz w:val="22"/>
          <w:szCs w:val="22"/>
        </w:rPr>
        <w:t>Morbée</w:t>
      </w:r>
      <w:proofErr w:type="spellEnd"/>
      <w:r w:rsidRPr="00DF39D0">
        <w:rPr>
          <w:rFonts w:ascii="Arial" w:hAnsi="Arial" w:cs="Arial"/>
          <w:sz w:val="22"/>
          <w:szCs w:val="22"/>
        </w:rPr>
        <w:t xml:space="preserve">, S. and Vansteenkiste, M. (2021). The role of ego integrity and despair in older adults’ well-being during the COVID-19 crisis: The mediating role of need-based experiences. </w:t>
      </w:r>
      <w:r w:rsidRPr="00DF39D0">
        <w:rPr>
          <w:rFonts w:ascii="Arial" w:hAnsi="Arial" w:cs="Arial"/>
          <w:i/>
          <w:iCs/>
          <w:sz w:val="22"/>
          <w:szCs w:val="22"/>
        </w:rPr>
        <w:t>European Journal of Ageing</w:t>
      </w:r>
      <w:r w:rsidRPr="00DF39D0">
        <w:rPr>
          <w:rFonts w:ascii="Arial" w:hAnsi="Arial" w:cs="Arial"/>
          <w:sz w:val="22"/>
          <w:szCs w:val="22"/>
        </w:rPr>
        <w:t xml:space="preserve">, [online] 19(1), pp.117–129. </w:t>
      </w:r>
      <w:hyperlink r:id="rId18" w:history="1">
        <w:r w:rsidRPr="00DF39D0">
          <w:rPr>
            <w:rStyle w:val="Hyperlink"/>
            <w:rFonts w:ascii="Arial" w:hAnsi="Arial" w:cs="Arial"/>
            <w:sz w:val="22"/>
            <w:szCs w:val="22"/>
          </w:rPr>
          <w:t>https://doi.org/10.1007/s10433-021-00610-0</w:t>
        </w:r>
      </w:hyperlink>
      <w:r w:rsidRPr="00DF39D0">
        <w:rPr>
          <w:rFonts w:ascii="Arial" w:hAnsi="Arial" w:cs="Arial"/>
          <w:sz w:val="22"/>
          <w:szCs w:val="22"/>
        </w:rPr>
        <w:t xml:space="preserve">. </w:t>
      </w:r>
    </w:p>
    <w:p w14:paraId="3F0AC176"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Wang, Q., Huang, X., Liu, M., Wang, C., Sun, Z., Huang, C. and Tang, S. (2024). Prevalence and risk factors of depression among elderly people in nursing homes from 2012 to 2022: A systematic review and meta-analysis. </w:t>
      </w:r>
      <w:r w:rsidRPr="00DF39D0">
        <w:rPr>
          <w:rFonts w:ascii="Arial" w:hAnsi="Arial" w:cs="Arial"/>
          <w:i/>
          <w:iCs/>
          <w:sz w:val="22"/>
          <w:szCs w:val="22"/>
        </w:rPr>
        <w:t>Aging and mental health/Aging &amp; mental health</w:t>
      </w:r>
      <w:r w:rsidRPr="00DF39D0">
        <w:rPr>
          <w:rFonts w:ascii="Arial" w:hAnsi="Arial" w:cs="Arial"/>
          <w:sz w:val="22"/>
          <w:szCs w:val="22"/>
        </w:rPr>
        <w:t xml:space="preserve">, 28(12), pp.1–12. </w:t>
      </w:r>
      <w:hyperlink r:id="rId19" w:history="1">
        <w:r w:rsidRPr="00DF39D0">
          <w:rPr>
            <w:rStyle w:val="Hyperlink"/>
            <w:rFonts w:ascii="Arial" w:hAnsi="Arial" w:cs="Arial"/>
            <w:sz w:val="22"/>
            <w:szCs w:val="22"/>
          </w:rPr>
          <w:t>https://doi.org/10.1080/13607863.2024.2367044</w:t>
        </w:r>
      </w:hyperlink>
      <w:r w:rsidRPr="00DF39D0">
        <w:rPr>
          <w:rFonts w:ascii="Arial" w:hAnsi="Arial" w:cs="Arial"/>
          <w:sz w:val="22"/>
          <w:szCs w:val="22"/>
        </w:rPr>
        <w:t xml:space="preserve">. </w:t>
      </w:r>
    </w:p>
    <w:p w14:paraId="1AAC9D9E"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Xu, L., Li, S., Yan, R., Ni, Y., Wang, Y. and Li, Y. (2023). Effects of reminiscence therapy on psychological outcome among older adults without obvious cognitive impairment: A systematic review and meta-analysis. </w:t>
      </w:r>
      <w:r w:rsidRPr="00DF39D0">
        <w:rPr>
          <w:rFonts w:ascii="Arial" w:hAnsi="Arial" w:cs="Arial"/>
          <w:i/>
          <w:iCs/>
          <w:sz w:val="22"/>
          <w:szCs w:val="22"/>
        </w:rPr>
        <w:t>Frontiers in Psychiatry</w:t>
      </w:r>
      <w:r w:rsidRPr="00DF39D0">
        <w:rPr>
          <w:rFonts w:ascii="Arial" w:hAnsi="Arial" w:cs="Arial"/>
          <w:sz w:val="22"/>
          <w:szCs w:val="22"/>
        </w:rPr>
        <w:t xml:space="preserve">, 14. </w:t>
      </w:r>
      <w:hyperlink r:id="rId20" w:history="1">
        <w:r w:rsidRPr="00DF39D0">
          <w:rPr>
            <w:rStyle w:val="Hyperlink"/>
            <w:rFonts w:ascii="Arial" w:hAnsi="Arial" w:cs="Arial"/>
            <w:sz w:val="22"/>
            <w:szCs w:val="22"/>
          </w:rPr>
          <w:t>https://doi.org/10.3389/fpsyt.2023.1139700</w:t>
        </w:r>
      </w:hyperlink>
      <w:r w:rsidRPr="00DF39D0">
        <w:rPr>
          <w:rFonts w:ascii="Arial" w:hAnsi="Arial" w:cs="Arial"/>
          <w:sz w:val="22"/>
          <w:szCs w:val="22"/>
        </w:rPr>
        <w:t xml:space="preserve">. </w:t>
      </w:r>
    </w:p>
    <w:p w14:paraId="6B277064"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Zhao, Di, Niu, M., Zhang, S., Shi, Y., Zhang, L., Song, Y., Ma, R. and Wang, P. (2023). Factors associated with adaptation level in the older adult residential care facilities: A path analysis. </w:t>
      </w:r>
      <w:r w:rsidRPr="00DF39D0">
        <w:rPr>
          <w:rFonts w:ascii="Arial" w:hAnsi="Arial" w:cs="Arial"/>
          <w:i/>
          <w:iCs/>
          <w:sz w:val="22"/>
          <w:szCs w:val="22"/>
        </w:rPr>
        <w:t>Frontiers in Public Health</w:t>
      </w:r>
      <w:r w:rsidRPr="00DF39D0">
        <w:rPr>
          <w:rFonts w:ascii="Arial" w:hAnsi="Arial" w:cs="Arial"/>
          <w:sz w:val="22"/>
          <w:szCs w:val="22"/>
        </w:rPr>
        <w:t xml:space="preserve">, 11. </w:t>
      </w:r>
      <w:hyperlink r:id="rId21" w:history="1">
        <w:r w:rsidRPr="00DF39D0">
          <w:rPr>
            <w:rStyle w:val="Hyperlink"/>
            <w:rFonts w:ascii="Arial" w:hAnsi="Arial" w:cs="Arial"/>
            <w:sz w:val="22"/>
            <w:szCs w:val="22"/>
          </w:rPr>
          <w:t>https://doi.org/10.3389/fpubh.2023.1085399</w:t>
        </w:r>
      </w:hyperlink>
      <w:r w:rsidRPr="00DF39D0">
        <w:rPr>
          <w:rFonts w:ascii="Arial" w:hAnsi="Arial" w:cs="Arial"/>
          <w:sz w:val="22"/>
          <w:szCs w:val="22"/>
        </w:rPr>
        <w:t xml:space="preserve">. </w:t>
      </w:r>
    </w:p>
    <w:p w14:paraId="630F9CCB" w14:textId="77777777" w:rsidR="001402F2" w:rsidRPr="00DF39D0" w:rsidRDefault="001402F2" w:rsidP="001402F2">
      <w:pPr>
        <w:pStyle w:val="NormalWeb"/>
        <w:spacing w:after="240" w:line="240" w:lineRule="auto"/>
        <w:ind w:left="720" w:hanging="720"/>
        <w:rPr>
          <w:rFonts w:ascii="Arial" w:hAnsi="Arial" w:cs="Arial"/>
          <w:sz w:val="22"/>
          <w:szCs w:val="22"/>
        </w:rPr>
      </w:pPr>
      <w:r w:rsidRPr="00DF39D0">
        <w:rPr>
          <w:rFonts w:ascii="Arial" w:hAnsi="Arial" w:cs="Arial"/>
          <w:sz w:val="22"/>
          <w:szCs w:val="22"/>
        </w:rPr>
        <w:t xml:space="preserve">Zhong, Q., Chen, C. and Chen, S. (2023). Effectiveness on quality of life and life satisfaction for older adults: A systematic review and meta-analysis of life review and reminiscence therapy across settings. </w:t>
      </w:r>
      <w:proofErr w:type="spellStart"/>
      <w:r w:rsidRPr="00DF39D0">
        <w:rPr>
          <w:rFonts w:ascii="Arial" w:hAnsi="Arial" w:cs="Arial"/>
          <w:i/>
          <w:iCs/>
          <w:sz w:val="22"/>
          <w:szCs w:val="22"/>
        </w:rPr>
        <w:t>Behavioral</w:t>
      </w:r>
      <w:proofErr w:type="spellEnd"/>
      <w:r w:rsidRPr="00DF39D0">
        <w:rPr>
          <w:rFonts w:ascii="Arial" w:hAnsi="Arial" w:cs="Arial"/>
          <w:i/>
          <w:iCs/>
          <w:sz w:val="22"/>
          <w:szCs w:val="22"/>
        </w:rPr>
        <w:t xml:space="preserve"> Sciences (Basel, Switzerland)</w:t>
      </w:r>
      <w:r w:rsidRPr="00DF39D0">
        <w:rPr>
          <w:rFonts w:ascii="Arial" w:hAnsi="Arial" w:cs="Arial"/>
          <w:sz w:val="22"/>
          <w:szCs w:val="22"/>
        </w:rPr>
        <w:t xml:space="preserve">, [online] 13(10), p.830. </w:t>
      </w:r>
      <w:hyperlink r:id="rId22" w:history="1">
        <w:r w:rsidRPr="00DF39D0">
          <w:rPr>
            <w:rStyle w:val="Hyperlink"/>
            <w:rFonts w:ascii="Arial" w:hAnsi="Arial" w:cs="Arial"/>
            <w:sz w:val="22"/>
            <w:szCs w:val="22"/>
          </w:rPr>
          <w:t>https://doi.org/10.3390/bs13100830</w:t>
        </w:r>
      </w:hyperlink>
      <w:r w:rsidRPr="00DF39D0">
        <w:rPr>
          <w:rFonts w:ascii="Arial" w:hAnsi="Arial" w:cs="Arial"/>
          <w:sz w:val="22"/>
          <w:szCs w:val="22"/>
        </w:rPr>
        <w:t xml:space="preserve">. </w:t>
      </w:r>
    </w:p>
    <w:p w14:paraId="68FF0A4F" w14:textId="77777777" w:rsidR="001402F2" w:rsidRPr="00DF39D0" w:rsidRDefault="001402F2" w:rsidP="001402F2">
      <w:pPr>
        <w:rPr>
          <w:rFonts w:ascii="Arial" w:hAnsi="Arial" w:cs="Arial"/>
          <w:sz w:val="22"/>
        </w:rPr>
      </w:pPr>
    </w:p>
    <w:sectPr w:rsidR="001402F2" w:rsidRPr="00DF39D0">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BE03F" w14:textId="77777777" w:rsidR="00303D82" w:rsidRDefault="00303D82" w:rsidP="00A87747">
      <w:pPr>
        <w:spacing w:line="240" w:lineRule="auto"/>
      </w:pPr>
      <w:r>
        <w:separator/>
      </w:r>
    </w:p>
  </w:endnote>
  <w:endnote w:type="continuationSeparator" w:id="0">
    <w:p w14:paraId="4A0A5C7B" w14:textId="77777777" w:rsidR="00303D82" w:rsidRDefault="00303D82"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roid Sans">
    <w:charset w:val="80"/>
    <w:family w:val="auto"/>
    <w:pitch w:val="variable"/>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4CC84" w14:textId="77777777" w:rsidR="00FF5720" w:rsidRDefault="00FF5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9171A" w14:textId="77777777" w:rsidR="00A87747" w:rsidRDefault="00A87747">
    <w:pPr>
      <w:pStyle w:val="Footer"/>
      <w:jc w:val="center"/>
    </w:pPr>
    <w:r>
      <w:fldChar w:fldCharType="begin"/>
    </w:r>
    <w:r>
      <w:instrText xml:space="preserve"> PAGE   \* MERGEFORMAT </w:instrText>
    </w:r>
    <w:r>
      <w:fldChar w:fldCharType="separate"/>
    </w:r>
    <w:r w:rsidR="009935B9">
      <w:rPr>
        <w:noProof/>
      </w:rPr>
      <w:t>1</w:t>
    </w:r>
    <w:r>
      <w:rPr>
        <w:noProof/>
      </w:rPr>
      <w:fldChar w:fldCharType="end"/>
    </w:r>
  </w:p>
  <w:p w14:paraId="5658145D"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2AD25" w14:textId="77777777" w:rsidR="00FF5720" w:rsidRDefault="00FF5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D8025" w14:textId="77777777" w:rsidR="00303D82" w:rsidRDefault="00303D82" w:rsidP="00A87747">
      <w:pPr>
        <w:spacing w:line="240" w:lineRule="auto"/>
      </w:pPr>
      <w:r>
        <w:separator/>
      </w:r>
    </w:p>
  </w:footnote>
  <w:footnote w:type="continuationSeparator" w:id="0">
    <w:p w14:paraId="3D7FE3C7" w14:textId="77777777" w:rsidR="00303D82" w:rsidRDefault="00303D82"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692E3" w14:textId="77777777" w:rsidR="00FF5720" w:rsidRDefault="00FF57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DA286" w14:textId="77777777" w:rsidR="00FF5720" w:rsidRDefault="00FF57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567D4" w14:textId="77777777" w:rsidR="00FF5720" w:rsidRDefault="00FF5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2"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294665">
    <w:abstractNumId w:val="1"/>
  </w:num>
  <w:num w:numId="2" w16cid:durableId="165248472">
    <w:abstractNumId w:val="2"/>
  </w:num>
  <w:num w:numId="3" w16cid:durableId="629869366">
    <w:abstractNumId w:val="11"/>
  </w:num>
  <w:num w:numId="4" w16cid:durableId="1358387782">
    <w:abstractNumId w:val="25"/>
  </w:num>
  <w:num w:numId="5" w16cid:durableId="1800830955">
    <w:abstractNumId w:val="10"/>
  </w:num>
  <w:num w:numId="6" w16cid:durableId="680623597">
    <w:abstractNumId w:val="24"/>
  </w:num>
  <w:num w:numId="7" w16cid:durableId="1396515783">
    <w:abstractNumId w:val="28"/>
  </w:num>
  <w:num w:numId="8" w16cid:durableId="873541971">
    <w:abstractNumId w:val="20"/>
  </w:num>
  <w:num w:numId="9" w16cid:durableId="2054190738">
    <w:abstractNumId w:val="7"/>
  </w:num>
  <w:num w:numId="10" w16cid:durableId="2121489271">
    <w:abstractNumId w:val="17"/>
  </w:num>
  <w:num w:numId="11" w16cid:durableId="458113385">
    <w:abstractNumId w:val="21"/>
  </w:num>
  <w:num w:numId="12" w16cid:durableId="488375398">
    <w:abstractNumId w:val="12"/>
  </w:num>
  <w:num w:numId="13" w16cid:durableId="1935282051">
    <w:abstractNumId w:val="5"/>
  </w:num>
  <w:num w:numId="14" w16cid:durableId="1186361524">
    <w:abstractNumId w:val="18"/>
  </w:num>
  <w:num w:numId="15" w16cid:durableId="1872646197">
    <w:abstractNumId w:val="6"/>
  </w:num>
  <w:num w:numId="16" w16cid:durableId="1319962197">
    <w:abstractNumId w:val="23"/>
  </w:num>
  <w:num w:numId="17" w16cid:durableId="475342966">
    <w:abstractNumId w:val="4"/>
  </w:num>
  <w:num w:numId="18" w16cid:durableId="1783718477">
    <w:abstractNumId w:val="19"/>
  </w:num>
  <w:num w:numId="19" w16cid:durableId="2038266374">
    <w:abstractNumId w:val="3"/>
  </w:num>
  <w:num w:numId="20" w16cid:durableId="82923168">
    <w:abstractNumId w:val="27"/>
  </w:num>
  <w:num w:numId="21" w16cid:durableId="658383722">
    <w:abstractNumId w:val="14"/>
  </w:num>
  <w:num w:numId="22" w16cid:durableId="1370960120">
    <w:abstractNumId w:val="13"/>
  </w:num>
  <w:num w:numId="23" w16cid:durableId="1174565560">
    <w:abstractNumId w:val="26"/>
  </w:num>
  <w:num w:numId="24" w16cid:durableId="1246450942">
    <w:abstractNumId w:val="29"/>
  </w:num>
  <w:num w:numId="25" w16cid:durableId="1756128810">
    <w:abstractNumId w:val="8"/>
  </w:num>
  <w:num w:numId="26" w16cid:durableId="558563842">
    <w:abstractNumId w:val="16"/>
  </w:num>
  <w:num w:numId="27" w16cid:durableId="833256181">
    <w:abstractNumId w:val="15"/>
  </w:num>
  <w:num w:numId="28" w16cid:durableId="1237745090">
    <w:abstractNumId w:val="22"/>
  </w:num>
  <w:num w:numId="29" w16cid:durableId="1447968388">
    <w:abstractNumId w:val="9"/>
  </w:num>
  <w:num w:numId="30" w16cid:durableId="2097551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6F62"/>
    <w:rsid w:val="0003210E"/>
    <w:rsid w:val="00033E1E"/>
    <w:rsid w:val="00035892"/>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2F2"/>
    <w:rsid w:val="0014081F"/>
    <w:rsid w:val="0014236D"/>
    <w:rsid w:val="001543C4"/>
    <w:rsid w:val="00155DFF"/>
    <w:rsid w:val="0015700C"/>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340D3"/>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3D82"/>
    <w:rsid w:val="00306373"/>
    <w:rsid w:val="003347F4"/>
    <w:rsid w:val="003407C3"/>
    <w:rsid w:val="00341F1F"/>
    <w:rsid w:val="00352949"/>
    <w:rsid w:val="00354A83"/>
    <w:rsid w:val="003559FD"/>
    <w:rsid w:val="00355AA6"/>
    <w:rsid w:val="0035740A"/>
    <w:rsid w:val="00363625"/>
    <w:rsid w:val="003644F3"/>
    <w:rsid w:val="003675DC"/>
    <w:rsid w:val="00371215"/>
    <w:rsid w:val="0037352A"/>
    <w:rsid w:val="00376B83"/>
    <w:rsid w:val="00377720"/>
    <w:rsid w:val="00380505"/>
    <w:rsid w:val="00390787"/>
    <w:rsid w:val="003915E6"/>
    <w:rsid w:val="003A21CE"/>
    <w:rsid w:val="003B2223"/>
    <w:rsid w:val="003D2B08"/>
    <w:rsid w:val="003D6472"/>
    <w:rsid w:val="003E3CE3"/>
    <w:rsid w:val="003F321A"/>
    <w:rsid w:val="003F58CF"/>
    <w:rsid w:val="003F652C"/>
    <w:rsid w:val="003F6A34"/>
    <w:rsid w:val="003F7671"/>
    <w:rsid w:val="004001C6"/>
    <w:rsid w:val="0040516B"/>
    <w:rsid w:val="0040600D"/>
    <w:rsid w:val="00406F8A"/>
    <w:rsid w:val="004118BC"/>
    <w:rsid w:val="00412D04"/>
    <w:rsid w:val="00426EFB"/>
    <w:rsid w:val="004275E6"/>
    <w:rsid w:val="00430271"/>
    <w:rsid w:val="0043392D"/>
    <w:rsid w:val="00435F23"/>
    <w:rsid w:val="004510CC"/>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07CF1"/>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86EA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E3466"/>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56FEA"/>
    <w:rsid w:val="008645D9"/>
    <w:rsid w:val="0087207B"/>
    <w:rsid w:val="00872FDC"/>
    <w:rsid w:val="00884801"/>
    <w:rsid w:val="008934D6"/>
    <w:rsid w:val="008A4FEE"/>
    <w:rsid w:val="008A5AAC"/>
    <w:rsid w:val="008A6F1D"/>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3671"/>
    <w:rsid w:val="00956173"/>
    <w:rsid w:val="009561AE"/>
    <w:rsid w:val="00957CD0"/>
    <w:rsid w:val="00963740"/>
    <w:rsid w:val="00964B2F"/>
    <w:rsid w:val="00970C40"/>
    <w:rsid w:val="00975F56"/>
    <w:rsid w:val="009812B8"/>
    <w:rsid w:val="00982038"/>
    <w:rsid w:val="00991B22"/>
    <w:rsid w:val="009935B9"/>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3C5C"/>
    <w:rsid w:val="00B462F2"/>
    <w:rsid w:val="00B465CF"/>
    <w:rsid w:val="00B46E41"/>
    <w:rsid w:val="00B51613"/>
    <w:rsid w:val="00B516A3"/>
    <w:rsid w:val="00B56352"/>
    <w:rsid w:val="00B56B80"/>
    <w:rsid w:val="00B57A65"/>
    <w:rsid w:val="00B57D48"/>
    <w:rsid w:val="00B61DB0"/>
    <w:rsid w:val="00B61FED"/>
    <w:rsid w:val="00B64D5F"/>
    <w:rsid w:val="00B671A3"/>
    <w:rsid w:val="00B7065F"/>
    <w:rsid w:val="00B71230"/>
    <w:rsid w:val="00B74848"/>
    <w:rsid w:val="00B82DDF"/>
    <w:rsid w:val="00B87943"/>
    <w:rsid w:val="00B91486"/>
    <w:rsid w:val="00B97BB3"/>
    <w:rsid w:val="00BA0006"/>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A3F"/>
    <w:rsid w:val="00C42CEC"/>
    <w:rsid w:val="00C433FF"/>
    <w:rsid w:val="00C4703E"/>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46967"/>
    <w:rsid w:val="00D50037"/>
    <w:rsid w:val="00D73C7F"/>
    <w:rsid w:val="00D81130"/>
    <w:rsid w:val="00D863A0"/>
    <w:rsid w:val="00D942AF"/>
    <w:rsid w:val="00D9463B"/>
    <w:rsid w:val="00D9702A"/>
    <w:rsid w:val="00DA3189"/>
    <w:rsid w:val="00DA3A21"/>
    <w:rsid w:val="00DA5AA3"/>
    <w:rsid w:val="00DA5D0B"/>
    <w:rsid w:val="00DB19D0"/>
    <w:rsid w:val="00DB5216"/>
    <w:rsid w:val="00DC13DA"/>
    <w:rsid w:val="00DC49BD"/>
    <w:rsid w:val="00DC5F06"/>
    <w:rsid w:val="00DC67F9"/>
    <w:rsid w:val="00DD45E3"/>
    <w:rsid w:val="00DD6A76"/>
    <w:rsid w:val="00DE0958"/>
    <w:rsid w:val="00DE64C4"/>
    <w:rsid w:val="00DF037E"/>
    <w:rsid w:val="00DF2060"/>
    <w:rsid w:val="00DF39D0"/>
    <w:rsid w:val="00DF6304"/>
    <w:rsid w:val="00E000B9"/>
    <w:rsid w:val="00E039C5"/>
    <w:rsid w:val="00E03A4B"/>
    <w:rsid w:val="00E27145"/>
    <w:rsid w:val="00E315EE"/>
    <w:rsid w:val="00E37264"/>
    <w:rsid w:val="00E41AB6"/>
    <w:rsid w:val="00E5396E"/>
    <w:rsid w:val="00E61475"/>
    <w:rsid w:val="00E62510"/>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0999"/>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20"/>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D03CA50"/>
  <w15:chartTrackingRefBased/>
  <w15:docId w15:val="{E0A0AC95-2A33-CA4E-A7C5-839E48598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ListBullet">
    <w:name w:val="List Bullet"/>
    <w:basedOn w:val="Normal"/>
    <w:uiPriority w:val="99"/>
    <w:unhideWhenUsed/>
    <w:rsid w:val="00BA0006"/>
    <w:pPr>
      <w:numPr>
        <w:numId w:val="30"/>
      </w:numPr>
      <w:tabs>
        <w:tab w:val="clear" w:pos="360"/>
        <w:tab w:val="num" w:pos="0"/>
      </w:tabs>
      <w:suppressAutoHyphens w:val="0"/>
      <w:spacing w:after="120"/>
      <w:ind w:left="432" w:hanging="432"/>
      <w:contextualSpacing/>
    </w:pPr>
    <w:rPr>
      <w:rFonts w:ascii="Arial" w:eastAsia="Arial" w:hAnsi="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140930437">
      <w:bodyDiv w:val="1"/>
      <w:marLeft w:val="0"/>
      <w:marRight w:val="0"/>
      <w:marTop w:val="0"/>
      <w:marBottom w:val="0"/>
      <w:divBdr>
        <w:top w:val="none" w:sz="0" w:space="0" w:color="auto"/>
        <w:left w:val="none" w:sz="0" w:space="0" w:color="auto"/>
        <w:bottom w:val="none" w:sz="0" w:space="0" w:color="auto"/>
        <w:right w:val="none" w:sz="0" w:space="0" w:color="auto"/>
      </w:divBdr>
      <w:divsChild>
        <w:div w:id="1980188230">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990257073">
      <w:bodyDiv w:val="1"/>
      <w:marLeft w:val="0"/>
      <w:marRight w:val="0"/>
      <w:marTop w:val="0"/>
      <w:marBottom w:val="0"/>
      <w:divBdr>
        <w:top w:val="none" w:sz="0" w:space="0" w:color="auto"/>
        <w:left w:val="none" w:sz="0" w:space="0" w:color="auto"/>
        <w:bottom w:val="none" w:sz="0" w:space="0" w:color="auto"/>
        <w:right w:val="none" w:sz="0" w:space="0" w:color="auto"/>
      </w:divBdr>
      <w:divsChild>
        <w:div w:id="2052487224">
          <w:marLeft w:val="0"/>
          <w:marRight w:val="0"/>
          <w:marTop w:val="0"/>
          <w:marBottom w:val="0"/>
          <w:divBdr>
            <w:top w:val="none" w:sz="0" w:space="0" w:color="auto"/>
            <w:left w:val="none" w:sz="0" w:space="0" w:color="auto"/>
            <w:bottom w:val="none" w:sz="0" w:space="0" w:color="auto"/>
            <w:right w:val="none" w:sz="0" w:space="0" w:color="auto"/>
          </w:divBdr>
        </w:div>
      </w:divsChild>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mda.2024.105435" TargetMode="External"/><Relationship Id="rId13" Type="http://schemas.openxmlformats.org/officeDocument/2006/relationships/hyperlink" Target="https://doi.org/10.1186/s12877-024-05311-8" TargetMode="External"/><Relationship Id="rId18" Type="http://schemas.openxmlformats.org/officeDocument/2006/relationships/hyperlink" Target="https://doi.org/10.1007/s10433-021-00610-0"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3389/fpubh.2023.1085399" TargetMode="External"/><Relationship Id="rId7" Type="http://schemas.openxmlformats.org/officeDocument/2006/relationships/endnotes" Target="endnotes.xml"/><Relationship Id="rId12" Type="http://schemas.openxmlformats.org/officeDocument/2006/relationships/hyperlink" Target="https://doi.org/10.3390/ijerph19073835" TargetMode="External"/><Relationship Id="rId17" Type="http://schemas.openxmlformats.org/officeDocument/2006/relationships/hyperlink" Target="https://doi.org/10.1016/j.ijnurstu.2021.10411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ijnurstu.2023.104568" TargetMode="External"/><Relationship Id="rId20" Type="http://schemas.openxmlformats.org/officeDocument/2006/relationships/hyperlink" Target="https://doi.org/10.3389/fpsyt.2023.113970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877-024-05117-8"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17/s104161022200109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doi.org/10.1186/s12877-024-05454-8" TargetMode="External"/><Relationship Id="rId19" Type="http://schemas.openxmlformats.org/officeDocument/2006/relationships/hyperlink" Target="https://doi.org/10.1080/13607863.2024.2367044" TargetMode="External"/><Relationship Id="rId4" Type="http://schemas.openxmlformats.org/officeDocument/2006/relationships/settings" Target="settings.xml"/><Relationship Id="rId9" Type="http://schemas.openxmlformats.org/officeDocument/2006/relationships/hyperlink" Target="https://doi.org/10.3390/healthcare11010022" TargetMode="External"/><Relationship Id="rId14" Type="http://schemas.openxmlformats.org/officeDocument/2006/relationships/hyperlink" Target="https://doi.org/10.1007/s12144-022-03960-9" TargetMode="External"/><Relationship Id="rId22" Type="http://schemas.openxmlformats.org/officeDocument/2006/relationships/hyperlink" Target="https://doi.org/10.3390/bs13100830"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86FF1-D71D-45A6-B7F4-8AA946882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2786</Words>
  <Characters>15885</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1. Introduction</vt:lpstr>
      <vt:lpstr>2. Depression in the Residential-Care Context</vt:lpstr>
      <vt:lpstr>3. Erikson’s Psychosocial Theory: Ego Integrity versus Despair</vt:lpstr>
      <vt:lpstr>4. Application of Erikson in Residential Care</vt:lpstr>
      <vt:lpstr>5. Socioemotional Selectivity Theory</vt:lpstr>
      <vt:lpstr>6. Application of SST to Depression and Residential Care</vt:lpstr>
      <vt:lpstr>7. Comparative Evaluation, Challenges and Professional Strategies</vt:lpstr>
      <vt:lpstr>8. Conclusion</vt:lpstr>
      <vt:lpstr>References</vt:lpstr>
    </vt:vector>
  </TitlesOfParts>
  <Company/>
  <LinksUpToDate>false</LinksUpToDate>
  <CharactersWithSpaces>18634</CharactersWithSpaces>
  <SharedDoc>false</SharedDoc>
  <HLinks>
    <vt:vector size="102" baseType="variant">
      <vt:variant>
        <vt:i4>6291512</vt:i4>
      </vt:variant>
      <vt:variant>
        <vt:i4>93</vt:i4>
      </vt:variant>
      <vt:variant>
        <vt:i4>0</vt:i4>
      </vt:variant>
      <vt:variant>
        <vt:i4>5</vt:i4>
      </vt:variant>
      <vt:variant>
        <vt:lpwstr>https://doi.org/10.3390/bs13100830</vt:lpwstr>
      </vt:variant>
      <vt:variant>
        <vt:lpwstr/>
      </vt:variant>
      <vt:variant>
        <vt:i4>2424889</vt:i4>
      </vt:variant>
      <vt:variant>
        <vt:i4>90</vt:i4>
      </vt:variant>
      <vt:variant>
        <vt:i4>0</vt:i4>
      </vt:variant>
      <vt:variant>
        <vt:i4>5</vt:i4>
      </vt:variant>
      <vt:variant>
        <vt:lpwstr>https://doi.org/10.3389/fpubh.2023.1085399</vt:lpwstr>
      </vt:variant>
      <vt:variant>
        <vt:lpwstr/>
      </vt:variant>
      <vt:variant>
        <vt:i4>3670055</vt:i4>
      </vt:variant>
      <vt:variant>
        <vt:i4>87</vt:i4>
      </vt:variant>
      <vt:variant>
        <vt:i4>0</vt:i4>
      </vt:variant>
      <vt:variant>
        <vt:i4>5</vt:i4>
      </vt:variant>
      <vt:variant>
        <vt:lpwstr>https://doi.org/10.3389/fpsyt.2023.1139700</vt:lpwstr>
      </vt:variant>
      <vt:variant>
        <vt:lpwstr/>
      </vt:variant>
      <vt:variant>
        <vt:i4>852034</vt:i4>
      </vt:variant>
      <vt:variant>
        <vt:i4>84</vt:i4>
      </vt:variant>
      <vt:variant>
        <vt:i4>0</vt:i4>
      </vt:variant>
      <vt:variant>
        <vt:i4>5</vt:i4>
      </vt:variant>
      <vt:variant>
        <vt:lpwstr>https://doi.org/10.1080/13607863.2024.2367044</vt:lpwstr>
      </vt:variant>
      <vt:variant>
        <vt:lpwstr/>
      </vt:variant>
      <vt:variant>
        <vt:i4>2228275</vt:i4>
      </vt:variant>
      <vt:variant>
        <vt:i4>81</vt:i4>
      </vt:variant>
      <vt:variant>
        <vt:i4>0</vt:i4>
      </vt:variant>
      <vt:variant>
        <vt:i4>5</vt:i4>
      </vt:variant>
      <vt:variant>
        <vt:lpwstr>https://doi.org/10.1007/s10433-021-00610-0</vt:lpwstr>
      </vt:variant>
      <vt:variant>
        <vt:lpwstr/>
      </vt:variant>
      <vt:variant>
        <vt:i4>4063276</vt:i4>
      </vt:variant>
      <vt:variant>
        <vt:i4>78</vt:i4>
      </vt:variant>
      <vt:variant>
        <vt:i4>0</vt:i4>
      </vt:variant>
      <vt:variant>
        <vt:i4>5</vt:i4>
      </vt:variant>
      <vt:variant>
        <vt:lpwstr>https://doi.org/10.1016/j.ijnurstu.2021.104114</vt:lpwstr>
      </vt:variant>
      <vt:variant>
        <vt:lpwstr/>
      </vt:variant>
      <vt:variant>
        <vt:i4>3538985</vt:i4>
      </vt:variant>
      <vt:variant>
        <vt:i4>75</vt:i4>
      </vt:variant>
      <vt:variant>
        <vt:i4>0</vt:i4>
      </vt:variant>
      <vt:variant>
        <vt:i4>5</vt:i4>
      </vt:variant>
      <vt:variant>
        <vt:lpwstr>https://doi.org/10.1016/j.ijnurstu.2023.104568</vt:lpwstr>
      </vt:variant>
      <vt:variant>
        <vt:lpwstr/>
      </vt:variant>
      <vt:variant>
        <vt:i4>1769502</vt:i4>
      </vt:variant>
      <vt:variant>
        <vt:i4>72</vt:i4>
      </vt:variant>
      <vt:variant>
        <vt:i4>0</vt:i4>
      </vt:variant>
      <vt:variant>
        <vt:i4>5</vt:i4>
      </vt:variant>
      <vt:variant>
        <vt:lpwstr>https://doi.org/10.1017/s1041610222001090</vt:lpwstr>
      </vt:variant>
      <vt:variant>
        <vt:lpwstr/>
      </vt:variant>
      <vt:variant>
        <vt:i4>2424882</vt:i4>
      </vt:variant>
      <vt:variant>
        <vt:i4>69</vt:i4>
      </vt:variant>
      <vt:variant>
        <vt:i4>0</vt:i4>
      </vt:variant>
      <vt:variant>
        <vt:i4>5</vt:i4>
      </vt:variant>
      <vt:variant>
        <vt:lpwstr>https://doi.org/10.1007/s12144-022-03960-9</vt:lpwstr>
      </vt:variant>
      <vt:variant>
        <vt:lpwstr/>
      </vt:variant>
      <vt:variant>
        <vt:i4>2818096</vt:i4>
      </vt:variant>
      <vt:variant>
        <vt:i4>66</vt:i4>
      </vt:variant>
      <vt:variant>
        <vt:i4>0</vt:i4>
      </vt:variant>
      <vt:variant>
        <vt:i4>5</vt:i4>
      </vt:variant>
      <vt:variant>
        <vt:lpwstr>https://doi.org/10.1186/s12877-024-05311-8</vt:lpwstr>
      </vt:variant>
      <vt:variant>
        <vt:lpwstr/>
      </vt:variant>
      <vt:variant>
        <vt:i4>7012388</vt:i4>
      </vt:variant>
      <vt:variant>
        <vt:i4>63</vt:i4>
      </vt:variant>
      <vt:variant>
        <vt:i4>0</vt:i4>
      </vt:variant>
      <vt:variant>
        <vt:i4>5</vt:i4>
      </vt:variant>
      <vt:variant>
        <vt:lpwstr>https://doi.org/10.3390/ijerph19073835</vt:lpwstr>
      </vt:variant>
      <vt:variant>
        <vt:lpwstr/>
      </vt:variant>
      <vt:variant>
        <vt:i4>3080240</vt:i4>
      </vt:variant>
      <vt:variant>
        <vt:i4>60</vt:i4>
      </vt:variant>
      <vt:variant>
        <vt:i4>0</vt:i4>
      </vt:variant>
      <vt:variant>
        <vt:i4>5</vt:i4>
      </vt:variant>
      <vt:variant>
        <vt:lpwstr>https://doi.org/10.1186/s12877-024-05117-8</vt:lpwstr>
      </vt:variant>
      <vt:variant>
        <vt:lpwstr/>
      </vt:variant>
      <vt:variant>
        <vt:i4>2687028</vt:i4>
      </vt:variant>
      <vt:variant>
        <vt:i4>57</vt:i4>
      </vt:variant>
      <vt:variant>
        <vt:i4>0</vt:i4>
      </vt:variant>
      <vt:variant>
        <vt:i4>5</vt:i4>
      </vt:variant>
      <vt:variant>
        <vt:lpwstr>https://doi.org/10.1186/s12877-024-05454-8</vt:lpwstr>
      </vt:variant>
      <vt:variant>
        <vt:lpwstr/>
      </vt:variant>
      <vt:variant>
        <vt:i4>8323126</vt:i4>
      </vt:variant>
      <vt:variant>
        <vt:i4>54</vt:i4>
      </vt:variant>
      <vt:variant>
        <vt:i4>0</vt:i4>
      </vt:variant>
      <vt:variant>
        <vt:i4>5</vt:i4>
      </vt:variant>
      <vt:variant>
        <vt:lpwstr>https://doi.org/10.3390/healthcare11010022</vt:lpwstr>
      </vt:variant>
      <vt:variant>
        <vt:lpwstr/>
      </vt:variant>
      <vt:variant>
        <vt:i4>2359418</vt:i4>
      </vt:variant>
      <vt:variant>
        <vt:i4>51</vt:i4>
      </vt:variant>
      <vt:variant>
        <vt:i4>0</vt:i4>
      </vt:variant>
      <vt:variant>
        <vt:i4>5</vt:i4>
      </vt:variant>
      <vt:variant>
        <vt:lpwstr>https://doi.org/10.1016/j.jamda.2024.105435</vt:lpwstr>
      </vt:variant>
      <vt:variant>
        <vt:lpwstr/>
      </vt:variant>
      <vt:variant>
        <vt:i4>1835069</vt:i4>
      </vt:variant>
      <vt:variant>
        <vt:i4>38</vt:i4>
      </vt:variant>
      <vt:variant>
        <vt:i4>0</vt:i4>
      </vt:variant>
      <vt:variant>
        <vt:i4>5</vt:i4>
      </vt:variant>
      <vt:variant>
        <vt:lpwstr/>
      </vt:variant>
      <vt:variant>
        <vt:lpwstr>_Toc242188562</vt:lpwstr>
      </vt:variant>
      <vt:variant>
        <vt:i4>1835069</vt:i4>
      </vt:variant>
      <vt:variant>
        <vt:i4>32</vt:i4>
      </vt:variant>
      <vt:variant>
        <vt:i4>0</vt:i4>
      </vt:variant>
      <vt:variant>
        <vt:i4>5</vt:i4>
      </vt:variant>
      <vt:variant>
        <vt:lpwstr/>
      </vt:variant>
      <vt:variant>
        <vt:lpwstr>_Toc242188561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Shamaila Awan (2432004)</cp:lastModifiedBy>
  <cp:revision>2</cp:revision>
  <cp:lastPrinted>1900-01-01T00:00:00Z</cp:lastPrinted>
  <dcterms:created xsi:type="dcterms:W3CDTF">2026-10-25T21:54:00Z</dcterms:created>
  <dcterms:modified xsi:type="dcterms:W3CDTF">2026-10-25T21:54:00Z</dcterms:modified>
</cp:coreProperties>
</file>