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D5969" w:rsidP="00DD5969" w:rsidRDefault="00DD5969" w14:paraId="01382298" w14:textId="77777777">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rsidRPr="0066224E" w:rsidR="00DD5969" w:rsidP="00DD5969" w:rsidRDefault="00DD5969" w14:paraId="6193D1EC" w14:textId="77777777">
      <w:pPr>
        <w:spacing w:before="212"/>
        <w:jc w:val="center"/>
        <w:rPr>
          <w:rFonts w:ascii="Arial"/>
          <w:b/>
          <w:sz w:val="36"/>
          <w:szCs w:val="36"/>
        </w:rPr>
      </w:pPr>
    </w:p>
    <w:p w:rsidR="00DD5969" w:rsidP="00DD5969" w:rsidRDefault="00DD5969" w14:paraId="5B9AE89A" w14:textId="77777777">
      <w:pPr>
        <w:spacing w:before="212"/>
        <w:rPr>
          <w:rFonts w:ascii="Arial"/>
          <w:b/>
          <w:sz w:val="56"/>
        </w:rPr>
      </w:pPr>
    </w:p>
    <w:p w:rsidRPr="0000375B" w:rsidR="00DD5969" w:rsidP="00DD5969" w:rsidRDefault="00DD5969" w14:paraId="7EE9271E" w14:textId="1D9CA26E">
      <w:pPr>
        <w:spacing w:before="212"/>
        <w:rPr>
          <w:rFonts w:ascii="Arial"/>
          <w:b/>
          <w:sz w:val="48"/>
          <w:szCs w:val="48"/>
          <w:lang w:val="fr-FR"/>
        </w:rPr>
      </w:pPr>
      <w:r w:rsidRPr="0000375B">
        <w:rPr>
          <w:rFonts w:ascii="Arial"/>
          <w:b/>
          <w:sz w:val="48"/>
          <w:szCs w:val="48"/>
          <w:lang w:val="fr-FR"/>
        </w:rPr>
        <w:t xml:space="preserve">MODULE </w:t>
      </w:r>
      <w:proofErr w:type="gramStart"/>
      <w:r w:rsidRPr="0000375B">
        <w:rPr>
          <w:rFonts w:ascii="Arial"/>
          <w:b/>
          <w:sz w:val="48"/>
          <w:szCs w:val="48"/>
          <w:lang w:val="fr-FR"/>
        </w:rPr>
        <w:t>CODE:</w:t>
      </w:r>
      <w:proofErr w:type="gramEnd"/>
      <w:r w:rsidR="0007198D">
        <w:rPr>
          <w:rFonts w:ascii="Arial"/>
          <w:b/>
          <w:sz w:val="48"/>
          <w:szCs w:val="48"/>
          <w:lang w:val="fr-FR"/>
        </w:rPr>
        <w:t xml:space="preserve"> </w:t>
      </w:r>
      <w:r w:rsidRPr="0000375B" w:rsidR="0000375B">
        <w:rPr>
          <w:rFonts w:ascii="Arial"/>
          <w:b/>
          <w:sz w:val="48"/>
          <w:szCs w:val="48"/>
          <w:lang w:val="fr-FR"/>
        </w:rPr>
        <w:t>EC</w:t>
      </w:r>
      <w:r w:rsidR="0000375B">
        <w:rPr>
          <w:rFonts w:ascii="Arial"/>
          <w:b/>
          <w:sz w:val="48"/>
          <w:szCs w:val="48"/>
          <w:lang w:val="fr-FR"/>
        </w:rPr>
        <w:t>AD</w:t>
      </w:r>
      <w:r w:rsidR="0007198D">
        <w:rPr>
          <w:rFonts w:ascii="Arial"/>
          <w:b/>
          <w:sz w:val="48"/>
          <w:szCs w:val="48"/>
          <w:lang w:val="fr-FR"/>
        </w:rPr>
        <w:t>5</w:t>
      </w:r>
      <w:r w:rsidR="0000375B">
        <w:rPr>
          <w:rFonts w:ascii="Arial"/>
          <w:b/>
          <w:sz w:val="48"/>
          <w:szCs w:val="48"/>
          <w:lang w:val="fr-FR"/>
        </w:rPr>
        <w:t>01</w:t>
      </w:r>
      <w:r w:rsidR="0007198D">
        <w:rPr>
          <w:rFonts w:ascii="Arial"/>
          <w:b/>
          <w:sz w:val="48"/>
          <w:szCs w:val="48"/>
          <w:lang w:val="fr-FR"/>
        </w:rPr>
        <w:t>3</w:t>
      </w:r>
    </w:p>
    <w:p w:rsidRPr="0000375B" w:rsidR="00347EA1" w:rsidP="00DD5969" w:rsidRDefault="00347EA1" w14:paraId="5051A2D5" w14:textId="77777777">
      <w:pPr>
        <w:spacing w:before="212"/>
        <w:rPr>
          <w:rFonts w:ascii="Arial"/>
          <w:b/>
          <w:sz w:val="48"/>
          <w:szCs w:val="48"/>
          <w:lang w:val="fr-FR"/>
        </w:rPr>
      </w:pPr>
    </w:p>
    <w:p w:rsidRPr="00DD5969" w:rsidR="00DD5969" w:rsidP="00DD5969" w:rsidRDefault="00DD5969" w14:paraId="7681432B" w14:textId="7B1AA4BE">
      <w:pPr>
        <w:spacing w:before="3"/>
        <w:rPr>
          <w:rFonts w:ascii="Arial"/>
          <w:b/>
          <w:sz w:val="48"/>
          <w:szCs w:val="48"/>
        </w:rPr>
      </w:pPr>
      <w:r w:rsidRPr="00DD5969">
        <w:rPr>
          <w:rFonts w:ascii="Arial"/>
          <w:b/>
          <w:sz w:val="48"/>
          <w:szCs w:val="48"/>
        </w:rPr>
        <w:t>STUDENT NAME:</w:t>
      </w:r>
      <w:r w:rsidR="00586A3E">
        <w:rPr>
          <w:rFonts w:ascii="Arial"/>
          <w:b/>
          <w:sz w:val="48"/>
          <w:szCs w:val="48"/>
        </w:rPr>
        <w:t xml:space="preserve"> Stella Griffiths</w:t>
      </w:r>
    </w:p>
    <w:p w:rsidRPr="00DD5969" w:rsidR="00DD5969" w:rsidP="00DD5969" w:rsidRDefault="00DD5969" w14:paraId="0D16D138" w14:textId="77777777">
      <w:pPr>
        <w:spacing w:before="3"/>
        <w:rPr>
          <w:rFonts w:ascii="Arial"/>
          <w:b/>
          <w:sz w:val="48"/>
          <w:szCs w:val="48"/>
        </w:rPr>
      </w:pPr>
    </w:p>
    <w:p w:rsidRPr="00DD5969" w:rsidR="00DD5969" w:rsidP="00DD5969" w:rsidRDefault="00DD5969" w14:paraId="18107AFF" w14:textId="7741DF57">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586A3E">
        <w:rPr>
          <w:rFonts w:ascii="Arial"/>
          <w:b/>
          <w:sz w:val="48"/>
          <w:szCs w:val="48"/>
        </w:rPr>
        <w:t xml:space="preserve"> 2305515</w:t>
      </w:r>
    </w:p>
    <w:p w:rsidR="00DD5969" w:rsidP="00347EA1" w:rsidRDefault="00DD5969" w14:paraId="4FD52B0A" w14:textId="77777777">
      <w:pPr>
        <w:rPr>
          <w:rFonts w:ascii="Arial"/>
          <w:b/>
          <w:sz w:val="47"/>
        </w:rPr>
      </w:pPr>
    </w:p>
    <w:p w:rsidRPr="00192D3C" w:rsidR="00DD5969" w:rsidP="00DD5969" w:rsidRDefault="00DD5969" w14:paraId="33AC1703" w14:textId="77777777">
      <w:pPr>
        <w:ind w:left="100"/>
        <w:jc w:val="center"/>
        <w:rPr>
          <w:rFonts w:ascii="Arial"/>
          <w:b/>
          <w:sz w:val="47"/>
        </w:rPr>
      </w:pPr>
    </w:p>
    <w:p w:rsidR="00DD5969" w:rsidP="00DD5969" w:rsidRDefault="00DD5969" w14:paraId="274DD003" w14:textId="77777777">
      <w:pPr>
        <w:ind w:left="100"/>
        <w:rPr>
          <w:rFonts w:ascii="Arial"/>
          <w:b/>
          <w:sz w:val="47"/>
        </w:rPr>
      </w:pPr>
    </w:p>
    <w:p w:rsidR="00347EA1" w:rsidP="00DD5969" w:rsidRDefault="00347EA1" w14:paraId="467BE871" w14:textId="77777777">
      <w:pPr>
        <w:ind w:left="100"/>
        <w:rPr>
          <w:rFonts w:ascii="Arial"/>
          <w:b/>
          <w:sz w:val="47"/>
        </w:rPr>
      </w:pPr>
    </w:p>
    <w:p w:rsidR="00DD5969" w:rsidP="00DD5969" w:rsidRDefault="00DD5969" w14:paraId="69F83F2B" w14:textId="77777777">
      <w:pPr>
        <w:jc w:val="center"/>
        <w:rPr>
          <w:rFonts w:ascii="Arial"/>
          <w:b/>
          <w:sz w:val="40"/>
        </w:rPr>
      </w:pPr>
    </w:p>
    <w:p w:rsidR="0000375B" w:rsidP="00DD5969" w:rsidRDefault="0000375B" w14:paraId="3A56DF45" w14:textId="77777777">
      <w:pPr>
        <w:jc w:val="center"/>
        <w:rPr>
          <w:rFonts w:ascii="Arial"/>
          <w:b/>
          <w:sz w:val="40"/>
        </w:rPr>
      </w:pPr>
    </w:p>
    <w:p w:rsidRPr="00192D3C" w:rsidR="0000375B" w:rsidP="00DD5969" w:rsidRDefault="0000375B" w14:paraId="35E77934" w14:textId="77777777">
      <w:pPr>
        <w:jc w:val="center"/>
        <w:rPr>
          <w:rFonts w:ascii="Arial"/>
          <w:b/>
          <w:sz w:val="40"/>
        </w:rPr>
      </w:pPr>
    </w:p>
    <w:p w:rsidRPr="00E243A8" w:rsidR="00B103B9" w:rsidP="00DD5969" w:rsidRDefault="00B103B9" w14:paraId="4C9C9B74" w14:textId="32AE2462">
      <w:pPr>
        <w:rPr>
          <w:b/>
          <w:bCs/>
          <w:sz w:val="32"/>
          <w:szCs w:val="32"/>
          <w:u w:val="single"/>
        </w:rPr>
      </w:pPr>
      <w:r w:rsidRPr="00E243A8">
        <w:rPr>
          <w:b/>
          <w:bCs/>
          <w:sz w:val="32"/>
          <w:szCs w:val="32"/>
          <w:u w:val="single"/>
        </w:rPr>
        <w:lastRenderedPageBreak/>
        <w:t>AI Acknowledgement</w:t>
      </w:r>
    </w:p>
    <w:p w:rsidR="00B103B9" w:rsidP="00DD5969" w:rsidRDefault="00B103B9" w14:paraId="5A38292B" w14:textId="77777777"/>
    <w:p w:rsidR="00E243A8" w:rsidP="00E243A8" w:rsidRDefault="00E243A8" w14:paraId="4EE20A6B" w14:textId="77777777">
      <w:r w:rsidRPr="00E243A8">
        <w:t xml:space="preserve">I confirm that I have not used any AI tools in the research and creation of this assignment. </w:t>
      </w:r>
    </w:p>
    <w:p w:rsidR="00C2550A" w:rsidP="00E243A8" w:rsidRDefault="00E243A8" w14:paraId="768557CB" w14:textId="77777777">
      <w:r w:rsidRPr="00E243A8">
        <w:t xml:space="preserve">I confirm that I have not presented any AI generated materials as my own work. </w:t>
      </w:r>
    </w:p>
    <w:p w:rsidRPr="00E243A8" w:rsidR="00E243A8" w:rsidP="00E243A8" w:rsidRDefault="00E243A8" w14:paraId="78B15B94" w14:textId="59458B70">
      <w:r w:rsidRPr="00E243A8">
        <w:t xml:space="preserve">I confirm </w:t>
      </w:r>
      <w:r w:rsidR="00C2550A">
        <w:t xml:space="preserve">that </w:t>
      </w:r>
      <w:r w:rsidRPr="00E243A8">
        <w:t>I have copies of my drafts, notes, and other resources I used, which I may be asked to provide in evidence.</w:t>
      </w:r>
    </w:p>
    <w:p w:rsidR="00B103B9" w:rsidP="60D57A1A" w:rsidRDefault="00B103B9" w14:paraId="4121D0F7" w14:textId="1F370B93"/>
    <w:p w:rsidRPr="00DD5969" w:rsidR="00E10797" w:rsidP="00DD5969" w:rsidRDefault="00E10797" w14:paraId="0ADC06E9" w14:textId="77777777">
      <w:pPr>
        <w:rPr>
          <w:sz w:val="16"/>
          <w:szCs w:val="16"/>
        </w:rPr>
      </w:pPr>
    </w:p>
    <w:p w:rsidR="000C541C" w:rsidP="00DD5969" w:rsidRDefault="000C541C" w14:paraId="4DF22479" w14:textId="77777777">
      <w:pPr>
        <w:rPr>
          <w:sz w:val="16"/>
          <w:szCs w:val="16"/>
        </w:rPr>
      </w:pPr>
    </w:p>
    <w:p w:rsidR="0000375B" w:rsidRDefault="0000375B" w14:paraId="6E7759F1" w14:textId="77777777">
      <w:pPr>
        <w:rPr>
          <w:sz w:val="16"/>
          <w:szCs w:val="16"/>
        </w:rPr>
      </w:pPr>
    </w:p>
    <w:p w:rsidR="0000375B" w:rsidRDefault="0000375B" w14:paraId="053AAD8E" w14:textId="77777777">
      <w:pPr>
        <w:rPr>
          <w:sz w:val="16"/>
          <w:szCs w:val="16"/>
        </w:rPr>
      </w:pPr>
    </w:p>
    <w:p w:rsidR="0000375B" w:rsidRDefault="0000375B" w14:paraId="00DEC237" w14:textId="77777777">
      <w:pPr>
        <w:rPr>
          <w:sz w:val="16"/>
          <w:szCs w:val="16"/>
        </w:rPr>
      </w:pPr>
    </w:p>
    <w:p w:rsidR="0000375B" w:rsidRDefault="0000375B" w14:paraId="1EB16707" w14:textId="77777777">
      <w:pPr>
        <w:rPr>
          <w:sz w:val="16"/>
          <w:szCs w:val="16"/>
        </w:rPr>
      </w:pPr>
    </w:p>
    <w:p w:rsidR="0000375B" w:rsidRDefault="0000375B" w14:paraId="66DB19BA" w14:textId="77777777">
      <w:pPr>
        <w:rPr>
          <w:sz w:val="16"/>
          <w:szCs w:val="16"/>
        </w:rPr>
      </w:pPr>
    </w:p>
    <w:p w:rsidR="0000375B" w:rsidRDefault="0000375B" w14:paraId="2F521E63" w14:textId="77777777">
      <w:pPr>
        <w:rPr>
          <w:sz w:val="16"/>
          <w:szCs w:val="16"/>
        </w:rPr>
      </w:pPr>
    </w:p>
    <w:p w:rsidRPr="003D3092" w:rsidR="0000375B" w:rsidRDefault="0000375B" w14:paraId="36D1742B" w14:textId="77777777">
      <w:pPr>
        <w:rPr>
          <w:rFonts w:ascii="Calibri" w:hAnsi="Calibri" w:cs="Calibri"/>
          <w:sz w:val="21"/>
          <w:szCs w:val="21"/>
        </w:rPr>
      </w:pPr>
    </w:p>
    <w:p w:rsidRPr="003D3092" w:rsidR="0000375B" w:rsidRDefault="0000375B" w14:paraId="5154171D" w14:textId="77777777">
      <w:pPr>
        <w:rPr>
          <w:rFonts w:ascii="Calibri" w:hAnsi="Calibri" w:cs="Calibri"/>
          <w:b/>
          <w:bCs/>
          <w:sz w:val="36"/>
          <w:szCs w:val="36"/>
        </w:rPr>
      </w:pPr>
      <w:r w:rsidRPr="003D3092">
        <w:rPr>
          <w:rFonts w:ascii="Calibri" w:hAnsi="Calibri" w:cs="Calibri"/>
          <w:b/>
          <w:bCs/>
          <w:sz w:val="36"/>
          <w:szCs w:val="36"/>
        </w:rPr>
        <w:t>Targets from my previous assignment</w:t>
      </w:r>
    </w:p>
    <w:p w:rsidR="0000375B" w:rsidRDefault="0000375B" w14:paraId="17A7A376" w14:textId="77777777">
      <w:pPr>
        <w:rPr>
          <w:b/>
          <w:bCs/>
        </w:rPr>
      </w:pPr>
    </w:p>
    <w:tbl>
      <w:tblPr>
        <w:tblStyle w:val="TableGrid"/>
        <w:tblW w:w="0" w:type="auto"/>
        <w:tblLook w:val="04A0" w:firstRow="1" w:lastRow="0" w:firstColumn="1" w:lastColumn="0" w:noHBand="0" w:noVBand="1"/>
      </w:tblPr>
      <w:tblGrid>
        <w:gridCol w:w="4508"/>
        <w:gridCol w:w="4508"/>
      </w:tblGrid>
      <w:tr w:rsidR="0000375B" w:rsidTr="0000375B" w14:paraId="551E84E1" w14:textId="77777777">
        <w:tc>
          <w:tcPr>
            <w:tcW w:w="4508" w:type="dxa"/>
          </w:tcPr>
          <w:p w:rsidRPr="0000375B" w:rsidR="0000375B" w:rsidP="00DD5969" w:rsidRDefault="0000375B" w14:paraId="672FF086" w14:textId="6A0E023B">
            <w:pPr>
              <w:rPr>
                <w:b/>
                <w:bCs/>
              </w:rPr>
            </w:pPr>
            <w:r w:rsidRPr="0000375B">
              <w:rPr>
                <w:b/>
                <w:bCs/>
              </w:rPr>
              <w:t>Target</w:t>
            </w:r>
          </w:p>
        </w:tc>
        <w:tc>
          <w:tcPr>
            <w:tcW w:w="4508" w:type="dxa"/>
          </w:tcPr>
          <w:p w:rsidRPr="0000375B" w:rsidR="0000375B" w:rsidP="00DD5969" w:rsidRDefault="0000375B" w14:paraId="352B31B4" w14:textId="3C8264E3">
            <w:pPr>
              <w:rPr>
                <w:b/>
                <w:bCs/>
              </w:rPr>
            </w:pPr>
            <w:r w:rsidRPr="0000375B">
              <w:rPr>
                <w:b/>
                <w:bCs/>
              </w:rPr>
              <w:t>How I have addressed it in this work</w:t>
            </w:r>
          </w:p>
        </w:tc>
      </w:tr>
      <w:tr w:rsidR="0000375B" w:rsidTr="0000375B" w14:paraId="0DC71ABF" w14:textId="77777777">
        <w:tc>
          <w:tcPr>
            <w:tcW w:w="4508" w:type="dxa"/>
          </w:tcPr>
          <w:p w:rsidRPr="003D3092" w:rsidR="0000375B" w:rsidP="00DD5969" w:rsidRDefault="0000375B" w14:paraId="52EB84A3" w14:textId="77777777">
            <w:pPr>
              <w:rPr>
                <w:rFonts w:ascii="Calibri" w:hAnsi="Calibri" w:cs="Calibri"/>
              </w:rPr>
            </w:pPr>
          </w:p>
          <w:p w:rsidRPr="003D3092" w:rsidR="0000375B" w:rsidP="00DD5969" w:rsidRDefault="003D3092" w14:paraId="76BEE28D" w14:textId="1DCF3D63">
            <w:pPr>
              <w:rPr>
                <w:rFonts w:ascii="Calibri" w:hAnsi="Calibri" w:cs="Calibri"/>
              </w:rPr>
            </w:pPr>
            <w:r w:rsidRPr="003D3092">
              <w:rPr>
                <w:rFonts w:ascii="Calibri" w:hAnsi="Calibri" w:cs="Calibri"/>
                <w:color w:val="000000"/>
                <w:shd w:val="clear" w:color="auto" w:fill="FFFFFF"/>
              </w:rPr>
              <w:t>1. I appreciate you are working on your targets of deepening critical engagement and synthesis of literature. Continue to develop these skills.</w:t>
            </w:r>
          </w:p>
          <w:p w:rsidRPr="003D3092" w:rsidR="0000375B" w:rsidP="00DD5969" w:rsidRDefault="0000375B" w14:paraId="0EDC9850" w14:textId="77777777">
            <w:pPr>
              <w:rPr>
                <w:rFonts w:ascii="Calibri" w:hAnsi="Calibri" w:cs="Calibri"/>
              </w:rPr>
            </w:pPr>
          </w:p>
        </w:tc>
        <w:tc>
          <w:tcPr>
            <w:tcW w:w="4508" w:type="dxa"/>
          </w:tcPr>
          <w:p w:rsidRPr="003D3092" w:rsidR="0000375B" w:rsidP="00DD5969" w:rsidRDefault="00920A92" w14:paraId="3FCBF01B" w14:textId="211861D0">
            <w:pPr>
              <w:rPr>
                <w:rFonts w:ascii="Calibri" w:hAnsi="Calibri" w:cs="Calibri"/>
              </w:rPr>
            </w:pPr>
            <w:r>
              <w:rPr>
                <w:rFonts w:ascii="Calibri" w:hAnsi="Calibri" w:cs="Calibri"/>
              </w:rPr>
              <w:t xml:space="preserve">I have </w:t>
            </w:r>
            <w:r w:rsidR="00697559">
              <w:rPr>
                <w:rFonts w:ascii="Calibri" w:hAnsi="Calibri" w:cs="Calibri"/>
              </w:rPr>
              <w:t>deepened</w:t>
            </w:r>
            <w:r>
              <w:rPr>
                <w:rFonts w:ascii="Calibri" w:hAnsi="Calibri" w:cs="Calibri"/>
              </w:rPr>
              <w:t xml:space="preserve"> critical </w:t>
            </w:r>
            <w:r w:rsidR="003F0757">
              <w:rPr>
                <w:rFonts w:ascii="Calibri" w:hAnsi="Calibri" w:cs="Calibri"/>
              </w:rPr>
              <w:t xml:space="preserve">engagement and </w:t>
            </w:r>
            <w:r w:rsidR="00DB4176">
              <w:rPr>
                <w:rFonts w:ascii="Calibri" w:hAnsi="Calibri" w:cs="Calibri"/>
              </w:rPr>
              <w:t>synthesise</w:t>
            </w:r>
            <w:r w:rsidR="003F0757">
              <w:rPr>
                <w:rFonts w:ascii="Calibri" w:hAnsi="Calibri" w:cs="Calibri"/>
              </w:rPr>
              <w:t xml:space="preserve"> in my work by </w:t>
            </w:r>
            <w:r w:rsidR="003F6201">
              <w:rPr>
                <w:rFonts w:ascii="Calibri" w:hAnsi="Calibri" w:cs="Calibri"/>
              </w:rPr>
              <w:t xml:space="preserve">engagement </w:t>
            </w:r>
            <w:r w:rsidR="00C57314">
              <w:rPr>
                <w:rFonts w:ascii="Calibri" w:hAnsi="Calibri" w:cs="Calibri"/>
              </w:rPr>
              <w:t xml:space="preserve">to </w:t>
            </w:r>
            <w:r w:rsidR="00DB4176">
              <w:rPr>
                <w:rFonts w:ascii="Calibri" w:hAnsi="Calibri" w:cs="Calibri"/>
              </w:rPr>
              <w:t>relevant</w:t>
            </w:r>
            <w:r w:rsidR="00C57314">
              <w:rPr>
                <w:rFonts w:ascii="Calibri" w:hAnsi="Calibri" w:cs="Calibri"/>
              </w:rPr>
              <w:t xml:space="preserve"> </w:t>
            </w:r>
            <w:r w:rsidR="00DB4176">
              <w:rPr>
                <w:rFonts w:ascii="Calibri" w:hAnsi="Calibri" w:cs="Calibri"/>
              </w:rPr>
              <w:t xml:space="preserve">theorists to support my chosen </w:t>
            </w:r>
            <w:r w:rsidR="0027544B">
              <w:rPr>
                <w:rFonts w:ascii="Calibri" w:hAnsi="Calibri" w:cs="Calibri"/>
              </w:rPr>
              <w:t xml:space="preserve">project. I have deepened critical engagement by highlighting </w:t>
            </w:r>
            <w:r w:rsidR="00D0144B">
              <w:rPr>
                <w:rFonts w:ascii="Calibri" w:hAnsi="Calibri" w:cs="Calibri"/>
              </w:rPr>
              <w:t>opposite views to each statement.</w:t>
            </w:r>
          </w:p>
        </w:tc>
      </w:tr>
      <w:tr w:rsidR="0000375B" w:rsidTr="0000375B" w14:paraId="2411A5A2" w14:textId="77777777">
        <w:tc>
          <w:tcPr>
            <w:tcW w:w="4508" w:type="dxa"/>
          </w:tcPr>
          <w:p w:rsidRPr="003D3092" w:rsidR="0000375B" w:rsidP="00DD5969" w:rsidRDefault="0000375B" w14:paraId="4A120529" w14:textId="77777777">
            <w:pPr>
              <w:rPr>
                <w:rFonts w:ascii="Calibri" w:hAnsi="Calibri" w:cs="Calibri"/>
              </w:rPr>
            </w:pPr>
          </w:p>
          <w:p w:rsidRPr="003D3092" w:rsidR="0000375B" w:rsidP="00DD5969" w:rsidRDefault="0045066A" w14:paraId="73ED8D37" w14:textId="623BA3CA">
            <w:pPr>
              <w:rPr>
                <w:rFonts w:ascii="Calibri" w:hAnsi="Calibri" w:cs="Calibri"/>
              </w:rPr>
            </w:pPr>
            <w:r w:rsidRPr="003D3092">
              <w:rPr>
                <w:rFonts w:ascii="Calibri" w:hAnsi="Calibri" w:cs="Calibri"/>
                <w:color w:val="000000"/>
                <w:shd w:val="clear" w:color="auto" w:fill="FFFFFF"/>
              </w:rPr>
              <w:t>2. Develop your paragraph structure to make more persuasive arguments. Look for opportunities to refer back to literature and link to theory where possible.</w:t>
            </w:r>
          </w:p>
          <w:p w:rsidRPr="003D3092" w:rsidR="0000375B" w:rsidP="00DD5969" w:rsidRDefault="0000375B" w14:paraId="2A59CA2F" w14:textId="77777777">
            <w:pPr>
              <w:rPr>
                <w:rFonts w:ascii="Calibri" w:hAnsi="Calibri" w:cs="Calibri"/>
              </w:rPr>
            </w:pPr>
          </w:p>
        </w:tc>
        <w:tc>
          <w:tcPr>
            <w:tcW w:w="4508" w:type="dxa"/>
          </w:tcPr>
          <w:p w:rsidRPr="003D3092" w:rsidR="0000375B" w:rsidP="00DD5969" w:rsidRDefault="00D0144B" w14:paraId="51AE3AC6" w14:textId="4E2122E7">
            <w:pPr>
              <w:rPr>
                <w:rFonts w:ascii="Calibri" w:hAnsi="Calibri" w:cs="Calibri"/>
              </w:rPr>
            </w:pPr>
            <w:r>
              <w:rPr>
                <w:rFonts w:ascii="Calibri" w:hAnsi="Calibri" w:cs="Calibri"/>
              </w:rPr>
              <w:t xml:space="preserve">I have structured </w:t>
            </w:r>
            <w:r w:rsidR="00F62F80">
              <w:rPr>
                <w:rFonts w:ascii="Calibri" w:hAnsi="Calibri" w:cs="Calibri"/>
              </w:rPr>
              <w:t xml:space="preserve">my </w:t>
            </w:r>
            <w:r w:rsidR="00F55674">
              <w:rPr>
                <w:rFonts w:ascii="Calibri" w:hAnsi="Calibri" w:cs="Calibri"/>
              </w:rPr>
              <w:t>paragraphs</w:t>
            </w:r>
            <w:r w:rsidR="00F62F80">
              <w:rPr>
                <w:rFonts w:ascii="Calibri" w:hAnsi="Calibri" w:cs="Calibri"/>
              </w:rPr>
              <w:t xml:space="preserve"> by starting with the initial statement, literature to back the statement up, a critical point of view and then a possible </w:t>
            </w:r>
            <w:r w:rsidR="00F55674">
              <w:rPr>
                <w:rFonts w:ascii="Calibri" w:hAnsi="Calibri" w:cs="Calibri"/>
              </w:rPr>
              <w:t xml:space="preserve">route to overcome the critical point. </w:t>
            </w:r>
          </w:p>
        </w:tc>
      </w:tr>
    </w:tbl>
    <w:p w:rsidR="000C541C" w:rsidP="00DD5969" w:rsidRDefault="000C541C" w14:paraId="7F589502" w14:textId="77777777">
      <w:pPr>
        <w:rPr>
          <w:sz w:val="16"/>
          <w:szCs w:val="16"/>
        </w:rPr>
      </w:pPr>
    </w:p>
    <w:p w:rsidR="000C541C" w:rsidP="00DD5969" w:rsidRDefault="000C541C" w14:paraId="5144E418" w14:textId="77777777">
      <w:pPr>
        <w:rPr>
          <w:sz w:val="16"/>
          <w:szCs w:val="16"/>
        </w:rPr>
      </w:pPr>
    </w:p>
    <w:p w:rsidR="0000375B" w:rsidRDefault="0000375B" w14:paraId="2AE1CF9A" w14:textId="7090E061">
      <w:pPr>
        <w:rPr>
          <w:sz w:val="16"/>
          <w:szCs w:val="16"/>
        </w:rPr>
      </w:pPr>
      <w:r>
        <w:rPr>
          <w:sz w:val="16"/>
          <w:szCs w:val="16"/>
        </w:rPr>
        <w:br w:type="page"/>
      </w:r>
    </w:p>
    <w:p w:rsidRPr="00D01B56" w:rsidR="0000375B" w:rsidP="0000375B" w:rsidRDefault="00053A58" w14:paraId="6C6F16C6" w14:textId="072F3975">
      <w:pPr>
        <w:rPr>
          <w:rFonts w:ascii="Calibri" w:hAnsi="Calibri" w:cs="Calibri"/>
          <w:b/>
          <w:bCs/>
          <w:sz w:val="36"/>
          <w:szCs w:val="36"/>
          <w:u w:val="single"/>
        </w:rPr>
      </w:pPr>
      <w:r w:rsidRPr="00D01B56">
        <w:rPr>
          <w:rFonts w:ascii="Calibri" w:hAnsi="Calibri" w:cs="Calibri"/>
          <w:b/>
          <w:bCs/>
          <w:sz w:val="36"/>
          <w:szCs w:val="36"/>
          <w:u w:val="single"/>
        </w:rPr>
        <w:lastRenderedPageBreak/>
        <w:t>Project proposal for a school-community project</w:t>
      </w:r>
    </w:p>
    <w:p w:rsidR="0000375B" w:rsidP="0000375B" w:rsidRDefault="0000375B" w14:paraId="5D1288CF" w14:textId="77777777">
      <w:pPr>
        <w:rPr>
          <w:b/>
          <w:bCs/>
        </w:rPr>
      </w:pPr>
    </w:p>
    <w:p w:rsidRPr="009921B4" w:rsidR="003D5FA0" w:rsidP="655F7CC0" w:rsidRDefault="003D5FA0" w14:paraId="0B63D94F" w14:textId="176A0EFC">
      <w:pPr>
        <w:spacing w:line="360" w:lineRule="auto"/>
        <w:rPr>
          <w:rFonts w:cs="Aptos" w:cstheme="minorAscii"/>
          <w:sz w:val="36"/>
          <w:szCs w:val="36"/>
        </w:rPr>
      </w:pPr>
      <w:r w:rsidRPr="655F7CC0" w:rsidR="003D5FA0">
        <w:rPr>
          <w:rFonts w:cs="Aptos" w:cstheme="minorAscii"/>
          <w:sz w:val="36"/>
          <w:szCs w:val="36"/>
        </w:rPr>
        <w:t xml:space="preserve">Community gardens </w:t>
      </w:r>
      <w:r w:rsidRPr="655F7CC0" w:rsidR="003D5FA0">
        <w:rPr>
          <w:rFonts w:cs="Aptos" w:cstheme="minorAscii"/>
          <w:sz w:val="36"/>
          <w:szCs w:val="36"/>
        </w:rPr>
        <w:t>emerge</w:t>
      </w:r>
      <w:r w:rsidRPr="655F7CC0" w:rsidR="003D5FA0">
        <w:rPr>
          <w:rFonts w:cs="Aptos" w:cstheme="minorAscii"/>
          <w:sz w:val="36"/>
          <w:szCs w:val="36"/>
        </w:rPr>
        <w:t xml:space="preserve"> the gap between school environments and the outside world with the </w:t>
      </w:r>
      <w:r w:rsidRPr="655F7CC0" w:rsidR="003D5FA0">
        <w:rPr>
          <w:rFonts w:cs="Aptos" w:cstheme="minorAscii"/>
          <w:sz w:val="36"/>
          <w:szCs w:val="36"/>
        </w:rPr>
        <w:t>additional</w:t>
      </w:r>
      <w:r w:rsidRPr="655F7CC0" w:rsidR="003D5FA0">
        <w:rPr>
          <w:rFonts w:cs="Aptos" w:cstheme="minorAscii"/>
          <w:sz w:val="36"/>
          <w:szCs w:val="36"/>
        </w:rPr>
        <w:t xml:space="preserve"> benefit of fresh produce. A school community is a combination of individuals linked to the school, including </w:t>
      </w:r>
      <w:r w:rsidRPr="655F7CC0" w:rsidR="70C0A642">
        <w:rPr>
          <w:rFonts w:cs="Aptos" w:cstheme="minorAscii"/>
          <w:sz w:val="36"/>
          <w:szCs w:val="36"/>
        </w:rPr>
        <w:t>residents</w:t>
      </w:r>
      <w:r w:rsidRPr="655F7CC0" w:rsidR="003D5FA0">
        <w:rPr>
          <w:rFonts w:cs="Aptos" w:cstheme="minorAscii"/>
          <w:sz w:val="36"/>
          <w:szCs w:val="36"/>
        </w:rPr>
        <w:t xml:space="preserve">, students, teachers, and parents. The individuals within the community share the same values to help with academic development (Epstein, 2010). The project aims to create stronger connections between the school and the outside community (Blair, 2009). By the key stage two students learning in an alternative outdoor environment, it encourages an active learning environment through a hands-on experience to develop critical thinking. </w:t>
      </w:r>
    </w:p>
    <w:p w:rsidRPr="009921B4" w:rsidR="003D5FA0" w:rsidP="655F7CC0" w:rsidRDefault="003D5FA0" w14:paraId="10945849" w14:textId="77777777" w14:noSpellErr="1">
      <w:pPr>
        <w:spacing w:line="360" w:lineRule="auto"/>
        <w:rPr>
          <w:rFonts w:cs="Aptos" w:cstheme="minorAscii"/>
          <w:sz w:val="36"/>
          <w:szCs w:val="36"/>
        </w:rPr>
      </w:pPr>
    </w:p>
    <w:p w:rsidRPr="009921B4" w:rsidR="003D5FA0" w:rsidP="655F7CC0" w:rsidRDefault="003D5FA0" w14:paraId="260B9EEB" w14:textId="221151E5">
      <w:pPr>
        <w:spacing w:line="360" w:lineRule="auto"/>
        <w:rPr>
          <w:rFonts w:cs="Aptos" w:cstheme="minorAscii"/>
          <w:sz w:val="36"/>
          <w:szCs w:val="36"/>
        </w:rPr>
      </w:pPr>
      <w:r w:rsidRPr="655F7CC0" w:rsidR="003D5FA0">
        <w:rPr>
          <w:rFonts w:cs="Aptos" w:cstheme="minorAscii"/>
          <w:sz w:val="36"/>
          <w:szCs w:val="36"/>
        </w:rPr>
        <w:t>My placement school</w:t>
      </w:r>
      <w:r w:rsidRPr="655F7CC0" w:rsidR="00863525">
        <w:rPr>
          <w:rFonts w:cs="Aptos" w:cstheme="minorAscii"/>
          <w:sz w:val="36"/>
          <w:szCs w:val="36"/>
        </w:rPr>
        <w:t>’s</w:t>
      </w:r>
      <w:r w:rsidRPr="655F7CC0" w:rsidR="003D5FA0">
        <w:rPr>
          <w:rFonts w:cs="Aptos" w:cstheme="minorAscii"/>
          <w:sz w:val="36"/>
          <w:szCs w:val="36"/>
        </w:rPr>
        <w:t xml:space="preserve"> value is ‘The best for everyone, The best from everyone’ (</w:t>
      </w:r>
      <w:r w:rsidRPr="655F7CC0" w:rsidR="003D5FA0">
        <w:rPr>
          <w:rFonts w:cs="Aptos" w:cstheme="minorAscii"/>
          <w:sz w:val="36"/>
          <w:szCs w:val="36"/>
        </w:rPr>
        <w:t>Blaengarw</w:t>
      </w:r>
      <w:r w:rsidRPr="655F7CC0" w:rsidR="003D5FA0">
        <w:rPr>
          <w:rFonts w:cs="Aptos" w:cstheme="minorAscii"/>
          <w:sz w:val="36"/>
          <w:szCs w:val="36"/>
        </w:rPr>
        <w:t xml:space="preserve"> Primary School, 2025). This suggests that by the children receiving the correct support influences an increased attuited towards learning. The garden creates support for the students from the school community through coming together to create an outdoor learning environment which aligns with their school values. The garden will support the school with hitting recommendation two from their recent Estyn report of developing positive attitudes to their learning (Estyn, </w:t>
      </w:r>
      <w:r w:rsidRPr="655F7CC0" w:rsidR="003D5FA0">
        <w:rPr>
          <w:rFonts w:cs="Aptos" w:cstheme="minorAscii"/>
          <w:sz w:val="36"/>
          <w:szCs w:val="36"/>
        </w:rPr>
        <w:t xml:space="preserve">2024). Research suggests that outdoor learning promotes an engaging and enjoyable environment for students, improving the students’ attitudes towards their learning. </w:t>
      </w:r>
    </w:p>
    <w:p w:rsidRPr="009921B4" w:rsidR="003D5FA0" w:rsidP="655F7CC0" w:rsidRDefault="003D5FA0" w14:paraId="26DC7244" w14:textId="77777777" w14:noSpellErr="1">
      <w:pPr>
        <w:spacing w:line="360" w:lineRule="auto"/>
        <w:rPr>
          <w:rFonts w:cs="Aptos" w:cstheme="minorAscii"/>
          <w:sz w:val="36"/>
          <w:szCs w:val="36"/>
        </w:rPr>
      </w:pPr>
    </w:p>
    <w:p w:rsidRPr="009921B4" w:rsidR="003D5FA0" w:rsidP="655F7CC0" w:rsidRDefault="003D5FA0" w14:paraId="72186CD2" w14:textId="77777777" w14:noSpellErr="1">
      <w:pPr>
        <w:spacing w:line="360" w:lineRule="auto"/>
        <w:rPr>
          <w:rFonts w:cs="Aptos" w:cstheme="minorAscii"/>
          <w:sz w:val="36"/>
          <w:szCs w:val="36"/>
        </w:rPr>
      </w:pPr>
      <w:r w:rsidRPr="655F7CC0" w:rsidR="003D5FA0">
        <w:rPr>
          <w:rFonts w:cs="Aptos" w:cstheme="minorAscii"/>
          <w:sz w:val="36"/>
          <w:szCs w:val="36"/>
        </w:rPr>
        <w:t xml:space="preserve">This project aims to make connections between the community, develop students understanding of a healthy lifestyle and attuites towards their learning. These aims align with the four purposes: ambitious, capable learners, enterprising, creative contributors, ethical, informed citizens, and healthy, confident individuals (Welsh Government, 2020). </w:t>
      </w:r>
    </w:p>
    <w:p w:rsidRPr="009921B4" w:rsidR="003D5FA0" w:rsidP="655F7CC0" w:rsidRDefault="003D5FA0" w14:paraId="2E13B77D" w14:textId="77777777" w14:noSpellErr="1">
      <w:pPr>
        <w:spacing w:line="360" w:lineRule="auto"/>
        <w:rPr>
          <w:rFonts w:cs="Aptos" w:cstheme="minorAscii"/>
          <w:b w:val="1"/>
          <w:bCs w:val="1"/>
          <w:sz w:val="36"/>
          <w:szCs w:val="36"/>
          <w:u w:val="single"/>
        </w:rPr>
      </w:pPr>
    </w:p>
    <w:p w:rsidRPr="009921B4" w:rsidR="003D5FA0" w:rsidP="655F7CC0" w:rsidRDefault="003D5FA0" w14:paraId="45731259" w14:textId="77777777" w14:noSpellErr="1">
      <w:pPr>
        <w:spacing w:line="360" w:lineRule="auto"/>
        <w:rPr>
          <w:rFonts w:cs="Aptos" w:cstheme="minorAscii"/>
          <w:sz w:val="36"/>
          <w:szCs w:val="36"/>
        </w:rPr>
      </w:pPr>
      <w:r w:rsidRPr="655F7CC0" w:rsidR="003D5FA0">
        <w:rPr>
          <w:rFonts w:cs="Aptos" w:cstheme="minorAscii"/>
          <w:sz w:val="36"/>
          <w:szCs w:val="36"/>
        </w:rPr>
        <w:t xml:space="preserve">This literature review pinpoints the benefits and challenges of a community garden on students learning. The garden provides a distinctive interactive learning environment that encourages student progression through interactive activities. Community gardens influence holistic development through building strong relationships with their community and environment (Ozer, 2007). </w:t>
      </w:r>
    </w:p>
    <w:p w:rsidRPr="009921B4" w:rsidR="003D5FA0" w:rsidP="655F7CC0" w:rsidRDefault="003D5FA0" w14:paraId="6A93B54C" w14:textId="77777777" w14:noSpellErr="1">
      <w:pPr>
        <w:spacing w:line="360" w:lineRule="auto"/>
        <w:rPr>
          <w:rFonts w:cs="Aptos" w:cstheme="minorAscii"/>
          <w:sz w:val="36"/>
          <w:szCs w:val="36"/>
        </w:rPr>
      </w:pPr>
    </w:p>
    <w:p w:rsidRPr="009921B4" w:rsidR="003D5FA0" w:rsidP="655F7CC0" w:rsidRDefault="003D5FA0" w14:paraId="3F9F2410" w14:textId="120C7A13">
      <w:pPr>
        <w:spacing w:line="360" w:lineRule="auto"/>
        <w:rPr>
          <w:rFonts w:cs="Aptos" w:cstheme="minorAscii"/>
          <w:sz w:val="36"/>
          <w:szCs w:val="36"/>
        </w:rPr>
      </w:pPr>
      <w:r w:rsidRPr="655F7CC0" w:rsidR="7B0955D5">
        <w:rPr>
          <w:rFonts w:cs="Aptos" w:cstheme="minorAscii"/>
          <w:sz w:val="36"/>
          <w:szCs w:val="36"/>
        </w:rPr>
        <w:t>The c</w:t>
      </w:r>
      <w:r w:rsidRPr="655F7CC0" w:rsidR="003D5FA0">
        <w:rPr>
          <w:rFonts w:cs="Aptos" w:cstheme="minorAscii"/>
          <w:sz w:val="36"/>
          <w:szCs w:val="36"/>
        </w:rPr>
        <w:t>ommunity garden</w:t>
      </w:r>
      <w:r w:rsidRPr="655F7CC0" w:rsidR="166F8BFC">
        <w:rPr>
          <w:rFonts w:cs="Aptos" w:cstheme="minorAscii"/>
          <w:sz w:val="36"/>
          <w:szCs w:val="36"/>
        </w:rPr>
        <w:t xml:space="preserve"> supports</w:t>
      </w:r>
      <w:r w:rsidRPr="655F7CC0" w:rsidR="003D5FA0">
        <w:rPr>
          <w:rFonts w:cs="Aptos" w:cstheme="minorAscii"/>
          <w:sz w:val="36"/>
          <w:szCs w:val="36"/>
        </w:rPr>
        <w:t xml:space="preserve"> an accessible curriculum by offering cross-curricular opportunities, an inclusive environment for Additional Learning Needs (ALN) and active participation. Community gardens aid within the Curriculum for Wales by linking through the area of </w:t>
      </w:r>
      <w:r w:rsidRPr="655F7CC0" w:rsidR="003D5FA0">
        <w:rPr>
          <w:rFonts w:cs="Aptos" w:cstheme="minorAscii"/>
          <w:sz w:val="36"/>
          <w:szCs w:val="36"/>
        </w:rPr>
        <w:t>learning (</w:t>
      </w:r>
      <w:r w:rsidRPr="655F7CC0" w:rsidR="003D5FA0">
        <w:rPr>
          <w:rFonts w:cs="Aptos" w:cstheme="minorAscii"/>
          <w:sz w:val="36"/>
          <w:szCs w:val="36"/>
        </w:rPr>
        <w:t>AoLE</w:t>
      </w:r>
      <w:r w:rsidRPr="655F7CC0" w:rsidR="003D5FA0">
        <w:rPr>
          <w:rFonts w:cs="Aptos" w:cstheme="minorAscii"/>
          <w:sz w:val="36"/>
          <w:szCs w:val="36"/>
        </w:rPr>
        <w:t xml:space="preserve">) science and technology while also influencing the development of crucial life skills including teamwork and responsibility. The students can increase their understanding of biology and ecosystems through the process of growing vegetables, fruits, and plants (Elliott, 2006). Additionally, there are links to health and wellbeing as the students could develop an understanding of where food comes from and the importance of a balanced diet through understanding the nutrients of whole foods along with physical activity (Ozer, 2007). The garden can include raised beds and accessible paths for wheelchair users, sensory friendly tools such as rubber tools and soft gloves and visual step by step picture cards to support the individuals that require a routine (Blair, 2009). Children taking part in the process of the community garden creates numerous educational benefits to their learning. Hands-on gardening encourages exploration skills through investigating the growth of the produce. Hands-on learning influences students to engage with their learning in an alternative setting to the traditional classroom allowing active participation. Blair (2009) emphasises that gardens act as a natural classroom, improving the students’ ability to recall knowledge, increasing students’ academic interest. An additional viewpoint, active participation is dependent on the student’s interest. Students may lack personal interest in gardening, affecting their engagement levels. With a </w:t>
      </w:r>
      <w:r w:rsidRPr="655F7CC0" w:rsidR="003D5FA0">
        <w:rPr>
          <w:rFonts w:cs="Aptos" w:cstheme="minorAscii"/>
          <w:sz w:val="36"/>
          <w:szCs w:val="36"/>
        </w:rPr>
        <w:t>lack of interest, gardens may not benefit the student’s academic development (Robinson-O’Brien et al, 2009). Contrastingly, research highlights that students who took part in regular gardening had higher engagement and development leading too academic development. However, students that did not take part in gardening showed lower levels of improvement (Ozer, 2007).</w:t>
      </w:r>
    </w:p>
    <w:p w:rsidRPr="009921B4" w:rsidR="003D5FA0" w:rsidP="655F7CC0" w:rsidRDefault="003D5FA0" w14:paraId="57375287" w14:textId="77777777" w14:noSpellErr="1">
      <w:pPr>
        <w:spacing w:line="360" w:lineRule="auto"/>
        <w:rPr>
          <w:rFonts w:cs="Aptos" w:cstheme="minorAscii"/>
          <w:sz w:val="36"/>
          <w:szCs w:val="36"/>
        </w:rPr>
      </w:pPr>
    </w:p>
    <w:p w:rsidRPr="009921B4" w:rsidR="003D5FA0" w:rsidP="655F7CC0" w:rsidRDefault="003D5FA0" w14:paraId="0065E149" w14:textId="46719F13">
      <w:pPr>
        <w:spacing w:line="360" w:lineRule="auto"/>
        <w:rPr>
          <w:rFonts w:cs="Aptos" w:cstheme="minorAscii"/>
          <w:sz w:val="36"/>
          <w:szCs w:val="36"/>
        </w:rPr>
      </w:pPr>
      <w:r w:rsidRPr="655F7CC0" w:rsidR="003D5FA0">
        <w:rPr>
          <w:rFonts w:cs="Aptos" w:cstheme="minorAscii"/>
          <w:sz w:val="36"/>
          <w:szCs w:val="36"/>
        </w:rPr>
        <w:t xml:space="preserve">The project aligns with the principles of social justice by influencing inclusion and participation through learning. This project meets all five main principles of social justice which include access to resources, equity, participation, diversity, and human rights (Arshad, Wrigley, and Pratt, 2020). The school community garden provides all students with access to the same gardening tools, fresh produce, and any </w:t>
      </w:r>
      <w:r w:rsidRPr="655F7CC0" w:rsidR="003D5FA0">
        <w:rPr>
          <w:rFonts w:cs="Aptos" w:cstheme="minorAscii"/>
          <w:sz w:val="36"/>
          <w:szCs w:val="36"/>
        </w:rPr>
        <w:t>additional</w:t>
      </w:r>
      <w:r w:rsidRPr="655F7CC0" w:rsidR="003D5FA0">
        <w:rPr>
          <w:rFonts w:cs="Aptos" w:cstheme="minorAscii"/>
          <w:sz w:val="36"/>
          <w:szCs w:val="36"/>
        </w:rPr>
        <w:t xml:space="preserve"> education materials such as </w:t>
      </w:r>
      <w:r w:rsidRPr="655F7CC0" w:rsidR="3AE150AB">
        <w:rPr>
          <w:rFonts w:cs="Aptos" w:cstheme="minorAscii"/>
          <w:sz w:val="36"/>
          <w:szCs w:val="36"/>
        </w:rPr>
        <w:t>step-by-step</w:t>
      </w:r>
      <w:r w:rsidRPr="655F7CC0" w:rsidR="003D5FA0">
        <w:rPr>
          <w:rFonts w:cs="Aptos" w:cstheme="minorAscii"/>
          <w:sz w:val="36"/>
          <w:szCs w:val="36"/>
        </w:rPr>
        <w:t xml:space="preserve"> instruction cards which also supports equity (Blair, 2009). The garden space can be adapted to meet the needs of an ALN student with wider pathways and raised beds to ensure equity. Additionally, active participation is highly influenced throughout the garden by students being able to make their own decisions on how they would like to grow the produce. This can increase the engagement levels of students by feeling valued and their voice is heard (Ozer, 2007). Throughout the garde</w:t>
      </w:r>
      <w:r w:rsidRPr="655F7CC0" w:rsidR="00EC1FA7">
        <w:rPr>
          <w:rFonts w:cs="Aptos" w:cstheme="minorAscii"/>
          <w:sz w:val="36"/>
          <w:szCs w:val="36"/>
        </w:rPr>
        <w:t xml:space="preserve">n, </w:t>
      </w:r>
      <w:r w:rsidRPr="655F7CC0" w:rsidR="003D5FA0">
        <w:rPr>
          <w:rFonts w:cs="Aptos" w:cstheme="minorAscii"/>
          <w:sz w:val="36"/>
          <w:szCs w:val="36"/>
        </w:rPr>
        <w:t xml:space="preserve">cultural and biological diversity is promoted. The garden could include </w:t>
      </w:r>
      <w:r w:rsidRPr="655F7CC0" w:rsidR="003D5FA0">
        <w:rPr>
          <w:rFonts w:cs="Aptos" w:cstheme="minorAscii"/>
          <w:sz w:val="36"/>
          <w:szCs w:val="36"/>
        </w:rPr>
        <w:t xml:space="preserve">plants that represent </w:t>
      </w:r>
      <w:r w:rsidRPr="655F7CC0" w:rsidR="003D5FA0">
        <w:rPr>
          <w:rFonts w:cs="Aptos" w:cstheme="minorAscii"/>
          <w:sz w:val="36"/>
          <w:szCs w:val="36"/>
        </w:rPr>
        <w:t>different cultures</w:t>
      </w:r>
      <w:r w:rsidRPr="655F7CC0" w:rsidR="00081736">
        <w:rPr>
          <w:rFonts w:cs="Aptos" w:cstheme="minorAscii"/>
          <w:sz w:val="36"/>
          <w:szCs w:val="36"/>
        </w:rPr>
        <w:t xml:space="preserve"> such as bamboo</w:t>
      </w:r>
      <w:r w:rsidRPr="655F7CC0" w:rsidR="003D5FA0">
        <w:rPr>
          <w:rFonts w:cs="Aptos" w:cstheme="minorAscii"/>
          <w:sz w:val="36"/>
          <w:szCs w:val="36"/>
        </w:rPr>
        <w:t xml:space="preserve">. The </w:t>
      </w:r>
      <w:r w:rsidRPr="655F7CC0" w:rsidR="00081736">
        <w:rPr>
          <w:rFonts w:cs="Aptos" w:cstheme="minorAscii"/>
          <w:sz w:val="36"/>
          <w:szCs w:val="36"/>
        </w:rPr>
        <w:t>student</w:t>
      </w:r>
      <w:r w:rsidRPr="655F7CC0" w:rsidR="00081736">
        <w:rPr>
          <w:rFonts w:cs="Aptos" w:cstheme="minorAscii"/>
          <w:sz w:val="36"/>
          <w:szCs w:val="36"/>
        </w:rPr>
        <w:t>s</w:t>
      </w:r>
      <w:r w:rsidRPr="655F7CC0" w:rsidR="003D5FA0">
        <w:rPr>
          <w:rFonts w:cs="Aptos" w:cstheme="minorAscii"/>
          <w:sz w:val="36"/>
          <w:szCs w:val="36"/>
        </w:rPr>
        <w:t xml:space="preserve"> develop an understanding of </w:t>
      </w:r>
      <w:r w:rsidRPr="655F7CC0" w:rsidR="00081736">
        <w:rPr>
          <w:rFonts w:cs="Aptos" w:cstheme="minorAscii"/>
          <w:sz w:val="36"/>
          <w:szCs w:val="36"/>
        </w:rPr>
        <w:t xml:space="preserve">the </w:t>
      </w:r>
      <w:r w:rsidRPr="655F7CC0" w:rsidR="003D5FA0">
        <w:rPr>
          <w:rFonts w:cs="Aptos" w:cstheme="minorAscii"/>
          <w:sz w:val="36"/>
          <w:szCs w:val="36"/>
        </w:rPr>
        <w:t xml:space="preserve">global food systems and how to respect cultural food traditions to ensure there is diversity (Soga, </w:t>
      </w:r>
      <w:r w:rsidRPr="655F7CC0" w:rsidR="003D5FA0">
        <w:rPr>
          <w:rFonts w:cs="Aptos" w:cstheme="minorAscii"/>
          <w:sz w:val="36"/>
          <w:szCs w:val="36"/>
        </w:rPr>
        <w:t>Gaston</w:t>
      </w:r>
      <w:r w:rsidRPr="655F7CC0" w:rsidR="003D5FA0">
        <w:rPr>
          <w:rFonts w:cs="Aptos" w:cstheme="minorAscii"/>
          <w:sz w:val="36"/>
          <w:szCs w:val="36"/>
        </w:rPr>
        <w:t xml:space="preserve"> and </w:t>
      </w:r>
      <w:r w:rsidRPr="655F7CC0" w:rsidR="003D5FA0">
        <w:rPr>
          <w:rFonts w:cs="Aptos" w:cstheme="minorAscii"/>
          <w:sz w:val="36"/>
          <w:szCs w:val="36"/>
        </w:rPr>
        <w:t>Yamaura</w:t>
      </w:r>
      <w:r w:rsidRPr="655F7CC0" w:rsidR="003D5FA0">
        <w:rPr>
          <w:rFonts w:cs="Aptos" w:cstheme="minorAscii"/>
          <w:sz w:val="36"/>
          <w:szCs w:val="36"/>
        </w:rPr>
        <w:t>, 2017). Lastly, a garden embraces human rights by giving each student the right to learn in a safe environment while developing responsibility of their community and having the right to access heathy foods (UNICEF, 1989).</w:t>
      </w:r>
    </w:p>
    <w:p w:rsidRPr="009921B4" w:rsidR="003D5FA0" w:rsidP="655F7CC0" w:rsidRDefault="003D5FA0" w14:paraId="5F8051A2" w14:textId="77777777" w14:noSpellErr="1">
      <w:pPr>
        <w:spacing w:line="360" w:lineRule="auto"/>
        <w:rPr>
          <w:rFonts w:cs="Aptos" w:cstheme="minorAscii"/>
          <w:sz w:val="36"/>
          <w:szCs w:val="36"/>
        </w:rPr>
      </w:pPr>
    </w:p>
    <w:p w:rsidRPr="009921B4" w:rsidR="003D5FA0" w:rsidP="655F7CC0" w:rsidRDefault="003D5FA0" w14:paraId="58C8A2D2" w14:textId="29B3CF8A" w14:noSpellErr="1">
      <w:pPr>
        <w:spacing w:line="360" w:lineRule="auto"/>
        <w:rPr>
          <w:rFonts w:cs="Aptos" w:cstheme="minorAscii"/>
          <w:sz w:val="36"/>
          <w:szCs w:val="36"/>
        </w:rPr>
      </w:pPr>
      <w:r w:rsidRPr="655F7CC0" w:rsidR="003D5FA0">
        <w:rPr>
          <w:rFonts w:cs="Aptos" w:cstheme="minorAscii"/>
          <w:sz w:val="36"/>
          <w:szCs w:val="36"/>
        </w:rPr>
        <w:t xml:space="preserve">School community gardens support students’ educational outcomes, promote a healthy lifestyle, improve social and emotional development, and develop an understanding of their environment. Gardening develops problem solving, and critical thinking skills </w:t>
      </w:r>
      <w:r w:rsidRPr="655F7CC0" w:rsidR="00E77FA1">
        <w:rPr>
          <w:rFonts w:cs="Aptos" w:cstheme="minorAscii"/>
          <w:sz w:val="36"/>
          <w:szCs w:val="36"/>
        </w:rPr>
        <w:t xml:space="preserve">which </w:t>
      </w:r>
      <w:r w:rsidRPr="655F7CC0" w:rsidR="003D5FA0">
        <w:rPr>
          <w:rFonts w:cs="Aptos" w:cstheme="minorAscii"/>
          <w:sz w:val="36"/>
          <w:szCs w:val="36"/>
        </w:rPr>
        <w:t xml:space="preserve">are </w:t>
      </w:r>
      <w:r w:rsidRPr="655F7CC0" w:rsidR="003D5FA0">
        <w:rPr>
          <w:rFonts w:cs="Aptos" w:cstheme="minorAscii"/>
          <w:sz w:val="36"/>
          <w:szCs w:val="36"/>
        </w:rPr>
        <w:t>required</w:t>
      </w:r>
      <w:r w:rsidRPr="655F7CC0" w:rsidR="003D5FA0">
        <w:rPr>
          <w:rFonts w:cs="Aptos" w:cstheme="minorAscii"/>
          <w:sz w:val="36"/>
          <w:szCs w:val="36"/>
        </w:rPr>
        <w:t xml:space="preserve"> through the gardening process. Garden allows children to </w:t>
      </w:r>
      <w:r w:rsidRPr="655F7CC0" w:rsidR="003D5FA0">
        <w:rPr>
          <w:rFonts w:cs="Aptos" w:cstheme="minorAscii"/>
          <w:sz w:val="36"/>
          <w:szCs w:val="36"/>
        </w:rPr>
        <w:t>identify</w:t>
      </w:r>
      <w:r w:rsidRPr="655F7CC0" w:rsidR="003D5FA0">
        <w:rPr>
          <w:rFonts w:cs="Aptos" w:cstheme="minorAscii"/>
          <w:sz w:val="36"/>
          <w:szCs w:val="36"/>
        </w:rPr>
        <w:t xml:space="preserve"> problems that occur to create a solution that overcomes the barrier. For instance, moving a plant to access sunlight (Elsa Support, 2023). However, although community gardening helps students develop problem solving skills, there are barriers that effect the development of these skills. Community gardens require basic tasks including planting and watering. This effects the complexity for the opportunity to use critical thinking (Ozer, 2007). Taking part in the creating the garden promotes physical activity through digging and planting foods which allows the students and </w:t>
      </w:r>
      <w:r w:rsidRPr="655F7CC0" w:rsidR="003D5FA0">
        <w:rPr>
          <w:rFonts w:cs="Aptos" w:cstheme="minorAscii"/>
          <w:sz w:val="36"/>
          <w:szCs w:val="36"/>
        </w:rPr>
        <w:t>local residents</w:t>
      </w:r>
      <w:r w:rsidRPr="655F7CC0" w:rsidR="003D5FA0">
        <w:rPr>
          <w:rFonts w:cs="Aptos" w:cstheme="minorAscii"/>
          <w:sz w:val="36"/>
          <w:szCs w:val="36"/>
        </w:rPr>
        <w:t xml:space="preserve"> to be active through learning. </w:t>
      </w:r>
      <w:r w:rsidRPr="655F7CC0" w:rsidR="003D5FA0">
        <w:rPr>
          <w:rFonts w:cs="Aptos" w:cstheme="minorAscii"/>
          <w:sz w:val="36"/>
          <w:szCs w:val="36"/>
        </w:rPr>
        <w:t xml:space="preserve">Gardening influences students to exercise naturally. This aligns with the National Health Service (NHS) guidelines that young individuals between the ages 5 and 18 should undergo 60 minutes of exercise a day through a period of a week (NHS, 2024). Contrastingly, there </w:t>
      </w:r>
      <w:r w:rsidRPr="655F7CC0" w:rsidR="002C08DF">
        <w:rPr>
          <w:rFonts w:cs="Aptos" w:cstheme="minorAscii"/>
          <w:sz w:val="36"/>
          <w:szCs w:val="36"/>
        </w:rPr>
        <w:t>is</w:t>
      </w:r>
      <w:r w:rsidRPr="655F7CC0" w:rsidR="003D5FA0">
        <w:rPr>
          <w:rFonts w:cs="Aptos" w:cstheme="minorAscii"/>
          <w:sz w:val="36"/>
          <w:szCs w:val="36"/>
        </w:rPr>
        <w:t xml:space="preserve"> possibilities </w:t>
      </w:r>
      <w:r w:rsidRPr="655F7CC0" w:rsidR="002C08DF">
        <w:rPr>
          <w:rFonts w:cs="Aptos" w:cstheme="minorAscii"/>
          <w:sz w:val="36"/>
          <w:szCs w:val="36"/>
        </w:rPr>
        <w:t>in</w:t>
      </w:r>
      <w:r w:rsidRPr="655F7CC0" w:rsidR="003D5FA0">
        <w:rPr>
          <w:rFonts w:cs="Aptos" w:cstheme="minorAscii"/>
          <w:sz w:val="36"/>
          <w:szCs w:val="36"/>
        </w:rPr>
        <w:t xml:space="preserve"> a risk of physical injury through gardening when undergoing tasks that include digging and lifting. If the tasks are not carried out with the correct technique</w:t>
      </w:r>
      <w:r w:rsidRPr="655F7CC0" w:rsidR="002D7FD2">
        <w:rPr>
          <w:rFonts w:cs="Aptos" w:cstheme="minorAscii"/>
          <w:sz w:val="36"/>
          <w:szCs w:val="36"/>
        </w:rPr>
        <w:t xml:space="preserve">, </w:t>
      </w:r>
      <w:r w:rsidRPr="655F7CC0" w:rsidR="003D5FA0">
        <w:rPr>
          <w:rFonts w:cs="Aptos" w:cstheme="minorAscii"/>
          <w:sz w:val="36"/>
          <w:szCs w:val="36"/>
        </w:rPr>
        <w:t xml:space="preserve">taring of ligaments and muscles may occur. To overcome this barrier, I would suggest a risk assessment is carried out by a staff member with </w:t>
      </w:r>
      <w:r w:rsidRPr="655F7CC0" w:rsidR="002D7FD2">
        <w:rPr>
          <w:rFonts w:cs="Aptos" w:cstheme="minorAscii"/>
          <w:sz w:val="36"/>
          <w:szCs w:val="36"/>
        </w:rPr>
        <w:t xml:space="preserve">appropriate </w:t>
      </w:r>
      <w:r w:rsidRPr="655F7CC0" w:rsidR="003D5FA0">
        <w:rPr>
          <w:rFonts w:cs="Aptos" w:cstheme="minorAscii"/>
          <w:sz w:val="36"/>
          <w:szCs w:val="36"/>
        </w:rPr>
        <w:t>training</w:t>
      </w:r>
      <w:r w:rsidRPr="655F7CC0" w:rsidR="003D5FA0">
        <w:rPr>
          <w:rFonts w:cs="Aptos" w:cstheme="minorAscii"/>
          <w:sz w:val="36"/>
          <w:szCs w:val="36"/>
        </w:rPr>
        <w:t xml:space="preserve"> beforehand. Furthermore, gardening also influences a calm environment to help reduce stress, improving mental and emotional wellbeing. As research suggests, reduced stress and anxiety can improve the concentration and involvement from students leading to a more advanced overall learning outcome (Blair, 2009). The garden can have a long-term effect on the environment by strengthening connections between students, parents, teachers, and residents. School community gardens create an area that influences interactions to help create stronger relationships with the community </w:t>
      </w:r>
      <w:r w:rsidRPr="655F7CC0" w:rsidR="003D5FA0">
        <w:rPr>
          <w:rFonts w:cs="Aptos" w:cstheme="minorAscii"/>
          <w:color w:val="000000" w:themeColor="text1" w:themeTint="FF" w:themeShade="FF"/>
          <w:sz w:val="36"/>
          <w:szCs w:val="36"/>
        </w:rPr>
        <w:t xml:space="preserve">(Steinebach and Langer, 2019). </w:t>
      </w:r>
      <w:r w:rsidRPr="655F7CC0" w:rsidR="003D5FA0">
        <w:rPr>
          <w:rFonts w:cs="Aptos" w:cstheme="minorAscii"/>
          <w:sz w:val="36"/>
          <w:szCs w:val="36"/>
        </w:rPr>
        <w:t>A contrasting perspective, selective volunteers may take charge of certain garden activities making others feel excluded which may lead to an altercation (Ozer, 2007). This can be prevented by creating a rota of alternating the jobs to ensure everyone has an equal opportunity.</w:t>
      </w:r>
    </w:p>
    <w:p w:rsidRPr="009921B4" w:rsidR="003D5FA0" w:rsidP="655F7CC0" w:rsidRDefault="003D5FA0" w14:paraId="241B3AE4" w14:textId="77777777" w14:noSpellErr="1">
      <w:pPr>
        <w:spacing w:line="360" w:lineRule="auto"/>
        <w:rPr>
          <w:rFonts w:cs="Aptos" w:cstheme="minorAscii"/>
          <w:b w:val="1"/>
          <w:bCs w:val="1"/>
          <w:sz w:val="36"/>
          <w:szCs w:val="36"/>
          <w:u w:val="single"/>
        </w:rPr>
      </w:pPr>
    </w:p>
    <w:p w:rsidRPr="009921B4" w:rsidR="003D5FA0" w:rsidP="655F7CC0" w:rsidRDefault="003D5FA0" w14:paraId="43AF062F" w14:textId="01FDAD48">
      <w:pPr>
        <w:spacing w:line="360" w:lineRule="auto"/>
        <w:rPr>
          <w:rFonts w:cs="Aptos" w:cstheme="minorAscii"/>
          <w:sz w:val="36"/>
          <w:szCs w:val="36"/>
        </w:rPr>
      </w:pPr>
      <w:r w:rsidRPr="655F7CC0" w:rsidR="0C59DC4C">
        <w:rPr>
          <w:rFonts w:cs="Aptos" w:cstheme="minorAscii"/>
          <w:sz w:val="36"/>
          <w:szCs w:val="36"/>
        </w:rPr>
        <w:t>This project</w:t>
      </w:r>
      <w:r w:rsidRPr="655F7CC0" w:rsidR="003D5FA0">
        <w:rPr>
          <w:rFonts w:cs="Aptos" w:cstheme="minorAscii"/>
          <w:sz w:val="36"/>
          <w:szCs w:val="36"/>
        </w:rPr>
        <w:t xml:space="preserve"> aims to create a school community garden that influences an inclusive learning environment through a hands-on experience while obtaining a relationship between the school and the community. An outdoor learning experience allows the students to engage </w:t>
      </w:r>
      <w:r w:rsidRPr="655F7CC0" w:rsidR="006639AB">
        <w:rPr>
          <w:rFonts w:cs="Aptos" w:cstheme="minorAscii"/>
          <w:sz w:val="36"/>
          <w:szCs w:val="36"/>
        </w:rPr>
        <w:t>with</w:t>
      </w:r>
      <w:r w:rsidRPr="655F7CC0" w:rsidR="003D5FA0">
        <w:rPr>
          <w:rFonts w:cs="Aptos" w:cstheme="minorAscii"/>
          <w:sz w:val="36"/>
          <w:szCs w:val="36"/>
        </w:rPr>
        <w:t xml:space="preserve"> curriculum through physical experiences. </w:t>
      </w:r>
    </w:p>
    <w:p w:rsidRPr="009921B4" w:rsidR="003D5FA0" w:rsidP="655F7CC0" w:rsidRDefault="003D5FA0" w14:paraId="2C8D0C3F" w14:textId="77777777" w14:noSpellErr="1">
      <w:pPr>
        <w:spacing w:line="360" w:lineRule="auto"/>
        <w:rPr>
          <w:rFonts w:cs="Aptos" w:cstheme="minorAscii"/>
          <w:sz w:val="36"/>
          <w:szCs w:val="36"/>
        </w:rPr>
      </w:pPr>
    </w:p>
    <w:p w:rsidRPr="009921B4" w:rsidR="003D5FA0" w:rsidP="655F7CC0" w:rsidRDefault="003D5FA0" w14:paraId="4FAA5855" w14:textId="0FC55B12" w14:noSpellErr="1">
      <w:pPr>
        <w:spacing w:line="360" w:lineRule="auto"/>
        <w:rPr>
          <w:rFonts w:cs="Aptos" w:cstheme="minorAscii"/>
          <w:sz w:val="36"/>
          <w:szCs w:val="36"/>
        </w:rPr>
      </w:pPr>
      <w:r w:rsidRPr="655F7CC0" w:rsidR="003D5FA0">
        <w:rPr>
          <w:rFonts w:cs="Aptos" w:cstheme="minorAscii"/>
          <w:sz w:val="36"/>
          <w:szCs w:val="36"/>
        </w:rPr>
        <w:t xml:space="preserve">The overall aims of the school community garden </w:t>
      </w:r>
      <w:r w:rsidRPr="655F7CC0" w:rsidR="00B746D2">
        <w:rPr>
          <w:rFonts w:cs="Aptos" w:cstheme="minorAscii"/>
          <w:sz w:val="36"/>
          <w:szCs w:val="36"/>
        </w:rPr>
        <w:t>are</w:t>
      </w:r>
      <w:r w:rsidRPr="655F7CC0" w:rsidR="003D5FA0">
        <w:rPr>
          <w:rFonts w:cs="Aptos" w:cstheme="minorAscii"/>
          <w:sz w:val="36"/>
          <w:szCs w:val="36"/>
        </w:rPr>
        <w:t xml:space="preserve"> to develop students’ well-being through the curriculum while building relationships with the wider community. The aimed outcome will be </w:t>
      </w:r>
      <w:r w:rsidRPr="655F7CC0" w:rsidR="003D5FA0">
        <w:rPr>
          <w:rFonts w:cs="Aptos" w:cstheme="minorAscii"/>
          <w:sz w:val="36"/>
          <w:szCs w:val="36"/>
        </w:rPr>
        <w:t>a high level</w:t>
      </w:r>
      <w:r w:rsidRPr="655F7CC0" w:rsidR="003D5FA0">
        <w:rPr>
          <w:rFonts w:cs="Aptos" w:cstheme="minorAscii"/>
          <w:sz w:val="36"/>
          <w:szCs w:val="36"/>
        </w:rPr>
        <w:t xml:space="preserve"> of interest, </w:t>
      </w:r>
      <w:r w:rsidRPr="655F7CC0" w:rsidR="003D5FA0">
        <w:rPr>
          <w:rFonts w:cs="Aptos" w:cstheme="minorAscii"/>
          <w:sz w:val="36"/>
          <w:szCs w:val="36"/>
        </w:rPr>
        <w:t>concentration</w:t>
      </w:r>
      <w:r w:rsidRPr="655F7CC0" w:rsidR="003D5FA0">
        <w:rPr>
          <w:rFonts w:cs="Aptos" w:cstheme="minorAscii"/>
          <w:sz w:val="36"/>
          <w:szCs w:val="36"/>
        </w:rPr>
        <w:t xml:space="preserve"> and development of essential life skills including critical thinking and teamwork. The students will also develop a knowledge of diversity through the process of creating a garden that is inclusive and accessible to everyone. According to Elliott (2006) during early childhood it is crucial that learning environments are adapted and inclusive to </w:t>
      </w:r>
      <w:r w:rsidRPr="655F7CC0" w:rsidR="003D5FA0">
        <w:rPr>
          <w:rFonts w:cs="Aptos" w:cstheme="minorAscii"/>
          <w:sz w:val="36"/>
          <w:szCs w:val="36"/>
        </w:rPr>
        <w:t>provide</w:t>
      </w:r>
      <w:r w:rsidRPr="655F7CC0" w:rsidR="003D5FA0">
        <w:rPr>
          <w:rFonts w:cs="Aptos" w:cstheme="minorAscii"/>
          <w:sz w:val="36"/>
          <w:szCs w:val="36"/>
        </w:rPr>
        <w:t xml:space="preserve"> equal opportunities. Vygotsky’s (1978) theory of social constructivism highlights that students’ academic learning expands through social interaction within the community which will occur continuously throughout the garden.</w:t>
      </w:r>
      <w:r w:rsidRPr="655F7CC0" w:rsidR="00340756">
        <w:rPr>
          <w:rFonts w:cs="Aptos" w:cstheme="minorAscii"/>
          <w:sz w:val="36"/>
          <w:szCs w:val="36"/>
        </w:rPr>
        <w:t xml:space="preserve"> </w:t>
      </w:r>
      <w:r w:rsidRPr="655F7CC0" w:rsidR="003D5FA0">
        <w:rPr>
          <w:rFonts w:cs="Aptos" w:cstheme="minorAscii"/>
          <w:sz w:val="36"/>
          <w:szCs w:val="36"/>
        </w:rPr>
        <w:t xml:space="preserve">The garden also corresponds with Dewey’s (1938) philosophy of experiential learning which implies that children develop </w:t>
      </w:r>
      <w:r w:rsidRPr="655F7CC0" w:rsidR="003D5FA0">
        <w:rPr>
          <w:rFonts w:cs="Aptos" w:cstheme="minorAscii"/>
          <w:sz w:val="36"/>
          <w:szCs w:val="36"/>
        </w:rPr>
        <w:t>further through the process of physically learning and active participation.</w:t>
      </w:r>
    </w:p>
    <w:p w:rsidRPr="009921B4" w:rsidR="003D5FA0" w:rsidP="655F7CC0" w:rsidRDefault="003D5FA0" w14:paraId="550B8820" w14:textId="77777777" w14:noSpellErr="1">
      <w:pPr>
        <w:spacing w:line="360" w:lineRule="auto"/>
        <w:rPr>
          <w:rFonts w:cs="Aptos" w:cstheme="minorAscii"/>
          <w:sz w:val="36"/>
          <w:szCs w:val="36"/>
        </w:rPr>
      </w:pPr>
    </w:p>
    <w:p w:rsidRPr="009921B4" w:rsidR="003D5FA0" w:rsidP="655F7CC0" w:rsidRDefault="003D5FA0" w14:paraId="367205E6" w14:textId="1167B7DF" w14:noSpellErr="1">
      <w:pPr>
        <w:spacing w:line="360" w:lineRule="auto"/>
        <w:rPr>
          <w:rFonts w:cs="Aptos" w:cstheme="minorAscii"/>
          <w:sz w:val="36"/>
          <w:szCs w:val="36"/>
        </w:rPr>
      </w:pPr>
      <w:r w:rsidRPr="655F7CC0" w:rsidR="003D5FA0">
        <w:rPr>
          <w:rFonts w:cs="Aptos" w:cstheme="minorAscii"/>
          <w:sz w:val="36"/>
          <w:szCs w:val="36"/>
        </w:rPr>
        <w:t xml:space="preserve">At the beginning of the project, students, </w:t>
      </w:r>
      <w:r w:rsidRPr="655F7CC0" w:rsidR="00340756">
        <w:rPr>
          <w:rFonts w:cs="Aptos" w:cstheme="minorAscii"/>
          <w:sz w:val="36"/>
          <w:szCs w:val="36"/>
        </w:rPr>
        <w:t>staff,</w:t>
      </w:r>
      <w:r w:rsidRPr="655F7CC0" w:rsidR="003D5FA0">
        <w:rPr>
          <w:rFonts w:cs="Aptos" w:cstheme="minorAscii"/>
          <w:sz w:val="36"/>
          <w:szCs w:val="36"/>
        </w:rPr>
        <w:t xml:space="preserve"> and residents will design a layout of the garden along with plants, vegetables, and fruits. Then, volunteers will assemble the raised beds and accessible pathways to ensure the garden is accessible for everyone. </w:t>
      </w:r>
      <w:r w:rsidRPr="655F7CC0" w:rsidR="00B57D8D">
        <w:rPr>
          <w:rFonts w:cs="Aptos" w:cstheme="minorAscii"/>
          <w:sz w:val="36"/>
          <w:szCs w:val="36"/>
        </w:rPr>
        <w:t xml:space="preserve">It </w:t>
      </w:r>
      <w:r w:rsidRPr="655F7CC0" w:rsidR="003D5FA0">
        <w:rPr>
          <w:rFonts w:cs="Aptos" w:cstheme="minorAscii"/>
          <w:sz w:val="36"/>
          <w:szCs w:val="36"/>
        </w:rPr>
        <w:t xml:space="preserve">is also </w:t>
      </w:r>
      <w:r w:rsidRPr="655F7CC0" w:rsidR="003D5FA0">
        <w:rPr>
          <w:rFonts w:cs="Aptos" w:cstheme="minorAscii"/>
          <w:sz w:val="36"/>
          <w:szCs w:val="36"/>
        </w:rPr>
        <w:t>required</w:t>
      </w:r>
      <w:r w:rsidRPr="655F7CC0" w:rsidR="003D5FA0">
        <w:rPr>
          <w:rFonts w:cs="Aptos" w:cstheme="minorAscii"/>
          <w:sz w:val="36"/>
          <w:szCs w:val="36"/>
        </w:rPr>
        <w:t xml:space="preserve"> to collect compost and gardening tools. ALN students will be supported with softer tools to feel comfortable within the garden. Finally, the members involved </w:t>
      </w:r>
      <w:r w:rsidRPr="655F7CC0" w:rsidR="00A819B0">
        <w:rPr>
          <w:rFonts w:cs="Aptos" w:cstheme="minorAscii"/>
          <w:sz w:val="36"/>
          <w:szCs w:val="36"/>
        </w:rPr>
        <w:t>will</w:t>
      </w:r>
      <w:r w:rsidRPr="655F7CC0" w:rsidR="003D5FA0">
        <w:rPr>
          <w:rFonts w:cs="Aptos" w:cstheme="minorAscii"/>
          <w:sz w:val="36"/>
          <w:szCs w:val="36"/>
        </w:rPr>
        <w:t xml:space="preserve"> take part in planting the plants. This step will align with the areas for learning within the curriculum. Specifically, science and technology and health and well-being through </w:t>
      </w:r>
      <w:r w:rsidRPr="655F7CC0" w:rsidR="003D5FA0">
        <w:rPr>
          <w:rFonts w:cs="Aptos" w:cstheme="minorAscii"/>
          <w:sz w:val="36"/>
          <w:szCs w:val="36"/>
        </w:rPr>
        <w:t>identifying</w:t>
      </w:r>
      <w:r w:rsidRPr="655F7CC0" w:rsidR="003D5FA0">
        <w:rPr>
          <w:rFonts w:cs="Aptos" w:cstheme="minorAscii"/>
          <w:sz w:val="36"/>
          <w:szCs w:val="36"/>
        </w:rPr>
        <w:t xml:space="preserve"> different plants and planting. A lead teacher, ideally part of the eco team with experience on how to create an eco-friendly environment</w:t>
      </w:r>
      <w:r w:rsidRPr="655F7CC0" w:rsidR="004826F2">
        <w:rPr>
          <w:rFonts w:cs="Aptos" w:cstheme="minorAscii"/>
          <w:sz w:val="36"/>
          <w:szCs w:val="36"/>
        </w:rPr>
        <w:t xml:space="preserve"> will create </w:t>
      </w:r>
      <w:r w:rsidRPr="655F7CC0" w:rsidR="00FB35FD">
        <w:rPr>
          <w:rFonts w:cs="Aptos" w:cstheme="minorAscii"/>
          <w:sz w:val="36"/>
          <w:szCs w:val="36"/>
        </w:rPr>
        <w:t>a</w:t>
      </w:r>
      <w:r w:rsidRPr="655F7CC0" w:rsidR="003D5FA0">
        <w:rPr>
          <w:rFonts w:cs="Aptos" w:cstheme="minorAscii"/>
          <w:sz w:val="36"/>
          <w:szCs w:val="36"/>
        </w:rPr>
        <w:t xml:space="preserve"> set rota for every member </w:t>
      </w:r>
      <w:r w:rsidRPr="655F7CC0" w:rsidR="00FB35FD">
        <w:rPr>
          <w:rFonts w:cs="Aptos" w:cstheme="minorAscii"/>
          <w:sz w:val="36"/>
          <w:szCs w:val="36"/>
        </w:rPr>
        <w:t xml:space="preserve">to be </w:t>
      </w:r>
      <w:r w:rsidRPr="655F7CC0" w:rsidR="003D5FA0">
        <w:rPr>
          <w:rFonts w:cs="Aptos" w:cstheme="minorAscii"/>
          <w:sz w:val="36"/>
          <w:szCs w:val="36"/>
        </w:rPr>
        <w:t>involved to ensure everyone has an equal opportunity to take part in the process. A £1,000 budget will be raised through school fundraising. As implied by Graham et al. (2005), community support and working collaboratively is important to create a successful school community garden.</w:t>
      </w:r>
    </w:p>
    <w:p w:rsidRPr="009921B4" w:rsidR="003D5FA0" w:rsidP="655F7CC0" w:rsidRDefault="003D5FA0" w14:paraId="4F590CF7" w14:textId="77777777" w14:noSpellErr="1">
      <w:pPr>
        <w:spacing w:line="360" w:lineRule="auto"/>
        <w:rPr>
          <w:rFonts w:cs="Aptos" w:cstheme="minorAscii"/>
          <w:sz w:val="36"/>
          <w:szCs w:val="36"/>
        </w:rPr>
      </w:pPr>
    </w:p>
    <w:p w:rsidRPr="009921B4" w:rsidR="003D5FA0" w:rsidP="655F7CC0" w:rsidRDefault="003D5FA0" w14:paraId="2653335A" w14:textId="4EC7E8BF" w14:noSpellErr="1">
      <w:pPr>
        <w:spacing w:line="360" w:lineRule="auto"/>
        <w:rPr>
          <w:rFonts w:cs="Aptos" w:cstheme="minorAscii"/>
          <w:sz w:val="36"/>
          <w:szCs w:val="36"/>
        </w:rPr>
      </w:pPr>
      <w:r w:rsidRPr="655F7CC0" w:rsidR="003D5FA0">
        <w:rPr>
          <w:rFonts w:cs="Aptos" w:cstheme="minorAscii"/>
          <w:sz w:val="36"/>
          <w:szCs w:val="36"/>
        </w:rPr>
        <w:t xml:space="preserve">The long-term aim for this project is for all students to benefit academically along with an increased well-being development. The garden will also promote respect for diversity and sustainability through cultural reignition. Gardening can </w:t>
      </w:r>
      <w:r w:rsidRPr="655F7CC0" w:rsidR="003D5FA0">
        <w:rPr>
          <w:rFonts w:cs="Aptos" w:cstheme="minorAscii"/>
          <w:sz w:val="36"/>
          <w:szCs w:val="36"/>
        </w:rPr>
        <w:t>impact</w:t>
      </w:r>
      <w:r w:rsidRPr="655F7CC0" w:rsidR="003D5FA0">
        <w:rPr>
          <w:rFonts w:cs="Aptos" w:cstheme="minorAscii"/>
          <w:sz w:val="36"/>
          <w:szCs w:val="36"/>
        </w:rPr>
        <w:t xml:space="preserve"> a student’s overall academic learning through enhancing key skills including observation and critical thinking </w:t>
      </w:r>
      <w:r w:rsidRPr="655F7CC0" w:rsidR="003D5FA0">
        <w:rPr>
          <w:rFonts w:cs="Aptos" w:cstheme="minorAscii"/>
          <w:color w:val="000000" w:themeColor="text1" w:themeTint="FF" w:themeShade="FF"/>
          <w:sz w:val="36"/>
          <w:szCs w:val="36"/>
        </w:rPr>
        <w:t>(Steinebach and Langer, 2019).</w:t>
      </w:r>
    </w:p>
    <w:p w:rsidRPr="009921B4" w:rsidR="003D5FA0" w:rsidP="655F7CC0" w:rsidRDefault="003D5FA0" w14:paraId="60E5D271" w14:textId="77777777" w14:noSpellErr="1">
      <w:pPr>
        <w:spacing w:line="360" w:lineRule="auto"/>
        <w:rPr>
          <w:rFonts w:cs="Aptos" w:cstheme="minorAscii"/>
          <w:sz w:val="36"/>
          <w:szCs w:val="36"/>
        </w:rPr>
      </w:pPr>
    </w:p>
    <w:p w:rsidRPr="009921B4" w:rsidR="003D5FA0" w:rsidP="655F7CC0" w:rsidRDefault="003D5FA0" w14:paraId="6BC73594" w14:textId="020C091A">
      <w:pPr>
        <w:spacing w:line="360" w:lineRule="auto"/>
        <w:rPr>
          <w:rFonts w:cs="Aptos" w:cstheme="minorAscii"/>
          <w:sz w:val="36"/>
          <w:szCs w:val="36"/>
        </w:rPr>
      </w:pPr>
      <w:r w:rsidRPr="655F7CC0" w:rsidR="003D5FA0">
        <w:rPr>
          <w:rFonts w:cs="Aptos" w:cstheme="minorAscii"/>
          <w:sz w:val="36"/>
          <w:szCs w:val="36"/>
        </w:rPr>
        <w:t xml:space="preserve">Measuring the impact of a school community garden takes a mixed method approach through quantitative and qualitative evaluation. Quantitative evaluation focuses on the outcomes using numerical data which may include questionnaire to compare visual patterns. However, qualitative evaluation collects data through the understanding of experiences and the reasons that may influence an outcome (Denscombe, 2017). Qualitative data could be collected through an interview. Qualitative and quantitative data methods can assess the social, academic, and environmental outcomes to ensure the best practice within the school and community (Creswell and Creswell, 2018). </w:t>
      </w:r>
      <w:r w:rsidRPr="655F7CC0" w:rsidR="00435D86">
        <w:rPr>
          <w:rFonts w:cs="Aptos" w:cstheme="minorAscii"/>
          <w:sz w:val="36"/>
          <w:szCs w:val="36"/>
        </w:rPr>
        <w:t>Q</w:t>
      </w:r>
      <w:r w:rsidRPr="655F7CC0" w:rsidR="003D5FA0">
        <w:rPr>
          <w:rFonts w:cs="Aptos" w:cstheme="minorAscii"/>
          <w:sz w:val="36"/>
          <w:szCs w:val="36"/>
        </w:rPr>
        <w:t xml:space="preserve">uestionnaires </w:t>
      </w:r>
      <w:r w:rsidRPr="655F7CC0" w:rsidR="00435D86">
        <w:rPr>
          <w:rFonts w:cs="Aptos" w:cstheme="minorAscii"/>
          <w:sz w:val="36"/>
          <w:szCs w:val="36"/>
        </w:rPr>
        <w:t xml:space="preserve">will collect Quantitative data </w:t>
      </w:r>
      <w:r w:rsidRPr="655F7CC0" w:rsidR="003D5FA0">
        <w:rPr>
          <w:rFonts w:cs="Aptos" w:cstheme="minorAscii"/>
          <w:sz w:val="36"/>
          <w:szCs w:val="36"/>
        </w:rPr>
        <w:t xml:space="preserve">before and after the process of the school community garden. The data will </w:t>
      </w:r>
      <w:r w:rsidRPr="655F7CC0" w:rsidR="003D5FA0">
        <w:rPr>
          <w:rFonts w:cs="Aptos" w:cstheme="minorAscii"/>
          <w:sz w:val="36"/>
          <w:szCs w:val="36"/>
        </w:rPr>
        <w:t>identify</w:t>
      </w:r>
      <w:r w:rsidRPr="655F7CC0" w:rsidR="003D5FA0">
        <w:rPr>
          <w:rFonts w:cs="Aptos" w:cstheme="minorAscii"/>
          <w:sz w:val="36"/>
          <w:szCs w:val="36"/>
        </w:rPr>
        <w:t xml:space="preserve"> </w:t>
      </w:r>
      <w:r w:rsidRPr="655F7CC0" w:rsidR="003D5FA0">
        <w:rPr>
          <w:rFonts w:cs="Aptos" w:cstheme="minorAscii"/>
          <w:sz w:val="36"/>
          <w:szCs w:val="36"/>
        </w:rPr>
        <w:t>possible changes</w:t>
      </w:r>
      <w:r w:rsidRPr="655F7CC0" w:rsidR="003D5FA0">
        <w:rPr>
          <w:rFonts w:cs="Aptos" w:cstheme="minorAscii"/>
          <w:sz w:val="36"/>
          <w:szCs w:val="36"/>
        </w:rPr>
        <w:t xml:space="preserve"> in the students views on a balanced diet, their understanding of sustainability and their responsibility </w:t>
      </w:r>
      <w:r w:rsidRPr="655F7CC0" w:rsidR="003D5FA0">
        <w:rPr>
          <w:rFonts w:cs="Aptos" w:cstheme="minorAscii"/>
          <w:sz w:val="36"/>
          <w:szCs w:val="36"/>
        </w:rPr>
        <w:t xml:space="preserve">within the community. The questionnaires will include Likert scale questions that allow students to rate their experiences on a number scale. Likert scale question </w:t>
      </w:r>
      <w:r w:rsidRPr="655F7CC0" w:rsidR="5A8878AF">
        <w:rPr>
          <w:rFonts w:cs="Aptos" w:cstheme="minorAscii"/>
          <w:sz w:val="36"/>
          <w:szCs w:val="36"/>
        </w:rPr>
        <w:t>enables</w:t>
      </w:r>
      <w:r w:rsidRPr="655F7CC0" w:rsidR="003D5FA0">
        <w:rPr>
          <w:rFonts w:cs="Aptos" w:cstheme="minorAscii"/>
          <w:sz w:val="36"/>
          <w:szCs w:val="36"/>
        </w:rPr>
        <w:t xml:space="preserve"> the researcher to compare statistics across year groups in key stage </w:t>
      </w:r>
      <w:r w:rsidRPr="655F7CC0" w:rsidR="00435D86">
        <w:rPr>
          <w:rFonts w:cs="Aptos" w:cstheme="minorAscii"/>
          <w:sz w:val="36"/>
          <w:szCs w:val="36"/>
        </w:rPr>
        <w:t>two</w:t>
      </w:r>
      <w:r w:rsidRPr="655F7CC0" w:rsidR="003D5FA0">
        <w:rPr>
          <w:rFonts w:cs="Aptos" w:cstheme="minorAscii"/>
          <w:sz w:val="36"/>
          <w:szCs w:val="36"/>
        </w:rPr>
        <w:t xml:space="preserve">. According to Creswell and Creswell (2018), Likert scale questions help </w:t>
      </w:r>
      <w:r w:rsidRPr="655F7CC0" w:rsidR="003D5FA0">
        <w:rPr>
          <w:rFonts w:cs="Aptos" w:cstheme="minorAscii"/>
          <w:sz w:val="36"/>
          <w:szCs w:val="36"/>
        </w:rPr>
        <w:t>identify</w:t>
      </w:r>
      <w:r w:rsidRPr="655F7CC0" w:rsidR="003D5FA0">
        <w:rPr>
          <w:rFonts w:cs="Aptos" w:cstheme="minorAscii"/>
          <w:sz w:val="36"/>
          <w:szCs w:val="36"/>
        </w:rPr>
        <w:t xml:space="preserve"> patterns and trends within the data to ensure the comparison is </w:t>
      </w:r>
      <w:r w:rsidRPr="655F7CC0" w:rsidR="003D5FA0">
        <w:rPr>
          <w:rFonts w:cs="Aptos" w:cstheme="minorAscii"/>
          <w:sz w:val="36"/>
          <w:szCs w:val="36"/>
        </w:rPr>
        <w:t>accurate</w:t>
      </w:r>
      <w:r w:rsidRPr="655F7CC0" w:rsidR="003D5FA0">
        <w:rPr>
          <w:rFonts w:cs="Aptos" w:cstheme="minorAscii"/>
          <w:sz w:val="36"/>
          <w:szCs w:val="36"/>
        </w:rPr>
        <w:t>. Participation and engagement levels will also be measured through observations to recognise effects in student behaviours.</w:t>
      </w:r>
    </w:p>
    <w:p w:rsidRPr="009921B4" w:rsidR="003D5FA0" w:rsidP="655F7CC0" w:rsidRDefault="003D5FA0" w14:paraId="545F6A9F" w14:textId="77777777" w14:noSpellErr="1">
      <w:pPr>
        <w:spacing w:line="360" w:lineRule="auto"/>
        <w:rPr>
          <w:rFonts w:cs="Aptos" w:cstheme="minorAscii"/>
          <w:sz w:val="36"/>
          <w:szCs w:val="36"/>
        </w:rPr>
      </w:pPr>
    </w:p>
    <w:p w:rsidRPr="009921B4" w:rsidR="003D5FA0" w:rsidP="655F7CC0" w:rsidRDefault="003D5FA0" w14:paraId="6B8A3957" w14:textId="162D33B6" w14:noSpellErr="1">
      <w:pPr>
        <w:spacing w:line="360" w:lineRule="auto"/>
        <w:rPr>
          <w:rFonts w:cs="Aptos" w:cstheme="minorAscii"/>
          <w:sz w:val="36"/>
          <w:szCs w:val="36"/>
        </w:rPr>
      </w:pPr>
      <w:r w:rsidRPr="655F7CC0" w:rsidR="003D5FA0">
        <w:rPr>
          <w:rFonts w:cs="Aptos" w:cstheme="minorAscii"/>
          <w:sz w:val="36"/>
          <w:szCs w:val="36"/>
        </w:rPr>
        <w:t>The qualitative data will be gathered through semi</w:t>
      </w:r>
      <w:r w:rsidRPr="655F7CC0" w:rsidR="00435D86">
        <w:rPr>
          <w:rFonts w:cs="Aptos" w:cstheme="minorAscii"/>
          <w:sz w:val="36"/>
          <w:szCs w:val="36"/>
        </w:rPr>
        <w:t>-</w:t>
      </w:r>
      <w:r w:rsidRPr="655F7CC0" w:rsidR="003D5FA0">
        <w:rPr>
          <w:rFonts w:cs="Aptos" w:cstheme="minorAscii"/>
          <w:sz w:val="36"/>
          <w:szCs w:val="36"/>
        </w:rPr>
        <w:t>structured interviews with students, staff, and residents. Through the interviews the aim will be to collect essential data based on the gardens value, inclusivity, and overall well-being (</w:t>
      </w:r>
      <w:r w:rsidRPr="655F7CC0" w:rsidR="003D5FA0">
        <w:rPr>
          <w:rStyle w:val="normaltextrun"/>
          <w:rFonts w:cs="Aptos" w:cstheme="minorAscii"/>
          <w:sz w:val="36"/>
          <w:szCs w:val="36"/>
        </w:rPr>
        <w:t>Cohen, Manion and Morrison, 2018).</w:t>
      </w:r>
      <w:r w:rsidRPr="655F7CC0" w:rsidR="003D5FA0">
        <w:rPr>
          <w:rFonts w:cs="Aptos" w:cstheme="minorAscii"/>
          <w:sz w:val="36"/>
          <w:szCs w:val="36"/>
        </w:rPr>
        <w:t xml:space="preserve"> Semi-structured interviews are conducted with </w:t>
      </w:r>
      <w:r w:rsidRPr="655F7CC0" w:rsidR="003D5FA0">
        <w:rPr>
          <w:rFonts w:cs="Aptos" w:cstheme="minorAscii"/>
          <w:sz w:val="36"/>
          <w:szCs w:val="36"/>
        </w:rPr>
        <w:t>numerous</w:t>
      </w:r>
      <w:r w:rsidRPr="655F7CC0" w:rsidR="003D5FA0">
        <w:rPr>
          <w:rFonts w:cs="Aptos" w:cstheme="minorAscii"/>
          <w:sz w:val="36"/>
          <w:szCs w:val="36"/>
        </w:rPr>
        <w:t xml:space="preserve"> individuals following a set of questions to overcome any potential bias allegations (Welsh Government, 2015). Semi-structured interviews align with the child’s rights of the ability to express their feelings and their views to be considered (UNICEF, 1989). The interviews will include open-ended questions that will allows the individual t</w:t>
      </w:r>
      <w:r w:rsidRPr="655F7CC0" w:rsidR="00CC661D">
        <w:rPr>
          <w:rFonts w:cs="Aptos" w:cstheme="minorAscii"/>
          <w:sz w:val="36"/>
          <w:szCs w:val="36"/>
        </w:rPr>
        <w:t xml:space="preserve">o </w:t>
      </w:r>
      <w:r w:rsidRPr="655F7CC0" w:rsidR="003D5FA0">
        <w:rPr>
          <w:rFonts w:cs="Aptos" w:cstheme="minorAscii"/>
          <w:sz w:val="36"/>
          <w:szCs w:val="36"/>
        </w:rPr>
        <w:t>express and elaborate on their thoughts and opinions through their own words (</w:t>
      </w:r>
      <w:r w:rsidRPr="655F7CC0" w:rsidR="003D5FA0">
        <w:rPr>
          <w:rStyle w:val="normaltextrun"/>
          <w:rFonts w:cs="Aptos" w:cstheme="minorAscii"/>
          <w:sz w:val="36"/>
          <w:szCs w:val="36"/>
        </w:rPr>
        <w:t xml:space="preserve">Bryman, 2016). The interview questions will be tailored based on their relationship with </w:t>
      </w:r>
      <w:r w:rsidRPr="655F7CC0" w:rsidR="003D5FA0">
        <w:rPr>
          <w:rStyle w:val="normaltextrun"/>
          <w:rFonts w:cs="Aptos" w:cstheme="minorAscii"/>
          <w:sz w:val="36"/>
          <w:szCs w:val="36"/>
        </w:rPr>
        <w:t>the community and how the garden has affected potential academic development.</w:t>
      </w:r>
    </w:p>
    <w:p w:rsidRPr="009921B4" w:rsidR="003D5FA0" w:rsidP="655F7CC0" w:rsidRDefault="003D5FA0" w14:paraId="30C6A7CE" w14:textId="77777777" w14:noSpellErr="1">
      <w:pPr>
        <w:spacing w:line="360" w:lineRule="auto"/>
        <w:rPr>
          <w:rFonts w:cs="Aptos" w:cstheme="minorAscii"/>
          <w:sz w:val="36"/>
          <w:szCs w:val="36"/>
        </w:rPr>
      </w:pPr>
    </w:p>
    <w:p w:rsidRPr="009921B4" w:rsidR="003D5FA0" w:rsidP="655F7CC0" w:rsidRDefault="003D5FA0" w14:paraId="50206493" w14:textId="4AE119ED" w14:noSpellErr="1">
      <w:pPr>
        <w:spacing w:line="360" w:lineRule="auto"/>
        <w:rPr>
          <w:rFonts w:cs="Aptos" w:cstheme="minorAscii"/>
          <w:sz w:val="36"/>
          <w:szCs w:val="36"/>
        </w:rPr>
      </w:pPr>
      <w:r w:rsidRPr="655F7CC0" w:rsidR="003D5FA0">
        <w:rPr>
          <w:rFonts w:cs="Aptos" w:cstheme="minorAscii"/>
          <w:sz w:val="36"/>
          <w:szCs w:val="36"/>
        </w:rPr>
        <w:t xml:space="preserve">Evaluation of environmental impact will be carried out by monitoring compost use and reductions in food waste. The Food for Life programme focuses on sustainability and the approach to food by measuring food waste and composting (Soil Association, 2019). To reflect this framework, volunteers would </w:t>
      </w:r>
      <w:r w:rsidRPr="655F7CC0" w:rsidR="003D5FA0">
        <w:rPr>
          <w:rFonts w:cs="Aptos" w:cstheme="minorAscii"/>
          <w:sz w:val="36"/>
          <w:szCs w:val="36"/>
        </w:rPr>
        <w:t>be required</w:t>
      </w:r>
      <w:r w:rsidRPr="655F7CC0" w:rsidR="003D5FA0">
        <w:rPr>
          <w:rFonts w:cs="Aptos" w:cstheme="minorAscii"/>
          <w:sz w:val="36"/>
          <w:szCs w:val="36"/>
        </w:rPr>
        <w:t xml:space="preserve"> to weigh food waste from the canteen to document the wasted before and after the process of the garden. This will </w:t>
      </w:r>
      <w:r w:rsidRPr="655F7CC0" w:rsidR="003D5FA0">
        <w:rPr>
          <w:rFonts w:cs="Aptos" w:cstheme="minorAscii"/>
          <w:sz w:val="36"/>
          <w:szCs w:val="36"/>
        </w:rPr>
        <w:t>identify</w:t>
      </w:r>
      <w:r w:rsidRPr="655F7CC0" w:rsidR="003D5FA0">
        <w:rPr>
          <w:rFonts w:cs="Aptos" w:cstheme="minorAscii"/>
          <w:sz w:val="36"/>
          <w:szCs w:val="36"/>
        </w:rPr>
        <w:t xml:space="preserve"> whether the growth of produce on-site is supporting the decrease </w:t>
      </w:r>
      <w:r w:rsidRPr="655F7CC0" w:rsidR="004947F2">
        <w:rPr>
          <w:rFonts w:cs="Aptos" w:cstheme="minorAscii"/>
          <w:sz w:val="36"/>
          <w:szCs w:val="36"/>
        </w:rPr>
        <w:t xml:space="preserve">in </w:t>
      </w:r>
      <w:r w:rsidRPr="655F7CC0" w:rsidR="003D5FA0">
        <w:rPr>
          <w:rFonts w:cs="Aptos" w:cstheme="minorAscii"/>
          <w:sz w:val="36"/>
          <w:szCs w:val="36"/>
        </w:rPr>
        <w:t xml:space="preserve">food waste. Additionally, the level of participation will be measure through a signing in and out register to </w:t>
      </w:r>
      <w:r w:rsidRPr="655F7CC0" w:rsidR="003D5FA0">
        <w:rPr>
          <w:rFonts w:cs="Aptos" w:cstheme="minorAscii"/>
          <w:sz w:val="36"/>
          <w:szCs w:val="36"/>
        </w:rPr>
        <w:t>identify</w:t>
      </w:r>
      <w:r w:rsidRPr="655F7CC0" w:rsidR="003D5FA0">
        <w:rPr>
          <w:rFonts w:cs="Aptos" w:cstheme="minorAscii"/>
          <w:sz w:val="36"/>
          <w:szCs w:val="36"/>
        </w:rPr>
        <w:t xml:space="preserve"> the involvement of the community within the garden and aligning with the Food for Life framework on inclusivity. Furthermore, measuring food waste and compost use will play a key role in the students’ academic development by receiving the opportunity to record and analyse data and make cross-curricular links within the curriculum. </w:t>
      </w:r>
    </w:p>
    <w:p w:rsidRPr="009921B4" w:rsidR="003D5FA0" w:rsidP="655F7CC0" w:rsidRDefault="003D5FA0" w14:paraId="05BF33F9" w14:textId="77777777" w14:noSpellErr="1">
      <w:pPr>
        <w:spacing w:line="360" w:lineRule="auto"/>
        <w:rPr>
          <w:rStyle w:val="normaltextrun"/>
          <w:rFonts w:cs="Aptos" w:cstheme="minorAscii"/>
          <w:sz w:val="36"/>
          <w:szCs w:val="36"/>
        </w:rPr>
      </w:pPr>
    </w:p>
    <w:p w:rsidRPr="009921B4" w:rsidR="003D5FA0" w:rsidP="655F7CC0" w:rsidRDefault="003D5FA0" w14:paraId="13397F66" w14:textId="7AE12BFF" w14:noSpellErr="1">
      <w:pPr>
        <w:spacing w:line="360" w:lineRule="auto"/>
        <w:rPr>
          <w:rStyle w:val="normaltextrun"/>
          <w:rFonts w:cs="Aptos" w:cstheme="minorAscii"/>
          <w:sz w:val="36"/>
          <w:szCs w:val="36"/>
        </w:rPr>
      </w:pPr>
      <w:r w:rsidRPr="655F7CC0" w:rsidR="003D5FA0">
        <w:rPr>
          <w:rStyle w:val="normaltextrun"/>
          <w:rFonts w:cs="Aptos" w:cstheme="minorAscii"/>
          <w:sz w:val="36"/>
          <w:szCs w:val="36"/>
        </w:rPr>
        <w:t>In accordance with</w:t>
      </w:r>
      <w:r w:rsidRPr="655F7CC0" w:rsidR="003D5FA0">
        <w:rPr>
          <w:rStyle w:val="normaltextrun"/>
          <w:rFonts w:cs="Aptos" w:cstheme="minorAscii"/>
          <w:sz w:val="36"/>
          <w:szCs w:val="36"/>
        </w:rPr>
        <w:t xml:space="preserve"> The British Educational Research Association (2024) Ethical Guidelines, consent would be gathered from </w:t>
      </w:r>
      <w:r w:rsidRPr="655F7CC0" w:rsidR="00C82A47">
        <w:rPr>
          <w:rStyle w:val="normaltextrun"/>
          <w:rFonts w:cs="Aptos" w:cstheme="minorAscii"/>
          <w:sz w:val="36"/>
          <w:szCs w:val="36"/>
        </w:rPr>
        <w:t xml:space="preserve">parents </w:t>
      </w:r>
      <w:r w:rsidRPr="655F7CC0" w:rsidR="003D5FA0">
        <w:rPr>
          <w:rStyle w:val="normaltextrun"/>
          <w:rFonts w:cs="Aptos" w:cstheme="minorAscii"/>
          <w:sz w:val="36"/>
          <w:szCs w:val="36"/>
        </w:rPr>
        <w:t>of students prior to th</w:t>
      </w:r>
      <w:r w:rsidRPr="655F7CC0" w:rsidR="00C82A47">
        <w:rPr>
          <w:rStyle w:val="normaltextrun"/>
          <w:rFonts w:cs="Aptos" w:cstheme="minorAscii"/>
          <w:sz w:val="36"/>
          <w:szCs w:val="36"/>
        </w:rPr>
        <w:t>e</w:t>
      </w:r>
      <w:r w:rsidRPr="655F7CC0" w:rsidR="003D5FA0">
        <w:rPr>
          <w:rStyle w:val="normaltextrun"/>
          <w:rFonts w:cs="Aptos" w:cstheme="minorAscii"/>
          <w:sz w:val="36"/>
          <w:szCs w:val="36"/>
        </w:rPr>
        <w:t xml:space="preserve"> interviews and questionnaires to confirm all participants understand </w:t>
      </w:r>
      <w:r w:rsidRPr="655F7CC0" w:rsidR="003D5FA0">
        <w:rPr>
          <w:rStyle w:val="normaltextrun"/>
          <w:rFonts w:cs="Aptos" w:cstheme="minorAscii"/>
          <w:sz w:val="36"/>
          <w:szCs w:val="36"/>
        </w:rPr>
        <w:t xml:space="preserve">the purpose and process of the research. Throughout the process of collecting the data, confidentiality and rights will be considered. The consent forms will outline the rights of the participants to decline or withdraw at any time. The data obtained will be confidential, confirming others will not </w:t>
      </w:r>
      <w:r w:rsidRPr="655F7CC0" w:rsidR="003D5FA0">
        <w:rPr>
          <w:rStyle w:val="normaltextrun"/>
          <w:rFonts w:cs="Aptos" w:cstheme="minorAscii"/>
          <w:sz w:val="36"/>
          <w:szCs w:val="36"/>
        </w:rPr>
        <w:t>identify</w:t>
      </w:r>
      <w:r w:rsidRPr="655F7CC0" w:rsidR="003D5FA0">
        <w:rPr>
          <w:rStyle w:val="normaltextrun"/>
          <w:rFonts w:cs="Aptos" w:cstheme="minorAscii"/>
          <w:sz w:val="36"/>
          <w:szCs w:val="36"/>
        </w:rPr>
        <w:t xml:space="preserve"> individual participants. </w:t>
      </w:r>
    </w:p>
    <w:p w:rsidRPr="009921B4" w:rsidR="003D5FA0" w:rsidP="655F7CC0" w:rsidRDefault="003D5FA0" w14:paraId="1FD9186A" w14:textId="77777777" w14:noSpellErr="1">
      <w:pPr>
        <w:spacing w:line="360" w:lineRule="auto"/>
        <w:rPr>
          <w:rFonts w:cs="Aptos" w:cstheme="minorAscii"/>
          <w:sz w:val="36"/>
          <w:szCs w:val="36"/>
        </w:rPr>
      </w:pPr>
    </w:p>
    <w:p w:rsidRPr="009921B4" w:rsidR="003D5FA0" w:rsidP="655F7CC0" w:rsidRDefault="003D5FA0" w14:paraId="668A625D" w14:textId="3879DDA4">
      <w:pPr>
        <w:spacing w:line="360" w:lineRule="auto"/>
        <w:rPr>
          <w:rFonts w:cs="Aptos" w:cstheme="minorAscii"/>
          <w:sz w:val="36"/>
          <w:szCs w:val="36"/>
        </w:rPr>
      </w:pPr>
      <w:r w:rsidRPr="655F7CC0" w:rsidR="003D5FA0">
        <w:rPr>
          <w:rFonts w:cs="Aptos" w:cstheme="minorAscii"/>
          <w:sz w:val="36"/>
          <w:szCs w:val="36"/>
        </w:rPr>
        <w:t xml:space="preserve">The Strengths, Weaknesses, Opportunities and Threats (SWOT) analysis of the school community garden (see in appendix) highlights several </w:t>
      </w:r>
      <w:r w:rsidRPr="655F7CC0" w:rsidR="003D5FA0">
        <w:rPr>
          <w:rFonts w:cs="Aptos" w:cstheme="minorAscii"/>
          <w:sz w:val="36"/>
          <w:szCs w:val="36"/>
        </w:rPr>
        <w:t>possible strengths</w:t>
      </w:r>
      <w:r w:rsidRPr="655F7CC0" w:rsidR="003D5FA0">
        <w:rPr>
          <w:rFonts w:cs="Aptos" w:cstheme="minorAscii"/>
          <w:sz w:val="36"/>
          <w:szCs w:val="36"/>
        </w:rPr>
        <w:t xml:space="preserve">, weaknesses, opportunities, and threats that have had an impact on the overall outcomes </w:t>
      </w:r>
      <w:r w:rsidRPr="655F7CC0" w:rsidR="003D5FA0">
        <w:rPr>
          <w:rFonts w:cs="Aptos" w:cstheme="minorAscii"/>
          <w:color w:val="000000" w:themeColor="text1" w:themeTint="FF" w:themeShade="FF"/>
          <w:sz w:val="36"/>
          <w:szCs w:val="36"/>
        </w:rPr>
        <w:t>(NHS Wales, 2025)</w:t>
      </w:r>
      <w:r w:rsidRPr="655F7CC0" w:rsidR="003D5FA0">
        <w:rPr>
          <w:rFonts w:cs="Aptos" w:cstheme="minorAscii"/>
          <w:sz w:val="36"/>
          <w:szCs w:val="36"/>
        </w:rPr>
        <w:t xml:space="preserve">. A strength within the school is the student’s enthusiasm and engagement. Dewey (1938) </w:t>
      </w:r>
      <w:r w:rsidRPr="655F7CC0" w:rsidR="003D5FA0">
        <w:rPr>
          <w:rFonts w:cs="Aptos" w:cstheme="minorAscii"/>
          <w:sz w:val="36"/>
          <w:szCs w:val="36"/>
        </w:rPr>
        <w:t>establishes</w:t>
      </w:r>
      <w:r w:rsidRPr="655F7CC0" w:rsidR="003D5FA0">
        <w:rPr>
          <w:rFonts w:cs="Aptos" w:cstheme="minorAscii"/>
          <w:sz w:val="36"/>
          <w:szCs w:val="36"/>
        </w:rPr>
        <w:t xml:space="preserve"> that students develop academically through physically doing because active participation influence</w:t>
      </w:r>
      <w:r w:rsidRPr="655F7CC0" w:rsidR="009A2A6C">
        <w:rPr>
          <w:rFonts w:cs="Aptos" w:cstheme="minorAscii"/>
          <w:sz w:val="36"/>
          <w:szCs w:val="36"/>
        </w:rPr>
        <w:t>s</w:t>
      </w:r>
      <w:r w:rsidRPr="655F7CC0" w:rsidR="003D5FA0">
        <w:rPr>
          <w:rFonts w:cs="Aptos" w:cstheme="minorAscii"/>
          <w:sz w:val="36"/>
          <w:szCs w:val="36"/>
        </w:rPr>
        <w:t xml:space="preserve"> deeper understanding and </w:t>
      </w:r>
      <w:r w:rsidRPr="655F7CC0" w:rsidR="009A2A6C">
        <w:rPr>
          <w:rFonts w:cs="Aptos" w:cstheme="minorAscii"/>
          <w:sz w:val="36"/>
          <w:szCs w:val="36"/>
        </w:rPr>
        <w:t xml:space="preserve">development of </w:t>
      </w:r>
      <w:r w:rsidRPr="655F7CC0" w:rsidR="003D5FA0">
        <w:rPr>
          <w:rFonts w:cs="Aptos" w:cstheme="minorAscii"/>
          <w:sz w:val="36"/>
          <w:szCs w:val="36"/>
        </w:rPr>
        <w:t xml:space="preserve">critical skills which overall increases </w:t>
      </w:r>
      <w:r w:rsidRPr="655F7CC0" w:rsidR="009A2A6C">
        <w:rPr>
          <w:rFonts w:cs="Aptos" w:cstheme="minorAscii"/>
          <w:sz w:val="36"/>
          <w:szCs w:val="36"/>
        </w:rPr>
        <w:t xml:space="preserve">the </w:t>
      </w:r>
      <w:r w:rsidRPr="655F7CC0" w:rsidR="003D5FA0">
        <w:rPr>
          <w:rFonts w:cs="Aptos" w:cstheme="minorAscii"/>
          <w:sz w:val="36"/>
          <w:szCs w:val="36"/>
        </w:rPr>
        <w:t xml:space="preserve">level of enthusiasm and engagement. Contrastingly, the engagement and motivation levels can be seen as a weakness within the SWOT analysis because students may lack knowledge and interest </w:t>
      </w:r>
      <w:r w:rsidRPr="655F7CC0" w:rsidR="003D5FA0">
        <w:rPr>
          <w:rFonts w:cs="Aptos" w:cstheme="minorAscii"/>
          <w:sz w:val="36"/>
          <w:szCs w:val="36"/>
        </w:rPr>
        <w:t>regarding</w:t>
      </w:r>
      <w:r w:rsidRPr="655F7CC0" w:rsidR="003D5FA0">
        <w:rPr>
          <w:rFonts w:cs="Aptos" w:cstheme="minorAscii"/>
          <w:sz w:val="36"/>
          <w:szCs w:val="36"/>
        </w:rPr>
        <w:t xml:space="preserve"> gardening. This could affect the level of participation also due to negativity towards the subject. Kirschner, </w:t>
      </w:r>
      <w:r w:rsidRPr="655F7CC0" w:rsidR="003D5FA0">
        <w:rPr>
          <w:rFonts w:cs="Aptos" w:cstheme="minorAscii"/>
          <w:sz w:val="36"/>
          <w:szCs w:val="36"/>
        </w:rPr>
        <w:t>Sweller</w:t>
      </w:r>
      <w:r w:rsidRPr="655F7CC0" w:rsidR="003D5FA0">
        <w:rPr>
          <w:rFonts w:cs="Aptos" w:cstheme="minorAscii"/>
          <w:sz w:val="36"/>
          <w:szCs w:val="36"/>
        </w:rPr>
        <w:t xml:space="preserve"> and Clark (2006) </w:t>
      </w:r>
      <w:r w:rsidRPr="655F7CC0" w:rsidR="003D5FA0">
        <w:rPr>
          <w:rFonts w:cs="Aptos" w:cstheme="minorAscii"/>
          <w:sz w:val="36"/>
          <w:szCs w:val="36"/>
        </w:rPr>
        <w:t>indicate</w:t>
      </w:r>
      <w:r w:rsidRPr="655F7CC0" w:rsidR="003D5FA0">
        <w:rPr>
          <w:rFonts w:cs="Aptos" w:cstheme="minorAscii"/>
          <w:sz w:val="36"/>
          <w:szCs w:val="36"/>
        </w:rPr>
        <w:t xml:space="preserve"> that approaches like active participation and discovery-based approaches apply pressure to the students. These approaches tend to overwhelm students </w:t>
      </w:r>
      <w:r w:rsidRPr="655F7CC0" w:rsidR="003D5FA0">
        <w:rPr>
          <w:rFonts w:cs="Aptos" w:cstheme="minorAscii"/>
          <w:sz w:val="36"/>
          <w:szCs w:val="36"/>
        </w:rPr>
        <w:t xml:space="preserve">if they lack the background knowledge </w:t>
      </w:r>
      <w:r w:rsidRPr="655F7CC0" w:rsidR="003D5FA0">
        <w:rPr>
          <w:rFonts w:cs="Aptos" w:cstheme="minorAscii"/>
          <w:sz w:val="36"/>
          <w:szCs w:val="36"/>
        </w:rPr>
        <w:t>required</w:t>
      </w:r>
      <w:r w:rsidRPr="655F7CC0" w:rsidR="003D5FA0">
        <w:rPr>
          <w:rFonts w:cs="Aptos" w:cstheme="minorAscii"/>
          <w:sz w:val="36"/>
          <w:szCs w:val="36"/>
        </w:rPr>
        <w:t xml:space="preserve"> to complete the task. To prevent students from feeling overwhelmed within the school community garden, teachers can plan a lesson before beginning the project which explains the basic steps and knowledge needed to take part in gardening. For instance, this could include planting methods and techniques. A lesson beforehand could reduce students’ anxiety towards unfamiliar challenges. Bandura’s (1997) theory of self-efficacy justifies that prior knowledge increases the student’s confidence because the students believe they </w:t>
      </w:r>
      <w:r w:rsidRPr="655F7CC0" w:rsidR="572D6E05">
        <w:rPr>
          <w:rFonts w:cs="Aptos" w:cstheme="minorAscii"/>
          <w:sz w:val="36"/>
          <w:szCs w:val="36"/>
        </w:rPr>
        <w:t>can complete</w:t>
      </w:r>
      <w:r w:rsidRPr="655F7CC0" w:rsidR="003D5FA0">
        <w:rPr>
          <w:rFonts w:cs="Aptos" w:cstheme="minorAscii"/>
          <w:sz w:val="36"/>
          <w:szCs w:val="36"/>
        </w:rPr>
        <w:t xml:space="preserve"> the task. </w:t>
      </w:r>
    </w:p>
    <w:p w:rsidR="003D5FA0" w:rsidP="655F7CC0" w:rsidRDefault="003D5FA0" w14:paraId="65EC6B0A" w14:textId="77777777" w14:noSpellErr="1">
      <w:pPr>
        <w:spacing w:line="360" w:lineRule="auto"/>
        <w:rPr>
          <w:rFonts w:cs="Aptos" w:cstheme="minorAscii"/>
          <w:sz w:val="36"/>
          <w:szCs w:val="36"/>
        </w:rPr>
      </w:pPr>
    </w:p>
    <w:p w:rsidRPr="009921B4" w:rsidR="003D5FA0" w:rsidP="655F7CC0" w:rsidRDefault="003D5FA0" w14:paraId="39D355FF" w14:textId="265AF1B1">
      <w:pPr>
        <w:spacing w:line="360" w:lineRule="auto"/>
        <w:rPr>
          <w:rFonts w:cs="Aptos" w:cstheme="minorAscii"/>
          <w:sz w:val="36"/>
          <w:szCs w:val="36"/>
        </w:rPr>
      </w:pPr>
      <w:r w:rsidRPr="655F7CC0" w:rsidR="003D5FA0">
        <w:rPr>
          <w:rFonts w:cs="Aptos" w:cstheme="minorAscii"/>
          <w:sz w:val="36"/>
          <w:szCs w:val="36"/>
        </w:rPr>
        <w:t xml:space="preserve">An </w:t>
      </w:r>
      <w:r w:rsidRPr="655F7CC0" w:rsidR="003D5FA0">
        <w:rPr>
          <w:rFonts w:cs="Aptos" w:cstheme="minorAscii"/>
          <w:sz w:val="36"/>
          <w:szCs w:val="36"/>
        </w:rPr>
        <w:t>additional</w:t>
      </w:r>
      <w:r w:rsidRPr="655F7CC0" w:rsidR="003D5FA0">
        <w:rPr>
          <w:rFonts w:cs="Aptos" w:cstheme="minorAscii"/>
          <w:sz w:val="36"/>
          <w:szCs w:val="36"/>
        </w:rPr>
        <w:t xml:space="preserve"> strength could </w:t>
      </w:r>
      <w:r w:rsidRPr="655F7CC0" w:rsidR="009A2A6C">
        <w:rPr>
          <w:rFonts w:cs="Aptos" w:cstheme="minorAscii"/>
          <w:sz w:val="36"/>
          <w:szCs w:val="36"/>
        </w:rPr>
        <w:t xml:space="preserve">be </w:t>
      </w:r>
      <w:r w:rsidRPr="655F7CC0" w:rsidR="003D5FA0">
        <w:rPr>
          <w:rFonts w:cs="Aptos" w:cstheme="minorAscii"/>
          <w:sz w:val="36"/>
          <w:szCs w:val="36"/>
        </w:rPr>
        <w:t xml:space="preserve">the existing eco club within the school that values responsibility of their community, sustainability, and community involvement. </w:t>
      </w:r>
      <w:r w:rsidRPr="655F7CC0" w:rsidR="003D5FA0">
        <w:rPr>
          <w:rFonts w:cs="Aptos" w:cstheme="minorAscii"/>
          <w:color w:val="000000" w:themeColor="text1" w:themeTint="FF" w:themeShade="FF"/>
          <w:sz w:val="36"/>
          <w:szCs w:val="36"/>
        </w:rPr>
        <w:t xml:space="preserve">National Foundation for Education Research </w:t>
      </w:r>
      <w:r w:rsidRPr="655F7CC0" w:rsidR="003D5FA0">
        <w:rPr>
          <w:rFonts w:cs="Aptos" w:cstheme="minorAscii"/>
          <w:sz w:val="36"/>
          <w:szCs w:val="36"/>
        </w:rPr>
        <w:t xml:space="preserve">(2010) illustrates that an eco-club focuses on </w:t>
      </w:r>
      <w:r w:rsidRPr="655F7CC0" w:rsidR="003D5FA0">
        <w:rPr>
          <w:rFonts w:cs="Aptos" w:cstheme="minorAscii"/>
          <w:sz w:val="36"/>
          <w:szCs w:val="36"/>
        </w:rPr>
        <w:t>mainly responsibility</w:t>
      </w:r>
      <w:r w:rsidRPr="655F7CC0" w:rsidR="003D5FA0">
        <w:rPr>
          <w:rFonts w:cs="Aptos" w:cstheme="minorAscii"/>
          <w:sz w:val="36"/>
          <w:szCs w:val="36"/>
        </w:rPr>
        <w:t xml:space="preserve"> and leadership which will </w:t>
      </w:r>
      <w:r w:rsidRPr="655F7CC0" w:rsidR="003D5FA0">
        <w:rPr>
          <w:rFonts w:cs="Aptos" w:cstheme="minorAscii"/>
          <w:sz w:val="36"/>
          <w:szCs w:val="36"/>
        </w:rPr>
        <w:t>impact</w:t>
      </w:r>
      <w:r w:rsidRPr="655F7CC0" w:rsidR="003D5FA0">
        <w:rPr>
          <w:rFonts w:cs="Aptos" w:cstheme="minorAscii"/>
          <w:sz w:val="36"/>
          <w:szCs w:val="36"/>
        </w:rPr>
        <w:t xml:space="preserve"> the garden through long-term sustainability. An alternative viewpoint is put forward by Barratt Hacking, </w:t>
      </w:r>
      <w:r w:rsidRPr="655F7CC0" w:rsidR="003D5FA0">
        <w:rPr>
          <w:rFonts w:cs="Aptos" w:cstheme="minorAscii"/>
          <w:sz w:val="36"/>
          <w:szCs w:val="36"/>
        </w:rPr>
        <w:t>Barratt</w:t>
      </w:r>
      <w:r w:rsidRPr="655F7CC0" w:rsidR="003D5FA0">
        <w:rPr>
          <w:rFonts w:cs="Aptos" w:cstheme="minorAscii"/>
          <w:sz w:val="36"/>
          <w:szCs w:val="36"/>
        </w:rPr>
        <w:t xml:space="preserve"> and Scott (2007), whole school engagement can be negatively </w:t>
      </w:r>
      <w:r w:rsidRPr="655F7CC0" w:rsidR="6204ED09">
        <w:rPr>
          <w:rFonts w:cs="Aptos" w:cstheme="minorAscii"/>
          <w:sz w:val="36"/>
          <w:szCs w:val="36"/>
        </w:rPr>
        <w:t>affected</w:t>
      </w:r>
      <w:r w:rsidRPr="655F7CC0" w:rsidR="003D5FA0">
        <w:rPr>
          <w:rFonts w:cs="Aptos" w:cstheme="minorAscii"/>
          <w:sz w:val="36"/>
          <w:szCs w:val="36"/>
        </w:rPr>
        <w:t xml:space="preserve"> because eco clubs draw the same motivated students which could exclude other students. To prevent excluding students, a rotating schedule could be implemented by assigning several responsibilities too each year group.</w:t>
      </w:r>
    </w:p>
    <w:p w:rsidRPr="009921B4" w:rsidR="003D5FA0" w:rsidP="655F7CC0" w:rsidRDefault="003D5FA0" w14:paraId="7B96D8AC" w14:textId="77777777" w14:noSpellErr="1">
      <w:pPr>
        <w:spacing w:line="360" w:lineRule="auto"/>
        <w:rPr>
          <w:rFonts w:cs="Aptos" w:cstheme="minorAscii"/>
          <w:sz w:val="36"/>
          <w:szCs w:val="36"/>
        </w:rPr>
      </w:pPr>
    </w:p>
    <w:p w:rsidRPr="009921B4" w:rsidR="003D5FA0" w:rsidP="655F7CC0" w:rsidRDefault="003D5FA0" w14:paraId="650331CC" w14:textId="52C02934" w14:noSpellErr="1">
      <w:pPr>
        <w:spacing w:line="360" w:lineRule="auto"/>
        <w:rPr>
          <w:rFonts w:cs="Aptos" w:cstheme="minorAscii"/>
          <w:sz w:val="36"/>
          <w:szCs w:val="36"/>
        </w:rPr>
      </w:pPr>
      <w:r w:rsidRPr="655F7CC0" w:rsidR="003D5FA0">
        <w:rPr>
          <w:rFonts w:cs="Aptos" w:cstheme="minorAscii"/>
          <w:sz w:val="36"/>
          <w:szCs w:val="36"/>
        </w:rPr>
        <w:t>A noted weakness is seasonal challenges during half term and school holidays. During school closures there are a lack of students and staff which could cause the garden to be neglect</w:t>
      </w:r>
      <w:r w:rsidRPr="655F7CC0" w:rsidR="001B78C3">
        <w:rPr>
          <w:rFonts w:cs="Aptos" w:cstheme="minorAscii"/>
          <w:sz w:val="36"/>
          <w:szCs w:val="36"/>
        </w:rPr>
        <w:t>ed</w:t>
      </w:r>
      <w:r w:rsidRPr="655F7CC0" w:rsidR="003D5FA0">
        <w:rPr>
          <w:rFonts w:cs="Aptos" w:cstheme="minorAscii"/>
          <w:sz w:val="36"/>
          <w:szCs w:val="36"/>
        </w:rPr>
        <w:t xml:space="preserve"> due to the school being shut. The garden require</w:t>
      </w:r>
      <w:r w:rsidRPr="655F7CC0" w:rsidR="001B78C3">
        <w:rPr>
          <w:rFonts w:cs="Aptos" w:cstheme="minorAscii"/>
          <w:sz w:val="36"/>
          <w:szCs w:val="36"/>
        </w:rPr>
        <w:t>s</w:t>
      </w:r>
      <w:r w:rsidRPr="655F7CC0" w:rsidR="003D5FA0">
        <w:rPr>
          <w:rFonts w:cs="Aptos" w:cstheme="minorAscii"/>
          <w:sz w:val="36"/>
          <w:szCs w:val="36"/>
        </w:rPr>
        <w:t xml:space="preserve"> regular maintenance such as watering which is affected during these periods. Blair (2009) emphasises that sustainability will be a major concern because the lack of maintenance could reduce the progress, affecting motivation. To avoid neglect, a structured care plan could be implemented through a rotation of volunteers </w:t>
      </w:r>
      <w:r w:rsidRPr="655F7CC0" w:rsidR="00322A3A">
        <w:rPr>
          <w:rFonts w:cs="Aptos" w:cstheme="minorAscii"/>
          <w:sz w:val="36"/>
          <w:szCs w:val="36"/>
        </w:rPr>
        <w:t>to</w:t>
      </w:r>
      <w:r w:rsidRPr="655F7CC0" w:rsidR="003D5FA0">
        <w:rPr>
          <w:rFonts w:cs="Aptos" w:cstheme="minorAscii"/>
          <w:sz w:val="36"/>
          <w:szCs w:val="36"/>
        </w:rPr>
        <w:t xml:space="preserve"> carry out regular maintenance during holidays.</w:t>
      </w:r>
    </w:p>
    <w:p w:rsidRPr="009921B4" w:rsidR="003D5FA0" w:rsidP="655F7CC0" w:rsidRDefault="003D5FA0" w14:paraId="469A4DEE" w14:textId="77777777" w14:noSpellErr="1">
      <w:pPr>
        <w:spacing w:line="360" w:lineRule="auto"/>
        <w:rPr>
          <w:rFonts w:cs="Aptos" w:cstheme="minorAscii"/>
          <w:sz w:val="36"/>
          <w:szCs w:val="36"/>
        </w:rPr>
      </w:pPr>
    </w:p>
    <w:p w:rsidRPr="009921B4" w:rsidR="003D5FA0" w:rsidP="655F7CC0" w:rsidRDefault="003D5FA0" w14:paraId="28AC6FBD" w14:textId="0B2327EB">
      <w:pPr>
        <w:spacing w:line="360" w:lineRule="auto"/>
        <w:rPr>
          <w:rFonts w:cs="Aptos" w:cstheme="minorAscii"/>
          <w:b w:val="1"/>
          <w:bCs w:val="1"/>
          <w:sz w:val="36"/>
          <w:szCs w:val="36"/>
          <w:u w:val="single"/>
        </w:rPr>
      </w:pPr>
      <w:r w:rsidRPr="655F7CC0" w:rsidR="003D5FA0">
        <w:rPr>
          <w:rFonts w:cs="Aptos" w:cstheme="minorAscii"/>
          <w:sz w:val="36"/>
          <w:szCs w:val="36"/>
        </w:rPr>
        <w:t xml:space="preserve">Outside of the school environment there could be </w:t>
      </w:r>
      <w:r w:rsidRPr="655F7CC0" w:rsidR="003D5FA0">
        <w:rPr>
          <w:rFonts w:cs="Aptos" w:cstheme="minorAscii"/>
          <w:sz w:val="36"/>
          <w:szCs w:val="36"/>
        </w:rPr>
        <w:t>numerous</w:t>
      </w:r>
      <w:r w:rsidRPr="655F7CC0" w:rsidR="003D5FA0">
        <w:rPr>
          <w:rFonts w:cs="Aptos" w:cstheme="minorAscii"/>
          <w:sz w:val="36"/>
          <w:szCs w:val="36"/>
        </w:rPr>
        <w:t xml:space="preserve"> opportunities and threats within the garden. The relationships between the school community and the wider community can strengthen through the process of the garden by interacting </w:t>
      </w:r>
      <w:r w:rsidRPr="655F7CC0" w:rsidR="24F28462">
        <w:rPr>
          <w:rFonts w:cs="Aptos" w:cstheme="minorAscii"/>
          <w:sz w:val="36"/>
          <w:szCs w:val="36"/>
        </w:rPr>
        <w:t>regularly</w:t>
      </w:r>
      <w:r w:rsidRPr="655F7CC0" w:rsidR="003D5FA0">
        <w:rPr>
          <w:rFonts w:cs="Aptos" w:cstheme="minorAscii"/>
          <w:sz w:val="36"/>
          <w:szCs w:val="36"/>
        </w:rPr>
        <w:t xml:space="preserve"> and developing knowledge of each other’s personal lives (Ozer, 2007). </w:t>
      </w:r>
      <w:r w:rsidRPr="655F7CC0" w:rsidR="1167F753">
        <w:rPr>
          <w:rFonts w:cs="Aptos" w:cstheme="minorAscii"/>
          <w:sz w:val="36"/>
          <w:szCs w:val="36"/>
        </w:rPr>
        <w:t>Consequently</w:t>
      </w:r>
      <w:r w:rsidRPr="655F7CC0" w:rsidR="003D5FA0">
        <w:rPr>
          <w:rFonts w:cs="Aptos" w:cstheme="minorAscii"/>
          <w:sz w:val="36"/>
          <w:szCs w:val="36"/>
        </w:rPr>
        <w:t xml:space="preserve">, the garden could create tension and a divide between the communities because of different ideas on how to create the garden, leading to a disagreement (Barratt Hacking, Barratt, and Scott, 2007). A disagreement could be prevented by ensuring there is effective communication between both communities. The communities could create an action plan of the process of </w:t>
      </w:r>
      <w:r w:rsidRPr="655F7CC0" w:rsidR="003D5FA0">
        <w:rPr>
          <w:rFonts w:cs="Aptos" w:cstheme="minorAscii"/>
          <w:sz w:val="36"/>
          <w:szCs w:val="36"/>
        </w:rPr>
        <w:t>the garden before starting the project to ensure all participants are aware of how the process will be carried out to prevent any altercations.</w:t>
      </w:r>
    </w:p>
    <w:p w:rsidRPr="009921B4" w:rsidR="003D5FA0" w:rsidP="655F7CC0" w:rsidRDefault="003D5FA0" w14:paraId="7A477C0D" w14:textId="77777777" w14:noSpellErr="1">
      <w:pPr>
        <w:spacing w:line="360" w:lineRule="auto"/>
        <w:rPr>
          <w:rFonts w:cs="Aptos" w:cstheme="minorAscii"/>
          <w:b w:val="1"/>
          <w:bCs w:val="1"/>
          <w:sz w:val="36"/>
          <w:szCs w:val="36"/>
          <w:u w:val="single"/>
        </w:rPr>
      </w:pPr>
    </w:p>
    <w:p w:rsidRPr="009921B4" w:rsidR="003D5FA0" w:rsidP="655F7CC0" w:rsidRDefault="003D5FA0" w14:paraId="236EE91F" w14:textId="0496875F" w14:noSpellErr="1">
      <w:pPr>
        <w:spacing w:line="360" w:lineRule="auto"/>
        <w:rPr>
          <w:rStyle w:val="apple-converted-space"/>
          <w:rFonts w:cs="Aptos" w:cstheme="minorAscii"/>
          <w:color w:val="000000"/>
          <w:sz w:val="36"/>
          <w:szCs w:val="36"/>
        </w:rPr>
      </w:pPr>
      <w:r w:rsidRPr="655F7CC0" w:rsidR="003D5FA0">
        <w:rPr>
          <w:rFonts w:cs="Aptos" w:cstheme="minorAscii"/>
          <w:sz w:val="36"/>
          <w:szCs w:val="36"/>
        </w:rPr>
        <w:t xml:space="preserve">The community garden can support the student’s development aligning with the Curriculum for Wales and </w:t>
      </w:r>
      <w:r w:rsidRPr="655F7CC0" w:rsidR="003D5FA0">
        <w:rPr>
          <w:rFonts w:cs="Aptos" w:cstheme="minorAscii"/>
          <w:sz w:val="36"/>
          <w:szCs w:val="36"/>
        </w:rPr>
        <w:t>it’s</w:t>
      </w:r>
      <w:r w:rsidRPr="655F7CC0" w:rsidR="003D5FA0">
        <w:rPr>
          <w:rFonts w:cs="Aptos" w:cstheme="minorAscii"/>
          <w:sz w:val="36"/>
          <w:szCs w:val="36"/>
        </w:rPr>
        <w:t xml:space="preserve"> four purposes: ambitious, capable learners, enterprising, creative contributors, ethical, informed </w:t>
      </w:r>
      <w:r w:rsidRPr="655F7CC0" w:rsidR="00C11682">
        <w:rPr>
          <w:rFonts w:cs="Aptos" w:cstheme="minorAscii"/>
          <w:sz w:val="36"/>
          <w:szCs w:val="36"/>
        </w:rPr>
        <w:t>citizens,</w:t>
      </w:r>
      <w:r w:rsidRPr="655F7CC0" w:rsidR="003D5FA0">
        <w:rPr>
          <w:rFonts w:cs="Aptos" w:cstheme="minorAscii"/>
          <w:sz w:val="36"/>
          <w:szCs w:val="36"/>
        </w:rPr>
        <w:t xml:space="preserve"> and healthy, confident individuals (Welsh Government, 2020). The students could develop their independence when learning through the responsibility of caring for the garden (Blair, 2009), and creativity through the process of creating the layout of the garden because the students </w:t>
      </w:r>
      <w:r w:rsidRPr="655F7CC0" w:rsidR="003D5FA0">
        <w:rPr>
          <w:rFonts w:cs="Aptos" w:cstheme="minorAscii"/>
          <w:sz w:val="36"/>
          <w:szCs w:val="36"/>
        </w:rPr>
        <w:t>are required to</w:t>
      </w:r>
      <w:r w:rsidRPr="655F7CC0" w:rsidR="003D5FA0">
        <w:rPr>
          <w:rFonts w:cs="Aptos" w:cstheme="minorAscii"/>
          <w:sz w:val="36"/>
          <w:szCs w:val="36"/>
        </w:rPr>
        <w:t xml:space="preserve"> design </w:t>
      </w:r>
      <w:r w:rsidRPr="655F7CC0" w:rsidR="003D5FA0">
        <w:rPr>
          <w:rFonts w:cs="Aptos" w:cstheme="minorAscii"/>
          <w:sz w:val="36"/>
          <w:szCs w:val="36"/>
        </w:rPr>
        <w:t>numerous</w:t>
      </w:r>
      <w:r w:rsidRPr="655F7CC0" w:rsidR="003D5FA0">
        <w:rPr>
          <w:rFonts w:cs="Aptos" w:cstheme="minorAscii"/>
          <w:sz w:val="36"/>
          <w:szCs w:val="36"/>
        </w:rPr>
        <w:t xml:space="preserve"> garden layouts (</w:t>
      </w:r>
      <w:r w:rsidRPr="655F7CC0" w:rsidR="003D5FA0">
        <w:rPr>
          <w:rFonts w:cs="Aptos" w:cstheme="minorAscii"/>
          <w:color w:val="000000" w:themeColor="text1" w:themeTint="FF" w:themeShade="FF"/>
          <w:sz w:val="36"/>
          <w:szCs w:val="36"/>
        </w:rPr>
        <w:t>NFER, 2010). Responsibility of the environment through composting and recycling food waste to develop an understanding of the impact on the environment.</w:t>
      </w:r>
      <w:r w:rsidRPr="655F7CC0" w:rsidR="000E1877">
        <w:rPr>
          <w:rFonts w:cs="Aptos" w:cstheme="minorAscii"/>
          <w:color w:val="000000" w:themeColor="text1" w:themeTint="FF" w:themeShade="FF"/>
          <w:sz w:val="36"/>
          <w:szCs w:val="36"/>
        </w:rPr>
        <w:t xml:space="preserve"> </w:t>
      </w:r>
      <w:r w:rsidRPr="655F7CC0" w:rsidR="003D5FA0">
        <w:rPr>
          <w:rFonts w:cs="Aptos" w:cstheme="minorAscii"/>
          <w:color w:val="000000" w:themeColor="text1" w:themeTint="FF" w:themeShade="FF"/>
          <w:sz w:val="36"/>
          <w:szCs w:val="36"/>
        </w:rPr>
        <w:t xml:space="preserve">Lastly, regular activity is carried out when planting </w:t>
      </w:r>
      <w:r w:rsidRPr="655F7CC0" w:rsidR="003D5FA0">
        <w:rPr>
          <w:rFonts w:cs="Aptos" w:cstheme="minorAscii"/>
          <w:color w:val="000000" w:themeColor="text1" w:themeTint="FF" w:themeShade="FF"/>
          <w:sz w:val="36"/>
          <w:szCs w:val="36"/>
        </w:rPr>
        <w:t>and also</w:t>
      </w:r>
      <w:r w:rsidRPr="655F7CC0" w:rsidR="003D5FA0">
        <w:rPr>
          <w:rFonts w:cs="Aptos" w:cstheme="minorAscii"/>
          <w:color w:val="000000" w:themeColor="text1" w:themeTint="FF" w:themeShade="FF"/>
          <w:sz w:val="36"/>
          <w:szCs w:val="36"/>
        </w:rPr>
        <w:t xml:space="preserve"> understanding a balanced diet which influences the students being health</w:t>
      </w:r>
      <w:r w:rsidRPr="655F7CC0" w:rsidR="00835DE2">
        <w:rPr>
          <w:rFonts w:cs="Aptos" w:cstheme="minorAscii"/>
          <w:color w:val="000000" w:themeColor="text1" w:themeTint="FF" w:themeShade="FF"/>
          <w:sz w:val="36"/>
          <w:szCs w:val="36"/>
        </w:rPr>
        <w:t>y</w:t>
      </w:r>
      <w:r w:rsidRPr="655F7CC0" w:rsidR="003D5FA0">
        <w:rPr>
          <w:rFonts w:cs="Aptos" w:cstheme="minorAscii"/>
          <w:color w:val="000000" w:themeColor="text1" w:themeTint="FF" w:themeShade="FF"/>
          <w:sz w:val="36"/>
          <w:szCs w:val="36"/>
        </w:rPr>
        <w:t>, confident individuals (</w:t>
      </w:r>
      <w:r w:rsidRPr="655F7CC0" w:rsidR="003D5FA0">
        <w:rPr>
          <w:rFonts w:cs="Aptos" w:cstheme="minorAscii"/>
          <w:color w:val="000000" w:themeColor="text1" w:themeTint="FF" w:themeShade="FF"/>
          <w:sz w:val="36"/>
          <w:szCs w:val="36"/>
        </w:rPr>
        <w:t>Passy, Morris, and Reed, 2010).</w:t>
      </w:r>
      <w:r w:rsidRPr="655F7CC0" w:rsidR="003D5FA0">
        <w:rPr>
          <w:rStyle w:val="apple-converted-space"/>
          <w:rFonts w:cs="Aptos" w:cstheme="minorAscii"/>
          <w:color w:val="000000" w:themeColor="text1" w:themeTint="FF" w:themeShade="FF"/>
          <w:sz w:val="36"/>
          <w:szCs w:val="36"/>
        </w:rPr>
        <w:t xml:space="preserve"> </w:t>
      </w:r>
    </w:p>
    <w:p w:rsidRPr="009921B4" w:rsidR="003D5FA0" w:rsidP="655F7CC0" w:rsidRDefault="003D5FA0" w14:paraId="70F22167" w14:textId="77777777" w14:noSpellErr="1">
      <w:pPr>
        <w:spacing w:line="360" w:lineRule="auto"/>
        <w:rPr>
          <w:rStyle w:val="apple-converted-space"/>
          <w:rFonts w:cs="Aptos" w:cstheme="minorAscii"/>
          <w:color w:val="000000" w:themeColor="text1"/>
          <w:sz w:val="36"/>
          <w:szCs w:val="36"/>
        </w:rPr>
      </w:pPr>
    </w:p>
    <w:p w:rsidRPr="009921B4" w:rsidR="003D5FA0" w:rsidP="655F7CC0" w:rsidRDefault="003D5FA0" w14:paraId="13F84FC7" w14:textId="68C94826" w14:noSpellErr="1">
      <w:pPr>
        <w:spacing w:line="360" w:lineRule="auto"/>
        <w:rPr>
          <w:rStyle w:val="apple-converted-space"/>
          <w:rFonts w:cs="Aptos" w:cstheme="minorAscii"/>
          <w:color w:val="000000" w:themeColor="text1"/>
          <w:sz w:val="36"/>
          <w:szCs w:val="36"/>
        </w:rPr>
      </w:pPr>
      <w:r w:rsidRPr="655F7CC0" w:rsidR="003D5FA0">
        <w:rPr>
          <w:rStyle w:val="apple-converted-space"/>
          <w:rFonts w:cs="Aptos" w:cstheme="minorAscii"/>
          <w:color w:val="000000" w:themeColor="text1" w:themeTint="FF" w:themeShade="FF"/>
          <w:sz w:val="36"/>
          <w:szCs w:val="36"/>
        </w:rPr>
        <w:t xml:space="preserve">Budget and deprivation are a threat when creating the project. Accessing a grant from the council for financial support during the project can potentially be difficult due to strict requirements that could lead to </w:t>
      </w:r>
      <w:r w:rsidRPr="655F7CC0" w:rsidR="003D5FA0">
        <w:rPr>
          <w:rStyle w:val="apple-converted-space"/>
          <w:rFonts w:cs="Aptos" w:cstheme="minorAscii"/>
          <w:color w:val="000000" w:themeColor="text1" w:themeTint="FF" w:themeShade="FF"/>
          <w:sz w:val="36"/>
          <w:szCs w:val="36"/>
        </w:rPr>
        <w:t>additional</w:t>
      </w:r>
      <w:r w:rsidRPr="655F7CC0" w:rsidR="003D5FA0">
        <w:rPr>
          <w:rStyle w:val="apple-converted-space"/>
          <w:rFonts w:cs="Aptos" w:cstheme="minorAscii"/>
          <w:color w:val="000000" w:themeColor="text1" w:themeTint="FF" w:themeShade="FF"/>
          <w:sz w:val="36"/>
          <w:szCs w:val="36"/>
        </w:rPr>
        <w:t xml:space="preserve"> </w:t>
      </w:r>
      <w:r w:rsidRPr="655F7CC0" w:rsidR="003D5FA0">
        <w:rPr>
          <w:rStyle w:val="apple-converted-space"/>
          <w:rFonts w:cs="Aptos" w:cstheme="minorAscii"/>
          <w:color w:val="000000" w:themeColor="text1" w:themeTint="FF" w:themeShade="FF"/>
          <w:sz w:val="36"/>
          <w:szCs w:val="36"/>
        </w:rPr>
        <w:t>pressure o</w:t>
      </w:r>
      <w:r w:rsidRPr="655F7CC0" w:rsidR="00835DE2">
        <w:rPr>
          <w:rStyle w:val="apple-converted-space"/>
          <w:rFonts w:cs="Aptos" w:cstheme="minorAscii"/>
          <w:color w:val="000000" w:themeColor="text1" w:themeTint="FF" w:themeShade="FF"/>
          <w:sz w:val="36"/>
          <w:szCs w:val="36"/>
        </w:rPr>
        <w:t>n</w:t>
      </w:r>
      <w:r w:rsidRPr="655F7CC0" w:rsidR="003D5FA0">
        <w:rPr>
          <w:rStyle w:val="apple-converted-space"/>
          <w:rFonts w:cs="Aptos" w:cstheme="minorAscii"/>
          <w:color w:val="000000" w:themeColor="text1" w:themeTint="FF" w:themeShade="FF"/>
          <w:sz w:val="36"/>
          <w:szCs w:val="36"/>
        </w:rPr>
        <w:t xml:space="preserve"> the school (Ozer, 2007). The pressure could then cause a threat to the level of participants. However, if accessing a grant is found difficult, the school could create a fundraiser to help supply </w:t>
      </w:r>
      <w:r w:rsidRPr="655F7CC0" w:rsidR="003D5FA0">
        <w:rPr>
          <w:rStyle w:val="apple-converted-space"/>
          <w:rFonts w:cs="Aptos" w:cstheme="minorAscii"/>
          <w:color w:val="000000" w:themeColor="text1" w:themeTint="FF" w:themeShade="FF"/>
          <w:sz w:val="36"/>
          <w:szCs w:val="36"/>
        </w:rPr>
        <w:t>additional</w:t>
      </w:r>
      <w:r w:rsidRPr="655F7CC0" w:rsidR="003D5FA0">
        <w:rPr>
          <w:rStyle w:val="apple-converted-space"/>
          <w:rFonts w:cs="Aptos" w:cstheme="minorAscii"/>
          <w:color w:val="000000" w:themeColor="text1" w:themeTint="FF" w:themeShade="FF"/>
          <w:sz w:val="36"/>
          <w:szCs w:val="36"/>
        </w:rPr>
        <w:t xml:space="preserve"> money towards the project. The fundraising could involve students growing basic affordable plants that could be supplied by local business and then can be sold to the community</w:t>
      </w:r>
      <w:r w:rsidRPr="655F7CC0" w:rsidR="003D5FA0">
        <w:rPr>
          <w:rStyle w:val="apple-converted-space"/>
          <w:rFonts w:cs="Aptos" w:cstheme="minorAscii"/>
          <w:color w:val="000000" w:themeColor="text1" w:themeTint="FF" w:themeShade="FF"/>
          <w:sz w:val="36"/>
          <w:szCs w:val="36"/>
        </w:rPr>
        <w:t xml:space="preserve">.  </w:t>
      </w:r>
    </w:p>
    <w:p w:rsidRPr="009921B4" w:rsidR="003D5FA0" w:rsidP="655F7CC0" w:rsidRDefault="003D5FA0" w14:paraId="3819333A" w14:textId="77777777" w14:noSpellErr="1">
      <w:pPr>
        <w:spacing w:line="360" w:lineRule="auto"/>
        <w:rPr>
          <w:rFonts w:cs="Aptos" w:cstheme="minorAscii"/>
          <w:sz w:val="36"/>
          <w:szCs w:val="36"/>
        </w:rPr>
      </w:pPr>
    </w:p>
    <w:p w:rsidRPr="009921B4" w:rsidR="003D5FA0" w:rsidP="655F7CC0" w:rsidRDefault="003D5FA0" w14:paraId="542BF4A4" w14:textId="1F91AA1E" w14:noSpellErr="1">
      <w:pPr>
        <w:spacing w:line="360" w:lineRule="auto"/>
        <w:rPr>
          <w:rFonts w:cs="Aptos" w:cstheme="minorAscii"/>
          <w:sz w:val="36"/>
          <w:szCs w:val="36"/>
        </w:rPr>
      </w:pPr>
      <w:r w:rsidRPr="655F7CC0" w:rsidR="003D5FA0">
        <w:rPr>
          <w:rFonts w:cs="Aptos" w:cstheme="minorAscii"/>
          <w:sz w:val="36"/>
          <w:szCs w:val="36"/>
        </w:rPr>
        <w:t xml:space="preserve">To conclude, the school community garden has </w:t>
      </w:r>
      <w:r w:rsidRPr="655F7CC0" w:rsidR="003D5FA0">
        <w:rPr>
          <w:rFonts w:cs="Aptos" w:cstheme="minorAscii"/>
          <w:sz w:val="36"/>
          <w:szCs w:val="36"/>
        </w:rPr>
        <w:t>numerous</w:t>
      </w:r>
      <w:r w:rsidRPr="655F7CC0" w:rsidR="003D5FA0">
        <w:rPr>
          <w:rFonts w:cs="Aptos" w:cstheme="minorAscii"/>
          <w:sz w:val="36"/>
          <w:szCs w:val="36"/>
        </w:rPr>
        <w:t xml:space="preserve"> potential benefits to enhance students’ learning and well-being through building relationships with the wider community while also developing crucial skills such as critical thinking and teamwork. It is important to acknowledge that the project has weaknesses and limitations such as seasonal challenges and fundraising issues. These threats could be </w:t>
      </w:r>
      <w:r w:rsidRPr="655F7CC0" w:rsidR="00E25CA9">
        <w:rPr>
          <w:rFonts w:cs="Aptos" w:cstheme="minorAscii"/>
          <w:sz w:val="36"/>
          <w:szCs w:val="36"/>
        </w:rPr>
        <w:t>prevented</w:t>
      </w:r>
      <w:r w:rsidRPr="655F7CC0" w:rsidR="003D5FA0">
        <w:rPr>
          <w:rFonts w:cs="Aptos" w:cstheme="minorAscii"/>
          <w:sz w:val="36"/>
          <w:szCs w:val="36"/>
        </w:rPr>
        <w:t xml:space="preserve"> through effective communication and structured planning. For instance, a rotated schedule could be implemented during school closures (Blaire, 2009).</w:t>
      </w:r>
      <w:r w:rsidRPr="655F7CC0" w:rsidR="00D01B56">
        <w:rPr>
          <w:rFonts w:cs="Aptos" w:cstheme="minorAscii"/>
          <w:sz w:val="36"/>
          <w:szCs w:val="36"/>
        </w:rPr>
        <w:t xml:space="preserve"> </w:t>
      </w:r>
      <w:r w:rsidRPr="655F7CC0" w:rsidR="003D5FA0">
        <w:rPr>
          <w:rFonts w:cs="Aptos" w:cstheme="minorAscii"/>
          <w:sz w:val="36"/>
          <w:szCs w:val="36"/>
        </w:rPr>
        <w:t xml:space="preserve">This project can provide the school with a long-term positive impact on both the school and outside community. </w:t>
      </w:r>
    </w:p>
    <w:p w:rsidRPr="009921B4" w:rsidR="003D5FA0" w:rsidP="003D5FA0" w:rsidRDefault="003D5FA0" w14:paraId="35551072" w14:textId="77777777">
      <w:pPr>
        <w:rPr>
          <w:rFonts w:cstheme="minorHAnsi"/>
          <w:b/>
          <w:bCs/>
          <w:sz w:val="36"/>
          <w:szCs w:val="36"/>
          <w:u w:val="single"/>
        </w:rPr>
      </w:pPr>
    </w:p>
    <w:p w:rsidRPr="009921B4" w:rsidR="003D5FA0" w:rsidP="003D5FA0" w:rsidRDefault="003D5FA0" w14:paraId="1B64A93A" w14:textId="77777777">
      <w:pPr>
        <w:rPr>
          <w:rFonts w:cstheme="minorHAnsi"/>
          <w:b/>
          <w:bCs/>
          <w:sz w:val="36"/>
          <w:szCs w:val="36"/>
          <w:u w:val="single"/>
        </w:rPr>
      </w:pPr>
    </w:p>
    <w:p w:rsidRPr="009921B4" w:rsidR="003D5FA0" w:rsidP="003D5FA0" w:rsidRDefault="003D5FA0" w14:paraId="7FBCD84E" w14:textId="77777777">
      <w:pPr>
        <w:rPr>
          <w:rFonts w:cstheme="minorHAnsi"/>
          <w:b/>
          <w:bCs/>
          <w:sz w:val="36"/>
          <w:szCs w:val="36"/>
          <w:u w:val="single"/>
        </w:rPr>
      </w:pPr>
    </w:p>
    <w:p w:rsidR="655F7CC0" w:rsidP="655F7CC0" w:rsidRDefault="655F7CC0" w14:paraId="09FE8294" w14:textId="0D3C02F1">
      <w:pPr>
        <w:rPr>
          <w:rFonts w:cs="Aptos" w:cstheme="minorAscii"/>
          <w:b w:val="1"/>
          <w:bCs w:val="1"/>
          <w:sz w:val="36"/>
          <w:szCs w:val="36"/>
          <w:u w:val="single"/>
        </w:rPr>
      </w:pPr>
    </w:p>
    <w:p w:rsidR="655F7CC0" w:rsidP="655F7CC0" w:rsidRDefault="655F7CC0" w14:paraId="143D618C" w14:textId="3C47988A">
      <w:pPr>
        <w:rPr>
          <w:rFonts w:cs="Aptos" w:cstheme="minorAscii"/>
          <w:b w:val="1"/>
          <w:bCs w:val="1"/>
          <w:sz w:val="36"/>
          <w:szCs w:val="36"/>
          <w:u w:val="single"/>
        </w:rPr>
      </w:pPr>
    </w:p>
    <w:p w:rsidR="655F7CC0" w:rsidP="655F7CC0" w:rsidRDefault="655F7CC0" w14:paraId="02357D8E" w14:textId="68158EE0">
      <w:pPr>
        <w:rPr>
          <w:rFonts w:cs="Aptos" w:cstheme="minorAscii"/>
          <w:b w:val="1"/>
          <w:bCs w:val="1"/>
          <w:sz w:val="36"/>
          <w:szCs w:val="36"/>
          <w:u w:val="single"/>
        </w:rPr>
      </w:pPr>
    </w:p>
    <w:p w:rsidR="655F7CC0" w:rsidP="655F7CC0" w:rsidRDefault="655F7CC0" w14:paraId="51DB244A" w14:textId="05C4A837">
      <w:pPr>
        <w:rPr>
          <w:rFonts w:cs="Aptos" w:cstheme="minorAscii"/>
          <w:b w:val="1"/>
          <w:bCs w:val="1"/>
          <w:sz w:val="36"/>
          <w:szCs w:val="36"/>
          <w:u w:val="single"/>
        </w:rPr>
      </w:pPr>
    </w:p>
    <w:p w:rsidR="655F7CC0" w:rsidP="655F7CC0" w:rsidRDefault="655F7CC0" w14:paraId="653E32A1" w14:textId="7E42AB57">
      <w:pPr>
        <w:rPr>
          <w:rFonts w:cs="Aptos" w:cstheme="minorAscii"/>
          <w:b w:val="1"/>
          <w:bCs w:val="1"/>
          <w:sz w:val="36"/>
          <w:szCs w:val="36"/>
          <w:u w:val="single"/>
        </w:rPr>
      </w:pPr>
    </w:p>
    <w:p w:rsidR="655F7CC0" w:rsidP="655F7CC0" w:rsidRDefault="655F7CC0" w14:paraId="2A50E4FF" w14:textId="20C995B9">
      <w:pPr>
        <w:rPr>
          <w:rFonts w:cs="Aptos" w:cstheme="minorAscii"/>
          <w:b w:val="1"/>
          <w:bCs w:val="1"/>
          <w:sz w:val="36"/>
          <w:szCs w:val="36"/>
          <w:u w:val="single"/>
        </w:rPr>
      </w:pPr>
    </w:p>
    <w:p w:rsidR="655F7CC0" w:rsidP="655F7CC0" w:rsidRDefault="655F7CC0" w14:paraId="0377DA4F" w14:textId="2F723082">
      <w:pPr>
        <w:rPr>
          <w:rFonts w:cs="Aptos" w:cstheme="minorAscii"/>
          <w:b w:val="1"/>
          <w:bCs w:val="1"/>
          <w:sz w:val="36"/>
          <w:szCs w:val="36"/>
          <w:u w:val="single"/>
        </w:rPr>
      </w:pPr>
    </w:p>
    <w:p w:rsidR="655F7CC0" w:rsidP="655F7CC0" w:rsidRDefault="655F7CC0" w14:paraId="559AEB6F" w14:textId="12A8DDEA">
      <w:pPr>
        <w:rPr>
          <w:rFonts w:cs="Aptos" w:cstheme="minorAscii"/>
          <w:b w:val="1"/>
          <w:bCs w:val="1"/>
          <w:sz w:val="36"/>
          <w:szCs w:val="36"/>
          <w:u w:val="single"/>
        </w:rPr>
      </w:pPr>
    </w:p>
    <w:p w:rsidR="655F7CC0" w:rsidP="655F7CC0" w:rsidRDefault="655F7CC0" w14:paraId="2183626D" w14:textId="04C89449">
      <w:pPr>
        <w:rPr>
          <w:rFonts w:cs="Aptos" w:cstheme="minorAscii"/>
          <w:b w:val="1"/>
          <w:bCs w:val="1"/>
          <w:sz w:val="36"/>
          <w:szCs w:val="36"/>
          <w:u w:val="single"/>
        </w:rPr>
      </w:pPr>
    </w:p>
    <w:p w:rsidR="655F7CC0" w:rsidP="655F7CC0" w:rsidRDefault="655F7CC0" w14:paraId="02E2B36A" w14:textId="481E19CE">
      <w:pPr>
        <w:rPr>
          <w:rFonts w:cs="Aptos" w:cstheme="minorAscii"/>
          <w:b w:val="1"/>
          <w:bCs w:val="1"/>
          <w:sz w:val="36"/>
          <w:szCs w:val="36"/>
          <w:u w:val="single"/>
        </w:rPr>
      </w:pPr>
    </w:p>
    <w:p w:rsidR="655F7CC0" w:rsidP="655F7CC0" w:rsidRDefault="655F7CC0" w14:paraId="0947A221" w14:textId="6E891352">
      <w:pPr>
        <w:rPr>
          <w:rFonts w:cs="Aptos" w:cstheme="minorAscii"/>
          <w:b w:val="1"/>
          <w:bCs w:val="1"/>
          <w:sz w:val="36"/>
          <w:szCs w:val="36"/>
          <w:u w:val="single"/>
        </w:rPr>
      </w:pPr>
    </w:p>
    <w:p w:rsidR="655F7CC0" w:rsidP="655F7CC0" w:rsidRDefault="655F7CC0" w14:paraId="33073351" w14:textId="2A6F380B">
      <w:pPr>
        <w:rPr>
          <w:rFonts w:cs="Aptos" w:cstheme="minorAscii"/>
          <w:b w:val="1"/>
          <w:bCs w:val="1"/>
          <w:sz w:val="36"/>
          <w:szCs w:val="36"/>
          <w:u w:val="single"/>
        </w:rPr>
      </w:pPr>
    </w:p>
    <w:p w:rsidRPr="009921B4" w:rsidR="003D5FA0" w:rsidP="003D5FA0" w:rsidRDefault="003D5FA0" w14:paraId="54153EA6" w14:textId="76755517">
      <w:pPr>
        <w:rPr>
          <w:rFonts w:cstheme="minorHAnsi"/>
          <w:b/>
          <w:bCs/>
          <w:sz w:val="36"/>
          <w:szCs w:val="36"/>
          <w:u w:val="single"/>
        </w:rPr>
      </w:pPr>
      <w:r w:rsidRPr="009921B4">
        <w:rPr>
          <w:rFonts w:cstheme="minorHAnsi"/>
          <w:b/>
          <w:bCs/>
          <w:sz w:val="36"/>
          <w:szCs w:val="36"/>
          <w:u w:val="single"/>
        </w:rPr>
        <w:lastRenderedPageBreak/>
        <w:t>Reference list</w:t>
      </w:r>
    </w:p>
    <w:p w:rsidRPr="009921B4" w:rsidR="003D5FA0" w:rsidP="003D5FA0" w:rsidRDefault="003D5FA0" w14:paraId="4E113BCC" w14:textId="77777777">
      <w:pPr>
        <w:rPr>
          <w:rFonts w:cstheme="minorHAnsi"/>
          <w:b/>
          <w:bCs/>
          <w:sz w:val="36"/>
          <w:szCs w:val="36"/>
          <w:u w:val="single"/>
        </w:rPr>
      </w:pPr>
    </w:p>
    <w:p w:rsidRPr="009921B4" w:rsidR="003D5FA0" w:rsidP="003D5FA0" w:rsidRDefault="003D5FA0" w14:paraId="062FE49E" w14:textId="77777777">
      <w:pPr>
        <w:rPr>
          <w:rFonts w:cstheme="minorHAnsi"/>
          <w:sz w:val="36"/>
          <w:szCs w:val="36"/>
        </w:rPr>
      </w:pPr>
      <w:r w:rsidRPr="009921B4">
        <w:rPr>
          <w:rFonts w:cstheme="minorHAnsi"/>
          <w:sz w:val="36"/>
          <w:szCs w:val="36"/>
        </w:rPr>
        <w:t xml:space="preserve">Arshad, R., Wrigley, T., and Pratt, L. (2020) </w:t>
      </w:r>
      <w:r w:rsidRPr="009921B4">
        <w:rPr>
          <w:rFonts w:cstheme="minorHAnsi"/>
          <w:i/>
          <w:iCs/>
          <w:sz w:val="36"/>
          <w:szCs w:val="36"/>
        </w:rPr>
        <w:t>Social Justice Re-examined: Dilemmas and Solutions for the Classroom Teacher.</w:t>
      </w:r>
      <w:r w:rsidRPr="009921B4">
        <w:rPr>
          <w:rFonts w:cstheme="minorHAnsi"/>
          <w:sz w:val="36"/>
          <w:szCs w:val="36"/>
        </w:rPr>
        <w:t xml:space="preserve"> London: Institute of Education Press</w:t>
      </w:r>
    </w:p>
    <w:p w:rsidRPr="009921B4" w:rsidR="003D5FA0" w:rsidP="003D5FA0" w:rsidRDefault="003D5FA0" w14:paraId="76623D43" w14:textId="77777777">
      <w:pPr>
        <w:rPr>
          <w:rFonts w:cstheme="minorHAnsi"/>
          <w:sz w:val="36"/>
          <w:szCs w:val="36"/>
        </w:rPr>
      </w:pPr>
    </w:p>
    <w:p w:rsidRPr="009921B4" w:rsidR="003D5FA0" w:rsidP="003D5FA0" w:rsidRDefault="003D5FA0" w14:paraId="31D53890" w14:textId="77777777">
      <w:pPr>
        <w:pStyle w:val="NormalWeb"/>
        <w:spacing w:before="0" w:beforeAutospacing="0" w:after="240" w:afterAutospacing="0" w:line="360" w:lineRule="atLeast"/>
        <w:rPr>
          <w:rFonts w:asciiTheme="minorHAnsi" w:hAnsiTheme="minorHAnsi" w:cstheme="minorHAnsi"/>
          <w:color w:val="000000"/>
          <w:sz w:val="36"/>
          <w:szCs w:val="36"/>
        </w:rPr>
      </w:pPr>
      <w:r w:rsidRPr="009921B4">
        <w:rPr>
          <w:rFonts w:asciiTheme="minorHAnsi" w:hAnsiTheme="minorHAnsi" w:cstheme="minorHAnsi"/>
          <w:color w:val="000000"/>
          <w:sz w:val="36"/>
          <w:szCs w:val="36"/>
        </w:rPr>
        <w:t>Bandura, A. (1997).</w:t>
      </w:r>
      <w:r w:rsidRPr="009921B4">
        <w:rPr>
          <w:rStyle w:val="apple-converted-space"/>
          <w:rFonts w:asciiTheme="minorHAnsi" w:hAnsiTheme="minorHAnsi" w:eastAsiaTheme="majorEastAsia" w:cstheme="minorHAnsi"/>
          <w:color w:val="000000"/>
          <w:sz w:val="36"/>
          <w:szCs w:val="36"/>
        </w:rPr>
        <w:t> </w:t>
      </w:r>
      <w:r w:rsidRPr="009921B4">
        <w:rPr>
          <w:rFonts w:asciiTheme="minorHAnsi" w:hAnsiTheme="minorHAnsi" w:cstheme="minorHAnsi"/>
          <w:i/>
          <w:iCs/>
          <w:color w:val="000000"/>
          <w:sz w:val="36"/>
          <w:szCs w:val="36"/>
        </w:rPr>
        <w:t>Self-efficacy: The Exercise of Control</w:t>
      </w:r>
      <w:r w:rsidRPr="009921B4">
        <w:rPr>
          <w:rFonts w:asciiTheme="minorHAnsi" w:hAnsiTheme="minorHAnsi" w:cstheme="minorHAnsi"/>
          <w:color w:val="000000"/>
          <w:sz w:val="36"/>
          <w:szCs w:val="36"/>
        </w:rPr>
        <w:t>. New York: W.H. Freeman.</w:t>
      </w:r>
    </w:p>
    <w:p w:rsidRPr="009921B4" w:rsidR="003D5FA0" w:rsidP="003D5FA0" w:rsidRDefault="003D5FA0" w14:paraId="5BE7C480" w14:textId="77777777">
      <w:pPr>
        <w:pStyle w:val="NormalWeb"/>
        <w:spacing w:before="0" w:beforeAutospacing="0" w:after="240" w:afterAutospacing="0" w:line="360" w:lineRule="atLeast"/>
        <w:rPr>
          <w:rFonts w:asciiTheme="minorHAnsi" w:hAnsiTheme="minorHAnsi" w:cstheme="minorHAnsi"/>
          <w:color w:val="000000"/>
          <w:sz w:val="36"/>
          <w:szCs w:val="36"/>
        </w:rPr>
      </w:pPr>
    </w:p>
    <w:p w:rsidRPr="009921B4" w:rsidR="003D5FA0" w:rsidP="003D5FA0" w:rsidRDefault="003D5FA0" w14:paraId="656A5AAF" w14:textId="77777777">
      <w:pPr>
        <w:pStyle w:val="NormalWeb"/>
        <w:spacing w:before="0" w:beforeAutospacing="0" w:after="240" w:afterAutospacing="0" w:line="360" w:lineRule="atLeast"/>
        <w:rPr>
          <w:rFonts w:asciiTheme="minorHAnsi" w:hAnsiTheme="minorHAnsi" w:cstheme="minorHAnsi"/>
          <w:color w:val="000000"/>
          <w:sz w:val="36"/>
          <w:szCs w:val="36"/>
        </w:rPr>
      </w:pPr>
      <w:r w:rsidRPr="009921B4">
        <w:rPr>
          <w:rFonts w:asciiTheme="minorHAnsi" w:hAnsiTheme="minorHAnsi" w:cstheme="minorHAnsi"/>
          <w:color w:val="000000"/>
          <w:sz w:val="36"/>
          <w:szCs w:val="36"/>
        </w:rPr>
        <w:t xml:space="preserve">Barratt Hacking, E., Barratt, R., and Scott, W. (2007) ‘Engaging Children: Research Issues Around Participation and Environmental Learning’, </w:t>
      </w:r>
      <w:r w:rsidRPr="009921B4">
        <w:rPr>
          <w:rFonts w:asciiTheme="minorHAnsi" w:hAnsiTheme="minorHAnsi" w:cstheme="minorHAnsi"/>
          <w:i/>
          <w:iCs/>
          <w:color w:val="000000"/>
          <w:sz w:val="36"/>
          <w:szCs w:val="36"/>
        </w:rPr>
        <w:t>Environmental Education Research</w:t>
      </w:r>
      <w:r w:rsidRPr="009921B4">
        <w:rPr>
          <w:rFonts w:asciiTheme="minorHAnsi" w:hAnsiTheme="minorHAnsi" w:cstheme="minorHAnsi"/>
          <w:color w:val="000000"/>
          <w:sz w:val="36"/>
          <w:szCs w:val="36"/>
        </w:rPr>
        <w:t>, 13(4), pp. 529-544.</w:t>
      </w:r>
    </w:p>
    <w:p w:rsidRPr="009921B4" w:rsidR="003D5FA0" w:rsidP="003D5FA0" w:rsidRDefault="003D5FA0" w14:paraId="3C25D2E7" w14:textId="77777777">
      <w:pPr>
        <w:rPr>
          <w:rFonts w:cstheme="minorHAnsi"/>
          <w:sz w:val="36"/>
          <w:szCs w:val="36"/>
        </w:rPr>
      </w:pPr>
    </w:p>
    <w:p w:rsidRPr="009921B4" w:rsidR="003D5FA0" w:rsidP="003D5FA0" w:rsidRDefault="003D5FA0" w14:paraId="1218ADE7" w14:textId="77777777">
      <w:pPr>
        <w:rPr>
          <w:rFonts w:cstheme="minorHAnsi"/>
          <w:sz w:val="36"/>
          <w:szCs w:val="36"/>
        </w:rPr>
      </w:pPr>
      <w:r w:rsidRPr="009921B4">
        <w:rPr>
          <w:rFonts w:cstheme="minorHAnsi"/>
          <w:sz w:val="36"/>
          <w:szCs w:val="36"/>
        </w:rPr>
        <w:t xml:space="preserve">Blaengarw Primary School (2025) </w:t>
      </w:r>
      <w:r w:rsidRPr="009921B4">
        <w:rPr>
          <w:rFonts w:cstheme="minorHAnsi"/>
          <w:i/>
          <w:iCs/>
          <w:sz w:val="36"/>
          <w:szCs w:val="36"/>
        </w:rPr>
        <w:t>Blaengarw Primary School.</w:t>
      </w:r>
      <w:r w:rsidRPr="009921B4">
        <w:rPr>
          <w:rFonts w:cstheme="minorHAnsi"/>
          <w:sz w:val="36"/>
          <w:szCs w:val="36"/>
        </w:rPr>
        <w:t xml:space="preserve"> Available at: </w:t>
      </w:r>
      <w:hyperlink w:history="1" r:id="rId5">
        <w:r w:rsidRPr="009921B4">
          <w:rPr>
            <w:rStyle w:val="Hyperlink"/>
            <w:rFonts w:cstheme="minorHAnsi"/>
            <w:sz w:val="36"/>
            <w:szCs w:val="36"/>
          </w:rPr>
          <w:t>https://www.blaengarwprimary.co.uk</w:t>
        </w:r>
      </w:hyperlink>
      <w:r w:rsidRPr="009921B4">
        <w:rPr>
          <w:rFonts w:cstheme="minorHAnsi"/>
          <w:sz w:val="36"/>
          <w:szCs w:val="36"/>
        </w:rPr>
        <w:t xml:space="preserve"> (Accessed: 22</w:t>
      </w:r>
      <w:r w:rsidRPr="009921B4">
        <w:rPr>
          <w:rFonts w:cstheme="minorHAnsi"/>
          <w:sz w:val="36"/>
          <w:szCs w:val="36"/>
          <w:vertAlign w:val="superscript"/>
        </w:rPr>
        <w:t>nd</w:t>
      </w:r>
      <w:r w:rsidRPr="009921B4">
        <w:rPr>
          <w:rFonts w:cstheme="minorHAnsi"/>
          <w:sz w:val="36"/>
          <w:szCs w:val="36"/>
        </w:rPr>
        <w:t xml:space="preserve"> April 2025).</w:t>
      </w:r>
    </w:p>
    <w:p w:rsidRPr="009921B4" w:rsidR="003D5FA0" w:rsidP="003D5FA0" w:rsidRDefault="003D5FA0" w14:paraId="57D4436B" w14:textId="77777777">
      <w:pPr>
        <w:rPr>
          <w:rFonts w:cstheme="minorHAnsi"/>
          <w:sz w:val="36"/>
          <w:szCs w:val="36"/>
        </w:rPr>
      </w:pPr>
    </w:p>
    <w:p w:rsidRPr="009921B4" w:rsidR="003D5FA0" w:rsidP="003D5FA0" w:rsidRDefault="003D5FA0" w14:paraId="052B4B2C" w14:textId="77777777">
      <w:pPr>
        <w:rPr>
          <w:rFonts w:cstheme="minorHAnsi"/>
          <w:sz w:val="36"/>
          <w:szCs w:val="36"/>
        </w:rPr>
      </w:pPr>
      <w:r w:rsidRPr="009921B4">
        <w:rPr>
          <w:rFonts w:cstheme="minorHAnsi"/>
          <w:sz w:val="36"/>
          <w:szCs w:val="36"/>
        </w:rPr>
        <w:t>Blair, D. (2009) ‘The Child in the Garden: An Evaluative Review of the Benefits of School Gardening’,</w:t>
      </w:r>
      <w:r w:rsidRPr="009921B4">
        <w:rPr>
          <w:rFonts w:cstheme="minorHAnsi"/>
          <w:i/>
          <w:iCs/>
          <w:sz w:val="36"/>
          <w:szCs w:val="36"/>
        </w:rPr>
        <w:t xml:space="preserve"> The Journal of Environmental Education</w:t>
      </w:r>
      <w:r w:rsidRPr="009921B4">
        <w:rPr>
          <w:rFonts w:cstheme="minorHAnsi"/>
          <w:sz w:val="36"/>
          <w:szCs w:val="36"/>
        </w:rPr>
        <w:t>, 40(2), pp. 15-38.</w:t>
      </w:r>
    </w:p>
    <w:p w:rsidRPr="009921B4" w:rsidR="003D5FA0" w:rsidP="003D5FA0" w:rsidRDefault="003D5FA0" w14:paraId="68EF8EA7" w14:textId="77777777">
      <w:pPr>
        <w:rPr>
          <w:rFonts w:cstheme="minorHAnsi"/>
          <w:sz w:val="36"/>
          <w:szCs w:val="36"/>
        </w:rPr>
      </w:pPr>
    </w:p>
    <w:p w:rsidRPr="009921B4" w:rsidR="003D5FA0" w:rsidP="003D5FA0" w:rsidRDefault="003D5FA0" w14:paraId="49409B4C" w14:textId="77777777">
      <w:pPr>
        <w:rPr>
          <w:rStyle w:val="eop"/>
          <w:rFonts w:cstheme="minorHAnsi"/>
          <w:color w:val="000000" w:themeColor="text1"/>
          <w:sz w:val="36"/>
          <w:szCs w:val="36"/>
        </w:rPr>
      </w:pPr>
      <w:r w:rsidRPr="009921B4">
        <w:rPr>
          <w:rStyle w:val="normaltextrun"/>
          <w:rFonts w:cstheme="minorHAnsi"/>
          <w:color w:val="000000" w:themeColor="text1"/>
          <w:sz w:val="36"/>
          <w:szCs w:val="36"/>
        </w:rPr>
        <w:lastRenderedPageBreak/>
        <w:t xml:space="preserve">British Educational Research Association (2024) </w:t>
      </w:r>
      <w:r w:rsidRPr="009921B4">
        <w:rPr>
          <w:rStyle w:val="normaltextrun"/>
          <w:rFonts w:cstheme="minorHAnsi"/>
          <w:i/>
          <w:iCs/>
          <w:color w:val="000000" w:themeColor="text1"/>
          <w:sz w:val="36"/>
          <w:szCs w:val="36"/>
        </w:rPr>
        <w:t>Ethical guidelines for educational research</w:t>
      </w:r>
      <w:r w:rsidRPr="009921B4">
        <w:rPr>
          <w:rStyle w:val="normaltextrun"/>
          <w:rFonts w:cstheme="minorHAnsi"/>
          <w:color w:val="000000" w:themeColor="text1"/>
          <w:sz w:val="36"/>
          <w:szCs w:val="36"/>
        </w:rPr>
        <w:t>. 4</w:t>
      </w:r>
      <w:r w:rsidRPr="009921B4">
        <w:rPr>
          <w:rStyle w:val="normaltextrun"/>
          <w:rFonts w:cstheme="minorHAnsi"/>
          <w:color w:val="000000" w:themeColor="text1"/>
          <w:sz w:val="36"/>
          <w:szCs w:val="36"/>
          <w:vertAlign w:val="superscript"/>
        </w:rPr>
        <w:t>th</w:t>
      </w:r>
      <w:r w:rsidRPr="009921B4">
        <w:rPr>
          <w:rStyle w:val="normaltextrun"/>
          <w:rFonts w:cstheme="minorHAnsi"/>
          <w:color w:val="000000" w:themeColor="text1"/>
          <w:sz w:val="36"/>
          <w:szCs w:val="36"/>
        </w:rPr>
        <w:t xml:space="preserve"> </w:t>
      </w:r>
      <w:proofErr w:type="spellStart"/>
      <w:r w:rsidRPr="009921B4">
        <w:rPr>
          <w:rStyle w:val="normaltextrun"/>
          <w:rFonts w:cstheme="minorHAnsi"/>
          <w:color w:val="000000" w:themeColor="text1"/>
          <w:sz w:val="36"/>
          <w:szCs w:val="36"/>
        </w:rPr>
        <w:t>edn</w:t>
      </w:r>
      <w:proofErr w:type="spellEnd"/>
      <w:r w:rsidRPr="009921B4">
        <w:rPr>
          <w:rStyle w:val="normaltextrun"/>
          <w:rFonts w:cstheme="minorHAnsi"/>
          <w:color w:val="000000" w:themeColor="text1"/>
          <w:sz w:val="36"/>
          <w:szCs w:val="36"/>
        </w:rPr>
        <w:t>. London: British Educational Research Association.</w:t>
      </w:r>
      <w:r w:rsidRPr="009921B4">
        <w:rPr>
          <w:rStyle w:val="eop"/>
          <w:rFonts w:cstheme="minorHAnsi"/>
          <w:color w:val="000000" w:themeColor="text1"/>
          <w:sz w:val="36"/>
          <w:szCs w:val="36"/>
        </w:rPr>
        <w:t> </w:t>
      </w:r>
    </w:p>
    <w:p w:rsidRPr="009921B4" w:rsidR="003D5FA0" w:rsidP="003D5FA0" w:rsidRDefault="003D5FA0" w14:paraId="4E928B66" w14:textId="77777777">
      <w:pPr>
        <w:rPr>
          <w:rStyle w:val="eop"/>
          <w:rFonts w:cstheme="minorHAnsi"/>
          <w:color w:val="000000" w:themeColor="text1"/>
          <w:sz w:val="36"/>
          <w:szCs w:val="36"/>
        </w:rPr>
      </w:pPr>
    </w:p>
    <w:p w:rsidRPr="009921B4" w:rsidR="003D5FA0" w:rsidP="003D5FA0" w:rsidRDefault="003D5FA0" w14:paraId="66FAAB42" w14:textId="77777777">
      <w:pPr>
        <w:rPr>
          <w:rStyle w:val="eop"/>
          <w:rFonts w:cstheme="minorHAnsi"/>
          <w:color w:val="000000" w:themeColor="text1"/>
          <w:sz w:val="36"/>
          <w:szCs w:val="36"/>
        </w:rPr>
      </w:pPr>
      <w:r w:rsidRPr="009921B4">
        <w:rPr>
          <w:rStyle w:val="normaltextrun"/>
          <w:rFonts w:cstheme="minorHAnsi"/>
          <w:sz w:val="36"/>
          <w:szCs w:val="36"/>
        </w:rPr>
        <w:t xml:space="preserve">Bryman, A. (2016). </w:t>
      </w:r>
      <w:r w:rsidRPr="009921B4">
        <w:rPr>
          <w:rStyle w:val="normaltextrun"/>
          <w:rFonts w:cstheme="minorHAnsi"/>
          <w:i/>
          <w:iCs/>
          <w:sz w:val="36"/>
          <w:szCs w:val="36"/>
        </w:rPr>
        <w:t>Social Research Methods</w:t>
      </w:r>
      <w:r w:rsidRPr="009921B4">
        <w:rPr>
          <w:rStyle w:val="normaltextrun"/>
          <w:rFonts w:cstheme="minorHAnsi"/>
          <w:sz w:val="36"/>
          <w:szCs w:val="36"/>
        </w:rPr>
        <w:t>. 5th ed. Oxford: Oxford University Press.</w:t>
      </w:r>
      <w:r w:rsidRPr="009921B4">
        <w:rPr>
          <w:rStyle w:val="eop"/>
          <w:rFonts w:cstheme="minorHAnsi"/>
          <w:sz w:val="36"/>
          <w:szCs w:val="36"/>
        </w:rPr>
        <w:t> </w:t>
      </w:r>
    </w:p>
    <w:p w:rsidRPr="009921B4" w:rsidR="003D5FA0" w:rsidP="003D5FA0" w:rsidRDefault="003D5FA0" w14:paraId="3988EFB3" w14:textId="77777777">
      <w:pPr>
        <w:rPr>
          <w:rStyle w:val="eop"/>
          <w:rFonts w:cstheme="minorHAnsi"/>
          <w:color w:val="000000" w:themeColor="text1"/>
          <w:sz w:val="36"/>
          <w:szCs w:val="36"/>
        </w:rPr>
      </w:pPr>
    </w:p>
    <w:p w:rsidRPr="009921B4" w:rsidR="003D5FA0" w:rsidP="003D5FA0" w:rsidRDefault="003D5FA0" w14:paraId="55606F02" w14:textId="77777777">
      <w:pPr>
        <w:rPr>
          <w:rFonts w:cstheme="minorHAnsi"/>
          <w:color w:val="000000" w:themeColor="text1"/>
          <w:sz w:val="36"/>
          <w:szCs w:val="36"/>
        </w:rPr>
      </w:pPr>
      <w:r w:rsidRPr="009921B4">
        <w:rPr>
          <w:rStyle w:val="normaltextrun"/>
          <w:rFonts w:cstheme="minorHAnsi"/>
          <w:sz w:val="36"/>
          <w:szCs w:val="36"/>
        </w:rPr>
        <w:t xml:space="preserve">Cohen, L., Manion, L. and Morrison, K. (2018). </w:t>
      </w:r>
      <w:r w:rsidRPr="009921B4">
        <w:rPr>
          <w:rStyle w:val="normaltextrun"/>
          <w:rFonts w:cstheme="minorHAnsi"/>
          <w:i/>
          <w:iCs/>
          <w:sz w:val="36"/>
          <w:szCs w:val="36"/>
        </w:rPr>
        <w:t>Research Methods in Education</w:t>
      </w:r>
      <w:r w:rsidRPr="009921B4">
        <w:rPr>
          <w:rStyle w:val="normaltextrun"/>
          <w:rFonts w:cstheme="minorHAnsi"/>
          <w:sz w:val="36"/>
          <w:szCs w:val="36"/>
        </w:rPr>
        <w:t>. London: Sage Publications Ltd.</w:t>
      </w:r>
      <w:r w:rsidRPr="009921B4">
        <w:rPr>
          <w:rStyle w:val="eop"/>
          <w:rFonts w:cstheme="minorHAnsi"/>
          <w:sz w:val="36"/>
          <w:szCs w:val="36"/>
        </w:rPr>
        <w:t> </w:t>
      </w:r>
    </w:p>
    <w:p w:rsidRPr="009921B4" w:rsidR="003D5FA0" w:rsidP="003D5FA0" w:rsidRDefault="003D5FA0" w14:paraId="6F8F766B" w14:textId="77777777">
      <w:pPr>
        <w:rPr>
          <w:rFonts w:cstheme="minorHAnsi"/>
          <w:sz w:val="36"/>
          <w:szCs w:val="36"/>
        </w:rPr>
      </w:pPr>
    </w:p>
    <w:p w:rsidRPr="009921B4" w:rsidR="003D5FA0" w:rsidP="003D5FA0" w:rsidRDefault="003D5FA0" w14:paraId="6DBEC6C7" w14:textId="77777777">
      <w:pPr>
        <w:pStyle w:val="NormalWeb"/>
        <w:spacing w:before="0" w:beforeAutospacing="0" w:after="240" w:afterAutospacing="0" w:line="360" w:lineRule="atLeast"/>
        <w:rPr>
          <w:rFonts w:asciiTheme="minorHAnsi" w:hAnsiTheme="minorHAnsi" w:cstheme="minorHAnsi"/>
          <w:color w:val="000000" w:themeColor="text1"/>
          <w:sz w:val="36"/>
          <w:szCs w:val="36"/>
        </w:rPr>
      </w:pPr>
      <w:r w:rsidRPr="009921B4">
        <w:rPr>
          <w:rFonts w:asciiTheme="minorHAnsi" w:hAnsiTheme="minorHAnsi" w:cstheme="minorHAnsi"/>
          <w:color w:val="000000" w:themeColor="text1"/>
          <w:sz w:val="36"/>
          <w:szCs w:val="36"/>
        </w:rPr>
        <w:t xml:space="preserve">Creswell, J.W. and Creswell, J.D. (2018) </w:t>
      </w:r>
      <w:r w:rsidRPr="009921B4">
        <w:rPr>
          <w:rFonts w:asciiTheme="minorHAnsi" w:hAnsiTheme="minorHAnsi" w:cstheme="minorHAnsi"/>
          <w:i/>
          <w:iCs/>
          <w:color w:val="000000" w:themeColor="text1"/>
          <w:sz w:val="36"/>
          <w:szCs w:val="36"/>
        </w:rPr>
        <w:t>Research design: Qualitative, quantitative, and Mixed Methods Approaches</w:t>
      </w:r>
      <w:r w:rsidRPr="009921B4">
        <w:rPr>
          <w:rFonts w:asciiTheme="minorHAnsi" w:hAnsiTheme="minorHAnsi" w:cstheme="minorHAnsi"/>
          <w:color w:val="000000" w:themeColor="text1"/>
          <w:sz w:val="36"/>
          <w:szCs w:val="36"/>
        </w:rPr>
        <w:t>. 5th ed. London: SAGE Publications.</w:t>
      </w:r>
    </w:p>
    <w:p w:rsidRPr="009921B4" w:rsidR="003D5FA0" w:rsidP="003D5FA0" w:rsidRDefault="003D5FA0" w14:paraId="4ADCAD50" w14:textId="77777777">
      <w:pPr>
        <w:pStyle w:val="NormalWeb"/>
        <w:spacing w:before="0" w:beforeAutospacing="0" w:after="240" w:afterAutospacing="0" w:line="360" w:lineRule="atLeast"/>
        <w:rPr>
          <w:rFonts w:asciiTheme="minorHAnsi" w:hAnsiTheme="minorHAnsi" w:cstheme="minorHAnsi"/>
          <w:color w:val="000000" w:themeColor="text1"/>
          <w:sz w:val="36"/>
          <w:szCs w:val="36"/>
        </w:rPr>
      </w:pPr>
    </w:p>
    <w:p w:rsidRPr="009921B4" w:rsidR="003D5FA0" w:rsidP="003D5FA0" w:rsidRDefault="003D5FA0" w14:paraId="0EF1BAFF" w14:textId="77777777">
      <w:pPr>
        <w:rPr>
          <w:rFonts w:cstheme="minorHAnsi"/>
          <w:sz w:val="36"/>
          <w:szCs w:val="36"/>
        </w:rPr>
      </w:pPr>
      <w:r w:rsidRPr="009921B4">
        <w:rPr>
          <w:rFonts w:cstheme="minorHAnsi"/>
          <w:sz w:val="36"/>
          <w:szCs w:val="36"/>
        </w:rPr>
        <w:t xml:space="preserve">Denscombe, M. (2017) </w:t>
      </w:r>
      <w:r w:rsidRPr="009921B4">
        <w:rPr>
          <w:rFonts w:cstheme="minorHAnsi"/>
          <w:i/>
          <w:iCs/>
          <w:sz w:val="36"/>
          <w:szCs w:val="36"/>
        </w:rPr>
        <w:t>The Good Research Guide: For Small-Scale Social Research Projects.</w:t>
      </w:r>
      <w:r w:rsidRPr="009921B4">
        <w:rPr>
          <w:rFonts w:cstheme="minorHAnsi"/>
          <w:sz w:val="36"/>
          <w:szCs w:val="36"/>
        </w:rPr>
        <w:t xml:space="preserve"> 6</w:t>
      </w:r>
      <w:r w:rsidRPr="009921B4">
        <w:rPr>
          <w:rFonts w:cstheme="minorHAnsi"/>
          <w:sz w:val="36"/>
          <w:szCs w:val="36"/>
          <w:vertAlign w:val="superscript"/>
        </w:rPr>
        <w:t>th</w:t>
      </w:r>
      <w:r w:rsidRPr="009921B4">
        <w:rPr>
          <w:rFonts w:cstheme="minorHAnsi"/>
          <w:sz w:val="36"/>
          <w:szCs w:val="36"/>
        </w:rPr>
        <w:t xml:space="preserve"> </w:t>
      </w:r>
      <w:proofErr w:type="spellStart"/>
      <w:r w:rsidRPr="009921B4">
        <w:rPr>
          <w:rFonts w:cstheme="minorHAnsi"/>
          <w:sz w:val="36"/>
          <w:szCs w:val="36"/>
        </w:rPr>
        <w:t>edn</w:t>
      </w:r>
      <w:proofErr w:type="spellEnd"/>
      <w:r w:rsidRPr="009921B4">
        <w:rPr>
          <w:rFonts w:cstheme="minorHAnsi"/>
          <w:sz w:val="36"/>
          <w:szCs w:val="36"/>
        </w:rPr>
        <w:t>. London: Open University Press.</w:t>
      </w:r>
    </w:p>
    <w:p w:rsidRPr="009921B4" w:rsidR="003D5FA0" w:rsidP="003D5FA0" w:rsidRDefault="003D5FA0" w14:paraId="6A9F6F73" w14:textId="77777777">
      <w:pPr>
        <w:rPr>
          <w:rFonts w:cstheme="minorHAnsi"/>
          <w:sz w:val="36"/>
          <w:szCs w:val="36"/>
        </w:rPr>
      </w:pPr>
    </w:p>
    <w:p w:rsidRPr="009921B4" w:rsidR="003D5FA0" w:rsidP="003D5FA0" w:rsidRDefault="003D5FA0" w14:paraId="01836C11" w14:textId="77777777">
      <w:pPr>
        <w:pStyle w:val="NormalWeb"/>
        <w:spacing w:before="0" w:beforeAutospacing="0" w:after="240" w:afterAutospacing="0" w:line="360" w:lineRule="atLeast"/>
        <w:rPr>
          <w:rFonts w:asciiTheme="minorHAnsi" w:hAnsiTheme="minorHAnsi" w:cstheme="minorHAnsi"/>
          <w:color w:val="000000"/>
          <w:sz w:val="36"/>
          <w:szCs w:val="36"/>
        </w:rPr>
      </w:pPr>
      <w:r w:rsidRPr="009921B4">
        <w:rPr>
          <w:rFonts w:asciiTheme="minorHAnsi" w:hAnsiTheme="minorHAnsi" w:cstheme="minorHAnsi"/>
          <w:color w:val="000000"/>
          <w:sz w:val="36"/>
          <w:szCs w:val="36"/>
        </w:rPr>
        <w:t>Dewey, J. (1997).</w:t>
      </w:r>
      <w:r w:rsidRPr="009921B4">
        <w:rPr>
          <w:rStyle w:val="apple-converted-space"/>
          <w:rFonts w:asciiTheme="minorHAnsi" w:hAnsiTheme="minorHAnsi" w:eastAsiaTheme="majorEastAsia" w:cstheme="minorHAnsi"/>
          <w:color w:val="000000"/>
          <w:sz w:val="36"/>
          <w:szCs w:val="36"/>
        </w:rPr>
        <w:t> </w:t>
      </w:r>
      <w:r w:rsidRPr="009921B4">
        <w:rPr>
          <w:rFonts w:asciiTheme="minorHAnsi" w:hAnsiTheme="minorHAnsi" w:cstheme="minorHAnsi"/>
          <w:i/>
          <w:iCs/>
          <w:color w:val="000000"/>
          <w:sz w:val="36"/>
          <w:szCs w:val="36"/>
        </w:rPr>
        <w:t>Experience And Education</w:t>
      </w:r>
      <w:r w:rsidRPr="009921B4">
        <w:rPr>
          <w:rFonts w:asciiTheme="minorHAnsi" w:hAnsiTheme="minorHAnsi" w:cstheme="minorHAnsi"/>
          <w:color w:val="000000"/>
          <w:sz w:val="36"/>
          <w:szCs w:val="36"/>
        </w:rPr>
        <w:t>. New York: Macmillan.</w:t>
      </w:r>
    </w:p>
    <w:p w:rsidRPr="009921B4" w:rsidR="003D5FA0" w:rsidP="003D5FA0" w:rsidRDefault="003D5FA0" w14:paraId="29D5811F" w14:textId="77777777">
      <w:pPr>
        <w:rPr>
          <w:rFonts w:cstheme="minorHAnsi"/>
          <w:sz w:val="36"/>
          <w:szCs w:val="36"/>
        </w:rPr>
      </w:pPr>
    </w:p>
    <w:p w:rsidRPr="009921B4" w:rsidR="003D5FA0" w:rsidP="003D5FA0" w:rsidRDefault="003D5FA0" w14:paraId="7EC75DE6" w14:textId="77777777">
      <w:pPr>
        <w:rPr>
          <w:rFonts w:cstheme="minorHAnsi"/>
          <w:sz w:val="36"/>
          <w:szCs w:val="36"/>
        </w:rPr>
      </w:pPr>
      <w:r w:rsidRPr="009921B4">
        <w:rPr>
          <w:rFonts w:cstheme="minorHAnsi"/>
          <w:sz w:val="36"/>
          <w:szCs w:val="36"/>
        </w:rPr>
        <w:t xml:space="preserve">Elliott, S. (2006) </w:t>
      </w:r>
      <w:r w:rsidRPr="009921B4">
        <w:rPr>
          <w:rFonts w:cstheme="minorHAnsi"/>
          <w:i/>
          <w:iCs/>
          <w:sz w:val="36"/>
          <w:szCs w:val="36"/>
        </w:rPr>
        <w:t>Early Childhood Education: Pathways to Quality and Equity for all Children.</w:t>
      </w:r>
      <w:r w:rsidRPr="009921B4">
        <w:rPr>
          <w:rFonts w:cstheme="minorHAnsi"/>
          <w:sz w:val="36"/>
          <w:szCs w:val="36"/>
        </w:rPr>
        <w:t xml:space="preserve"> Camberwell: Australian Council for Educational Research.</w:t>
      </w:r>
    </w:p>
    <w:p w:rsidRPr="009921B4" w:rsidR="003D5FA0" w:rsidP="003D5FA0" w:rsidRDefault="003D5FA0" w14:paraId="416A2B84" w14:textId="77777777">
      <w:pPr>
        <w:pStyle w:val="NormalWeb"/>
        <w:spacing w:before="0" w:beforeAutospacing="0" w:after="240" w:afterAutospacing="0" w:line="360" w:lineRule="atLeast"/>
        <w:rPr>
          <w:rFonts w:asciiTheme="minorHAnsi" w:hAnsiTheme="minorHAnsi" w:cstheme="minorHAnsi"/>
          <w:color w:val="000000"/>
          <w:sz w:val="36"/>
          <w:szCs w:val="36"/>
        </w:rPr>
      </w:pPr>
    </w:p>
    <w:p w:rsidRPr="009921B4" w:rsidR="003D5FA0" w:rsidP="003D5FA0" w:rsidRDefault="003D5FA0" w14:paraId="211438DA" w14:textId="77777777">
      <w:pPr>
        <w:rPr>
          <w:rFonts w:cstheme="minorHAnsi"/>
          <w:sz w:val="36"/>
          <w:szCs w:val="36"/>
        </w:rPr>
      </w:pPr>
      <w:r w:rsidRPr="009921B4">
        <w:rPr>
          <w:rFonts w:cstheme="minorHAnsi"/>
          <w:sz w:val="36"/>
          <w:szCs w:val="36"/>
        </w:rPr>
        <w:t xml:space="preserve">Elsa Support (2023) </w:t>
      </w:r>
      <w:r w:rsidRPr="009921B4">
        <w:rPr>
          <w:rFonts w:cstheme="minorHAnsi"/>
          <w:i/>
          <w:iCs/>
          <w:sz w:val="36"/>
          <w:szCs w:val="36"/>
        </w:rPr>
        <w:t>Gardening for Social and Emotional Skills.</w:t>
      </w:r>
      <w:r w:rsidRPr="009921B4">
        <w:rPr>
          <w:rFonts w:cstheme="minorHAnsi"/>
          <w:sz w:val="36"/>
          <w:szCs w:val="36"/>
        </w:rPr>
        <w:t xml:space="preserve"> Available at: </w:t>
      </w:r>
      <w:hyperlink w:history="1" r:id="rId6">
        <w:r w:rsidRPr="009921B4">
          <w:rPr>
            <w:rStyle w:val="Hyperlink"/>
            <w:rFonts w:cstheme="minorHAnsi"/>
            <w:sz w:val="36"/>
            <w:szCs w:val="36"/>
          </w:rPr>
          <w:t>https://www.elsa-support.co.uk/gardening-for-social-and-emotional-skills/#:~:text=Problem%2Dsolving%3A%20Gardening%20presents%20children,the%20ability%20to%20find%20solutions</w:t>
        </w:r>
      </w:hyperlink>
      <w:r w:rsidRPr="009921B4">
        <w:rPr>
          <w:rFonts w:cstheme="minorHAnsi"/>
          <w:sz w:val="36"/>
          <w:szCs w:val="36"/>
        </w:rPr>
        <w:t>. (Accessed: 23</w:t>
      </w:r>
      <w:r w:rsidRPr="009921B4">
        <w:rPr>
          <w:rFonts w:cstheme="minorHAnsi"/>
          <w:sz w:val="36"/>
          <w:szCs w:val="36"/>
          <w:vertAlign w:val="superscript"/>
        </w:rPr>
        <w:t>rd</w:t>
      </w:r>
      <w:r w:rsidRPr="009921B4">
        <w:rPr>
          <w:rFonts w:cstheme="minorHAnsi"/>
          <w:sz w:val="36"/>
          <w:szCs w:val="36"/>
        </w:rPr>
        <w:t xml:space="preserve"> April 2025).</w:t>
      </w:r>
    </w:p>
    <w:p w:rsidRPr="009921B4" w:rsidR="003D5FA0" w:rsidP="003D5FA0" w:rsidRDefault="003D5FA0" w14:paraId="1FD5CB21" w14:textId="77777777">
      <w:pPr>
        <w:rPr>
          <w:rFonts w:cstheme="minorHAnsi"/>
          <w:sz w:val="36"/>
          <w:szCs w:val="36"/>
        </w:rPr>
      </w:pPr>
    </w:p>
    <w:p w:rsidRPr="009921B4" w:rsidR="003D5FA0" w:rsidP="003D5FA0" w:rsidRDefault="003D5FA0" w14:paraId="67DE72D9" w14:textId="77777777">
      <w:pPr>
        <w:rPr>
          <w:rFonts w:cstheme="minorHAnsi"/>
          <w:sz w:val="36"/>
          <w:szCs w:val="36"/>
        </w:rPr>
      </w:pPr>
      <w:r w:rsidRPr="009921B4">
        <w:rPr>
          <w:rFonts w:cstheme="minorHAnsi"/>
          <w:sz w:val="36"/>
          <w:szCs w:val="36"/>
        </w:rPr>
        <w:t xml:space="preserve">Epstein, J.L. (2010) </w:t>
      </w:r>
      <w:r w:rsidRPr="009921B4">
        <w:rPr>
          <w:rFonts w:cstheme="minorHAnsi"/>
          <w:i/>
          <w:iCs/>
          <w:sz w:val="36"/>
          <w:szCs w:val="36"/>
        </w:rPr>
        <w:t xml:space="preserve">School, Family and Community Partnerships: Preparing Educators and Improving Schools. </w:t>
      </w:r>
      <w:r w:rsidRPr="009921B4">
        <w:rPr>
          <w:rFonts w:cstheme="minorHAnsi"/>
          <w:sz w:val="36"/>
          <w:szCs w:val="36"/>
        </w:rPr>
        <w:t>2</w:t>
      </w:r>
      <w:r w:rsidRPr="009921B4">
        <w:rPr>
          <w:rFonts w:cstheme="minorHAnsi"/>
          <w:sz w:val="36"/>
          <w:szCs w:val="36"/>
          <w:vertAlign w:val="superscript"/>
        </w:rPr>
        <w:t>nd</w:t>
      </w:r>
      <w:r w:rsidRPr="009921B4">
        <w:rPr>
          <w:rFonts w:cstheme="minorHAnsi"/>
          <w:sz w:val="36"/>
          <w:szCs w:val="36"/>
        </w:rPr>
        <w:t xml:space="preserve"> </w:t>
      </w:r>
      <w:proofErr w:type="spellStart"/>
      <w:r w:rsidRPr="009921B4">
        <w:rPr>
          <w:rFonts w:cstheme="minorHAnsi"/>
          <w:sz w:val="36"/>
          <w:szCs w:val="36"/>
        </w:rPr>
        <w:t>edn</w:t>
      </w:r>
      <w:proofErr w:type="spellEnd"/>
      <w:r w:rsidRPr="009921B4">
        <w:rPr>
          <w:rFonts w:cstheme="minorHAnsi"/>
          <w:sz w:val="36"/>
          <w:szCs w:val="36"/>
        </w:rPr>
        <w:t>. Westview Press: Oxford.</w:t>
      </w:r>
    </w:p>
    <w:p w:rsidRPr="009921B4" w:rsidR="003D5FA0" w:rsidP="003D5FA0" w:rsidRDefault="003D5FA0" w14:paraId="5BE8E212" w14:textId="77777777">
      <w:pPr>
        <w:rPr>
          <w:rFonts w:cstheme="minorHAnsi"/>
          <w:sz w:val="36"/>
          <w:szCs w:val="36"/>
        </w:rPr>
      </w:pPr>
    </w:p>
    <w:p w:rsidRPr="009921B4" w:rsidR="003D5FA0" w:rsidP="003D5FA0" w:rsidRDefault="003D5FA0" w14:paraId="1035B451" w14:textId="77777777">
      <w:pPr>
        <w:rPr>
          <w:rFonts w:cstheme="minorHAnsi"/>
          <w:sz w:val="36"/>
          <w:szCs w:val="36"/>
        </w:rPr>
      </w:pPr>
      <w:r w:rsidRPr="009921B4">
        <w:rPr>
          <w:rFonts w:cstheme="minorHAnsi"/>
          <w:sz w:val="36"/>
          <w:szCs w:val="36"/>
        </w:rPr>
        <w:t xml:space="preserve">Estyn (2024) </w:t>
      </w:r>
      <w:r w:rsidRPr="009921B4">
        <w:rPr>
          <w:rFonts w:cstheme="minorHAnsi"/>
          <w:i/>
          <w:iCs/>
          <w:sz w:val="36"/>
          <w:szCs w:val="36"/>
        </w:rPr>
        <w:t>A Report on Blaengarw Primary School.</w:t>
      </w:r>
      <w:r w:rsidRPr="009921B4">
        <w:rPr>
          <w:rFonts w:cstheme="minorHAnsi"/>
          <w:sz w:val="36"/>
          <w:szCs w:val="36"/>
        </w:rPr>
        <w:t xml:space="preserve"> Available at:</w:t>
      </w:r>
      <w:r w:rsidRPr="009921B4">
        <w:rPr>
          <w:rFonts w:cstheme="minorHAnsi"/>
          <w:color w:val="0F4761" w:themeColor="accent1" w:themeShade="BF"/>
          <w:sz w:val="36"/>
          <w:szCs w:val="36"/>
        </w:rPr>
        <w:t xml:space="preserve"> </w:t>
      </w:r>
      <w:hyperlink w:history="1" r:id="rId7">
        <w:r w:rsidRPr="009921B4">
          <w:rPr>
            <w:rStyle w:val="Hyperlink"/>
            <w:rFonts w:cstheme="minorHAnsi"/>
            <w:color w:val="0F4761" w:themeColor="accent1" w:themeShade="BF"/>
            <w:sz w:val="36"/>
            <w:szCs w:val="36"/>
          </w:rPr>
          <w:t>https://www.estyn.llyw.cymru/system/files/2024-03/Inspection%20report%20Blaengarw%20Primary%20School%202024.pdf</w:t>
        </w:r>
      </w:hyperlink>
      <w:r w:rsidRPr="009921B4">
        <w:rPr>
          <w:rFonts w:cstheme="minorHAnsi"/>
          <w:color w:val="0F4761" w:themeColor="accent1" w:themeShade="BF"/>
          <w:sz w:val="36"/>
          <w:szCs w:val="36"/>
        </w:rPr>
        <w:t xml:space="preserve"> </w:t>
      </w:r>
      <w:r w:rsidRPr="009921B4">
        <w:rPr>
          <w:rFonts w:cstheme="minorHAnsi"/>
          <w:sz w:val="36"/>
          <w:szCs w:val="36"/>
        </w:rPr>
        <w:t>(Accessed: 22</w:t>
      </w:r>
      <w:r w:rsidRPr="009921B4">
        <w:rPr>
          <w:rFonts w:cstheme="minorHAnsi"/>
          <w:sz w:val="36"/>
          <w:szCs w:val="36"/>
          <w:vertAlign w:val="superscript"/>
        </w:rPr>
        <w:t>nd</w:t>
      </w:r>
      <w:r w:rsidRPr="009921B4">
        <w:rPr>
          <w:rFonts w:cstheme="minorHAnsi"/>
          <w:sz w:val="36"/>
          <w:szCs w:val="36"/>
        </w:rPr>
        <w:t xml:space="preserve"> April 2025).</w:t>
      </w:r>
    </w:p>
    <w:p w:rsidRPr="009921B4" w:rsidR="003D5FA0" w:rsidP="003D5FA0" w:rsidRDefault="003D5FA0" w14:paraId="775350DA" w14:textId="77777777">
      <w:pPr>
        <w:rPr>
          <w:rFonts w:cstheme="minorHAnsi"/>
          <w:sz w:val="36"/>
          <w:szCs w:val="36"/>
        </w:rPr>
      </w:pPr>
    </w:p>
    <w:p w:rsidRPr="009921B4" w:rsidR="003D5FA0" w:rsidP="003D5FA0" w:rsidRDefault="003D5FA0" w14:paraId="5251BBB2" w14:textId="77777777">
      <w:pPr>
        <w:pStyle w:val="NormalWeb"/>
        <w:spacing w:before="0" w:beforeAutospacing="0" w:after="240" w:afterAutospacing="0" w:line="360" w:lineRule="atLeast"/>
        <w:rPr>
          <w:rFonts w:asciiTheme="minorHAnsi" w:hAnsiTheme="minorHAnsi" w:cstheme="minorHAnsi"/>
          <w:color w:val="000000"/>
          <w:sz w:val="36"/>
          <w:szCs w:val="36"/>
        </w:rPr>
      </w:pPr>
      <w:r w:rsidRPr="009921B4">
        <w:rPr>
          <w:rFonts w:asciiTheme="minorHAnsi" w:hAnsiTheme="minorHAnsi" w:cstheme="minorHAnsi"/>
          <w:color w:val="000000"/>
          <w:sz w:val="36"/>
          <w:szCs w:val="36"/>
        </w:rPr>
        <w:t xml:space="preserve">Kirschner, P.A., Sweller, J. and Clark, R.E. (2006) ‘Why Minimal Guidance during Instruction Does Not work: An Analysis of the Failure of constructivist, discovery, problem-based, experiential, and inquiry-based Teaching’, </w:t>
      </w:r>
      <w:r w:rsidRPr="009921B4">
        <w:rPr>
          <w:rFonts w:asciiTheme="minorHAnsi" w:hAnsiTheme="minorHAnsi" w:cstheme="minorHAnsi"/>
          <w:i/>
          <w:iCs/>
          <w:color w:val="000000"/>
          <w:sz w:val="36"/>
          <w:szCs w:val="36"/>
        </w:rPr>
        <w:t>Educational Psychologist</w:t>
      </w:r>
      <w:r w:rsidRPr="009921B4">
        <w:rPr>
          <w:rFonts w:asciiTheme="minorHAnsi" w:hAnsiTheme="minorHAnsi" w:cstheme="minorHAnsi"/>
          <w:color w:val="000000"/>
          <w:sz w:val="36"/>
          <w:szCs w:val="36"/>
        </w:rPr>
        <w:t xml:space="preserve">, 41(2), pp.75–86. </w:t>
      </w:r>
    </w:p>
    <w:p w:rsidRPr="009921B4" w:rsidR="003D5FA0" w:rsidP="003D5FA0" w:rsidRDefault="003D5FA0" w14:paraId="249A8949" w14:textId="77777777">
      <w:pPr>
        <w:pStyle w:val="NormalWeb"/>
        <w:spacing w:before="0" w:beforeAutospacing="0" w:after="240" w:afterAutospacing="0" w:line="360" w:lineRule="atLeast"/>
        <w:rPr>
          <w:rFonts w:asciiTheme="minorHAnsi" w:hAnsiTheme="minorHAnsi" w:cstheme="minorHAnsi"/>
          <w:color w:val="000000"/>
          <w:sz w:val="36"/>
          <w:szCs w:val="36"/>
        </w:rPr>
      </w:pPr>
    </w:p>
    <w:p w:rsidRPr="009921B4" w:rsidR="003D5FA0" w:rsidP="003D5FA0" w:rsidRDefault="003D5FA0" w14:paraId="57918564" w14:textId="77777777">
      <w:pPr>
        <w:pStyle w:val="NormalWeb"/>
        <w:spacing w:before="0" w:beforeAutospacing="0" w:after="240" w:afterAutospacing="0" w:line="360" w:lineRule="atLeast"/>
        <w:rPr>
          <w:rFonts w:asciiTheme="minorHAnsi" w:hAnsiTheme="minorHAnsi" w:cstheme="minorHAnsi"/>
          <w:color w:val="000000"/>
          <w:sz w:val="36"/>
          <w:szCs w:val="36"/>
        </w:rPr>
      </w:pPr>
      <w:r w:rsidRPr="009921B4">
        <w:rPr>
          <w:rFonts w:asciiTheme="minorHAnsi" w:hAnsiTheme="minorHAnsi" w:cstheme="minorHAnsi"/>
          <w:color w:val="000000"/>
          <w:sz w:val="36"/>
          <w:szCs w:val="36"/>
        </w:rPr>
        <w:lastRenderedPageBreak/>
        <w:t xml:space="preserve">National Foundation for Education Research (2010) </w:t>
      </w:r>
      <w:r w:rsidRPr="009921B4">
        <w:rPr>
          <w:rFonts w:asciiTheme="minorHAnsi" w:hAnsiTheme="minorHAnsi" w:cstheme="minorHAnsi"/>
          <w:i/>
          <w:iCs/>
          <w:color w:val="000000"/>
          <w:sz w:val="36"/>
          <w:szCs w:val="36"/>
        </w:rPr>
        <w:t>Impact of School Gardening on Learning.</w:t>
      </w:r>
      <w:r w:rsidRPr="009921B4">
        <w:rPr>
          <w:rFonts w:asciiTheme="minorHAnsi" w:hAnsiTheme="minorHAnsi" w:cstheme="minorHAnsi"/>
          <w:color w:val="000000"/>
          <w:sz w:val="36"/>
          <w:szCs w:val="36"/>
        </w:rPr>
        <w:t xml:space="preserve"> Available at: </w:t>
      </w:r>
      <w:hyperlink w:history="1" r:id="rId8">
        <w:r w:rsidRPr="009921B4">
          <w:rPr>
            <w:rStyle w:val="Hyperlink"/>
            <w:rFonts w:asciiTheme="minorHAnsi" w:hAnsiTheme="minorHAnsi" w:eastAsiaTheme="majorEastAsia" w:cstheme="minorHAnsi"/>
            <w:sz w:val="36"/>
            <w:szCs w:val="36"/>
          </w:rPr>
          <w:t>https://www.nfer.ac.uk/publications/impact-of-school-gardening-on-learning/</w:t>
        </w:r>
      </w:hyperlink>
      <w:r w:rsidRPr="009921B4">
        <w:rPr>
          <w:rFonts w:asciiTheme="minorHAnsi" w:hAnsiTheme="minorHAnsi" w:cstheme="minorHAnsi"/>
          <w:color w:val="000000"/>
          <w:sz w:val="36"/>
          <w:szCs w:val="36"/>
        </w:rPr>
        <w:t xml:space="preserve"> (Accessed: 30</w:t>
      </w:r>
      <w:r w:rsidRPr="009921B4">
        <w:rPr>
          <w:rFonts w:asciiTheme="minorHAnsi" w:hAnsiTheme="minorHAnsi" w:cstheme="minorHAnsi"/>
          <w:color w:val="000000"/>
          <w:sz w:val="36"/>
          <w:szCs w:val="36"/>
          <w:vertAlign w:val="superscript"/>
        </w:rPr>
        <w:t>th</w:t>
      </w:r>
      <w:r w:rsidRPr="009921B4">
        <w:rPr>
          <w:rFonts w:asciiTheme="minorHAnsi" w:hAnsiTheme="minorHAnsi" w:cstheme="minorHAnsi"/>
          <w:color w:val="000000"/>
          <w:sz w:val="36"/>
          <w:szCs w:val="36"/>
        </w:rPr>
        <w:t xml:space="preserve"> April 2025).</w:t>
      </w:r>
    </w:p>
    <w:p w:rsidRPr="009921B4" w:rsidR="003D5FA0" w:rsidP="003D5FA0" w:rsidRDefault="003D5FA0" w14:paraId="04B73F4C" w14:textId="77777777">
      <w:pPr>
        <w:pStyle w:val="NormalWeb"/>
        <w:spacing w:before="0" w:beforeAutospacing="0" w:after="240" w:afterAutospacing="0" w:line="360" w:lineRule="atLeast"/>
        <w:rPr>
          <w:rFonts w:asciiTheme="minorHAnsi" w:hAnsiTheme="minorHAnsi" w:cstheme="minorHAnsi"/>
          <w:sz w:val="36"/>
          <w:szCs w:val="36"/>
        </w:rPr>
      </w:pPr>
    </w:p>
    <w:p w:rsidRPr="009921B4" w:rsidR="003D5FA0" w:rsidP="003D5FA0" w:rsidRDefault="003D5FA0" w14:paraId="050404A7" w14:textId="77777777">
      <w:pPr>
        <w:rPr>
          <w:rFonts w:cstheme="minorHAnsi"/>
          <w:sz w:val="36"/>
          <w:szCs w:val="36"/>
        </w:rPr>
      </w:pPr>
      <w:r w:rsidRPr="009921B4">
        <w:rPr>
          <w:rFonts w:cstheme="minorHAnsi"/>
          <w:sz w:val="36"/>
          <w:szCs w:val="36"/>
        </w:rPr>
        <w:t xml:space="preserve">National Health Service (2024) </w:t>
      </w:r>
      <w:r w:rsidRPr="009921B4">
        <w:rPr>
          <w:rFonts w:cstheme="minorHAnsi"/>
          <w:i/>
          <w:iCs/>
          <w:sz w:val="36"/>
          <w:szCs w:val="36"/>
        </w:rPr>
        <w:t>Physical Activity Guidelines for Children and Young People.</w:t>
      </w:r>
      <w:r w:rsidRPr="009921B4">
        <w:rPr>
          <w:rFonts w:cstheme="minorHAnsi"/>
          <w:sz w:val="36"/>
          <w:szCs w:val="36"/>
        </w:rPr>
        <w:t xml:space="preserve"> Available at: </w:t>
      </w:r>
      <w:hyperlink w:history="1" r:id="rId9">
        <w:r w:rsidRPr="009921B4">
          <w:rPr>
            <w:rStyle w:val="Hyperlink"/>
            <w:rFonts w:cstheme="minorHAnsi"/>
            <w:sz w:val="36"/>
            <w:szCs w:val="36"/>
          </w:rPr>
          <w:t>https://www.nhs.uk/live-well/exercise/physical-activity-guidelines-children-and-young-people/</w:t>
        </w:r>
      </w:hyperlink>
      <w:r w:rsidRPr="009921B4">
        <w:rPr>
          <w:rFonts w:cstheme="minorHAnsi"/>
          <w:sz w:val="36"/>
          <w:szCs w:val="36"/>
        </w:rPr>
        <w:t xml:space="preserve"> (Accessed: 23</w:t>
      </w:r>
      <w:r w:rsidRPr="009921B4">
        <w:rPr>
          <w:rFonts w:cstheme="minorHAnsi"/>
          <w:sz w:val="36"/>
          <w:szCs w:val="36"/>
          <w:vertAlign w:val="superscript"/>
        </w:rPr>
        <w:t>rd</w:t>
      </w:r>
      <w:r w:rsidRPr="009921B4">
        <w:rPr>
          <w:rFonts w:cstheme="minorHAnsi"/>
          <w:sz w:val="36"/>
          <w:szCs w:val="36"/>
        </w:rPr>
        <w:t xml:space="preserve"> April 2025). </w:t>
      </w:r>
    </w:p>
    <w:p w:rsidRPr="009921B4" w:rsidR="003D5FA0" w:rsidP="003D5FA0" w:rsidRDefault="003D5FA0" w14:paraId="06333D6F" w14:textId="77777777">
      <w:pPr>
        <w:pStyle w:val="NormalWeb"/>
        <w:spacing w:before="0" w:beforeAutospacing="0" w:after="240" w:afterAutospacing="0" w:line="360" w:lineRule="atLeast"/>
        <w:rPr>
          <w:rFonts w:asciiTheme="minorHAnsi" w:hAnsiTheme="minorHAnsi" w:cstheme="minorHAnsi"/>
          <w:sz w:val="36"/>
          <w:szCs w:val="36"/>
        </w:rPr>
      </w:pPr>
    </w:p>
    <w:p w:rsidRPr="009921B4" w:rsidR="003D5FA0" w:rsidP="003D5FA0" w:rsidRDefault="003D5FA0" w14:paraId="76C878BA" w14:textId="77777777">
      <w:pPr>
        <w:pStyle w:val="NormalWeb"/>
        <w:spacing w:before="0" w:beforeAutospacing="0" w:after="240" w:afterAutospacing="0" w:line="360" w:lineRule="atLeast"/>
        <w:rPr>
          <w:rFonts w:asciiTheme="minorHAnsi" w:hAnsiTheme="minorHAnsi" w:cstheme="minorHAnsi"/>
          <w:color w:val="000000"/>
          <w:sz w:val="36"/>
          <w:szCs w:val="36"/>
        </w:rPr>
      </w:pPr>
      <w:r w:rsidRPr="009921B4">
        <w:rPr>
          <w:rFonts w:asciiTheme="minorHAnsi" w:hAnsiTheme="minorHAnsi" w:cstheme="minorHAnsi"/>
          <w:sz w:val="36"/>
          <w:szCs w:val="36"/>
        </w:rPr>
        <w:t>National Health Service</w:t>
      </w:r>
      <w:r w:rsidRPr="009921B4">
        <w:rPr>
          <w:rFonts w:asciiTheme="minorHAnsi" w:hAnsiTheme="minorHAnsi" w:cstheme="minorHAnsi"/>
          <w:color w:val="000000"/>
          <w:sz w:val="36"/>
          <w:szCs w:val="36"/>
        </w:rPr>
        <w:t xml:space="preserve"> (2025).</w:t>
      </w:r>
      <w:r w:rsidRPr="009921B4">
        <w:rPr>
          <w:rStyle w:val="apple-converted-space"/>
          <w:rFonts w:asciiTheme="minorHAnsi" w:hAnsiTheme="minorHAnsi" w:eastAsiaTheme="majorEastAsia" w:cstheme="minorHAnsi"/>
          <w:color w:val="000000"/>
          <w:sz w:val="36"/>
          <w:szCs w:val="36"/>
        </w:rPr>
        <w:t> </w:t>
      </w:r>
      <w:r w:rsidRPr="009921B4">
        <w:rPr>
          <w:rFonts w:asciiTheme="minorHAnsi" w:hAnsiTheme="minorHAnsi" w:cstheme="minorHAnsi"/>
          <w:i/>
          <w:iCs/>
          <w:color w:val="000000"/>
          <w:sz w:val="36"/>
          <w:szCs w:val="36"/>
        </w:rPr>
        <w:t>Improvement Cymru Academy Toolkit Guide</w:t>
      </w:r>
      <w:r w:rsidRPr="009921B4">
        <w:rPr>
          <w:rFonts w:asciiTheme="minorHAnsi" w:hAnsiTheme="minorHAnsi" w:cstheme="minorHAnsi"/>
          <w:color w:val="000000"/>
          <w:sz w:val="36"/>
          <w:szCs w:val="36"/>
        </w:rPr>
        <w:t xml:space="preserve">. Available at: </w:t>
      </w:r>
      <w:hyperlink w:history="1" r:id="rId10">
        <w:r w:rsidRPr="009921B4">
          <w:rPr>
            <w:rStyle w:val="Hyperlink"/>
            <w:rFonts w:asciiTheme="minorHAnsi" w:hAnsiTheme="minorHAnsi" w:eastAsiaTheme="majorEastAsia" w:cstheme="minorHAnsi"/>
            <w:sz w:val="36"/>
            <w:szCs w:val="36"/>
          </w:rPr>
          <w:t>https://phw.nhs.wales/services-and-teams/improvement-cymru/improvement-cymru-academy1/resource-library/academy-toolkit-guides/swot-analysis-toolkit/</w:t>
        </w:r>
      </w:hyperlink>
      <w:r w:rsidRPr="009921B4">
        <w:rPr>
          <w:rFonts w:asciiTheme="minorHAnsi" w:hAnsiTheme="minorHAnsi" w:cstheme="minorHAnsi"/>
          <w:color w:val="000000"/>
          <w:sz w:val="36"/>
          <w:szCs w:val="36"/>
        </w:rPr>
        <w:t xml:space="preserve"> (Accessed: 30</w:t>
      </w:r>
      <w:r w:rsidRPr="009921B4">
        <w:rPr>
          <w:rFonts w:asciiTheme="minorHAnsi" w:hAnsiTheme="minorHAnsi" w:cstheme="minorHAnsi"/>
          <w:color w:val="000000"/>
          <w:sz w:val="36"/>
          <w:szCs w:val="36"/>
          <w:vertAlign w:val="superscript"/>
        </w:rPr>
        <w:t>th</w:t>
      </w:r>
      <w:r w:rsidRPr="009921B4">
        <w:rPr>
          <w:rFonts w:asciiTheme="minorHAnsi" w:hAnsiTheme="minorHAnsi" w:cstheme="minorHAnsi"/>
          <w:color w:val="000000"/>
          <w:sz w:val="36"/>
          <w:szCs w:val="36"/>
        </w:rPr>
        <w:t xml:space="preserve"> April 2025).</w:t>
      </w:r>
    </w:p>
    <w:p w:rsidRPr="009921B4" w:rsidR="003D5FA0" w:rsidP="003D5FA0" w:rsidRDefault="003D5FA0" w14:paraId="03CC7AA0" w14:textId="77777777">
      <w:pPr>
        <w:rPr>
          <w:rFonts w:cstheme="minorHAnsi"/>
          <w:sz w:val="36"/>
          <w:szCs w:val="36"/>
        </w:rPr>
      </w:pPr>
    </w:p>
    <w:p w:rsidRPr="009921B4" w:rsidR="003D5FA0" w:rsidP="003D5FA0" w:rsidRDefault="003D5FA0" w14:paraId="5688F3C3" w14:textId="77777777">
      <w:pPr>
        <w:rPr>
          <w:rFonts w:cstheme="minorHAnsi"/>
          <w:sz w:val="36"/>
          <w:szCs w:val="36"/>
        </w:rPr>
      </w:pPr>
    </w:p>
    <w:p w:rsidRPr="009921B4" w:rsidR="003D5FA0" w:rsidP="003D5FA0" w:rsidRDefault="003D5FA0" w14:paraId="5EFC5D0D" w14:textId="77777777">
      <w:pPr>
        <w:rPr>
          <w:rFonts w:cstheme="minorHAnsi"/>
          <w:sz w:val="36"/>
          <w:szCs w:val="36"/>
        </w:rPr>
      </w:pPr>
      <w:r w:rsidRPr="009921B4">
        <w:rPr>
          <w:rFonts w:cstheme="minorHAnsi"/>
          <w:sz w:val="36"/>
          <w:szCs w:val="36"/>
        </w:rPr>
        <w:t>Ozer, E.J. (2007) ‘The Effect of School Gardens and Schools: Conceptualisation and Considerations for Maximising Healthy Development’</w:t>
      </w:r>
      <w:r w:rsidRPr="009921B4">
        <w:rPr>
          <w:rFonts w:cstheme="minorHAnsi"/>
          <w:i/>
          <w:iCs/>
          <w:sz w:val="36"/>
          <w:szCs w:val="36"/>
        </w:rPr>
        <w:t xml:space="preserve">, Health Education and </w:t>
      </w:r>
      <w:proofErr w:type="spellStart"/>
      <w:r w:rsidRPr="009921B4">
        <w:rPr>
          <w:rFonts w:cstheme="minorHAnsi"/>
          <w:i/>
          <w:iCs/>
          <w:sz w:val="36"/>
          <w:szCs w:val="36"/>
        </w:rPr>
        <w:t>Behavior</w:t>
      </w:r>
      <w:proofErr w:type="spellEnd"/>
      <w:r w:rsidRPr="009921B4">
        <w:rPr>
          <w:rFonts w:cstheme="minorHAnsi"/>
          <w:sz w:val="36"/>
          <w:szCs w:val="36"/>
        </w:rPr>
        <w:t>, 34(6), pp. 846- 862.</w:t>
      </w:r>
    </w:p>
    <w:p w:rsidRPr="009921B4" w:rsidR="003D5FA0" w:rsidP="003D5FA0" w:rsidRDefault="003D5FA0" w14:paraId="128A9411" w14:textId="77777777">
      <w:pPr>
        <w:rPr>
          <w:rFonts w:cstheme="minorHAnsi"/>
          <w:sz w:val="36"/>
          <w:szCs w:val="36"/>
        </w:rPr>
      </w:pPr>
    </w:p>
    <w:p w:rsidRPr="009921B4" w:rsidR="003D5FA0" w:rsidP="003D5FA0" w:rsidRDefault="003D5FA0" w14:paraId="695F0992" w14:textId="77777777">
      <w:pPr>
        <w:pStyle w:val="NormalWeb"/>
        <w:spacing w:before="0" w:beforeAutospacing="0" w:after="240" w:afterAutospacing="0" w:line="360" w:lineRule="atLeast"/>
        <w:rPr>
          <w:rFonts w:asciiTheme="minorHAnsi" w:hAnsiTheme="minorHAnsi" w:cstheme="minorHAnsi"/>
          <w:color w:val="000000" w:themeColor="text1"/>
          <w:sz w:val="36"/>
          <w:szCs w:val="36"/>
        </w:rPr>
      </w:pPr>
      <w:r w:rsidRPr="009921B4">
        <w:rPr>
          <w:rFonts w:asciiTheme="minorHAnsi" w:hAnsiTheme="minorHAnsi" w:cstheme="minorHAnsi"/>
          <w:color w:val="000000" w:themeColor="text1"/>
          <w:sz w:val="36"/>
          <w:szCs w:val="36"/>
        </w:rPr>
        <w:lastRenderedPageBreak/>
        <w:t>Passy, R., Morris, M. and Reed, F. (2010).</w:t>
      </w:r>
      <w:r w:rsidRPr="009921B4">
        <w:rPr>
          <w:rStyle w:val="apple-converted-space"/>
          <w:rFonts w:asciiTheme="minorHAnsi" w:hAnsiTheme="minorHAnsi" w:eastAsiaTheme="majorEastAsia" w:cstheme="minorHAnsi"/>
          <w:color w:val="000000" w:themeColor="text1"/>
          <w:sz w:val="36"/>
          <w:szCs w:val="36"/>
        </w:rPr>
        <w:t> </w:t>
      </w:r>
      <w:r w:rsidRPr="009921B4">
        <w:rPr>
          <w:rFonts w:asciiTheme="minorHAnsi" w:hAnsiTheme="minorHAnsi" w:cstheme="minorHAnsi"/>
          <w:i/>
          <w:iCs/>
          <w:color w:val="000000" w:themeColor="text1"/>
          <w:sz w:val="36"/>
          <w:szCs w:val="36"/>
        </w:rPr>
        <w:t>Impact of school gardening on learning Final report submitted to the Royal Horticultural Society</w:t>
      </w:r>
      <w:r w:rsidRPr="009921B4">
        <w:rPr>
          <w:rFonts w:asciiTheme="minorHAnsi" w:hAnsiTheme="minorHAnsi" w:cstheme="minorHAnsi"/>
          <w:color w:val="000000" w:themeColor="text1"/>
          <w:sz w:val="36"/>
          <w:szCs w:val="36"/>
        </w:rPr>
        <w:t xml:space="preserve">[online]. Available at: </w:t>
      </w:r>
      <w:hyperlink w:history="1" r:id="rId11">
        <w:r w:rsidRPr="009921B4">
          <w:rPr>
            <w:rStyle w:val="Hyperlink"/>
            <w:rFonts w:asciiTheme="minorHAnsi" w:hAnsiTheme="minorHAnsi" w:eastAsiaTheme="majorEastAsia" w:cstheme="minorHAnsi"/>
            <w:sz w:val="36"/>
            <w:szCs w:val="36"/>
          </w:rPr>
          <w:t>https://www.nfer.ac.uk/media/2bch4tqy/impact_of_school_gardening_on_learning.pdf</w:t>
        </w:r>
      </w:hyperlink>
      <w:r w:rsidRPr="009921B4">
        <w:rPr>
          <w:rFonts w:asciiTheme="minorHAnsi" w:hAnsiTheme="minorHAnsi" w:cstheme="minorHAnsi"/>
          <w:color w:val="000000" w:themeColor="text1"/>
          <w:sz w:val="36"/>
          <w:szCs w:val="36"/>
        </w:rPr>
        <w:t xml:space="preserve"> (Accessed: 29</w:t>
      </w:r>
      <w:r w:rsidRPr="009921B4">
        <w:rPr>
          <w:rFonts w:asciiTheme="minorHAnsi" w:hAnsiTheme="minorHAnsi" w:cstheme="minorHAnsi"/>
          <w:color w:val="000000" w:themeColor="text1"/>
          <w:sz w:val="36"/>
          <w:szCs w:val="36"/>
          <w:vertAlign w:val="superscript"/>
        </w:rPr>
        <w:t>th</w:t>
      </w:r>
      <w:r w:rsidRPr="009921B4">
        <w:rPr>
          <w:rFonts w:asciiTheme="minorHAnsi" w:hAnsiTheme="minorHAnsi" w:cstheme="minorHAnsi"/>
          <w:color w:val="000000" w:themeColor="text1"/>
          <w:sz w:val="36"/>
          <w:szCs w:val="36"/>
        </w:rPr>
        <w:t xml:space="preserve"> April 2025).</w:t>
      </w:r>
    </w:p>
    <w:p w:rsidRPr="009921B4" w:rsidR="003D5FA0" w:rsidP="003D5FA0" w:rsidRDefault="003D5FA0" w14:paraId="7DFF051F" w14:textId="77777777">
      <w:pPr>
        <w:rPr>
          <w:rFonts w:cstheme="minorHAnsi"/>
          <w:sz w:val="36"/>
          <w:szCs w:val="36"/>
        </w:rPr>
      </w:pPr>
    </w:p>
    <w:p w:rsidRPr="009921B4" w:rsidR="003D5FA0" w:rsidP="003D5FA0" w:rsidRDefault="003D5FA0" w14:paraId="3B74635C" w14:textId="77777777">
      <w:pPr>
        <w:rPr>
          <w:rFonts w:cstheme="minorHAnsi"/>
          <w:sz w:val="36"/>
          <w:szCs w:val="36"/>
        </w:rPr>
      </w:pPr>
      <w:r w:rsidRPr="009921B4">
        <w:rPr>
          <w:rFonts w:cstheme="minorHAnsi"/>
          <w:sz w:val="36"/>
          <w:szCs w:val="36"/>
        </w:rPr>
        <w:t>Robinson-</w:t>
      </w:r>
      <w:proofErr w:type="spellStart"/>
      <w:r w:rsidRPr="009921B4">
        <w:rPr>
          <w:rFonts w:cstheme="minorHAnsi"/>
          <w:sz w:val="36"/>
          <w:szCs w:val="36"/>
        </w:rPr>
        <w:t>O’brien</w:t>
      </w:r>
      <w:proofErr w:type="spellEnd"/>
      <w:r w:rsidRPr="009921B4">
        <w:rPr>
          <w:rFonts w:cstheme="minorHAnsi"/>
          <w:sz w:val="36"/>
          <w:szCs w:val="36"/>
        </w:rPr>
        <w:t xml:space="preserve">, R., Story, M. and Heim, S. (2009) ‘Impact of Garden-based Youth Nutrition Intervention Programs: A Review’, </w:t>
      </w:r>
      <w:r w:rsidRPr="009921B4">
        <w:rPr>
          <w:rFonts w:cstheme="minorHAnsi"/>
          <w:i/>
          <w:iCs/>
          <w:sz w:val="36"/>
          <w:szCs w:val="36"/>
        </w:rPr>
        <w:t>Journal of the American Dietetic Association</w:t>
      </w:r>
      <w:r w:rsidRPr="009921B4">
        <w:rPr>
          <w:rFonts w:cstheme="minorHAnsi"/>
          <w:sz w:val="36"/>
          <w:szCs w:val="36"/>
        </w:rPr>
        <w:t>, 109(2), pp. 273-280.</w:t>
      </w:r>
    </w:p>
    <w:p w:rsidRPr="009921B4" w:rsidR="003D5FA0" w:rsidP="003D5FA0" w:rsidRDefault="003D5FA0" w14:paraId="7B1485E1" w14:textId="77777777">
      <w:pPr>
        <w:rPr>
          <w:rFonts w:cstheme="minorHAnsi"/>
          <w:sz w:val="36"/>
          <w:szCs w:val="36"/>
        </w:rPr>
      </w:pPr>
    </w:p>
    <w:p w:rsidRPr="009921B4" w:rsidR="003D5FA0" w:rsidP="003D5FA0" w:rsidRDefault="003D5FA0" w14:paraId="5D60F130" w14:textId="77777777">
      <w:pPr>
        <w:rPr>
          <w:rFonts w:cstheme="minorHAnsi"/>
          <w:sz w:val="36"/>
          <w:szCs w:val="36"/>
        </w:rPr>
      </w:pPr>
      <w:r w:rsidRPr="009921B4">
        <w:rPr>
          <w:rFonts w:cstheme="minorHAnsi"/>
          <w:sz w:val="36"/>
          <w:szCs w:val="36"/>
        </w:rPr>
        <w:t xml:space="preserve">Soil Association (2019) </w:t>
      </w:r>
      <w:r w:rsidRPr="009921B4">
        <w:rPr>
          <w:rFonts w:cstheme="minorHAnsi"/>
          <w:i/>
          <w:iCs/>
          <w:sz w:val="36"/>
          <w:szCs w:val="36"/>
        </w:rPr>
        <w:t xml:space="preserve">Food for Life: Transforming Food Culture in Schools. </w:t>
      </w:r>
      <w:r w:rsidRPr="009921B4">
        <w:rPr>
          <w:rFonts w:cstheme="minorHAnsi"/>
          <w:sz w:val="36"/>
          <w:szCs w:val="36"/>
        </w:rPr>
        <w:t xml:space="preserve">Available at: </w:t>
      </w:r>
      <w:hyperlink w:history="1" r:id="rId12">
        <w:r w:rsidRPr="009921B4">
          <w:rPr>
            <w:rStyle w:val="Hyperlink"/>
            <w:rFonts w:cstheme="minorHAnsi"/>
            <w:sz w:val="36"/>
            <w:szCs w:val="36"/>
          </w:rPr>
          <w:t>https://www.foodforlife.org.uk/</w:t>
        </w:r>
      </w:hyperlink>
      <w:r w:rsidRPr="009921B4">
        <w:rPr>
          <w:rFonts w:cstheme="minorHAnsi"/>
          <w:sz w:val="36"/>
          <w:szCs w:val="36"/>
        </w:rPr>
        <w:t xml:space="preserve"> (Accessed: 29</w:t>
      </w:r>
      <w:r w:rsidRPr="009921B4">
        <w:rPr>
          <w:rFonts w:cstheme="minorHAnsi"/>
          <w:sz w:val="36"/>
          <w:szCs w:val="36"/>
          <w:vertAlign w:val="superscript"/>
        </w:rPr>
        <w:t>th</w:t>
      </w:r>
      <w:r w:rsidRPr="009921B4">
        <w:rPr>
          <w:rFonts w:cstheme="minorHAnsi"/>
          <w:sz w:val="36"/>
          <w:szCs w:val="36"/>
        </w:rPr>
        <w:t xml:space="preserve"> April 2025).</w:t>
      </w:r>
    </w:p>
    <w:p w:rsidRPr="009921B4" w:rsidR="003D5FA0" w:rsidP="003D5FA0" w:rsidRDefault="003D5FA0" w14:paraId="6B11A037" w14:textId="77777777">
      <w:pPr>
        <w:rPr>
          <w:rFonts w:cstheme="minorHAnsi"/>
          <w:sz w:val="36"/>
          <w:szCs w:val="36"/>
        </w:rPr>
      </w:pPr>
    </w:p>
    <w:p w:rsidRPr="009921B4" w:rsidR="003D5FA0" w:rsidP="003D5FA0" w:rsidRDefault="003D5FA0" w14:paraId="1E3C5FC2" w14:textId="77777777">
      <w:pPr>
        <w:pStyle w:val="NormalWeb"/>
        <w:spacing w:before="0" w:beforeAutospacing="0" w:after="240" w:afterAutospacing="0" w:line="360" w:lineRule="atLeast"/>
        <w:rPr>
          <w:rFonts w:asciiTheme="minorHAnsi" w:hAnsiTheme="minorHAnsi" w:cstheme="minorHAnsi"/>
          <w:color w:val="000000" w:themeColor="text1"/>
          <w:sz w:val="36"/>
          <w:szCs w:val="36"/>
        </w:rPr>
      </w:pPr>
      <w:r w:rsidRPr="009921B4">
        <w:rPr>
          <w:rFonts w:asciiTheme="minorHAnsi" w:hAnsiTheme="minorHAnsi" w:cstheme="minorHAnsi"/>
          <w:color w:val="000000" w:themeColor="text1"/>
          <w:sz w:val="36"/>
          <w:szCs w:val="36"/>
        </w:rPr>
        <w:t xml:space="preserve">Steinebach, </w:t>
      </w:r>
      <w:proofErr w:type="gramStart"/>
      <w:r w:rsidRPr="009921B4">
        <w:rPr>
          <w:rFonts w:asciiTheme="minorHAnsi" w:hAnsiTheme="minorHAnsi" w:cstheme="minorHAnsi"/>
          <w:color w:val="000000" w:themeColor="text1"/>
          <w:sz w:val="36"/>
          <w:szCs w:val="36"/>
        </w:rPr>
        <w:t>C.</w:t>
      </w:r>
      <w:proofErr w:type="gramEnd"/>
      <w:r w:rsidRPr="009921B4">
        <w:rPr>
          <w:rFonts w:asciiTheme="minorHAnsi" w:hAnsiTheme="minorHAnsi" w:cstheme="minorHAnsi"/>
          <w:color w:val="000000" w:themeColor="text1"/>
          <w:sz w:val="36"/>
          <w:szCs w:val="36"/>
        </w:rPr>
        <w:t xml:space="preserve"> and Langer, A.I. (2019).</w:t>
      </w:r>
      <w:r w:rsidRPr="009921B4">
        <w:rPr>
          <w:rStyle w:val="apple-converted-space"/>
          <w:rFonts w:asciiTheme="minorHAnsi" w:hAnsiTheme="minorHAnsi" w:eastAsiaTheme="majorEastAsia" w:cstheme="minorHAnsi"/>
          <w:color w:val="000000" w:themeColor="text1"/>
          <w:sz w:val="36"/>
          <w:szCs w:val="36"/>
        </w:rPr>
        <w:t> </w:t>
      </w:r>
      <w:r w:rsidRPr="009921B4">
        <w:rPr>
          <w:rFonts w:asciiTheme="minorHAnsi" w:hAnsiTheme="minorHAnsi" w:cstheme="minorHAnsi"/>
          <w:i/>
          <w:iCs/>
          <w:color w:val="000000" w:themeColor="text1"/>
          <w:sz w:val="36"/>
          <w:szCs w:val="36"/>
        </w:rPr>
        <w:t>Enhancing resilience in youth: mindfulness-based interventions in positive environments</w:t>
      </w:r>
      <w:r w:rsidRPr="009921B4">
        <w:rPr>
          <w:rFonts w:asciiTheme="minorHAnsi" w:hAnsiTheme="minorHAnsi" w:cstheme="minorHAnsi"/>
          <w:color w:val="000000" w:themeColor="text1"/>
          <w:sz w:val="36"/>
          <w:szCs w:val="36"/>
        </w:rPr>
        <w:t>. Cham: Springer.</w:t>
      </w:r>
    </w:p>
    <w:p w:rsidRPr="009921B4" w:rsidR="003D5FA0" w:rsidP="003D5FA0" w:rsidRDefault="003D5FA0" w14:paraId="0D326009" w14:textId="77777777">
      <w:pPr>
        <w:rPr>
          <w:rFonts w:cstheme="minorHAnsi"/>
          <w:sz w:val="36"/>
          <w:szCs w:val="36"/>
        </w:rPr>
      </w:pPr>
    </w:p>
    <w:p w:rsidRPr="009921B4" w:rsidR="003D5FA0" w:rsidP="003D5FA0" w:rsidRDefault="003D5FA0" w14:paraId="609AE27A" w14:textId="77777777">
      <w:pPr>
        <w:rPr>
          <w:rFonts w:cstheme="minorHAnsi"/>
          <w:sz w:val="36"/>
          <w:szCs w:val="36"/>
        </w:rPr>
      </w:pPr>
      <w:r w:rsidRPr="009921B4">
        <w:rPr>
          <w:rFonts w:cstheme="minorHAnsi"/>
          <w:sz w:val="36"/>
          <w:szCs w:val="36"/>
        </w:rPr>
        <w:t xml:space="preserve">UNICEF (1989) </w:t>
      </w:r>
      <w:r w:rsidRPr="009921B4">
        <w:rPr>
          <w:rFonts w:cstheme="minorHAnsi"/>
          <w:i/>
          <w:iCs/>
          <w:sz w:val="36"/>
          <w:szCs w:val="36"/>
        </w:rPr>
        <w:t>How We Protect Children’s Rights.</w:t>
      </w:r>
      <w:r w:rsidRPr="009921B4">
        <w:rPr>
          <w:rFonts w:cstheme="minorHAnsi"/>
          <w:sz w:val="36"/>
          <w:szCs w:val="36"/>
        </w:rPr>
        <w:t xml:space="preserve"> Available at: </w:t>
      </w:r>
      <w:hyperlink w:history="1" r:id="rId13">
        <w:r w:rsidRPr="009921B4">
          <w:rPr>
            <w:rStyle w:val="Hyperlink"/>
            <w:rFonts w:cstheme="minorHAnsi"/>
            <w:sz w:val="36"/>
            <w:szCs w:val="36"/>
          </w:rPr>
          <w:t>https://www.unicef.org.uk/what-we-do/un-convention-child-rights/</w:t>
        </w:r>
      </w:hyperlink>
      <w:r w:rsidRPr="009921B4">
        <w:rPr>
          <w:rFonts w:cstheme="minorHAnsi"/>
          <w:sz w:val="36"/>
          <w:szCs w:val="36"/>
        </w:rPr>
        <w:t xml:space="preserve"> (Accessed: 24</w:t>
      </w:r>
      <w:r w:rsidRPr="009921B4">
        <w:rPr>
          <w:rFonts w:cstheme="minorHAnsi"/>
          <w:sz w:val="36"/>
          <w:szCs w:val="36"/>
          <w:vertAlign w:val="superscript"/>
        </w:rPr>
        <w:t>th</w:t>
      </w:r>
      <w:r w:rsidRPr="009921B4">
        <w:rPr>
          <w:rFonts w:cstheme="minorHAnsi"/>
          <w:sz w:val="36"/>
          <w:szCs w:val="36"/>
        </w:rPr>
        <w:t xml:space="preserve"> April 2025).</w:t>
      </w:r>
    </w:p>
    <w:p w:rsidRPr="009921B4" w:rsidR="003D5FA0" w:rsidP="003D5FA0" w:rsidRDefault="003D5FA0" w14:paraId="30EF5EC7" w14:textId="77777777">
      <w:pPr>
        <w:rPr>
          <w:rFonts w:cstheme="minorHAnsi"/>
          <w:sz w:val="36"/>
          <w:szCs w:val="36"/>
        </w:rPr>
      </w:pPr>
    </w:p>
    <w:p w:rsidRPr="009921B4" w:rsidR="003D5FA0" w:rsidP="003D5FA0" w:rsidRDefault="003D5FA0" w14:paraId="6A13C6D1" w14:textId="77777777">
      <w:pPr>
        <w:pStyle w:val="NormalWeb"/>
        <w:spacing w:before="0" w:beforeAutospacing="0" w:after="240" w:afterAutospacing="0" w:line="360" w:lineRule="atLeast"/>
        <w:rPr>
          <w:rFonts w:asciiTheme="minorHAnsi" w:hAnsiTheme="minorHAnsi" w:cstheme="minorHAnsi"/>
          <w:color w:val="000000" w:themeColor="text1"/>
          <w:sz w:val="36"/>
          <w:szCs w:val="36"/>
        </w:rPr>
      </w:pPr>
      <w:r w:rsidRPr="009921B4">
        <w:rPr>
          <w:rFonts w:asciiTheme="minorHAnsi" w:hAnsiTheme="minorHAnsi" w:cstheme="minorHAnsi"/>
          <w:color w:val="000000" w:themeColor="text1"/>
          <w:sz w:val="36"/>
          <w:szCs w:val="36"/>
        </w:rPr>
        <w:lastRenderedPageBreak/>
        <w:t>Vygotsky, L. (1978).</w:t>
      </w:r>
      <w:r w:rsidRPr="009921B4">
        <w:rPr>
          <w:rStyle w:val="apple-converted-space"/>
          <w:rFonts w:asciiTheme="minorHAnsi" w:hAnsiTheme="minorHAnsi" w:eastAsiaTheme="majorEastAsia" w:cstheme="minorHAnsi"/>
          <w:color w:val="000000" w:themeColor="text1"/>
          <w:sz w:val="36"/>
          <w:szCs w:val="36"/>
        </w:rPr>
        <w:t> </w:t>
      </w:r>
      <w:r w:rsidRPr="009921B4">
        <w:rPr>
          <w:rFonts w:asciiTheme="minorHAnsi" w:hAnsiTheme="minorHAnsi" w:cstheme="minorHAnsi"/>
          <w:i/>
          <w:iCs/>
          <w:color w:val="000000" w:themeColor="text1"/>
          <w:sz w:val="36"/>
          <w:szCs w:val="36"/>
        </w:rPr>
        <w:t>Mind in society: The development of higher psychological processes.</w:t>
      </w:r>
      <w:r w:rsidRPr="009921B4">
        <w:rPr>
          <w:rStyle w:val="apple-converted-space"/>
          <w:rFonts w:asciiTheme="minorHAnsi" w:hAnsiTheme="minorHAnsi" w:eastAsiaTheme="majorEastAsia" w:cstheme="minorHAnsi"/>
          <w:color w:val="000000" w:themeColor="text1"/>
          <w:sz w:val="36"/>
          <w:szCs w:val="36"/>
        </w:rPr>
        <w:t> </w:t>
      </w:r>
      <w:r w:rsidRPr="009921B4">
        <w:rPr>
          <w:rFonts w:asciiTheme="minorHAnsi" w:hAnsiTheme="minorHAnsi" w:cstheme="minorHAnsi"/>
          <w:color w:val="000000" w:themeColor="text1"/>
          <w:sz w:val="36"/>
          <w:szCs w:val="36"/>
        </w:rPr>
        <w:t>Cambridge: Harvard University Press.</w:t>
      </w:r>
    </w:p>
    <w:p w:rsidRPr="009921B4" w:rsidR="003D5FA0" w:rsidP="003D5FA0" w:rsidRDefault="003D5FA0" w14:paraId="13BF278E" w14:textId="77777777">
      <w:pPr>
        <w:rPr>
          <w:rFonts w:cstheme="minorHAnsi"/>
          <w:sz w:val="36"/>
          <w:szCs w:val="36"/>
        </w:rPr>
      </w:pPr>
    </w:p>
    <w:p w:rsidRPr="009921B4" w:rsidR="003D5FA0" w:rsidP="003D5FA0" w:rsidRDefault="003D5FA0" w14:paraId="275D2E15" w14:textId="77777777">
      <w:pPr>
        <w:rPr>
          <w:rFonts w:cstheme="minorHAnsi"/>
          <w:sz w:val="36"/>
          <w:szCs w:val="36"/>
        </w:rPr>
      </w:pPr>
      <w:r w:rsidRPr="009921B4">
        <w:rPr>
          <w:rFonts w:cstheme="minorHAnsi"/>
          <w:sz w:val="36"/>
          <w:szCs w:val="36"/>
        </w:rPr>
        <w:t xml:space="preserve">Welsh Government (2020) </w:t>
      </w:r>
      <w:r w:rsidRPr="009921B4">
        <w:rPr>
          <w:rFonts w:cstheme="minorHAnsi"/>
          <w:i/>
          <w:iCs/>
          <w:sz w:val="36"/>
          <w:szCs w:val="36"/>
        </w:rPr>
        <w:t xml:space="preserve">Developing a Vision for Curriculum Design. </w:t>
      </w:r>
      <w:r w:rsidRPr="009921B4">
        <w:rPr>
          <w:rFonts w:cstheme="minorHAnsi"/>
          <w:sz w:val="36"/>
          <w:szCs w:val="36"/>
        </w:rPr>
        <w:t xml:space="preserve">Available at: </w:t>
      </w:r>
      <w:hyperlink w:history="1" r:id="rId14">
        <w:r w:rsidRPr="009921B4">
          <w:rPr>
            <w:rStyle w:val="Hyperlink"/>
            <w:rFonts w:cstheme="minorHAnsi"/>
            <w:sz w:val="36"/>
            <w:szCs w:val="36"/>
          </w:rPr>
          <w:t>https://hwb.gov.wales/curriculum-for-wales/designing-your-curriculum/developing-a-vision-for-curriculum-design#curriculum-design-and-the-four-purposes</w:t>
        </w:r>
      </w:hyperlink>
      <w:r w:rsidRPr="009921B4">
        <w:rPr>
          <w:rFonts w:cstheme="minorHAnsi"/>
          <w:sz w:val="36"/>
          <w:szCs w:val="36"/>
        </w:rPr>
        <w:t xml:space="preserve"> (Accessed: 22</w:t>
      </w:r>
      <w:r w:rsidRPr="009921B4">
        <w:rPr>
          <w:rFonts w:cstheme="minorHAnsi"/>
          <w:sz w:val="36"/>
          <w:szCs w:val="36"/>
          <w:vertAlign w:val="superscript"/>
        </w:rPr>
        <w:t>nd</w:t>
      </w:r>
      <w:r w:rsidRPr="009921B4">
        <w:rPr>
          <w:rFonts w:cstheme="minorHAnsi"/>
          <w:sz w:val="36"/>
          <w:szCs w:val="36"/>
        </w:rPr>
        <w:t xml:space="preserve"> April 2025).</w:t>
      </w:r>
    </w:p>
    <w:p w:rsidRPr="009921B4" w:rsidR="003D5FA0" w:rsidP="003D5FA0" w:rsidRDefault="003D5FA0" w14:paraId="3CBD97A6" w14:textId="77777777">
      <w:pPr>
        <w:rPr>
          <w:rFonts w:cstheme="minorHAnsi"/>
          <w:sz w:val="36"/>
          <w:szCs w:val="36"/>
        </w:rPr>
      </w:pPr>
    </w:p>
    <w:p w:rsidRPr="009921B4" w:rsidR="003D5FA0" w:rsidP="003D5FA0" w:rsidRDefault="003D5FA0" w14:paraId="506F81BD" w14:textId="77777777">
      <w:pPr>
        <w:rPr>
          <w:rFonts w:cstheme="minorHAnsi"/>
          <w:sz w:val="36"/>
          <w:szCs w:val="36"/>
        </w:rPr>
      </w:pPr>
      <w:r w:rsidRPr="009921B4">
        <w:rPr>
          <w:rStyle w:val="normaltextrun"/>
          <w:rFonts w:cstheme="minorHAnsi"/>
          <w:sz w:val="36"/>
          <w:szCs w:val="36"/>
        </w:rPr>
        <w:t xml:space="preserve">Welsh Government (2015) </w:t>
      </w:r>
      <w:r w:rsidRPr="009921B4">
        <w:rPr>
          <w:rStyle w:val="normaltextrun"/>
          <w:rFonts w:cstheme="minorHAnsi"/>
          <w:i/>
          <w:iCs/>
          <w:sz w:val="36"/>
          <w:szCs w:val="36"/>
        </w:rPr>
        <w:t>Effective use of data and research evidence</w:t>
      </w:r>
      <w:r w:rsidRPr="009921B4">
        <w:rPr>
          <w:rStyle w:val="normaltextrun"/>
          <w:rFonts w:cstheme="minorHAnsi"/>
          <w:sz w:val="36"/>
          <w:szCs w:val="36"/>
        </w:rPr>
        <w:t>. Cardiff: Welsh Government. pp. 26-27.</w:t>
      </w:r>
      <w:r w:rsidRPr="009921B4">
        <w:rPr>
          <w:rStyle w:val="normaltextrun"/>
          <w:rFonts w:ascii="Arial" w:hAnsi="Arial" w:cs="Arial"/>
          <w:sz w:val="36"/>
          <w:szCs w:val="36"/>
        </w:rPr>
        <w:t> </w:t>
      </w:r>
      <w:r w:rsidRPr="009921B4">
        <w:rPr>
          <w:rStyle w:val="eop"/>
          <w:rFonts w:cstheme="minorHAnsi"/>
          <w:sz w:val="36"/>
          <w:szCs w:val="36"/>
        </w:rPr>
        <w:t> </w:t>
      </w:r>
    </w:p>
    <w:p w:rsidR="003D5FA0" w:rsidP="003D5FA0" w:rsidRDefault="003D5FA0" w14:paraId="60D0FF9B" w14:textId="77777777">
      <w:pPr>
        <w:rPr>
          <w:sz w:val="36"/>
          <w:szCs w:val="36"/>
        </w:rPr>
      </w:pPr>
    </w:p>
    <w:p w:rsidR="003D5FA0" w:rsidP="003D5FA0" w:rsidRDefault="003D5FA0" w14:paraId="4CEAD63E" w14:textId="77777777">
      <w:pPr>
        <w:rPr>
          <w:sz w:val="36"/>
          <w:szCs w:val="36"/>
        </w:rPr>
      </w:pPr>
    </w:p>
    <w:p w:rsidR="003D5FA0" w:rsidP="003D5FA0" w:rsidRDefault="003D5FA0" w14:paraId="6829E8CE" w14:textId="77777777">
      <w:pPr>
        <w:rPr>
          <w:sz w:val="36"/>
          <w:szCs w:val="36"/>
        </w:rPr>
      </w:pPr>
    </w:p>
    <w:p w:rsidR="003D5FA0" w:rsidP="003D5FA0" w:rsidRDefault="003D5FA0" w14:paraId="2AD51056" w14:textId="77777777">
      <w:pPr>
        <w:rPr>
          <w:sz w:val="36"/>
          <w:szCs w:val="36"/>
        </w:rPr>
      </w:pPr>
    </w:p>
    <w:p w:rsidR="003D5FA0" w:rsidP="003D5FA0" w:rsidRDefault="003D5FA0" w14:paraId="4AE0837D" w14:textId="77777777">
      <w:pPr>
        <w:rPr>
          <w:sz w:val="36"/>
          <w:szCs w:val="36"/>
        </w:rPr>
      </w:pPr>
    </w:p>
    <w:p w:rsidR="003D5FA0" w:rsidP="003D5FA0" w:rsidRDefault="003D5FA0" w14:paraId="222140DB" w14:textId="77777777">
      <w:pPr>
        <w:rPr>
          <w:sz w:val="36"/>
          <w:szCs w:val="36"/>
        </w:rPr>
      </w:pPr>
    </w:p>
    <w:p w:rsidR="003D5FA0" w:rsidP="003D5FA0" w:rsidRDefault="003D5FA0" w14:paraId="70C1E15B" w14:textId="77777777">
      <w:pPr>
        <w:rPr>
          <w:sz w:val="36"/>
          <w:szCs w:val="36"/>
        </w:rPr>
      </w:pPr>
    </w:p>
    <w:p w:rsidR="003D5FA0" w:rsidP="003D5FA0" w:rsidRDefault="003D5FA0" w14:paraId="58EF4B0E" w14:textId="77777777">
      <w:pPr>
        <w:rPr>
          <w:sz w:val="36"/>
          <w:szCs w:val="36"/>
        </w:rPr>
      </w:pPr>
    </w:p>
    <w:p w:rsidR="003D5FA0" w:rsidP="003D5FA0" w:rsidRDefault="003D5FA0" w14:paraId="1FDDC11F" w14:textId="77777777">
      <w:pPr>
        <w:rPr>
          <w:sz w:val="36"/>
          <w:szCs w:val="36"/>
        </w:rPr>
      </w:pPr>
    </w:p>
    <w:p w:rsidRPr="00144263" w:rsidR="003D5FA0" w:rsidP="655F7CC0" w:rsidRDefault="003D5FA0" w14:paraId="37ED48FF" w14:textId="4D755D42">
      <w:pPr>
        <w:rPr>
          <w:b w:val="1"/>
          <w:bCs w:val="1"/>
          <w:sz w:val="40"/>
          <w:szCs w:val="40"/>
          <w:u w:val="single"/>
        </w:rPr>
      </w:pPr>
    </w:p>
    <w:p w:rsidRPr="00144263" w:rsidR="003D5FA0" w:rsidP="655F7CC0" w:rsidRDefault="003D5FA0" w14:paraId="73FAB3B1" w14:textId="79D95A07">
      <w:pPr>
        <w:rPr>
          <w:b w:val="1"/>
          <w:bCs w:val="1"/>
          <w:sz w:val="40"/>
          <w:szCs w:val="40"/>
          <w:u w:val="single"/>
        </w:rPr>
      </w:pPr>
    </w:p>
    <w:p w:rsidRPr="00144263" w:rsidR="003D5FA0" w:rsidP="655F7CC0" w:rsidRDefault="003D5FA0" w14:paraId="712995C4" w14:textId="7BEFFBF3">
      <w:pPr>
        <w:rPr>
          <w:b w:val="1"/>
          <w:bCs w:val="1"/>
          <w:sz w:val="40"/>
          <w:szCs w:val="40"/>
          <w:u w:val="single"/>
        </w:rPr>
      </w:pPr>
    </w:p>
    <w:p w:rsidRPr="00144263" w:rsidR="003D5FA0" w:rsidP="655F7CC0" w:rsidRDefault="003D5FA0" w14:paraId="1A29988A" w14:textId="60E0CB66">
      <w:pPr>
        <w:rPr>
          <w:b w:val="1"/>
          <w:bCs w:val="1"/>
          <w:sz w:val="40"/>
          <w:szCs w:val="40"/>
          <w:u w:val="single"/>
        </w:rPr>
      </w:pPr>
    </w:p>
    <w:p w:rsidRPr="00144263" w:rsidR="003D5FA0" w:rsidP="655F7CC0" w:rsidRDefault="003D5FA0" w14:paraId="0F12D7FD" w14:textId="7B21D629">
      <w:pPr>
        <w:rPr>
          <w:b w:val="1"/>
          <w:bCs w:val="1"/>
          <w:sz w:val="40"/>
          <w:szCs w:val="40"/>
          <w:u w:val="single"/>
        </w:rPr>
      </w:pPr>
    </w:p>
    <w:p w:rsidRPr="00144263" w:rsidR="003D5FA0" w:rsidP="655F7CC0" w:rsidRDefault="003D5FA0" w14:paraId="19467DAF" w14:textId="1C9F68BB">
      <w:pPr>
        <w:pStyle w:val="Normal"/>
        <w:rPr>
          <w:b w:val="1"/>
          <w:bCs w:val="1"/>
          <w:sz w:val="40"/>
          <w:szCs w:val="40"/>
          <w:u w:val="single"/>
        </w:rPr>
      </w:pPr>
      <w:r w:rsidRPr="655F7CC0" w:rsidR="003D5FA0">
        <w:rPr>
          <w:b w:val="1"/>
          <w:bCs w:val="1"/>
          <w:sz w:val="40"/>
          <w:szCs w:val="40"/>
          <w:u w:val="single"/>
        </w:rPr>
        <w:t>Appendix</w:t>
      </w:r>
    </w:p>
    <w:p w:rsidR="003D5FA0" w:rsidP="003D5FA0" w:rsidRDefault="003D5FA0" w14:paraId="405057A0" w14:textId="77777777">
      <w:pPr>
        <w:rPr>
          <w:sz w:val="36"/>
          <w:szCs w:val="36"/>
        </w:rPr>
      </w:pPr>
      <w:r w:rsidRPr="006B575C">
        <w:rPr>
          <w:sz w:val="36"/>
          <w:szCs w:val="36"/>
        </w:rPr>
        <w:drawing>
          <wp:anchor distT="0" distB="0" distL="114300" distR="114300" simplePos="0" relativeHeight="251659264" behindDoc="0" locked="0" layoutInCell="1" allowOverlap="1" wp14:anchorId="2126A814" wp14:editId="630AC2D5">
            <wp:simplePos x="0" y="0"/>
            <wp:positionH relativeFrom="column">
              <wp:posOffset>-805381</wp:posOffset>
            </wp:positionH>
            <wp:positionV relativeFrom="paragraph">
              <wp:posOffset>206642</wp:posOffset>
            </wp:positionV>
            <wp:extent cx="7319776" cy="4655754"/>
            <wp:effectExtent l="0" t="0" r="0" b="5715"/>
            <wp:wrapNone/>
            <wp:docPr id="1003717234"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717234" name="Picture 1" descr="A white sheet of paper with black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319776" cy="4655754"/>
                    </a:xfrm>
                    <a:prstGeom prst="rect">
                      <a:avLst/>
                    </a:prstGeom>
                  </pic:spPr>
                </pic:pic>
              </a:graphicData>
            </a:graphic>
            <wp14:sizeRelH relativeFrom="page">
              <wp14:pctWidth>0</wp14:pctWidth>
            </wp14:sizeRelH>
            <wp14:sizeRelV relativeFrom="page">
              <wp14:pctHeight>0</wp14:pctHeight>
            </wp14:sizeRelV>
          </wp:anchor>
        </w:drawing>
      </w:r>
    </w:p>
    <w:p w:rsidR="003D5FA0" w:rsidP="003D5FA0" w:rsidRDefault="003D5FA0" w14:paraId="653E5FAD" w14:textId="77777777">
      <w:pPr>
        <w:rPr>
          <w:sz w:val="36"/>
          <w:szCs w:val="36"/>
        </w:rPr>
      </w:pPr>
    </w:p>
    <w:p w:rsidR="003D5FA0" w:rsidP="003D5FA0" w:rsidRDefault="003D5FA0" w14:paraId="24E965C9" w14:textId="77777777">
      <w:pPr>
        <w:rPr>
          <w:sz w:val="36"/>
          <w:szCs w:val="36"/>
        </w:rPr>
      </w:pPr>
    </w:p>
    <w:p w:rsidR="003D5FA0" w:rsidP="003D5FA0" w:rsidRDefault="003D5FA0" w14:paraId="28F2A61D" w14:textId="77777777">
      <w:pPr>
        <w:rPr>
          <w:sz w:val="36"/>
          <w:szCs w:val="36"/>
        </w:rPr>
      </w:pPr>
    </w:p>
    <w:p w:rsidRPr="00A217A5" w:rsidR="003D5FA0" w:rsidP="003D5FA0" w:rsidRDefault="003D5FA0" w14:paraId="7FDB750E" w14:textId="77777777">
      <w:pPr>
        <w:rPr>
          <w:sz w:val="36"/>
          <w:szCs w:val="36"/>
        </w:rPr>
      </w:pPr>
      <w:r w:rsidRPr="00043479">
        <w:rPr>
          <w:sz w:val="36"/>
          <w:szCs w:val="36"/>
        </w:rPr>
        <w:drawing>
          <wp:anchor distT="0" distB="0" distL="114300" distR="114300" simplePos="0" relativeHeight="251660288" behindDoc="0" locked="0" layoutInCell="1" allowOverlap="1" wp14:anchorId="2EE14EBB" wp14:editId="14961E40">
            <wp:simplePos x="0" y="0"/>
            <wp:positionH relativeFrom="column">
              <wp:posOffset>-806216</wp:posOffset>
            </wp:positionH>
            <wp:positionV relativeFrom="paragraph">
              <wp:posOffset>3747870</wp:posOffset>
            </wp:positionV>
            <wp:extent cx="7353066" cy="755999"/>
            <wp:effectExtent l="0" t="0" r="635" b="6350"/>
            <wp:wrapNone/>
            <wp:docPr id="1441890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890900" name=""/>
                    <pic:cNvPicPr/>
                  </pic:nvPicPr>
                  <pic:blipFill>
                    <a:blip r:embed="rId16">
                      <a:extLst>
                        <a:ext uri="{28A0092B-C50C-407E-A947-70E740481C1C}">
                          <a14:useLocalDpi xmlns:a14="http://schemas.microsoft.com/office/drawing/2010/main" val="0"/>
                        </a:ext>
                      </a:extLst>
                    </a:blip>
                    <a:stretch>
                      <a:fillRect/>
                    </a:stretch>
                  </pic:blipFill>
                  <pic:spPr>
                    <a:xfrm>
                      <a:off x="0" y="0"/>
                      <a:ext cx="7353066" cy="755999"/>
                    </a:xfrm>
                    <a:prstGeom prst="rect">
                      <a:avLst/>
                    </a:prstGeom>
                  </pic:spPr>
                </pic:pic>
              </a:graphicData>
            </a:graphic>
            <wp14:sizeRelH relativeFrom="page">
              <wp14:pctWidth>0</wp14:pctWidth>
            </wp14:sizeRelH>
            <wp14:sizeRelV relativeFrom="page">
              <wp14:pctHeight>0</wp14:pctHeight>
            </wp14:sizeRelV>
          </wp:anchor>
        </w:drawing>
      </w:r>
    </w:p>
    <w:p w:rsidRPr="0000375B" w:rsidR="0000375B" w:rsidP="0000375B" w:rsidRDefault="0000375B" w14:paraId="3729DB03" w14:textId="77777777"/>
    <w:p w:rsidR="000C541C" w:rsidP="00DD5969" w:rsidRDefault="000C541C" w14:paraId="00FCD18B" w14:textId="77777777">
      <w:pPr>
        <w:rPr>
          <w:sz w:val="16"/>
          <w:szCs w:val="16"/>
        </w:rPr>
      </w:pPr>
    </w:p>
    <w:p w:rsidR="0000375B" w:rsidP="00DD5969" w:rsidRDefault="0000375B" w14:paraId="6EA9A853" w14:textId="77777777">
      <w:pPr>
        <w:rPr>
          <w:sz w:val="16"/>
          <w:szCs w:val="16"/>
        </w:rPr>
      </w:pPr>
    </w:p>
    <w:p w:rsidRPr="00B103B9" w:rsidR="0000375B" w:rsidP="00DD5969" w:rsidRDefault="0000375B" w14:paraId="32F37250" w14:textId="77777777">
      <w:pPr>
        <w:rPr>
          <w:sz w:val="16"/>
          <w:szCs w:val="16"/>
        </w:rPr>
      </w:pPr>
    </w:p>
    <w:sectPr w:rsidRPr="00B103B9" w:rsidR="0000375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int2:observations>
    <int2:textHash int2:hashCode="mco0m78CU9wN+k" int2:id="RfUshyJz">
      <int2:state int2:type="AugLoop_Text_Critique" int2:value="Rejected"/>
    </int2:textHash>
    <int2:textHash int2:hashCode="Vbw+toh5EH5XIY" int2:id="Pw9IsCBl">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33278"/>
    <w:rsid w:val="00053A58"/>
    <w:rsid w:val="00061BBC"/>
    <w:rsid w:val="00063ADC"/>
    <w:rsid w:val="0007198D"/>
    <w:rsid w:val="00081736"/>
    <w:rsid w:val="000A2E17"/>
    <w:rsid w:val="000A470F"/>
    <w:rsid w:val="000C144A"/>
    <w:rsid w:val="000C541C"/>
    <w:rsid w:val="000C554A"/>
    <w:rsid w:val="000C68CB"/>
    <w:rsid w:val="000D5B34"/>
    <w:rsid w:val="000E1877"/>
    <w:rsid w:val="0010406A"/>
    <w:rsid w:val="001118FB"/>
    <w:rsid w:val="00115538"/>
    <w:rsid w:val="00135DD1"/>
    <w:rsid w:val="001819DF"/>
    <w:rsid w:val="001B086C"/>
    <w:rsid w:val="001B78C3"/>
    <w:rsid w:val="001C6E70"/>
    <w:rsid w:val="00262DC1"/>
    <w:rsid w:val="00274F57"/>
    <w:rsid w:val="0027544B"/>
    <w:rsid w:val="002A12E2"/>
    <w:rsid w:val="002C05B1"/>
    <w:rsid w:val="002C08DF"/>
    <w:rsid w:val="002D7FD2"/>
    <w:rsid w:val="002F243A"/>
    <w:rsid w:val="00301906"/>
    <w:rsid w:val="00302BB1"/>
    <w:rsid w:val="00322A3A"/>
    <w:rsid w:val="003341DF"/>
    <w:rsid w:val="00340756"/>
    <w:rsid w:val="00347EA1"/>
    <w:rsid w:val="00382546"/>
    <w:rsid w:val="003A709B"/>
    <w:rsid w:val="003D223A"/>
    <w:rsid w:val="003D3092"/>
    <w:rsid w:val="003D5FA0"/>
    <w:rsid w:val="003F0757"/>
    <w:rsid w:val="003F6201"/>
    <w:rsid w:val="00417AB6"/>
    <w:rsid w:val="00435D86"/>
    <w:rsid w:val="0045066A"/>
    <w:rsid w:val="004826F2"/>
    <w:rsid w:val="00483AD0"/>
    <w:rsid w:val="004947F2"/>
    <w:rsid w:val="004D474C"/>
    <w:rsid w:val="00504E58"/>
    <w:rsid w:val="00536CFB"/>
    <w:rsid w:val="00543F5E"/>
    <w:rsid w:val="00584970"/>
    <w:rsid w:val="00586A3E"/>
    <w:rsid w:val="005B783A"/>
    <w:rsid w:val="005F42D0"/>
    <w:rsid w:val="005F7C42"/>
    <w:rsid w:val="0062310A"/>
    <w:rsid w:val="006639AB"/>
    <w:rsid w:val="00664B16"/>
    <w:rsid w:val="00697559"/>
    <w:rsid w:val="006B52C3"/>
    <w:rsid w:val="007203C3"/>
    <w:rsid w:val="007352C0"/>
    <w:rsid w:val="00743752"/>
    <w:rsid w:val="007D3AE1"/>
    <w:rsid w:val="007E01E0"/>
    <w:rsid w:val="00803155"/>
    <w:rsid w:val="00835DE2"/>
    <w:rsid w:val="00840BEE"/>
    <w:rsid w:val="00851EDB"/>
    <w:rsid w:val="00863525"/>
    <w:rsid w:val="008F1086"/>
    <w:rsid w:val="009060A0"/>
    <w:rsid w:val="0091355A"/>
    <w:rsid w:val="00917008"/>
    <w:rsid w:val="00920A92"/>
    <w:rsid w:val="00935B8D"/>
    <w:rsid w:val="009A2A6C"/>
    <w:rsid w:val="009B164A"/>
    <w:rsid w:val="00A23D6E"/>
    <w:rsid w:val="00A819B0"/>
    <w:rsid w:val="00AD7313"/>
    <w:rsid w:val="00AE2AA9"/>
    <w:rsid w:val="00AE3307"/>
    <w:rsid w:val="00B028A8"/>
    <w:rsid w:val="00B103B9"/>
    <w:rsid w:val="00B51B61"/>
    <w:rsid w:val="00B57D8D"/>
    <w:rsid w:val="00B724BB"/>
    <w:rsid w:val="00B746D2"/>
    <w:rsid w:val="00B754D5"/>
    <w:rsid w:val="00BE2A35"/>
    <w:rsid w:val="00BE3554"/>
    <w:rsid w:val="00C11682"/>
    <w:rsid w:val="00C129B8"/>
    <w:rsid w:val="00C24461"/>
    <w:rsid w:val="00C2550A"/>
    <w:rsid w:val="00C4699D"/>
    <w:rsid w:val="00C57314"/>
    <w:rsid w:val="00C82A47"/>
    <w:rsid w:val="00CC661D"/>
    <w:rsid w:val="00CE3339"/>
    <w:rsid w:val="00CF32AC"/>
    <w:rsid w:val="00D0144B"/>
    <w:rsid w:val="00D01B56"/>
    <w:rsid w:val="00D24ADF"/>
    <w:rsid w:val="00D26517"/>
    <w:rsid w:val="00DB4176"/>
    <w:rsid w:val="00DC55F3"/>
    <w:rsid w:val="00DD5969"/>
    <w:rsid w:val="00E10797"/>
    <w:rsid w:val="00E243A8"/>
    <w:rsid w:val="00E25CA9"/>
    <w:rsid w:val="00E671B6"/>
    <w:rsid w:val="00E6747C"/>
    <w:rsid w:val="00E77FA1"/>
    <w:rsid w:val="00EA0B9A"/>
    <w:rsid w:val="00EA15D1"/>
    <w:rsid w:val="00EA6220"/>
    <w:rsid w:val="00EC1771"/>
    <w:rsid w:val="00EC1FA7"/>
    <w:rsid w:val="00F55674"/>
    <w:rsid w:val="00F62F80"/>
    <w:rsid w:val="00F8089C"/>
    <w:rsid w:val="00F934CF"/>
    <w:rsid w:val="00FB35FD"/>
    <w:rsid w:val="0B8856FE"/>
    <w:rsid w:val="0C59DC4C"/>
    <w:rsid w:val="1167F753"/>
    <w:rsid w:val="166F8BFC"/>
    <w:rsid w:val="22A997A6"/>
    <w:rsid w:val="24F28462"/>
    <w:rsid w:val="3AE150AB"/>
    <w:rsid w:val="4E192CFA"/>
    <w:rsid w:val="572D6E05"/>
    <w:rsid w:val="5A8878AF"/>
    <w:rsid w:val="60D57A1A"/>
    <w:rsid w:val="6204ED09"/>
    <w:rsid w:val="655F7CC0"/>
    <w:rsid w:val="66FB7D39"/>
    <w:rsid w:val="70C0A642"/>
    <w:rsid w:val="7B0955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68C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C68C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3D5FA0"/>
    <w:rPr>
      <w:color w:val="467886" w:themeColor="hyperlink"/>
      <w:u w:val="single"/>
    </w:rPr>
  </w:style>
  <w:style w:type="character" w:styleId="UnresolvedMention">
    <w:name w:val="Unresolved Mention"/>
    <w:basedOn w:val="DefaultParagraphFont"/>
    <w:uiPriority w:val="99"/>
    <w:semiHidden/>
    <w:unhideWhenUsed/>
    <w:rsid w:val="003D5FA0"/>
    <w:rPr>
      <w:color w:val="605E5C"/>
      <w:shd w:val="clear" w:color="auto" w:fill="E1DFDD"/>
    </w:rPr>
  </w:style>
  <w:style w:type="character" w:styleId="FollowedHyperlink">
    <w:name w:val="FollowedHyperlink"/>
    <w:basedOn w:val="DefaultParagraphFont"/>
    <w:uiPriority w:val="99"/>
    <w:semiHidden/>
    <w:unhideWhenUsed/>
    <w:rsid w:val="003D5FA0"/>
    <w:rPr>
      <w:color w:val="96607D" w:themeColor="followedHyperlink"/>
      <w:u w:val="single"/>
    </w:rPr>
  </w:style>
  <w:style w:type="paragraph" w:styleId="NormalWeb">
    <w:name w:val="Normal (Web)"/>
    <w:basedOn w:val="Normal"/>
    <w:uiPriority w:val="99"/>
    <w:unhideWhenUsed/>
    <w:rsid w:val="003D5FA0"/>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apple-converted-space" w:customStyle="1">
    <w:name w:val="apple-converted-space"/>
    <w:basedOn w:val="DefaultParagraphFont"/>
    <w:rsid w:val="003D5FA0"/>
  </w:style>
  <w:style w:type="character" w:styleId="normaltextrun" w:customStyle="1">
    <w:name w:val="normaltextrun"/>
    <w:basedOn w:val="DefaultParagraphFont"/>
    <w:rsid w:val="003D5FA0"/>
  </w:style>
  <w:style w:type="character" w:styleId="eop" w:customStyle="1">
    <w:name w:val="eop"/>
    <w:basedOn w:val="DefaultParagraphFont"/>
    <w:rsid w:val="003D5F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fer.ac.uk/publications/impact-of-school-gardening-on-learning/" TargetMode="External" Id="rId8" /><Relationship Type="http://schemas.openxmlformats.org/officeDocument/2006/relationships/hyperlink" Target="https://www.unicef.org.uk/what-we-do/un-convention-child-rights/" TargetMode="External" Id="rId13" /><Relationship Type="http://schemas.openxmlformats.org/officeDocument/2006/relationships/theme" Target="theme/theme1.xml" Id="rId18" /><Relationship Type="http://schemas.openxmlformats.org/officeDocument/2006/relationships/webSettings" Target="webSettings.xml" Id="rId3" /><Relationship Type="http://schemas.openxmlformats.org/officeDocument/2006/relationships/hyperlink" Target="https://www.estyn.llyw.cymru/system/files/2024-03/Inspection%20report%20Blaengarw%20Primary%20School%202024.pdf" TargetMode="External" Id="rId7" /><Relationship Type="http://schemas.openxmlformats.org/officeDocument/2006/relationships/hyperlink" Target="https://www.foodforlife.org.uk/" TargetMode="External" Id="rId12" /><Relationship Type="http://schemas.openxmlformats.org/officeDocument/2006/relationships/fontTable" Target="fontTable.xml" Id="rId17" /><Relationship Type="http://schemas.openxmlformats.org/officeDocument/2006/relationships/settings" Target="settings.xml" Id="rId2" /><Relationship Type="http://schemas.openxmlformats.org/officeDocument/2006/relationships/image" Target="media/image3.png" Id="rId16" /><Relationship Type="http://schemas.openxmlformats.org/officeDocument/2006/relationships/styles" Target="styles.xml" Id="rId1" /><Relationship Type="http://schemas.openxmlformats.org/officeDocument/2006/relationships/hyperlink" Target="https://www.elsa-support.co.uk/gardening-for-social-and-emotional-skills/#:~:text=Problem%2Dsolving%3A%20Gardening%20presents%20children,the%20ability%20to%20find%20solutions" TargetMode="External" Id="rId6" /><Relationship Type="http://schemas.openxmlformats.org/officeDocument/2006/relationships/hyperlink" Target="https://www.nfer.ac.uk/media/2bch4tqy/impact_of_school_gardening_on_learning.pdf" TargetMode="External" Id="rId11" /><Relationship Type="http://schemas.openxmlformats.org/officeDocument/2006/relationships/hyperlink" Target="https://www.blaengarwprimary.co.uk" TargetMode="External" Id="rId5" /><Relationship Type="http://schemas.openxmlformats.org/officeDocument/2006/relationships/image" Target="media/image2.png" Id="rId15" /><Relationship Type="http://schemas.openxmlformats.org/officeDocument/2006/relationships/hyperlink" Target="https://phw.nhs.wales/services-and-teams/improvement-cymru/improvement-cymru-academy1/resource-library/academy-toolkit-guides/swot-analysis-toolkit/" TargetMode="External" Id="rId10" /><Relationship Type="http://schemas.openxmlformats.org/officeDocument/2006/relationships/image" Target="media/image1.png" Id="rId4" /><Relationship Type="http://schemas.openxmlformats.org/officeDocument/2006/relationships/hyperlink" Target="https://www.nhs.uk/live-well/exercise/physical-activity-guidelines-children-and-young-people/" TargetMode="External" Id="rId9" /><Relationship Type="http://schemas.openxmlformats.org/officeDocument/2006/relationships/hyperlink" Target="https://hwb.gov.wales/curriculum-for-wales/designing-your-curriculum/developing-a-vision-for-curriculum-design#curriculum-design-and-the-four-purposes" TargetMode="External" Id="rId14" /><Relationship Type="http://schemas.microsoft.com/office/2020/10/relationships/intelligence" Target="intelligence2.xml" Id="Raf4b776d37d547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Stella Griffiths (2305515)</lastModifiedBy>
  <revision>50</revision>
  <dcterms:created xsi:type="dcterms:W3CDTF">2025-05-06T11:08:00.0000000Z</dcterms:created>
  <dcterms:modified xsi:type="dcterms:W3CDTF">2025-05-06T12:00:19.7376633Z</dcterms:modified>
</coreProperties>
</file>