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1A56B2FD" wp14:paraId="429A43C5" wp14:textId="601D4CB1">
      <w:pPr>
        <w:jc w:val="center"/>
        <w:rPr>
          <w:rFonts w:ascii="Arial Nova" w:hAnsi="Arial Nova" w:eastAsia="Arial Nova" w:cs="Arial Nova"/>
          <w:sz w:val="28"/>
          <w:szCs w:val="28"/>
        </w:rPr>
      </w:pPr>
      <w:r w:rsidRPr="1A56B2FD" w:rsidR="2ED8C29A">
        <w:rPr>
          <w:rFonts w:ascii="Arial Nova" w:hAnsi="Arial Nova" w:eastAsia="Arial Nova" w:cs="Arial Nova"/>
          <w:sz w:val="28"/>
          <w:szCs w:val="28"/>
        </w:rPr>
        <w:t xml:space="preserve">The </w:t>
      </w:r>
      <w:r w:rsidRPr="1A56B2FD" w:rsidR="0A9E1707">
        <w:rPr>
          <w:rFonts w:ascii="Arial Nova" w:hAnsi="Arial Nova" w:eastAsia="Arial Nova" w:cs="Arial Nova"/>
          <w:sz w:val="28"/>
          <w:szCs w:val="28"/>
        </w:rPr>
        <w:t>E</w:t>
      </w:r>
      <w:r w:rsidRPr="1A56B2FD" w:rsidR="2ED8C29A">
        <w:rPr>
          <w:rFonts w:ascii="Arial Nova" w:hAnsi="Arial Nova" w:eastAsia="Arial Nova" w:cs="Arial Nova"/>
          <w:sz w:val="28"/>
          <w:szCs w:val="28"/>
        </w:rPr>
        <w:t xml:space="preserve">ffect of </w:t>
      </w:r>
      <w:r w:rsidRPr="1A56B2FD" w:rsidR="3D819F4C">
        <w:rPr>
          <w:rFonts w:ascii="Arial Nova" w:hAnsi="Arial Nova" w:eastAsia="Arial Nova" w:cs="Arial Nova"/>
          <w:sz w:val="28"/>
          <w:szCs w:val="28"/>
        </w:rPr>
        <w:t>E</w:t>
      </w:r>
      <w:r w:rsidRPr="1A56B2FD" w:rsidR="2ED8C29A">
        <w:rPr>
          <w:rFonts w:ascii="Arial Nova" w:hAnsi="Arial Nova" w:eastAsia="Arial Nova" w:cs="Arial Nova"/>
          <w:sz w:val="28"/>
          <w:szCs w:val="28"/>
        </w:rPr>
        <w:t xml:space="preserve">ffleurage, </w:t>
      </w:r>
      <w:r w:rsidRPr="1A56B2FD" w:rsidR="203D2A02">
        <w:rPr>
          <w:rFonts w:ascii="Arial Nova" w:hAnsi="Arial Nova" w:eastAsia="Arial Nova" w:cs="Arial Nova"/>
          <w:sz w:val="28"/>
          <w:szCs w:val="28"/>
        </w:rPr>
        <w:t>T</w:t>
      </w:r>
      <w:r w:rsidRPr="1A56B2FD" w:rsidR="2ED8C29A">
        <w:rPr>
          <w:rFonts w:ascii="Arial Nova" w:hAnsi="Arial Nova" w:eastAsia="Arial Nova" w:cs="Arial Nova"/>
          <w:sz w:val="28"/>
          <w:szCs w:val="28"/>
        </w:rPr>
        <w:t xml:space="preserve">rigger </w:t>
      </w:r>
      <w:r w:rsidRPr="1A56B2FD" w:rsidR="28400F08">
        <w:rPr>
          <w:rFonts w:ascii="Arial Nova" w:hAnsi="Arial Nova" w:eastAsia="Arial Nova" w:cs="Arial Nova"/>
          <w:sz w:val="28"/>
          <w:szCs w:val="28"/>
        </w:rPr>
        <w:t>P</w:t>
      </w:r>
      <w:r w:rsidRPr="1A56B2FD" w:rsidR="2ED8C29A">
        <w:rPr>
          <w:rFonts w:ascii="Arial Nova" w:hAnsi="Arial Nova" w:eastAsia="Arial Nova" w:cs="Arial Nova"/>
          <w:sz w:val="28"/>
          <w:szCs w:val="28"/>
        </w:rPr>
        <w:t xml:space="preserve">oint </w:t>
      </w:r>
      <w:r w:rsidRPr="1A56B2FD" w:rsidR="59A2A3ED">
        <w:rPr>
          <w:rFonts w:ascii="Arial Nova" w:hAnsi="Arial Nova" w:eastAsia="Arial Nova" w:cs="Arial Nova"/>
          <w:sz w:val="28"/>
          <w:szCs w:val="28"/>
        </w:rPr>
        <w:t>T</w:t>
      </w:r>
      <w:r w:rsidRPr="1A56B2FD" w:rsidR="2ED8C29A">
        <w:rPr>
          <w:rFonts w:ascii="Arial Nova" w:hAnsi="Arial Nova" w:eastAsia="Arial Nova" w:cs="Arial Nova"/>
          <w:sz w:val="28"/>
          <w:szCs w:val="28"/>
        </w:rPr>
        <w:t xml:space="preserve">herapy and </w:t>
      </w:r>
      <w:r w:rsidRPr="1A56B2FD" w:rsidR="71AF3B0D">
        <w:rPr>
          <w:rFonts w:ascii="Arial Nova" w:hAnsi="Arial Nova" w:eastAsia="Arial Nova" w:cs="Arial Nova"/>
          <w:sz w:val="28"/>
          <w:szCs w:val="28"/>
        </w:rPr>
        <w:t>S</w:t>
      </w:r>
      <w:r w:rsidRPr="1A56B2FD" w:rsidR="2ED8C29A">
        <w:rPr>
          <w:rFonts w:ascii="Arial Nova" w:hAnsi="Arial Nova" w:eastAsia="Arial Nova" w:cs="Arial Nova"/>
          <w:sz w:val="28"/>
          <w:szCs w:val="28"/>
        </w:rPr>
        <w:t xml:space="preserve">pecific </w:t>
      </w:r>
      <w:r w:rsidRPr="1A56B2FD" w:rsidR="78541818">
        <w:rPr>
          <w:rFonts w:ascii="Arial Nova" w:hAnsi="Arial Nova" w:eastAsia="Arial Nova" w:cs="Arial Nova"/>
          <w:sz w:val="28"/>
          <w:szCs w:val="28"/>
        </w:rPr>
        <w:t>S</w:t>
      </w:r>
      <w:r w:rsidRPr="1A56B2FD" w:rsidR="2ED8C29A">
        <w:rPr>
          <w:rFonts w:ascii="Arial Nova" w:hAnsi="Arial Nova" w:eastAsia="Arial Nova" w:cs="Arial Nova"/>
          <w:sz w:val="28"/>
          <w:szCs w:val="28"/>
        </w:rPr>
        <w:t xml:space="preserve">oft </w:t>
      </w:r>
      <w:r w:rsidRPr="1A56B2FD" w:rsidR="689D7456">
        <w:rPr>
          <w:rFonts w:ascii="Arial Nova" w:hAnsi="Arial Nova" w:eastAsia="Arial Nova" w:cs="Arial Nova"/>
          <w:sz w:val="28"/>
          <w:szCs w:val="28"/>
        </w:rPr>
        <w:t>T</w:t>
      </w:r>
      <w:r w:rsidRPr="1A56B2FD" w:rsidR="2ED8C29A">
        <w:rPr>
          <w:rFonts w:ascii="Arial Nova" w:hAnsi="Arial Nova" w:eastAsia="Arial Nova" w:cs="Arial Nova"/>
          <w:sz w:val="28"/>
          <w:szCs w:val="28"/>
        </w:rPr>
        <w:t xml:space="preserve">issue </w:t>
      </w:r>
      <w:r w:rsidRPr="1A56B2FD" w:rsidR="2535B7AD">
        <w:rPr>
          <w:rFonts w:ascii="Arial Nova" w:hAnsi="Arial Nova" w:eastAsia="Arial Nova" w:cs="Arial Nova"/>
          <w:sz w:val="28"/>
          <w:szCs w:val="28"/>
        </w:rPr>
        <w:t>M</w:t>
      </w:r>
      <w:r w:rsidRPr="1A56B2FD" w:rsidR="2ED8C29A">
        <w:rPr>
          <w:rFonts w:ascii="Arial Nova" w:hAnsi="Arial Nova" w:eastAsia="Arial Nova" w:cs="Arial Nova"/>
          <w:sz w:val="28"/>
          <w:szCs w:val="28"/>
        </w:rPr>
        <w:t>obilisation</w:t>
      </w:r>
      <w:r w:rsidRPr="1A56B2FD" w:rsidR="2ED8C29A">
        <w:rPr>
          <w:rFonts w:ascii="Arial Nova" w:hAnsi="Arial Nova" w:eastAsia="Arial Nova" w:cs="Arial Nova"/>
          <w:sz w:val="28"/>
          <w:szCs w:val="28"/>
        </w:rPr>
        <w:t>.</w:t>
      </w:r>
    </w:p>
    <w:p xmlns:wp14="http://schemas.microsoft.com/office/word/2010/wordml" w:rsidP="1A56B2FD" wp14:paraId="2ABA646C" wp14:textId="227A7F9F">
      <w:pPr>
        <w:pStyle w:val="Normal"/>
      </w:pPr>
      <w:r w:rsidR="5D447885">
        <w:rPr/>
        <w:t xml:space="preserve">This essay will compare the soft tissue techniques: Effleurage, Compression/ Trigger point therapy and specific soft tissue mobilisation. I will look at studies on effleurage, Compression/ Trigger point therapy and specific soft tissue mobilisation. The definition of effleurage is a continuous gliding or stroking movement over the skin. Effleurage will be done at the start of a massage to apply mediums onto the skin, raise the tissue's temperature, and to link in other massage techniques throughout the massage. Liverpool Physio (2024). The reported benefits of effleurage are increased blood circulation and mechanical pumping action, increased tissue temperature, pain relief, improved venous return and lymphatic flow, and metabolic waste removal (Liverpool Physio (2024). Trigger points, also known as knots, and when compressed, can be painful locally, which is called latent or travel to another location, which is called active; the knots are in the taut band of the skeletal muscles. They can occur by acute trauma or repetitive loading of the muscle, treated using fingers, thumb, elbow or fist by applying a presser to the spot for 10 to 60 seconds within the pain threshold of 7/10, Wautersas, S. (2024), the reported benefits of trigger point reduced pain, relieve tight muscles and increases range of movement. Specific soft tissue mobilisation (SSTM) By using specific and graded force, pressure, and mobility to the soft tissues in the body. By using various techniques, such as physiological, accessory, or combination. The main goals of SSTM are to promote collagen synthesis, alignment, and bonding during the early stages of the healing process. It also aims to induce changes in the viscoelastic response of the tissues. SSTM helps improve tissue healing and remodelling and reduce pain, flexibility and function, Hunter. G. (1998). </w:t>
      </w:r>
    </w:p>
    <w:p xmlns:wp14="http://schemas.microsoft.com/office/word/2010/wordml" w:rsidP="1A56B2FD" wp14:paraId="14C6268C" wp14:textId="110C6611">
      <w:pPr>
        <w:pStyle w:val="Normal"/>
      </w:pPr>
      <w:r w:rsidR="5D447885">
        <w:rPr/>
        <w:t xml:space="preserve">Weerapong, P. Hume, P. A., Kolt, G.S. (2012) say that massage has an overall effect on muscle stiffness, increasing blood flow, increasing muscle temperature and increasing range of movement within the joint. As well as a positive effect on promoting the recovery of muscles. Post-exercise massage has been said to help with the pain of exercises. Massage has been used for years to promote relaxation.  </w:t>
      </w:r>
    </w:p>
    <w:p xmlns:wp14="http://schemas.microsoft.com/office/word/2010/wordml" w:rsidP="1A56B2FD" wp14:paraId="754E4D71" wp14:textId="5DFDC0AE">
      <w:pPr>
        <w:pStyle w:val="Normal"/>
      </w:pPr>
      <w:r w:rsidR="5D447885">
        <w:rPr/>
        <w:t xml:space="preserve"> </w:t>
      </w:r>
    </w:p>
    <w:p xmlns:wp14="http://schemas.microsoft.com/office/word/2010/wordml" w:rsidP="1A56B2FD" wp14:paraId="460E3096" wp14:textId="1BCDC293">
      <w:pPr>
        <w:pStyle w:val="Normal"/>
      </w:pPr>
      <w:r w:rsidR="5D447885">
        <w:rPr/>
        <w:t xml:space="preserve">Mancinelli, C.A. et al. (2006) The effects of massage on delayed onset muscle soreness and physical performance in female collegiate athletes. The main goal of this study was to see if getting a massage using effleurage and petrissage after exercises could help reduce delayed-onset muscle soreness (DOMS) and improve performance in female college athletes who played in basketball and volleyball in the NCAA Division 1. On the day they were expected to feel the most muscle soreness, 11 received thigh massage effleurage, petrissage, and friction, while the other 11 athletes in the control group just rested. The Results show that the control group showed a significant increase in shuttle run times, meaning they got slower (p=0.0354). On the other hand, the massage group experienced significant changes in vertical jump displacement (p=0.0033), perceived soreness (p=0.0011) and algometer readings (p=0.0461). Based on these findings, the study concludes that massage, like effleurage and petrissage, can be beneficial for reducing soreness and improving performance within vertical jumps in women collegiate athletes. The downside to this study is that the sample size is only 22 and has only female participants. </w:t>
      </w:r>
    </w:p>
    <w:p xmlns:wp14="http://schemas.microsoft.com/office/word/2010/wordml" w:rsidP="1A56B2FD" wp14:paraId="6BA5402E" wp14:textId="7EC8D9ED">
      <w:pPr>
        <w:pStyle w:val="Normal"/>
      </w:pPr>
      <w:r w:rsidR="5D447885">
        <w:rPr/>
        <w:t xml:space="preserve">Tiidus, P.M. and Shoemaker, J.K. (2007) did a study to determine if using effleurage in sports massage could assist in the long-term recovery of the quadriceps muscles after high-intensity exercises. The research was carried out for four days, during which one leg was massaged while the other was not. The study concluded that sports massage did not affect the strength and recovery of the quadriceps, but it helped reduce the delayed onset of muscle soreness. The downside to this study was that it should have mentioned the number of participants within the study and was only carried out for four days.  </w:t>
      </w:r>
    </w:p>
    <w:p xmlns:wp14="http://schemas.microsoft.com/office/word/2010/wordml" w:rsidP="1A56B2FD" wp14:paraId="1E751886" wp14:textId="76904AE3">
      <w:pPr>
        <w:pStyle w:val="Normal"/>
      </w:pPr>
      <w:r w:rsidR="5D447885">
        <w:rPr/>
        <w:t xml:space="preserve">M. Ost, R.Y et al. (2002) mentioned that effleurage on the adductor muscle of the thumb found that using only effleurage does not reduce muscle fatigue.  </w:t>
      </w:r>
    </w:p>
    <w:p xmlns:wp14="http://schemas.microsoft.com/office/word/2010/wordml" w:rsidP="1A56B2FD" wp14:paraId="4FE3406F" wp14:textId="2AF23D54">
      <w:pPr>
        <w:pStyle w:val="Normal"/>
      </w:pPr>
      <w:r w:rsidR="5D447885">
        <w:rPr/>
        <w:t>A study done by Delaney, J.P.A. Et al. (2002). the short-term effects of myofascial trigger point massage therapy on cardiac autonomic tone in healthy subjects. The study of this test was to see the effects of trigger points targeting the head, neck, and shoulder areas on the autonomic tone of the heart. The study involved 30 healthy participants, 15 males and 15 females, divided into treatment and control groups. Before and after the treatment, measurements were taken, including a 5-minute recording of the interval between heartbeats, blood pressure readings, and self-evaluations of muscle tension and emotional state. The researchers also analysed heart rate variability to assess autonomic function. The results showed that after receiving trigger point massage therapy, there was a significant decrease in heart rate, systolic blood pressure, and diastolic blood pressure.</w:t>
      </w:r>
    </w:p>
    <w:p xmlns:wp14="http://schemas.microsoft.com/office/word/2010/wordml" w:rsidP="1A56B2FD" wp14:paraId="48F57F2F" wp14:textId="4C8FEAFA">
      <w:pPr>
        <w:pStyle w:val="Normal"/>
      </w:pPr>
      <w:r w:rsidR="5D447885">
        <w:rPr/>
        <w:t xml:space="preserve">Moreover, the analysis of heart rate variability indicated a notable increase in parasympathetic activity. Additionally, both muscle tension and emotional state showed significant improvement. The good side to this study is that they had an equal number of males and females. </w:t>
      </w:r>
    </w:p>
    <w:p xmlns:wp14="http://schemas.microsoft.com/office/word/2010/wordml" w:rsidP="1A56B2FD" wp14:paraId="63A9AD09" wp14:textId="28D0FD6A">
      <w:pPr>
        <w:pStyle w:val="Normal"/>
      </w:pPr>
      <w:r w:rsidR="5D447885">
        <w:rPr/>
        <w:t xml:space="preserve">Ghanbari A. et al. (2012) conducted a study to determine the impact of trigger point and positional release therapy on tension-type headaches. The participants were chosen based on whether they had active trigger points in cervical muscles. Thirty participants were required to record their daily medication intake, pain intensity, and headache frequency. However, the results showed no significant change in the frequency and intensity of headaches experienced by the participants. </w:t>
      </w:r>
    </w:p>
    <w:p xmlns:wp14="http://schemas.microsoft.com/office/word/2010/wordml" w:rsidP="1A56B2FD" wp14:paraId="36A675F7" wp14:textId="5657F881">
      <w:pPr>
        <w:pStyle w:val="Normal"/>
      </w:pPr>
      <w:r w:rsidR="5D447885">
        <w:rPr/>
        <w:t xml:space="preserve">A single case study of a 39-year-old with Achilles tendinosis went through treatment using specific soft tissue mobilisation that lasted six weeks; at the end of the six weeks, she had shown improvement in reducing pain, increased range of movement with dorsiflexion, and she was able to go back to the gym entirely. Christenson, R.E. (2006). The downside to this study is that it was a single case study; it will be different for everyone, and further research is needed. </w:t>
      </w:r>
    </w:p>
    <w:p xmlns:wp14="http://schemas.microsoft.com/office/word/2010/wordml" w:rsidP="1A56B2FD" wp14:paraId="75FFE9C0" wp14:textId="59B6A84E">
      <w:pPr>
        <w:pStyle w:val="Normal"/>
      </w:pPr>
      <w:r w:rsidR="5D447885">
        <w:rPr/>
        <w:t xml:space="preserve">Losiute, R. and O'Neil, S. (2016) did a study to see the effects of a single session on specific soft tissue mobilisation on pressure paint threshold with fourteen participants with medial tibial stress syndrome. The fourteen participants had their pressure pain threshold measured before and after the specific soft tissue mobilisation within three places of the inner side of the tibia. By applying Specific soft tissue mobilisation for five minutes, the results showed an increase in the pressure pain threshold by (p=0.0002) and an average of 34.1% of the pain threshold. This means that specific soft tissue mobilisation can reduce pain, but further research is needed.  </w:t>
      </w:r>
    </w:p>
    <w:p xmlns:wp14="http://schemas.microsoft.com/office/word/2010/wordml" w:rsidP="1A56B2FD" wp14:paraId="6179677D" wp14:textId="2DE0538A">
      <w:pPr>
        <w:pStyle w:val="Normal"/>
      </w:pPr>
    </w:p>
    <w:p xmlns:wp14="http://schemas.microsoft.com/office/word/2010/wordml" w:rsidP="1A56B2FD" wp14:paraId="2D6BF000" wp14:textId="406D4722">
      <w:pPr>
        <w:pStyle w:val="Normal"/>
      </w:pPr>
      <w:r w:rsidR="5D447885">
        <w:rPr/>
        <w:t>It is important to note that the effectiveness of trigger point therapy can vary from person to person due to individual reactions to the treatment. Applying too much pressure or for too long can result in bruising of the treated area. The benefit of effleurage has not been strongly supported by scientific evidence. Additionally, specific soft tissue mobilisation may not always be necessary for tissue healing, and alternative techniques may be better suited.</w:t>
      </w:r>
    </w:p>
    <w:p xmlns:wp14="http://schemas.microsoft.com/office/word/2010/wordml" w:rsidP="1A56B2FD" wp14:paraId="54D5765A" wp14:textId="0720B344">
      <w:pPr>
        <w:pStyle w:val="Normal"/>
      </w:pPr>
    </w:p>
    <w:p xmlns:wp14="http://schemas.microsoft.com/office/word/2010/wordml" w:rsidP="1A56B2FD" wp14:paraId="59F7DC1C" wp14:textId="0924092C">
      <w:pPr>
        <w:pStyle w:val="Normal"/>
      </w:pPr>
      <w:r w:rsidR="5D447885">
        <w:rPr/>
        <w:t>If I owned a clinic, I would use effleurage as it has several benefits, like warming up the tissue, helping apply mediums onto the skin, relaxing the clients, and helping make the client comfortable. Using effleurage can link other massage techniques throughout the massage session. For relieving muscle tension, I would use Compression/ Trigger point therapy. However, I would avoid using specific soft tissue mobilisation as limited evidence exists to support its effectiveness.</w:t>
      </w:r>
    </w:p>
    <w:p xmlns:wp14="http://schemas.microsoft.com/office/word/2010/wordml" w:rsidP="1A56B2FD" wp14:paraId="264023F8" wp14:textId="33EA450A">
      <w:pPr>
        <w:pStyle w:val="Normal"/>
      </w:pPr>
      <w:r w:rsidR="5D447885">
        <w:rPr/>
        <w:t xml:space="preserve"> </w:t>
      </w:r>
    </w:p>
    <w:p xmlns:wp14="http://schemas.microsoft.com/office/word/2010/wordml" w:rsidP="1A56B2FD" wp14:paraId="306F3042" wp14:textId="0CE64186">
      <w:pPr>
        <w:pStyle w:val="Normal"/>
      </w:pPr>
      <w:r w:rsidR="5D447885">
        <w:rPr/>
        <w:t xml:space="preserve">To conclude, effleurage, compression/ trigger point therapy, and specific soft tissue </w:t>
      </w:r>
      <w:r w:rsidR="5D447885">
        <w:rPr/>
        <w:t>mobilisation</w:t>
      </w:r>
      <w:r w:rsidR="5D447885">
        <w:rPr/>
        <w:t xml:space="preserve"> are </w:t>
      </w:r>
      <w:r w:rsidR="5D447885">
        <w:rPr/>
        <w:t>different types</w:t>
      </w:r>
      <w:r w:rsidR="5D447885">
        <w:rPr/>
        <w:t xml:space="preserve"> of massage techniques used to relieve pain and discomfort in the body. These techniques target specific body areas to release muscle tension and increase blood flow to the affected areas. When used correctly, they can effectively reduce pain and promote overall relaxation and well-being. Effleurage has been shown to reduce delayed onset muscle soreness and improve performance, but it does not affect muscle fatigue. Specific soft tissue </w:t>
      </w:r>
      <w:r w:rsidR="5D447885">
        <w:rPr/>
        <w:t>mobilisation</w:t>
      </w:r>
      <w:r w:rsidR="5D447885">
        <w:rPr/>
        <w:t xml:space="preserve"> has shown significant improvement in aiding in the recovery of the Achilles tendon, and the participant has improved in reducing pain and increasing range of movement with dorsiflexion, but further research is needed. Compression/trigger point was shown to improve heart rate variability and </w:t>
      </w:r>
      <w:r w:rsidR="5D447885">
        <w:rPr/>
        <w:t>indicated</w:t>
      </w:r>
      <w:r w:rsidR="5D447885">
        <w:rPr/>
        <w:t xml:space="preserve"> a notable increase in parasympathetic activity, muscle tension and emotional state, showing significant improvement, but trigger point did not influence the frequency and intensity of headaches when performed on the active trigger points in cervical muscles.</w:t>
      </w:r>
    </w:p>
    <w:p xmlns:wp14="http://schemas.microsoft.com/office/word/2010/wordml" w:rsidP="1A56B2FD" wp14:paraId="35C5BB5F" wp14:textId="591EBB9B">
      <w:pPr>
        <w:pStyle w:val="Normal"/>
      </w:pPr>
    </w:p>
    <w:p xmlns:wp14="http://schemas.microsoft.com/office/word/2010/wordml" w:rsidP="1A56B2FD" wp14:paraId="16AFEA02" wp14:textId="539115C1">
      <w:pPr>
        <w:pStyle w:val="Normal"/>
      </w:pPr>
    </w:p>
    <w:p xmlns:wp14="http://schemas.microsoft.com/office/word/2010/wordml" w:rsidP="1A56B2FD" wp14:paraId="44FA7872" wp14:textId="451D6E6F">
      <w:pPr>
        <w:spacing w:after="160" w:line="279" w:lineRule="auto"/>
        <w:rPr>
          <w:rFonts w:ascii="Aptos" w:hAnsi="Aptos" w:eastAsia="Aptos" w:cs="Aptos"/>
          <w:noProof w:val="0"/>
          <w:sz w:val="24"/>
          <w:szCs w:val="24"/>
          <w:lang w:val="en-US"/>
        </w:rPr>
      </w:pPr>
      <w:r w:rsidRPr="1A56B2FD" w:rsidR="61830001">
        <w:rPr>
          <w:rFonts w:ascii="Aptos" w:hAnsi="Aptos" w:eastAsia="Aptos" w:cs="Aptos"/>
          <w:noProof w:val="0"/>
          <w:sz w:val="24"/>
          <w:szCs w:val="24"/>
          <w:lang w:val="en-US"/>
        </w:rPr>
        <w:t xml:space="preserve">Reference </w:t>
      </w:r>
    </w:p>
    <w:p xmlns:wp14="http://schemas.microsoft.com/office/word/2010/wordml" w:rsidP="1A56B2FD" wp14:paraId="5A3D962F" wp14:textId="0FFDB7BA">
      <w:pPr>
        <w:spacing w:after="160" w:line="279" w:lineRule="auto"/>
        <w:rPr>
          <w:rFonts w:ascii="Aptos" w:hAnsi="Aptos" w:eastAsia="Aptos" w:cs="Aptos"/>
          <w:noProof w:val="0"/>
          <w:sz w:val="24"/>
          <w:szCs w:val="24"/>
          <w:lang w:val="en-US"/>
        </w:rPr>
      </w:pPr>
      <w:r w:rsidRPr="1A56B2FD" w:rsidR="61830001">
        <w:rPr>
          <w:rFonts w:ascii="Aptos" w:hAnsi="Aptos" w:eastAsia="Aptos" w:cs="Aptos"/>
          <w:noProof w:val="0"/>
          <w:sz w:val="24"/>
          <w:szCs w:val="24"/>
          <w:lang w:val="en-US"/>
        </w:rPr>
        <w:t xml:space="preserve">Christenson, R.E. (February 2007) Effectiveness of specific soft tissue mobilizations for the management of Achilles tendinosis: Single case study-experimental design, Manual Therapy. Available at: </w:t>
      </w:r>
      <w:hyperlink r:id="R38ff2f9808024b4c">
        <w:r w:rsidRPr="1A56B2FD" w:rsidR="61830001">
          <w:rPr>
            <w:rStyle w:val="Hyperlink"/>
            <w:rFonts w:ascii="Aptos" w:hAnsi="Aptos" w:eastAsia="Aptos" w:cs="Aptos"/>
            <w:noProof w:val="0"/>
            <w:sz w:val="24"/>
            <w:szCs w:val="24"/>
            <w:lang w:val="en-US"/>
          </w:rPr>
          <w:t>https://www.sciencedirect.com/science/article/pii/S1356689X06000427?casa_token=98_mhfv7bewAAAAA%3AyJlRYD0fZRArpAE6kVzMlTk6rUYf26dspuNodXZPyiqoT_OxSFAfuyFt7wH2T4IsvMwLozNlyg</w:t>
        </w:r>
      </w:hyperlink>
      <w:r w:rsidRPr="1A56B2FD" w:rsidR="61830001">
        <w:rPr>
          <w:rFonts w:ascii="Aptos" w:hAnsi="Aptos" w:eastAsia="Aptos" w:cs="Aptos"/>
          <w:noProof w:val="0"/>
          <w:sz w:val="24"/>
          <w:szCs w:val="24"/>
          <w:lang w:val="en-US"/>
        </w:rPr>
        <w:t xml:space="preserve"> (Accessed: 14 February 2024). </w:t>
      </w:r>
      <w:r>
        <w:br/>
      </w:r>
    </w:p>
    <w:p xmlns:wp14="http://schemas.microsoft.com/office/word/2010/wordml" w:rsidP="1A56B2FD" wp14:paraId="6A7B0CC8" wp14:textId="05DDB842">
      <w:pPr>
        <w:spacing w:after="160" w:line="279" w:lineRule="auto"/>
        <w:rPr>
          <w:rFonts w:ascii="Aptos" w:hAnsi="Aptos" w:eastAsia="Aptos" w:cs="Aptos"/>
          <w:noProof w:val="0"/>
          <w:sz w:val="24"/>
          <w:szCs w:val="24"/>
          <w:lang w:val="en-US"/>
        </w:rPr>
      </w:pPr>
      <w:r w:rsidRPr="1A56B2FD" w:rsidR="61830001">
        <w:rPr>
          <w:rFonts w:ascii="Aptos" w:hAnsi="Aptos" w:eastAsia="Aptos" w:cs="Aptos"/>
          <w:noProof w:val="0"/>
          <w:sz w:val="24"/>
          <w:szCs w:val="24"/>
          <w:lang w:val="en-US"/>
        </w:rPr>
        <w:t xml:space="preserve">Delaney, J.P.A., Leong, K.S., Watkins, A. and Brodie, D. (01 February 2002), The short-term effects of myofascial trigger point massage therapy on cardiac autonomic tone in healthy subjects. Journal of Advanced Nursing. Available at: </w:t>
      </w:r>
      <w:hyperlink r:id="Rcb3e420b51434bff">
        <w:r w:rsidRPr="1A56B2FD" w:rsidR="61830001">
          <w:rPr>
            <w:rStyle w:val="Hyperlink"/>
            <w:rFonts w:ascii="Aptos" w:hAnsi="Aptos" w:eastAsia="Aptos" w:cs="Aptos"/>
            <w:noProof w:val="0"/>
            <w:sz w:val="24"/>
            <w:szCs w:val="24"/>
            <w:lang w:val="en-US"/>
          </w:rPr>
          <w:t>https://onlinelibrary.wiley.com/doi/abs/10.1046/j.1365-2648.2002.02103.xcasa_token=cO9KLQrJRu8AAAAA:n6JHXdKXcIkAyhA7fyNrTNY9FiIoh9ahZwsBp0YnH1LA4MQnDn4mKKqa6jgjqoKWL2K5Tnx3cMeblg</w:t>
        </w:r>
      </w:hyperlink>
      <w:r w:rsidRPr="1A56B2FD" w:rsidR="61830001">
        <w:rPr>
          <w:rFonts w:ascii="Aptos" w:hAnsi="Aptos" w:eastAsia="Aptos" w:cs="Aptos"/>
          <w:noProof w:val="0"/>
          <w:sz w:val="24"/>
          <w:szCs w:val="24"/>
          <w:lang w:val="en-US"/>
        </w:rPr>
        <w:t xml:space="preserve"> (Accessed 10 February 2024) </w:t>
      </w:r>
    </w:p>
    <w:p xmlns:wp14="http://schemas.microsoft.com/office/word/2010/wordml" w:rsidP="1A56B2FD" wp14:paraId="256C1287" wp14:textId="46CB1915">
      <w:pPr>
        <w:spacing w:after="160" w:line="279" w:lineRule="auto"/>
        <w:rPr>
          <w:rFonts w:ascii="Aptos" w:hAnsi="Aptos" w:eastAsia="Aptos" w:cs="Aptos"/>
          <w:noProof w:val="0"/>
          <w:sz w:val="24"/>
          <w:szCs w:val="24"/>
          <w:lang w:val="en-US"/>
        </w:rPr>
      </w:pPr>
    </w:p>
    <w:p xmlns:wp14="http://schemas.microsoft.com/office/word/2010/wordml" w:rsidP="1A56B2FD" wp14:paraId="1E072C71" wp14:textId="161431FA">
      <w:pPr>
        <w:spacing w:after="160" w:line="279" w:lineRule="auto"/>
        <w:rPr>
          <w:rFonts w:ascii="Aptos" w:hAnsi="Aptos" w:eastAsia="Aptos" w:cs="Aptos"/>
          <w:noProof w:val="0"/>
          <w:sz w:val="24"/>
          <w:szCs w:val="24"/>
          <w:lang w:val="en-US"/>
        </w:rPr>
      </w:pPr>
      <w:r w:rsidRPr="1A56B2FD" w:rsidR="61830001">
        <w:rPr>
          <w:rFonts w:ascii="Aptos" w:hAnsi="Aptos" w:eastAsia="Aptos" w:cs="Aptos"/>
          <w:noProof w:val="0"/>
          <w:sz w:val="24"/>
          <w:szCs w:val="24"/>
          <w:lang w:val="en-US"/>
        </w:rPr>
        <w:t xml:space="preserve">Ghanbari, A. Rahimijaberi, A. Mohamadi, M. Abbasi, L. Sarvestani, F, K.   et al. (01 June 2012) The effect of trigger point management by positional release therapy on tension type headache, NeuroRehabilitation. Available at: </w:t>
      </w:r>
      <w:hyperlink r:id="Rc2749bcd88f94667">
        <w:r w:rsidRPr="1A56B2FD" w:rsidR="61830001">
          <w:rPr>
            <w:rStyle w:val="Hyperlink"/>
            <w:rFonts w:ascii="Aptos" w:hAnsi="Aptos" w:eastAsia="Aptos" w:cs="Aptos"/>
            <w:noProof w:val="0"/>
            <w:sz w:val="24"/>
            <w:szCs w:val="24"/>
            <w:lang w:val="en-US"/>
          </w:rPr>
          <w:t>https://content.iospress.com/articles/neurorehabilitation/nre00764</w:t>
        </w:r>
      </w:hyperlink>
      <w:r w:rsidRPr="1A56B2FD" w:rsidR="61830001">
        <w:rPr>
          <w:rFonts w:ascii="Aptos" w:hAnsi="Aptos" w:eastAsia="Aptos" w:cs="Aptos"/>
          <w:noProof w:val="0"/>
          <w:sz w:val="24"/>
          <w:szCs w:val="24"/>
          <w:lang w:val="en-US"/>
        </w:rPr>
        <w:t xml:space="preserve"> (Accessed: 18 February 2024).</w:t>
      </w:r>
    </w:p>
    <w:p xmlns:wp14="http://schemas.microsoft.com/office/word/2010/wordml" w:rsidP="1A56B2FD" wp14:paraId="30561E6F" wp14:textId="7AA96B8E">
      <w:pPr>
        <w:spacing w:after="160" w:line="279" w:lineRule="auto"/>
        <w:rPr>
          <w:rFonts w:ascii="Aptos" w:hAnsi="Aptos" w:eastAsia="Aptos" w:cs="Aptos"/>
          <w:noProof w:val="0"/>
          <w:sz w:val="24"/>
          <w:szCs w:val="24"/>
          <w:lang w:val="en-US"/>
        </w:rPr>
      </w:pPr>
    </w:p>
    <w:p xmlns:wp14="http://schemas.microsoft.com/office/word/2010/wordml" w:rsidP="1A56B2FD" wp14:paraId="69704A79" wp14:textId="6E38287B">
      <w:pPr>
        <w:spacing w:after="160" w:line="279" w:lineRule="auto"/>
        <w:rPr>
          <w:rFonts w:ascii="Aptos" w:hAnsi="Aptos" w:eastAsia="Aptos" w:cs="Aptos"/>
          <w:noProof w:val="0"/>
          <w:sz w:val="24"/>
          <w:szCs w:val="24"/>
          <w:lang w:val="en-US"/>
        </w:rPr>
      </w:pPr>
      <w:r w:rsidRPr="1A56B2FD" w:rsidR="61830001">
        <w:rPr>
          <w:rFonts w:ascii="Aptos" w:hAnsi="Aptos" w:eastAsia="Aptos" w:cs="Aptos"/>
          <w:noProof w:val="0"/>
          <w:sz w:val="24"/>
          <w:szCs w:val="24"/>
          <w:lang w:val="en-US"/>
        </w:rPr>
        <w:t xml:space="preserve">Hunter, G. (1998) Specific soft tissue mobilization in the management of soft tissue dysfunction, Manual therapy. Available at: </w:t>
      </w:r>
      <w:hyperlink r:id="Rd0f1467a5aa143dc">
        <w:r w:rsidRPr="1A56B2FD" w:rsidR="61830001">
          <w:rPr>
            <w:rStyle w:val="Hyperlink"/>
            <w:rFonts w:ascii="Aptos" w:hAnsi="Aptos" w:eastAsia="Aptos" w:cs="Aptos"/>
            <w:noProof w:val="0"/>
            <w:sz w:val="24"/>
            <w:szCs w:val="24"/>
            <w:lang w:val="en-US"/>
          </w:rPr>
          <w:t>https://pubmed.ncbi.nlm.nih.gov/11487295/</w:t>
        </w:r>
      </w:hyperlink>
      <w:r w:rsidRPr="1A56B2FD" w:rsidR="61830001">
        <w:rPr>
          <w:rFonts w:ascii="Aptos" w:hAnsi="Aptos" w:eastAsia="Aptos" w:cs="Aptos"/>
          <w:noProof w:val="0"/>
          <w:sz w:val="24"/>
          <w:szCs w:val="24"/>
          <w:lang w:val="en-US"/>
        </w:rPr>
        <w:t xml:space="preserve"> (Accessed: 18 February 2024).  </w:t>
      </w:r>
    </w:p>
    <w:p xmlns:wp14="http://schemas.microsoft.com/office/word/2010/wordml" w:rsidP="1A56B2FD" wp14:paraId="4FDE7FAE" wp14:textId="4508C6DE">
      <w:pPr>
        <w:spacing w:after="160" w:line="279" w:lineRule="auto"/>
        <w:rPr>
          <w:rFonts w:ascii="Aptos" w:hAnsi="Aptos" w:eastAsia="Aptos" w:cs="Aptos"/>
          <w:noProof w:val="0"/>
          <w:sz w:val="24"/>
          <w:szCs w:val="24"/>
          <w:lang w:val="en-US"/>
        </w:rPr>
      </w:pPr>
    </w:p>
    <w:p xmlns:wp14="http://schemas.microsoft.com/office/word/2010/wordml" w:rsidP="1A56B2FD" wp14:paraId="6A674BE3" wp14:textId="319C28F5">
      <w:pPr>
        <w:spacing w:after="160" w:line="279" w:lineRule="auto"/>
        <w:rPr>
          <w:rFonts w:ascii="Aptos" w:hAnsi="Aptos" w:eastAsia="Aptos" w:cs="Aptos"/>
          <w:noProof w:val="0"/>
          <w:sz w:val="24"/>
          <w:szCs w:val="24"/>
          <w:lang w:val="en-US"/>
        </w:rPr>
      </w:pPr>
      <w:r w:rsidRPr="1A56B2FD" w:rsidR="61830001">
        <w:rPr>
          <w:rFonts w:ascii="Aptos" w:hAnsi="Aptos" w:eastAsia="Aptos" w:cs="Aptos"/>
          <w:noProof w:val="0"/>
          <w:sz w:val="24"/>
          <w:szCs w:val="24"/>
          <w:lang w:val="en-US"/>
        </w:rPr>
        <w:t xml:space="preserve">Liverpool physio (2024) Liverpool Physio. Available at: </w:t>
      </w:r>
      <w:hyperlink r:id="R66c288f5e11948c5">
        <w:r w:rsidRPr="1A56B2FD" w:rsidR="61830001">
          <w:rPr>
            <w:rStyle w:val="Hyperlink"/>
            <w:rFonts w:ascii="Aptos" w:hAnsi="Aptos" w:eastAsia="Aptos" w:cs="Aptos"/>
            <w:noProof w:val="0"/>
            <w:sz w:val="24"/>
            <w:szCs w:val="24"/>
            <w:lang w:val="en-US"/>
          </w:rPr>
          <w:t>https://www.liverpoolphysio.co.uk/services/massage/our-massage-techniques/effleurage.php</w:t>
        </w:r>
      </w:hyperlink>
      <w:r w:rsidRPr="1A56B2FD" w:rsidR="61830001">
        <w:rPr>
          <w:rFonts w:ascii="Aptos" w:hAnsi="Aptos" w:eastAsia="Aptos" w:cs="Aptos"/>
          <w:noProof w:val="0"/>
          <w:sz w:val="24"/>
          <w:szCs w:val="24"/>
          <w:lang w:val="en-US"/>
        </w:rPr>
        <w:t xml:space="preserve"> (Accessed: 14 February 2024).  </w:t>
      </w:r>
    </w:p>
    <w:p xmlns:wp14="http://schemas.microsoft.com/office/word/2010/wordml" w:rsidP="1A56B2FD" wp14:paraId="3BF2C553" wp14:textId="21D3B2B5">
      <w:pPr>
        <w:spacing w:after="160" w:line="279" w:lineRule="auto"/>
        <w:rPr>
          <w:rFonts w:ascii="Aptos" w:hAnsi="Aptos" w:eastAsia="Aptos" w:cs="Aptos"/>
          <w:noProof w:val="0"/>
          <w:sz w:val="24"/>
          <w:szCs w:val="24"/>
          <w:lang w:val="en-US"/>
        </w:rPr>
      </w:pPr>
    </w:p>
    <w:p xmlns:wp14="http://schemas.microsoft.com/office/word/2010/wordml" w:rsidP="1A56B2FD" wp14:paraId="289C1218" wp14:textId="705EB5A9">
      <w:pPr>
        <w:spacing w:after="160" w:line="279" w:lineRule="auto"/>
        <w:rPr>
          <w:rFonts w:ascii="Aptos" w:hAnsi="Aptos" w:eastAsia="Aptos" w:cs="Aptos"/>
          <w:noProof w:val="0"/>
          <w:sz w:val="24"/>
          <w:szCs w:val="24"/>
          <w:lang w:val="en-US"/>
        </w:rPr>
      </w:pPr>
      <w:r w:rsidRPr="1A56B2FD" w:rsidR="61830001">
        <w:rPr>
          <w:rFonts w:ascii="Aptos" w:hAnsi="Aptos" w:eastAsia="Aptos" w:cs="Aptos"/>
          <w:noProof w:val="0"/>
          <w:sz w:val="24"/>
          <w:szCs w:val="24"/>
          <w:lang w:val="en-US"/>
        </w:rPr>
        <w:t xml:space="preserve">Losiute, R. and O’Neil, S. (2016) The immediate effects of a single session of accessory specific soft tissue mobilisations on pain pressure threshold on subjects with medial tibial stress syndrome, ScienceDirect.com | Science, health and medical journals, full text articles and books. Available at: </w:t>
      </w:r>
      <w:hyperlink r:id="R093d0101a7ab42a1">
        <w:r w:rsidRPr="1A56B2FD" w:rsidR="61830001">
          <w:rPr>
            <w:rStyle w:val="Hyperlink"/>
            <w:rFonts w:ascii="Aptos" w:hAnsi="Aptos" w:eastAsia="Aptos" w:cs="Aptos"/>
            <w:noProof w:val="0"/>
            <w:sz w:val="24"/>
            <w:szCs w:val="24"/>
            <w:lang w:val="en-US"/>
          </w:rPr>
          <w:t>https://www-sciencedirect-com.ezproxy.uwtsd.ac.uk/science/article/pii/S1356689X16301229?via%3Dihub</w:t>
        </w:r>
      </w:hyperlink>
      <w:r w:rsidRPr="1A56B2FD" w:rsidR="61830001">
        <w:rPr>
          <w:rFonts w:ascii="Aptos" w:hAnsi="Aptos" w:eastAsia="Aptos" w:cs="Aptos"/>
          <w:noProof w:val="0"/>
          <w:sz w:val="24"/>
          <w:szCs w:val="24"/>
          <w:lang w:val="en-US"/>
        </w:rPr>
        <w:t xml:space="preserve"> (Accessed: 18 February 2024).</w:t>
      </w:r>
    </w:p>
    <w:p xmlns:wp14="http://schemas.microsoft.com/office/word/2010/wordml" w:rsidP="1A56B2FD" wp14:paraId="5A518735" wp14:textId="43D41039">
      <w:pPr>
        <w:spacing w:after="160" w:line="279" w:lineRule="auto"/>
        <w:rPr>
          <w:rFonts w:ascii="Aptos" w:hAnsi="Aptos" w:eastAsia="Aptos" w:cs="Aptos"/>
          <w:noProof w:val="0"/>
          <w:sz w:val="24"/>
          <w:szCs w:val="24"/>
          <w:lang w:val="en-US"/>
        </w:rPr>
      </w:pPr>
    </w:p>
    <w:p xmlns:wp14="http://schemas.microsoft.com/office/word/2010/wordml" w:rsidP="1A56B2FD" wp14:paraId="77BCB6BE" wp14:textId="35EC9EBB">
      <w:pPr>
        <w:spacing w:after="160" w:line="279" w:lineRule="auto"/>
        <w:rPr>
          <w:rFonts w:ascii="Aptos" w:hAnsi="Aptos" w:eastAsia="Aptos" w:cs="Aptos"/>
          <w:noProof w:val="0"/>
          <w:sz w:val="24"/>
          <w:szCs w:val="24"/>
          <w:lang w:val="en-US"/>
        </w:rPr>
      </w:pPr>
      <w:r w:rsidRPr="1A56B2FD" w:rsidR="61830001">
        <w:rPr>
          <w:rFonts w:ascii="Aptos" w:hAnsi="Aptos" w:eastAsia="Aptos" w:cs="Aptos"/>
          <w:noProof w:val="0"/>
          <w:sz w:val="24"/>
          <w:szCs w:val="24"/>
          <w:lang w:val="en-US"/>
        </w:rPr>
        <w:t xml:space="preserve">Mancinelli, C.A, Scott, D.D, Leila, A, misty, B, Justin, E, Stephanie, F. (2006) The effects of massage on delayed onset muscle soreness and physical performance in female collegiate athletes, Physical Therapy in Sport. Available at: </w:t>
      </w:r>
      <w:hyperlink r:id="R22264b73b2dd4409">
        <w:r w:rsidRPr="1A56B2FD" w:rsidR="61830001">
          <w:rPr>
            <w:rStyle w:val="Hyperlink"/>
            <w:rFonts w:ascii="Aptos" w:hAnsi="Aptos" w:eastAsia="Aptos" w:cs="Aptos"/>
            <w:noProof w:val="0"/>
            <w:sz w:val="24"/>
            <w:szCs w:val="24"/>
            <w:lang w:val="en-US"/>
          </w:rPr>
          <w:t>https://www.sciencedirect.com/science/article/pii/S1466853X05001501?casa_token=Q-PXQPv2_GkAAAAA%3A_15vA_b8k9eQWscNWFE1PWkhS8b9eSE-yjpHXqW2lxkhuAmsi8fMROSCS769OP0w_lH9ttKyAA</w:t>
        </w:r>
      </w:hyperlink>
      <w:r w:rsidRPr="1A56B2FD" w:rsidR="61830001">
        <w:rPr>
          <w:rFonts w:ascii="Aptos" w:hAnsi="Aptos" w:eastAsia="Aptos" w:cs="Aptos"/>
          <w:noProof w:val="0"/>
          <w:sz w:val="24"/>
          <w:szCs w:val="24"/>
          <w:lang w:val="en-US"/>
        </w:rPr>
        <w:t xml:space="preserve"> (Accessed: 31 January 2024)</w:t>
      </w:r>
    </w:p>
    <w:p xmlns:wp14="http://schemas.microsoft.com/office/word/2010/wordml" w:rsidP="1A56B2FD" wp14:paraId="1D91090D" wp14:textId="6E5BAEE3">
      <w:pPr>
        <w:spacing w:after="160" w:line="279" w:lineRule="auto"/>
        <w:rPr>
          <w:rFonts w:ascii="Aptos" w:hAnsi="Aptos" w:eastAsia="Aptos" w:cs="Aptos"/>
          <w:noProof w:val="0"/>
          <w:sz w:val="24"/>
          <w:szCs w:val="24"/>
          <w:lang w:val="en-US"/>
        </w:rPr>
      </w:pPr>
    </w:p>
    <w:p xmlns:wp14="http://schemas.microsoft.com/office/word/2010/wordml" w:rsidP="1A56B2FD" wp14:paraId="3978CE86" wp14:textId="17898DC0">
      <w:pPr>
        <w:spacing w:after="160" w:line="279" w:lineRule="auto"/>
        <w:rPr>
          <w:rFonts w:ascii="Aptos" w:hAnsi="Aptos" w:eastAsia="Aptos" w:cs="Aptos"/>
          <w:noProof w:val="0"/>
          <w:sz w:val="24"/>
          <w:szCs w:val="24"/>
          <w:lang w:val="en-US"/>
        </w:rPr>
      </w:pPr>
      <w:r w:rsidRPr="1A56B2FD" w:rsidR="61830001">
        <w:rPr>
          <w:rFonts w:ascii="Aptos" w:hAnsi="Aptos" w:eastAsia="Aptos" w:cs="Aptos"/>
          <w:noProof w:val="0"/>
          <w:sz w:val="24"/>
          <w:szCs w:val="24"/>
          <w:lang w:val="en-US"/>
        </w:rPr>
        <w:t xml:space="preserve">M.Ost, R.Y. Gutnik, B. Moran, R. Thomson, R.W.  (2005) The effect of effleurage massage in recovery from fatigue in the adductor muscles of the thumb, Journal of Manipulative and Physiological Therapeutics. Available at: </w:t>
      </w:r>
      <w:hyperlink r:id="Rb32ec92788f04bbd">
        <w:r w:rsidRPr="1A56B2FD" w:rsidR="61830001">
          <w:rPr>
            <w:rStyle w:val="Hyperlink"/>
            <w:rFonts w:ascii="Aptos" w:hAnsi="Aptos" w:eastAsia="Aptos" w:cs="Aptos"/>
            <w:noProof w:val="0"/>
            <w:sz w:val="24"/>
            <w:szCs w:val="24"/>
            <w:lang w:val="en-US"/>
          </w:rPr>
          <w:t>https://www.sciencedirect.com/science/article/pii/S0161475405003167</w:t>
        </w:r>
      </w:hyperlink>
      <w:r w:rsidRPr="1A56B2FD" w:rsidR="61830001">
        <w:rPr>
          <w:rFonts w:ascii="Aptos" w:hAnsi="Aptos" w:eastAsia="Aptos" w:cs="Aptos"/>
          <w:noProof w:val="0"/>
          <w:sz w:val="24"/>
          <w:szCs w:val="24"/>
          <w:lang w:val="en-US"/>
        </w:rPr>
        <w:t xml:space="preserve"> (Accessed: 19 February 2024).</w:t>
      </w:r>
    </w:p>
    <w:p xmlns:wp14="http://schemas.microsoft.com/office/word/2010/wordml" w:rsidP="1A56B2FD" wp14:paraId="133BDDEC" wp14:textId="1B71A9C6">
      <w:pPr>
        <w:spacing w:after="160" w:line="279" w:lineRule="auto"/>
        <w:rPr>
          <w:rFonts w:ascii="Aptos" w:hAnsi="Aptos" w:eastAsia="Aptos" w:cs="Aptos"/>
          <w:noProof w:val="0"/>
          <w:sz w:val="24"/>
          <w:szCs w:val="24"/>
          <w:lang w:val="en-US"/>
        </w:rPr>
      </w:pPr>
    </w:p>
    <w:p xmlns:wp14="http://schemas.microsoft.com/office/word/2010/wordml" w:rsidP="1A56B2FD" wp14:paraId="2E2A5B76" wp14:textId="1D2FE2A2">
      <w:pPr>
        <w:spacing w:after="160" w:line="279" w:lineRule="auto"/>
        <w:rPr>
          <w:rFonts w:ascii="Aptos" w:hAnsi="Aptos" w:eastAsia="Aptos" w:cs="Aptos"/>
          <w:noProof w:val="0"/>
          <w:sz w:val="24"/>
          <w:szCs w:val="24"/>
          <w:lang w:val="en-US"/>
        </w:rPr>
      </w:pPr>
      <w:r w:rsidRPr="1A56B2FD" w:rsidR="61830001">
        <w:rPr>
          <w:rFonts w:ascii="Aptos" w:hAnsi="Aptos" w:eastAsia="Aptos" w:cs="Aptos"/>
          <w:noProof w:val="0"/>
          <w:sz w:val="24"/>
          <w:szCs w:val="24"/>
          <w:lang w:val="en-US"/>
        </w:rPr>
        <w:t xml:space="preserve">Tiidus, P. M and Shoemaker, J.K. (2007) Effleurage massage, muscle blood flow and long-term post-exercise strength recovery, International Journal of Sports Medicine. Available at: </w:t>
      </w:r>
      <w:hyperlink r:id="R64440b04c3d342ce">
        <w:r w:rsidRPr="1A56B2FD" w:rsidR="61830001">
          <w:rPr>
            <w:rStyle w:val="Hyperlink"/>
            <w:rFonts w:ascii="Aptos" w:hAnsi="Aptos" w:eastAsia="Aptos" w:cs="Aptos"/>
            <w:noProof w:val="0"/>
            <w:sz w:val="24"/>
            <w:szCs w:val="24"/>
            <w:lang w:val="en-US"/>
          </w:rPr>
          <w:t>https://www.thieme-connect.com/products/ejournals/abstract/10.1055/s-2007-973041</w:t>
        </w:r>
      </w:hyperlink>
      <w:r w:rsidRPr="1A56B2FD" w:rsidR="61830001">
        <w:rPr>
          <w:rFonts w:ascii="Aptos" w:hAnsi="Aptos" w:eastAsia="Aptos" w:cs="Aptos"/>
          <w:noProof w:val="0"/>
          <w:sz w:val="24"/>
          <w:szCs w:val="24"/>
          <w:lang w:val="en-US"/>
        </w:rPr>
        <w:t xml:space="preserve"> (Accessed: 17 February 2024).</w:t>
      </w:r>
    </w:p>
    <w:p xmlns:wp14="http://schemas.microsoft.com/office/word/2010/wordml" w:rsidP="1A56B2FD" wp14:paraId="69E7DB77" wp14:textId="4A517F73">
      <w:pPr>
        <w:spacing w:after="160" w:line="279" w:lineRule="auto"/>
        <w:rPr>
          <w:rFonts w:ascii="Aptos" w:hAnsi="Aptos" w:eastAsia="Aptos" w:cs="Aptos"/>
          <w:noProof w:val="0"/>
          <w:sz w:val="24"/>
          <w:szCs w:val="24"/>
          <w:lang w:val="en-US"/>
        </w:rPr>
      </w:pPr>
    </w:p>
    <w:p xmlns:wp14="http://schemas.microsoft.com/office/word/2010/wordml" w:rsidP="1A56B2FD" wp14:paraId="0DB907EF" wp14:textId="77442E6A">
      <w:pPr>
        <w:spacing w:after="160" w:line="279" w:lineRule="auto"/>
        <w:rPr>
          <w:rFonts w:ascii="Aptos" w:hAnsi="Aptos" w:eastAsia="Aptos" w:cs="Aptos"/>
          <w:noProof w:val="0"/>
          <w:sz w:val="24"/>
          <w:szCs w:val="24"/>
          <w:lang w:val="en-US"/>
        </w:rPr>
      </w:pPr>
      <w:r w:rsidRPr="1A56B2FD" w:rsidR="61830001">
        <w:rPr>
          <w:rFonts w:ascii="Aptos" w:hAnsi="Aptos" w:eastAsia="Aptos" w:cs="Aptos"/>
          <w:noProof w:val="0"/>
          <w:sz w:val="24"/>
          <w:szCs w:val="24"/>
          <w:lang w:val="en-US"/>
        </w:rPr>
        <w:t xml:space="preserve">Wautersas, S. (2024) Trigger points, Physiopedia. Available at: </w:t>
      </w:r>
      <w:hyperlink w:anchor=":~:text=A%20Trigger%20Point%20(TrP)%20is,pattern%20distant%20from%20the%20spot" r:id="R0b14df83a73841d1">
        <w:r w:rsidRPr="1A56B2FD" w:rsidR="61830001">
          <w:rPr>
            <w:rStyle w:val="Hyperlink"/>
            <w:rFonts w:ascii="Aptos" w:hAnsi="Aptos" w:eastAsia="Aptos" w:cs="Aptos"/>
            <w:noProof w:val="0"/>
            <w:sz w:val="24"/>
            <w:szCs w:val="24"/>
            <w:lang w:val="en-US"/>
          </w:rPr>
          <w:t>https://www.physio-pedia.com/Trigger_Points#:~:text=A%20Trigger%20Point%20(TrP)%20is,pattern%20distant%20from%20the%20spot</w:t>
        </w:r>
      </w:hyperlink>
      <w:r w:rsidRPr="1A56B2FD" w:rsidR="61830001">
        <w:rPr>
          <w:rFonts w:ascii="Aptos" w:hAnsi="Aptos" w:eastAsia="Aptos" w:cs="Aptos"/>
          <w:noProof w:val="0"/>
          <w:sz w:val="24"/>
          <w:szCs w:val="24"/>
          <w:lang w:val="en-US"/>
        </w:rPr>
        <w:t>. (Accessed: 10 February 2024).</w:t>
      </w:r>
    </w:p>
    <w:p xmlns:wp14="http://schemas.microsoft.com/office/word/2010/wordml" w:rsidP="1A56B2FD" wp14:paraId="67BFC625" wp14:textId="44618BD1">
      <w:pPr>
        <w:spacing w:after="160" w:line="279" w:lineRule="auto"/>
        <w:rPr>
          <w:rFonts w:ascii="Aptos" w:hAnsi="Aptos" w:eastAsia="Aptos" w:cs="Aptos"/>
          <w:noProof w:val="0"/>
          <w:sz w:val="24"/>
          <w:szCs w:val="24"/>
          <w:lang w:val="en-US"/>
        </w:rPr>
      </w:pPr>
    </w:p>
    <w:p xmlns:wp14="http://schemas.microsoft.com/office/word/2010/wordml" w:rsidP="1A56B2FD" wp14:paraId="766C5191" wp14:textId="4AE93302">
      <w:pPr>
        <w:spacing w:after="160" w:line="279" w:lineRule="auto"/>
        <w:rPr>
          <w:rFonts w:ascii="Aptos" w:hAnsi="Aptos" w:eastAsia="Aptos" w:cs="Aptos"/>
          <w:noProof w:val="0"/>
          <w:sz w:val="24"/>
          <w:szCs w:val="24"/>
          <w:lang w:val="en-US"/>
        </w:rPr>
      </w:pPr>
      <w:r w:rsidRPr="1A56B2FD" w:rsidR="61830001">
        <w:rPr>
          <w:rFonts w:ascii="Aptos" w:hAnsi="Aptos" w:eastAsia="Aptos" w:cs="Aptos"/>
          <w:noProof w:val="0"/>
          <w:sz w:val="24"/>
          <w:szCs w:val="24"/>
          <w:lang w:val="en-US"/>
        </w:rPr>
        <w:t xml:space="preserve">Weerapong, P. Hume, P . A. Kolt, G.S. (23 September 2012) The Mechanisms of Massage and Effect on Performance, Muscle Recovery and Injury Prevention. Sports Med 35, 235–256 (2005). Available at </w:t>
      </w:r>
      <w:hyperlink r:id="Rcfca4fee7dca4620">
        <w:r w:rsidRPr="1A56B2FD" w:rsidR="61830001">
          <w:rPr>
            <w:rStyle w:val="Hyperlink"/>
            <w:rFonts w:ascii="Aptos" w:hAnsi="Aptos" w:eastAsia="Aptos" w:cs="Aptos"/>
            <w:noProof w:val="0"/>
            <w:sz w:val="24"/>
            <w:szCs w:val="24"/>
            <w:lang w:val="en-US"/>
          </w:rPr>
          <w:t>https://doi.org/10.2165/00007256-200535030-00004</w:t>
        </w:r>
      </w:hyperlink>
      <w:r w:rsidRPr="1A56B2FD" w:rsidR="61830001">
        <w:rPr>
          <w:rFonts w:ascii="Aptos" w:hAnsi="Aptos" w:eastAsia="Aptos" w:cs="Aptos"/>
          <w:noProof w:val="0"/>
          <w:sz w:val="24"/>
          <w:szCs w:val="24"/>
          <w:lang w:val="en-US"/>
        </w:rPr>
        <w:t>. (Accessed 10 February 2024)</w:t>
      </w:r>
    </w:p>
    <w:p xmlns:wp14="http://schemas.microsoft.com/office/word/2010/wordml" w:rsidP="1A56B2FD" wp14:paraId="38DE4A79" wp14:textId="51E54769">
      <w:pPr>
        <w:pStyle w:val="Normal"/>
      </w:pPr>
    </w:p>
    <w:p xmlns:wp14="http://schemas.microsoft.com/office/word/2010/wordml" w:rsidP="1A56B2FD" wp14:paraId="2C078E63" wp14:textId="3F46A7D6">
      <w:pPr>
        <w:pStyle w:val="Normal"/>
      </w:pPr>
    </w:p>
    <w:sectPr>
      <w:pgSz w:w="12240" w:h="15840" w:orient="portrait"/>
      <w:pgMar w:top="1440" w:right="1440" w:bottom="1440" w:left="1440" w:header="720" w:footer="720" w:gutter="0"/>
      <w:cols w:space="720"/>
      <w:docGrid w:linePitch="360"/>
      <w:headerReference w:type="default" r:id="R8e6c46c3ca9e4280"/>
      <w:footerReference w:type="default" r:id="Ra71de0c0565d494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A56B2FD" w:rsidTr="1A56B2FD" w14:paraId="1BFB2270">
      <w:trPr>
        <w:trHeight w:val="300"/>
      </w:trPr>
      <w:tc>
        <w:tcPr>
          <w:tcW w:w="3120" w:type="dxa"/>
          <w:tcMar/>
        </w:tcPr>
        <w:p w:rsidR="1A56B2FD" w:rsidP="1A56B2FD" w:rsidRDefault="1A56B2FD" w14:paraId="22B2F782" w14:textId="781256F3">
          <w:pPr>
            <w:pStyle w:val="Header"/>
            <w:bidi w:val="0"/>
            <w:ind w:left="-115"/>
            <w:jc w:val="left"/>
          </w:pPr>
        </w:p>
      </w:tc>
      <w:tc>
        <w:tcPr>
          <w:tcW w:w="3120" w:type="dxa"/>
          <w:tcMar/>
        </w:tcPr>
        <w:p w:rsidR="1A56B2FD" w:rsidP="1A56B2FD" w:rsidRDefault="1A56B2FD" w14:paraId="4EC6F208" w14:textId="0E9C91B7">
          <w:pPr>
            <w:pStyle w:val="Header"/>
            <w:bidi w:val="0"/>
            <w:jc w:val="center"/>
          </w:pPr>
        </w:p>
      </w:tc>
      <w:tc>
        <w:tcPr>
          <w:tcW w:w="3120" w:type="dxa"/>
          <w:tcMar/>
        </w:tcPr>
        <w:p w:rsidR="1A56B2FD" w:rsidP="1A56B2FD" w:rsidRDefault="1A56B2FD" w14:paraId="6A41C1B8" w14:textId="216BD499">
          <w:pPr>
            <w:pStyle w:val="Header"/>
            <w:bidi w:val="0"/>
            <w:ind w:right="-115"/>
            <w:jc w:val="right"/>
          </w:pPr>
        </w:p>
      </w:tc>
    </w:tr>
  </w:tbl>
  <w:p w:rsidR="1A56B2FD" w:rsidP="1A56B2FD" w:rsidRDefault="1A56B2FD" w14:paraId="3CBF423D" w14:textId="6E20204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A56B2FD" w:rsidTr="1A56B2FD" w14:paraId="27D25FDD">
      <w:trPr>
        <w:trHeight w:val="300"/>
      </w:trPr>
      <w:tc>
        <w:tcPr>
          <w:tcW w:w="3120" w:type="dxa"/>
          <w:tcMar/>
        </w:tcPr>
        <w:p w:rsidR="1A56B2FD" w:rsidP="1A56B2FD" w:rsidRDefault="1A56B2FD" w14:paraId="4FB29335" w14:textId="4CF097F0">
          <w:pPr>
            <w:pStyle w:val="Header"/>
            <w:bidi w:val="0"/>
            <w:ind w:left="-115"/>
            <w:jc w:val="left"/>
          </w:pPr>
          <w:r w:rsidRPr="1A56B2FD" w:rsidR="1A56B2FD">
            <w:rPr>
              <w:rFonts w:ascii="Aptos" w:hAnsi="Aptos" w:eastAsia="Aptos" w:cs="Aptos"/>
              <w:noProof w:val="0"/>
              <w:sz w:val="24"/>
              <w:szCs w:val="24"/>
              <w:lang w:val="en-US"/>
            </w:rPr>
            <w:t xml:space="preserve">2304127/ </w:t>
          </w:r>
          <w:r w:rsidR="1A56B2FD">
            <w:rPr/>
            <w:t xml:space="preserve">BMST4002 </w:t>
          </w:r>
        </w:p>
      </w:tc>
      <w:tc>
        <w:tcPr>
          <w:tcW w:w="3120" w:type="dxa"/>
          <w:tcMar/>
        </w:tcPr>
        <w:p w:rsidR="1A56B2FD" w:rsidP="1A56B2FD" w:rsidRDefault="1A56B2FD" w14:paraId="4750ECEC" w14:textId="70899B29">
          <w:pPr>
            <w:pStyle w:val="Header"/>
            <w:bidi w:val="0"/>
            <w:jc w:val="center"/>
          </w:pPr>
        </w:p>
      </w:tc>
      <w:tc>
        <w:tcPr>
          <w:tcW w:w="3120" w:type="dxa"/>
          <w:tcMar/>
        </w:tcPr>
        <w:p w:rsidR="1A56B2FD" w:rsidP="1A56B2FD" w:rsidRDefault="1A56B2FD" w14:paraId="171CA408" w14:textId="110ABA01">
          <w:pPr>
            <w:pStyle w:val="Header"/>
            <w:bidi w:val="0"/>
            <w:ind w:right="-115"/>
            <w:jc w:val="right"/>
          </w:pPr>
          <w:r w:rsidR="1A56B2FD">
            <w:rPr/>
            <w:t>Word count 1402</w:t>
          </w:r>
        </w:p>
      </w:tc>
    </w:tr>
  </w:tbl>
  <w:p w:rsidR="1A56B2FD" w:rsidP="1A56B2FD" w:rsidRDefault="1A56B2FD" w14:paraId="46F8C607" w14:textId="2C67A0CA">
    <w:pPr>
      <w:pStyle w:val="Header"/>
      <w:bidi w:val="0"/>
    </w:pPr>
  </w:p>
</w:hdr>
</file>

<file path=word/intelligence2.xml><?xml version="1.0" encoding="utf-8"?>
<int2:intelligence xmlns:int2="http://schemas.microsoft.com/office/intelligence/2020/intelligence">
  <int2:observations>
    <int2:textHash int2:hashCode="uf7LNADtpYYjV7" int2:id="rAfOBuPM">
      <int2:state int2:type="AugLoop_Text_Critique" int2:value="Rejected"/>
    </int2:textHash>
    <int2:textHash int2:hashCode="wtKSqYmrO8qHMS" int2:id="E4khIPB7">
      <int2:state int2:type="AugLoop_Text_Critique" int2:value="Rejected"/>
    </int2:textHash>
    <int2:textHash int2:hashCode="6sD27Egmej3pCg" int2:id="83ZbWxcb">
      <int2:state int2:type="AugLoop_Text_Critique" int2:value="Rejected"/>
    </int2:textHash>
    <int2:textHash int2:hashCode="BSijdVXBGdhaEA" int2:id="xC163nZO">
      <int2:state int2:type="AugLoop_Text_Critique" int2:value="Rejected"/>
    </int2:textHash>
    <int2:textHash int2:hashCode="wfbqdpFEBpIDfn" int2:id="p50TYWXE">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157D025"/>
    <w:rsid w:val="009DF0FD"/>
    <w:rsid w:val="00EC0367"/>
    <w:rsid w:val="0135567E"/>
    <w:rsid w:val="023EBB4D"/>
    <w:rsid w:val="03220CB7"/>
    <w:rsid w:val="04BDDD18"/>
    <w:rsid w:val="0659AD79"/>
    <w:rsid w:val="0A9E1707"/>
    <w:rsid w:val="0D4DFFC4"/>
    <w:rsid w:val="0E302D9F"/>
    <w:rsid w:val="10317EB8"/>
    <w:rsid w:val="1157D025"/>
    <w:rsid w:val="15373DD9"/>
    <w:rsid w:val="16BB86C8"/>
    <w:rsid w:val="170A29AD"/>
    <w:rsid w:val="1767D682"/>
    <w:rsid w:val="1932E578"/>
    <w:rsid w:val="1A56B2FD"/>
    <w:rsid w:val="1AA11EAD"/>
    <w:rsid w:val="20248AC4"/>
    <w:rsid w:val="203D2A02"/>
    <w:rsid w:val="21BCDD68"/>
    <w:rsid w:val="22156893"/>
    <w:rsid w:val="2227D099"/>
    <w:rsid w:val="24F7FBE7"/>
    <w:rsid w:val="25065C4B"/>
    <w:rsid w:val="2535B7AD"/>
    <w:rsid w:val="2671A516"/>
    <w:rsid w:val="26E8D9B6"/>
    <w:rsid w:val="276F8120"/>
    <w:rsid w:val="28400F08"/>
    <w:rsid w:val="28A64704"/>
    <w:rsid w:val="28E08829"/>
    <w:rsid w:val="291D0C8B"/>
    <w:rsid w:val="2955EA08"/>
    <w:rsid w:val="2B53A2F3"/>
    <w:rsid w:val="2BCEB2DF"/>
    <w:rsid w:val="2C39EA7B"/>
    <w:rsid w:val="2D3D85BE"/>
    <w:rsid w:val="2DAEEF10"/>
    <w:rsid w:val="2DD7BEAD"/>
    <w:rsid w:val="2E0D66AA"/>
    <w:rsid w:val="2E903DA4"/>
    <w:rsid w:val="2ED8C29A"/>
    <w:rsid w:val="316AAEE0"/>
    <w:rsid w:val="3195E6F5"/>
    <w:rsid w:val="3336FFC1"/>
    <w:rsid w:val="35A5E2D4"/>
    <w:rsid w:val="37EC001C"/>
    <w:rsid w:val="38A2BB67"/>
    <w:rsid w:val="38E8E54C"/>
    <w:rsid w:val="3987D07D"/>
    <w:rsid w:val="3A3E8BC8"/>
    <w:rsid w:val="3B4211A6"/>
    <w:rsid w:val="3D819F4C"/>
    <w:rsid w:val="3E71AEBF"/>
    <w:rsid w:val="3EF41068"/>
    <w:rsid w:val="3F8F9C8D"/>
    <w:rsid w:val="3FCB1491"/>
    <w:rsid w:val="41A964DE"/>
    <w:rsid w:val="426522EF"/>
    <w:rsid w:val="432EB2C3"/>
    <w:rsid w:val="4537BE91"/>
    <w:rsid w:val="49C45295"/>
    <w:rsid w:val="4ACCCC5A"/>
    <w:rsid w:val="4C543507"/>
    <w:rsid w:val="4CFBF357"/>
    <w:rsid w:val="4D12D143"/>
    <w:rsid w:val="4E6226C4"/>
    <w:rsid w:val="4E97C3B8"/>
    <w:rsid w:val="4FE9EB3C"/>
    <w:rsid w:val="5059B49E"/>
    <w:rsid w:val="50ADF219"/>
    <w:rsid w:val="51D1BF9E"/>
    <w:rsid w:val="534CC413"/>
    <w:rsid w:val="53915560"/>
    <w:rsid w:val="54E89474"/>
    <w:rsid w:val="5553CC10"/>
    <w:rsid w:val="561B9BD6"/>
    <w:rsid w:val="5627A90B"/>
    <w:rsid w:val="56646E46"/>
    <w:rsid w:val="5671FCCF"/>
    <w:rsid w:val="568464D5"/>
    <w:rsid w:val="57F337B4"/>
    <w:rsid w:val="580DCD30"/>
    <w:rsid w:val="588D70A3"/>
    <w:rsid w:val="59A2A3ED"/>
    <w:rsid w:val="59C456C9"/>
    <w:rsid w:val="5AEDCE12"/>
    <w:rsid w:val="5D0B3A24"/>
    <w:rsid w:val="5D3CB6C3"/>
    <w:rsid w:val="5D447885"/>
    <w:rsid w:val="61830001"/>
    <w:rsid w:val="688A6C10"/>
    <w:rsid w:val="689D7456"/>
    <w:rsid w:val="6ACB34BF"/>
    <w:rsid w:val="6E02D581"/>
    <w:rsid w:val="6EF9AD94"/>
    <w:rsid w:val="6FB0F142"/>
    <w:rsid w:val="71AF3B0D"/>
    <w:rsid w:val="7241BFDF"/>
    <w:rsid w:val="728AD85A"/>
    <w:rsid w:val="72A12C0F"/>
    <w:rsid w:val="73D89651"/>
    <w:rsid w:val="75856EB8"/>
    <w:rsid w:val="78541818"/>
    <w:rsid w:val="7A394B1B"/>
    <w:rsid w:val="7A7DC1F4"/>
    <w:rsid w:val="7F071A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7D025"/>
  <w15:chartTrackingRefBased/>
  <w15:docId w15:val="{D928AF63-740C-439E-B64C-0900D56990C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sciencedirect.com/science/article/pii/S1356689X06000427?casa_token=98_mhfv7bewAAAAA%3AyJlRYD0fZRArpAE6kVzMlTk6rUYf26dspuNodXZPyiqoT_OxSFAfuyFt7wH2T4IsvMwLozNlyg" TargetMode="External" Id="R38ff2f9808024b4c" /><Relationship Type="http://schemas.openxmlformats.org/officeDocument/2006/relationships/hyperlink" Target="https://onlinelibrary.wiley.com/doi/abs/10.1046/j.1365-2648.2002.02103.xcasa_token=cO9KLQrJRu8AAAAA:n6JHXdKXcIkAyhA7fyNrTNY9FiIoh9ahZwsBp0YnH1LA4MQnDn4mKKqa6jgjqoKWL2K5Tnx3cMeblg" TargetMode="External" Id="Rcb3e420b51434bff" /><Relationship Type="http://schemas.openxmlformats.org/officeDocument/2006/relationships/hyperlink" Target="https://content.iospress.com/articles/neurorehabilitation/nre00764" TargetMode="External" Id="Rc2749bcd88f94667" /><Relationship Type="http://schemas.openxmlformats.org/officeDocument/2006/relationships/hyperlink" Target="https://pubmed.ncbi.nlm.nih.gov/11487295/" TargetMode="External" Id="Rd0f1467a5aa143dc" /><Relationship Type="http://schemas.openxmlformats.org/officeDocument/2006/relationships/hyperlink" Target="https://www.liverpoolphysio.co.uk/services/massage/our-massage-techniques/effleurage.php" TargetMode="External" Id="R66c288f5e11948c5" /><Relationship Type="http://schemas.openxmlformats.org/officeDocument/2006/relationships/hyperlink" Target="https://www-sciencedirect-com.ezproxy.uwtsd.ac.uk/science/article/pii/S1356689X16301229?via%3Dihub" TargetMode="External" Id="R093d0101a7ab42a1" /><Relationship Type="http://schemas.openxmlformats.org/officeDocument/2006/relationships/hyperlink" Target="https://www.sciencedirect.com/science/article/pii/S1466853X05001501?casa_token=Q-PXQPv2_GkAAAAA%3A_15vA_b8k9eQWscNWFE1PWkhS8b9eSE-yjpHXqW2lxkhuAmsi8fMROSCS769OP0w_lH9ttKyAA" TargetMode="External" Id="R22264b73b2dd4409" /><Relationship Type="http://schemas.openxmlformats.org/officeDocument/2006/relationships/hyperlink" Target="https://www.sciencedirect.com/science/article/pii/S0161475405003167" TargetMode="External" Id="Rb32ec92788f04bbd" /><Relationship Type="http://schemas.openxmlformats.org/officeDocument/2006/relationships/hyperlink" Target="https://www.thieme-connect.com/products/ejournals/abstract/10.1055/s-2007-973041" TargetMode="External" Id="R64440b04c3d342ce" /><Relationship Type="http://schemas.openxmlformats.org/officeDocument/2006/relationships/hyperlink" Target="https://www.physio-pedia.com/Trigger_Points" TargetMode="External" Id="R0b14df83a73841d1" /><Relationship Type="http://schemas.openxmlformats.org/officeDocument/2006/relationships/hyperlink" Target="https://doi.org/10.2165/00007256-200535030-00004" TargetMode="External" Id="Rcfca4fee7dca4620" /><Relationship Type="http://schemas.openxmlformats.org/officeDocument/2006/relationships/header" Target="header.xml" Id="R8e6c46c3ca9e4280" /><Relationship Type="http://schemas.openxmlformats.org/officeDocument/2006/relationships/footer" Target="footer.xml" Id="Ra71de0c0565d4947" /><Relationship Type="http://schemas.microsoft.com/office/2020/10/relationships/intelligence" Target="intelligence2.xml" Id="R2c3f085e9e3b47d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2024-02-18T20:45:38.4570790Z</dcterms:created>
  <dcterms:modified xsi:type="dcterms:W3CDTF">2024-02-19T15:31:19.0409015Z</dcterms:modified>
  <dc:creator>Naomi Eynon (2304127)</dc:creator>
  <lastModifiedBy>Naomi Eynon (2304127)</lastModifiedBy>
</coreProperties>
</file>