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0DBE69" w14:textId="77777777" w:rsidR="001C57C7" w:rsidRDefault="001C57C7" w:rsidP="00537750">
      <w:pPr>
        <w:spacing w:line="360" w:lineRule="auto"/>
        <w:jc w:val="center"/>
        <w:rPr>
          <w:rFonts w:ascii="Times New Roman" w:hAnsi="Times New Roman" w:cs="Times New Roman"/>
          <w:b/>
          <w:bCs/>
          <w:u w:val="single"/>
        </w:rPr>
      </w:pPr>
    </w:p>
    <w:p w14:paraId="5403266F" w14:textId="77777777" w:rsidR="001C57C7" w:rsidRDefault="001C57C7" w:rsidP="00537750">
      <w:pPr>
        <w:spacing w:line="360" w:lineRule="auto"/>
        <w:jc w:val="center"/>
        <w:rPr>
          <w:rFonts w:ascii="Times New Roman" w:hAnsi="Times New Roman" w:cs="Times New Roman"/>
          <w:b/>
          <w:bCs/>
          <w:u w:val="single"/>
        </w:rPr>
      </w:pPr>
    </w:p>
    <w:p w14:paraId="78A6BFB4" w14:textId="77777777" w:rsidR="001C57C7" w:rsidRDefault="001C57C7" w:rsidP="00537750">
      <w:pPr>
        <w:spacing w:line="360" w:lineRule="auto"/>
        <w:jc w:val="center"/>
        <w:rPr>
          <w:rFonts w:ascii="Times New Roman" w:hAnsi="Times New Roman" w:cs="Times New Roman"/>
          <w:b/>
          <w:bCs/>
          <w:u w:val="single"/>
        </w:rPr>
      </w:pPr>
    </w:p>
    <w:p w14:paraId="3C719D48" w14:textId="77777777" w:rsidR="001C57C7" w:rsidRDefault="001C57C7" w:rsidP="00537750">
      <w:pPr>
        <w:spacing w:line="360" w:lineRule="auto"/>
        <w:jc w:val="center"/>
        <w:rPr>
          <w:rFonts w:ascii="Times New Roman" w:hAnsi="Times New Roman" w:cs="Times New Roman"/>
          <w:b/>
          <w:bCs/>
          <w:u w:val="single"/>
        </w:rPr>
      </w:pPr>
    </w:p>
    <w:p w14:paraId="6A724E56" w14:textId="77777777" w:rsidR="001C57C7" w:rsidRDefault="001C57C7" w:rsidP="00537750">
      <w:pPr>
        <w:spacing w:line="360" w:lineRule="auto"/>
        <w:jc w:val="center"/>
        <w:rPr>
          <w:rFonts w:ascii="Times New Roman" w:hAnsi="Times New Roman" w:cs="Times New Roman"/>
          <w:b/>
          <w:bCs/>
          <w:u w:val="single"/>
        </w:rPr>
      </w:pPr>
    </w:p>
    <w:p w14:paraId="73FCE28D" w14:textId="77777777" w:rsidR="001C57C7" w:rsidRDefault="001C57C7" w:rsidP="00537750">
      <w:pPr>
        <w:spacing w:line="360" w:lineRule="auto"/>
        <w:jc w:val="center"/>
        <w:rPr>
          <w:rFonts w:ascii="Times New Roman" w:hAnsi="Times New Roman" w:cs="Times New Roman"/>
          <w:b/>
          <w:bCs/>
          <w:u w:val="single"/>
        </w:rPr>
      </w:pPr>
    </w:p>
    <w:p w14:paraId="6621C0C3" w14:textId="77777777" w:rsidR="001C57C7" w:rsidRDefault="001C57C7" w:rsidP="00537750">
      <w:pPr>
        <w:spacing w:line="360" w:lineRule="auto"/>
        <w:jc w:val="center"/>
        <w:rPr>
          <w:rFonts w:ascii="Times New Roman" w:hAnsi="Times New Roman" w:cs="Times New Roman"/>
          <w:b/>
          <w:bCs/>
          <w:u w:val="single"/>
        </w:rPr>
      </w:pPr>
    </w:p>
    <w:p w14:paraId="7946E1B8" w14:textId="77777777" w:rsidR="001C57C7" w:rsidRPr="009126A5" w:rsidRDefault="001C57C7" w:rsidP="002C1DF6">
      <w:pPr>
        <w:spacing w:line="360" w:lineRule="auto"/>
        <w:rPr>
          <w:rFonts w:ascii="Times New Roman" w:hAnsi="Times New Roman" w:cs="Times New Roman"/>
        </w:rPr>
      </w:pPr>
    </w:p>
    <w:p w14:paraId="09EB0EC8" w14:textId="60378F3A" w:rsidR="00753384" w:rsidRPr="009126A5" w:rsidRDefault="00F70890" w:rsidP="00753384">
      <w:pPr>
        <w:spacing w:line="240" w:lineRule="auto"/>
        <w:jc w:val="center"/>
        <w:rPr>
          <w:rFonts w:ascii="Times New Roman" w:hAnsi="Times New Roman" w:cs="Times New Roman"/>
        </w:rPr>
      </w:pPr>
      <w:r>
        <w:rPr>
          <w:rFonts w:ascii="Times New Roman" w:hAnsi="Times New Roman" w:cs="Times New Roman"/>
        </w:rPr>
        <w:t xml:space="preserve">Is </w:t>
      </w:r>
      <w:r w:rsidR="005E579F" w:rsidRPr="009126A5">
        <w:rPr>
          <w:rFonts w:ascii="Times New Roman" w:hAnsi="Times New Roman" w:cs="Times New Roman"/>
          <w:i/>
          <w:iCs/>
        </w:rPr>
        <w:t>Heka</w:t>
      </w:r>
      <w:r>
        <w:rPr>
          <w:rFonts w:ascii="Times New Roman" w:hAnsi="Times New Roman" w:cs="Times New Roman"/>
        </w:rPr>
        <w:t xml:space="preserve"> </w:t>
      </w:r>
      <w:r w:rsidR="005E579F" w:rsidRPr="009126A5">
        <w:rPr>
          <w:rFonts w:ascii="Times New Roman" w:hAnsi="Times New Roman" w:cs="Times New Roman"/>
        </w:rPr>
        <w:t>the Conceptual Core of Ancient Egyptian Religion</w:t>
      </w:r>
      <w:r>
        <w:rPr>
          <w:rFonts w:ascii="Times New Roman" w:hAnsi="Times New Roman" w:cs="Times New Roman"/>
        </w:rPr>
        <w:t>?</w:t>
      </w:r>
    </w:p>
    <w:p w14:paraId="4E373F41" w14:textId="583D0736" w:rsidR="00753384" w:rsidRPr="009126A5" w:rsidRDefault="00753384" w:rsidP="00FA0A9C">
      <w:pPr>
        <w:spacing w:line="240" w:lineRule="auto"/>
        <w:jc w:val="center"/>
        <w:rPr>
          <w:rFonts w:ascii="Times New Roman" w:hAnsi="Times New Roman" w:cs="Times New Roman"/>
        </w:rPr>
      </w:pPr>
      <w:r w:rsidRPr="009126A5">
        <w:rPr>
          <w:rFonts w:ascii="Times New Roman" w:hAnsi="Times New Roman" w:cs="Times New Roman"/>
        </w:rPr>
        <w:t>HPAH7015</w:t>
      </w:r>
    </w:p>
    <w:p w14:paraId="656D7D74" w14:textId="3472AF3F" w:rsidR="00753384" w:rsidRPr="009126A5" w:rsidRDefault="00753384" w:rsidP="00FA0A9C">
      <w:pPr>
        <w:spacing w:line="240" w:lineRule="auto"/>
        <w:jc w:val="center"/>
        <w:rPr>
          <w:rFonts w:ascii="Times New Roman" w:hAnsi="Times New Roman" w:cs="Times New Roman"/>
        </w:rPr>
      </w:pPr>
      <w:r w:rsidRPr="009126A5">
        <w:rPr>
          <w:rFonts w:ascii="Times New Roman" w:hAnsi="Times New Roman" w:cs="Times New Roman"/>
        </w:rPr>
        <w:t>2325315</w:t>
      </w:r>
    </w:p>
    <w:p w14:paraId="3EF8D207" w14:textId="77777777" w:rsidR="001E6B34" w:rsidRPr="009126A5" w:rsidRDefault="001E6B34" w:rsidP="00537750">
      <w:pPr>
        <w:spacing w:line="360" w:lineRule="auto"/>
        <w:jc w:val="center"/>
        <w:rPr>
          <w:rFonts w:ascii="Times New Roman" w:hAnsi="Times New Roman" w:cs="Times New Roman"/>
        </w:rPr>
      </w:pPr>
    </w:p>
    <w:p w14:paraId="668CDA32" w14:textId="77777777" w:rsidR="001C57C7" w:rsidRPr="009126A5" w:rsidRDefault="001C57C7" w:rsidP="00537750">
      <w:pPr>
        <w:spacing w:line="360" w:lineRule="auto"/>
        <w:jc w:val="center"/>
        <w:rPr>
          <w:rFonts w:ascii="Times New Roman" w:hAnsi="Times New Roman" w:cs="Times New Roman"/>
        </w:rPr>
      </w:pPr>
    </w:p>
    <w:p w14:paraId="1FE184D4" w14:textId="2C8F0611" w:rsidR="001C57C7" w:rsidRPr="009126A5" w:rsidRDefault="00D06DDA" w:rsidP="00537750">
      <w:pPr>
        <w:spacing w:line="360" w:lineRule="auto"/>
        <w:jc w:val="center"/>
        <w:rPr>
          <w:rFonts w:ascii="Times New Roman" w:hAnsi="Times New Roman" w:cs="Times New Roman"/>
        </w:rPr>
      </w:pPr>
      <w:r w:rsidRPr="009126A5">
        <w:rPr>
          <w:rFonts w:ascii="Times New Roman" w:hAnsi="Times New Roman" w:cs="Times New Roman"/>
        </w:rPr>
        <w:t xml:space="preserve">Tutor: </w:t>
      </w:r>
      <w:r w:rsidR="002C1DF6" w:rsidRPr="009126A5">
        <w:rPr>
          <w:rFonts w:ascii="Times New Roman" w:hAnsi="Times New Roman" w:cs="Times New Roman"/>
        </w:rPr>
        <w:t>Dr K Zinn</w:t>
      </w:r>
    </w:p>
    <w:p w14:paraId="0E181D5C" w14:textId="4DDA2B99" w:rsidR="00BB6A2B" w:rsidRPr="009126A5" w:rsidRDefault="00BB6A2B" w:rsidP="00537750">
      <w:pPr>
        <w:spacing w:line="360" w:lineRule="auto"/>
        <w:jc w:val="center"/>
        <w:rPr>
          <w:rFonts w:ascii="Times New Roman" w:hAnsi="Times New Roman" w:cs="Times New Roman"/>
        </w:rPr>
      </w:pPr>
      <w:r w:rsidRPr="009126A5">
        <w:rPr>
          <w:rFonts w:ascii="Times New Roman" w:hAnsi="Times New Roman" w:cs="Times New Roman"/>
        </w:rPr>
        <w:t>Word Count: 1</w:t>
      </w:r>
      <w:r w:rsidR="00651AE6">
        <w:rPr>
          <w:rFonts w:ascii="Times New Roman" w:hAnsi="Times New Roman" w:cs="Times New Roman"/>
        </w:rPr>
        <w:t>341</w:t>
      </w:r>
    </w:p>
    <w:p w14:paraId="2FAAEB92" w14:textId="42638A32" w:rsidR="00BB6A2B" w:rsidRPr="009126A5" w:rsidRDefault="00BB6A2B" w:rsidP="00537750">
      <w:pPr>
        <w:spacing w:line="360" w:lineRule="auto"/>
        <w:jc w:val="center"/>
        <w:rPr>
          <w:rFonts w:ascii="Times New Roman" w:hAnsi="Times New Roman" w:cs="Times New Roman"/>
        </w:rPr>
      </w:pPr>
      <w:r w:rsidRPr="009126A5">
        <w:rPr>
          <w:rFonts w:ascii="Times New Roman" w:hAnsi="Times New Roman" w:cs="Times New Roman"/>
        </w:rPr>
        <w:t xml:space="preserve">Date of Submission: </w:t>
      </w:r>
      <w:r w:rsidR="00D06DDA" w:rsidRPr="009126A5">
        <w:rPr>
          <w:rFonts w:ascii="Times New Roman" w:hAnsi="Times New Roman" w:cs="Times New Roman"/>
        </w:rPr>
        <w:t>20 March 2026</w:t>
      </w:r>
    </w:p>
    <w:p w14:paraId="18BE16E0" w14:textId="77777777" w:rsidR="001C57C7" w:rsidRDefault="001C57C7" w:rsidP="00537750">
      <w:pPr>
        <w:spacing w:line="360" w:lineRule="auto"/>
        <w:jc w:val="center"/>
        <w:rPr>
          <w:rFonts w:ascii="Times New Roman" w:hAnsi="Times New Roman" w:cs="Times New Roman"/>
          <w:b/>
          <w:bCs/>
          <w:u w:val="single"/>
        </w:rPr>
      </w:pPr>
    </w:p>
    <w:p w14:paraId="09E45097" w14:textId="77777777" w:rsidR="001C57C7" w:rsidRDefault="001C57C7" w:rsidP="00537750">
      <w:pPr>
        <w:spacing w:line="360" w:lineRule="auto"/>
        <w:jc w:val="center"/>
        <w:rPr>
          <w:rFonts w:ascii="Times New Roman" w:hAnsi="Times New Roman" w:cs="Times New Roman"/>
          <w:b/>
          <w:bCs/>
          <w:u w:val="single"/>
        </w:rPr>
      </w:pPr>
    </w:p>
    <w:p w14:paraId="39D395E1" w14:textId="77777777" w:rsidR="001C57C7" w:rsidRDefault="001C57C7" w:rsidP="00537750">
      <w:pPr>
        <w:spacing w:line="360" w:lineRule="auto"/>
        <w:jc w:val="center"/>
        <w:rPr>
          <w:rFonts w:ascii="Times New Roman" w:hAnsi="Times New Roman" w:cs="Times New Roman"/>
          <w:b/>
          <w:bCs/>
          <w:u w:val="single"/>
        </w:rPr>
      </w:pPr>
    </w:p>
    <w:p w14:paraId="289B4D22" w14:textId="77777777" w:rsidR="001C57C7" w:rsidRDefault="001C57C7" w:rsidP="00537750">
      <w:pPr>
        <w:spacing w:line="360" w:lineRule="auto"/>
        <w:jc w:val="center"/>
        <w:rPr>
          <w:rFonts w:ascii="Times New Roman" w:hAnsi="Times New Roman" w:cs="Times New Roman"/>
          <w:b/>
          <w:bCs/>
          <w:u w:val="single"/>
        </w:rPr>
      </w:pPr>
    </w:p>
    <w:p w14:paraId="1536E088" w14:textId="77777777" w:rsidR="001C57C7" w:rsidRDefault="001C57C7" w:rsidP="00537750">
      <w:pPr>
        <w:spacing w:line="360" w:lineRule="auto"/>
        <w:jc w:val="center"/>
        <w:rPr>
          <w:rFonts w:ascii="Times New Roman" w:hAnsi="Times New Roman" w:cs="Times New Roman"/>
          <w:b/>
          <w:bCs/>
          <w:u w:val="single"/>
        </w:rPr>
      </w:pPr>
    </w:p>
    <w:p w14:paraId="2A72D5D8" w14:textId="77777777" w:rsidR="001C57C7" w:rsidRDefault="001C57C7" w:rsidP="00537750">
      <w:pPr>
        <w:spacing w:line="360" w:lineRule="auto"/>
        <w:jc w:val="center"/>
        <w:rPr>
          <w:rFonts w:ascii="Times New Roman" w:hAnsi="Times New Roman" w:cs="Times New Roman"/>
          <w:b/>
          <w:bCs/>
          <w:u w:val="single"/>
        </w:rPr>
      </w:pPr>
    </w:p>
    <w:p w14:paraId="41D89512" w14:textId="77777777" w:rsidR="00C24AF4" w:rsidRDefault="00C24AF4" w:rsidP="00EB1B25">
      <w:pPr>
        <w:spacing w:line="360" w:lineRule="auto"/>
        <w:rPr>
          <w:rFonts w:ascii="Times New Roman" w:hAnsi="Times New Roman" w:cs="Times New Roman"/>
          <w:b/>
          <w:bCs/>
          <w:u w:val="single"/>
        </w:rPr>
        <w:sectPr w:rsidR="00C24AF4">
          <w:footerReference w:type="default" r:id="rId7"/>
          <w:pgSz w:w="11906" w:h="16838"/>
          <w:pgMar w:top="1440" w:right="1440" w:bottom="1440" w:left="1440" w:header="708" w:footer="708" w:gutter="0"/>
          <w:cols w:space="708"/>
          <w:docGrid w:linePitch="360"/>
        </w:sectPr>
      </w:pPr>
    </w:p>
    <w:p w14:paraId="420B5EDF" w14:textId="77777777" w:rsidR="009126A5" w:rsidRDefault="009126A5" w:rsidP="00EB1B25">
      <w:pPr>
        <w:spacing w:line="360" w:lineRule="auto"/>
        <w:rPr>
          <w:rFonts w:ascii="Times New Roman" w:hAnsi="Times New Roman" w:cs="Times New Roman"/>
          <w:b/>
          <w:bCs/>
          <w:u w:val="single"/>
        </w:rPr>
      </w:pPr>
    </w:p>
    <w:p w14:paraId="7C4D8E07" w14:textId="074829D4" w:rsidR="002A602B" w:rsidRPr="00537750" w:rsidRDefault="00F70890" w:rsidP="002C1DF6">
      <w:pPr>
        <w:spacing w:line="360" w:lineRule="auto"/>
        <w:jc w:val="center"/>
        <w:rPr>
          <w:rFonts w:ascii="Times New Roman" w:hAnsi="Times New Roman" w:cs="Times New Roman"/>
          <w:b/>
          <w:bCs/>
          <w:u w:val="single"/>
        </w:rPr>
      </w:pPr>
      <w:r>
        <w:rPr>
          <w:rFonts w:ascii="Times New Roman" w:hAnsi="Times New Roman" w:cs="Times New Roman"/>
          <w:b/>
          <w:bCs/>
          <w:u w:val="single"/>
        </w:rPr>
        <w:t xml:space="preserve">Is </w:t>
      </w:r>
      <w:r w:rsidR="002A602B" w:rsidRPr="00EB1B25">
        <w:rPr>
          <w:rFonts w:ascii="Times New Roman" w:hAnsi="Times New Roman" w:cs="Times New Roman"/>
          <w:b/>
          <w:bCs/>
          <w:i/>
          <w:iCs/>
          <w:u w:val="single"/>
        </w:rPr>
        <w:t>Heka</w:t>
      </w:r>
      <w:r w:rsidR="002A602B" w:rsidRPr="00537750">
        <w:rPr>
          <w:rFonts w:ascii="Times New Roman" w:hAnsi="Times New Roman" w:cs="Times New Roman"/>
          <w:b/>
          <w:bCs/>
          <w:u w:val="single"/>
        </w:rPr>
        <w:t xml:space="preserve"> the conceptual core of Ancient Egyptian religion</w:t>
      </w:r>
      <w:r>
        <w:rPr>
          <w:rFonts w:ascii="Times New Roman" w:hAnsi="Times New Roman" w:cs="Times New Roman"/>
          <w:b/>
          <w:bCs/>
          <w:u w:val="single"/>
        </w:rPr>
        <w:t>?</w:t>
      </w:r>
    </w:p>
    <w:p w14:paraId="3B7942A0" w14:textId="1FF9F30B" w:rsidR="002A602B" w:rsidRPr="00537750" w:rsidRDefault="002A602B" w:rsidP="00537750">
      <w:pPr>
        <w:spacing w:line="360" w:lineRule="auto"/>
        <w:rPr>
          <w:rFonts w:ascii="Times New Roman" w:hAnsi="Times New Roman" w:cs="Times New Roman"/>
        </w:rPr>
      </w:pPr>
      <w:r w:rsidRPr="00537750">
        <w:rPr>
          <w:rFonts w:ascii="Times New Roman" w:hAnsi="Times New Roman" w:cs="Times New Roman"/>
        </w:rPr>
        <w:t xml:space="preserve">Ancient Egyptian religion is often described in terms of its elaborate pantheon, monumental temples, and rich funerary traditions. Yet beneath these visible expressions lies a deeper conceptual framework that shaped how Egyptians understood the cosmos and their place within it. Central to this framework is </w:t>
      </w:r>
      <w:r w:rsidRPr="00537750">
        <w:rPr>
          <w:rFonts w:ascii="Times New Roman" w:hAnsi="Times New Roman" w:cs="Times New Roman"/>
          <w:i/>
          <w:iCs/>
        </w:rPr>
        <w:t>heka</w:t>
      </w:r>
      <w:r w:rsidRPr="00537750">
        <w:rPr>
          <w:rFonts w:ascii="Times New Roman" w:hAnsi="Times New Roman" w:cs="Times New Roman"/>
        </w:rPr>
        <w:t xml:space="preserve">, a term frequently translated as ‘magic’ but </w:t>
      </w:r>
      <w:r w:rsidR="00427C4E" w:rsidRPr="00537750">
        <w:rPr>
          <w:rFonts w:ascii="Times New Roman" w:hAnsi="Times New Roman" w:cs="Times New Roman"/>
        </w:rPr>
        <w:t>who</w:t>
      </w:r>
      <w:r w:rsidR="00E41BD3">
        <w:rPr>
          <w:rFonts w:ascii="Times New Roman" w:hAnsi="Times New Roman" w:cs="Times New Roman"/>
        </w:rPr>
        <w:t>se</w:t>
      </w:r>
      <w:r w:rsidRPr="00537750">
        <w:rPr>
          <w:rFonts w:ascii="Times New Roman" w:hAnsi="Times New Roman" w:cs="Times New Roman"/>
        </w:rPr>
        <w:t xml:space="preserve"> meaning far exceeds that category. Rather than existing as a marginal or superstitious practice, </w:t>
      </w:r>
      <w:r w:rsidRPr="00537750">
        <w:rPr>
          <w:rFonts w:ascii="Times New Roman" w:hAnsi="Times New Roman" w:cs="Times New Roman"/>
          <w:i/>
          <w:iCs/>
        </w:rPr>
        <w:t>heka</w:t>
      </w:r>
      <w:r w:rsidRPr="00537750">
        <w:rPr>
          <w:rFonts w:ascii="Times New Roman" w:hAnsi="Times New Roman" w:cs="Times New Roman"/>
        </w:rPr>
        <w:t xml:space="preserve"> functioned as a fundamental cosmic force that enabled both gods and humans to act effectively in the world. This paper argues that </w:t>
      </w:r>
      <w:r w:rsidRPr="00537750">
        <w:rPr>
          <w:rFonts w:ascii="Times New Roman" w:hAnsi="Times New Roman" w:cs="Times New Roman"/>
          <w:i/>
          <w:iCs/>
        </w:rPr>
        <w:t>heka</w:t>
      </w:r>
      <w:r w:rsidRPr="00537750">
        <w:rPr>
          <w:rFonts w:ascii="Times New Roman" w:hAnsi="Times New Roman" w:cs="Times New Roman"/>
        </w:rPr>
        <w:t xml:space="preserve"> formed the conceptual core of ancient Egyptian religion, shaping divine power, ritual efficacy, and the relationship between humans and the gods. By examining </w:t>
      </w:r>
      <w:r w:rsidRPr="00537750">
        <w:rPr>
          <w:rFonts w:ascii="Times New Roman" w:hAnsi="Times New Roman" w:cs="Times New Roman"/>
          <w:i/>
          <w:iCs/>
        </w:rPr>
        <w:t>heka</w:t>
      </w:r>
      <w:r w:rsidRPr="00537750">
        <w:rPr>
          <w:rFonts w:ascii="Times New Roman" w:hAnsi="Times New Roman" w:cs="Times New Roman"/>
        </w:rPr>
        <w:t xml:space="preserve"> across theological, ritual and </w:t>
      </w:r>
      <w:r w:rsidR="009354AC" w:rsidRPr="00537750">
        <w:rPr>
          <w:rFonts w:ascii="Times New Roman" w:hAnsi="Times New Roman" w:cs="Times New Roman"/>
        </w:rPr>
        <w:t xml:space="preserve">funerary contexts – and by engaging with modern scholarship that challenges the magic-religion divide – this paper demonstrates that </w:t>
      </w:r>
      <w:r w:rsidR="009354AC" w:rsidRPr="00537750">
        <w:rPr>
          <w:rFonts w:ascii="Times New Roman" w:hAnsi="Times New Roman" w:cs="Times New Roman"/>
          <w:i/>
          <w:iCs/>
        </w:rPr>
        <w:t>heka</w:t>
      </w:r>
      <w:r w:rsidR="009354AC" w:rsidRPr="00537750">
        <w:rPr>
          <w:rFonts w:ascii="Times New Roman" w:hAnsi="Times New Roman" w:cs="Times New Roman"/>
        </w:rPr>
        <w:t xml:space="preserve"> is essential for understanding the logic of Egyptian religious thought. </w:t>
      </w:r>
    </w:p>
    <w:p w14:paraId="22ADE378" w14:textId="1B6A08AB" w:rsidR="009354AC" w:rsidRPr="00537750" w:rsidRDefault="009354AC" w:rsidP="00537750">
      <w:pPr>
        <w:spacing w:line="360" w:lineRule="auto"/>
        <w:ind w:firstLine="720"/>
        <w:rPr>
          <w:rFonts w:ascii="Times New Roman" w:hAnsi="Times New Roman" w:cs="Times New Roman"/>
        </w:rPr>
      </w:pPr>
      <w:r w:rsidRPr="00537750">
        <w:rPr>
          <w:rFonts w:ascii="Times New Roman" w:hAnsi="Times New Roman" w:cs="Times New Roman"/>
        </w:rPr>
        <w:t xml:space="preserve">To understand the centrality of </w:t>
      </w:r>
      <w:r w:rsidRPr="00537750">
        <w:rPr>
          <w:rFonts w:ascii="Times New Roman" w:hAnsi="Times New Roman" w:cs="Times New Roman"/>
          <w:i/>
          <w:iCs/>
        </w:rPr>
        <w:t>heka</w:t>
      </w:r>
      <w:r w:rsidRPr="00537750">
        <w:rPr>
          <w:rFonts w:ascii="Times New Roman" w:hAnsi="Times New Roman" w:cs="Times New Roman"/>
        </w:rPr>
        <w:t xml:space="preserve">, it is necessary to begin with its cosmological status. In several creation accounts, </w:t>
      </w:r>
      <w:r w:rsidRPr="00537750">
        <w:rPr>
          <w:rFonts w:ascii="Times New Roman" w:hAnsi="Times New Roman" w:cs="Times New Roman"/>
          <w:i/>
          <w:iCs/>
        </w:rPr>
        <w:t>heka</w:t>
      </w:r>
      <w:r w:rsidRPr="00537750">
        <w:rPr>
          <w:rFonts w:ascii="Times New Roman" w:hAnsi="Times New Roman" w:cs="Times New Roman"/>
        </w:rPr>
        <w:t xml:space="preserve"> is not merely a tool used by the gods but a primordial force that predates creation itself. Texts from the Coffin Texts to later temple inscriptions describe </w:t>
      </w:r>
      <w:r w:rsidRPr="00537750">
        <w:rPr>
          <w:rFonts w:ascii="Times New Roman" w:hAnsi="Times New Roman" w:cs="Times New Roman"/>
          <w:i/>
          <w:iCs/>
        </w:rPr>
        <w:t>heka</w:t>
      </w:r>
      <w:r w:rsidRPr="00537750">
        <w:rPr>
          <w:rFonts w:ascii="Times New Roman" w:hAnsi="Times New Roman" w:cs="Times New Roman"/>
        </w:rPr>
        <w:t xml:space="preserve"> as present “before the gods came into being,”</w:t>
      </w:r>
      <w:r w:rsidRPr="00537750">
        <w:rPr>
          <w:rStyle w:val="FootnoteReference"/>
          <w:rFonts w:ascii="Times New Roman" w:hAnsi="Times New Roman" w:cs="Times New Roman"/>
        </w:rPr>
        <w:footnoteReference w:id="1"/>
      </w:r>
      <w:r w:rsidRPr="00537750">
        <w:rPr>
          <w:rFonts w:ascii="Times New Roman" w:hAnsi="Times New Roman" w:cs="Times New Roman"/>
        </w:rPr>
        <w:t xml:space="preserve"> suggesting that divine action is contingent upon this underlying power. In this sense, </w:t>
      </w:r>
      <w:r w:rsidRPr="00537750">
        <w:rPr>
          <w:rFonts w:ascii="Times New Roman" w:hAnsi="Times New Roman" w:cs="Times New Roman"/>
          <w:i/>
          <w:iCs/>
        </w:rPr>
        <w:t>heka</w:t>
      </w:r>
      <w:r w:rsidRPr="00537750">
        <w:rPr>
          <w:rFonts w:ascii="Times New Roman" w:hAnsi="Times New Roman" w:cs="Times New Roman"/>
        </w:rPr>
        <w:t xml:space="preserve"> is not a practice but a principle: the energy that animates the cosmos and makes existence possible. This conceptualisation distinguishes Egyptian thought from later Western traditions, where ‘magic’ is often framed as illicit or marginal. For Egyptians, </w:t>
      </w:r>
      <w:r w:rsidRPr="00537750">
        <w:rPr>
          <w:rFonts w:ascii="Times New Roman" w:hAnsi="Times New Roman" w:cs="Times New Roman"/>
          <w:i/>
          <w:iCs/>
        </w:rPr>
        <w:t>heka</w:t>
      </w:r>
      <w:r w:rsidRPr="00537750">
        <w:rPr>
          <w:rFonts w:ascii="Times New Roman" w:hAnsi="Times New Roman" w:cs="Times New Roman"/>
        </w:rPr>
        <w:t xml:space="preserve"> was woven into the fabric of reality. It was the mechanism through which </w:t>
      </w:r>
      <w:r w:rsidRPr="00537750">
        <w:rPr>
          <w:rFonts w:ascii="Times New Roman" w:hAnsi="Times New Roman" w:cs="Times New Roman"/>
          <w:i/>
          <w:iCs/>
        </w:rPr>
        <w:t>ma’at</w:t>
      </w:r>
      <w:r w:rsidRPr="00537750">
        <w:rPr>
          <w:rFonts w:ascii="Times New Roman" w:hAnsi="Times New Roman" w:cs="Times New Roman"/>
        </w:rPr>
        <w:t xml:space="preserve"> (order) was maintained and </w:t>
      </w:r>
      <w:r w:rsidRPr="00537750">
        <w:rPr>
          <w:rFonts w:ascii="Times New Roman" w:hAnsi="Times New Roman" w:cs="Times New Roman"/>
          <w:i/>
          <w:iCs/>
        </w:rPr>
        <w:t>isfet</w:t>
      </w:r>
      <w:r w:rsidRPr="00537750">
        <w:rPr>
          <w:rFonts w:ascii="Times New Roman" w:hAnsi="Times New Roman" w:cs="Times New Roman"/>
        </w:rPr>
        <w:t xml:space="preserve"> (chaos) held at bay. By positioning </w:t>
      </w:r>
      <w:r w:rsidRPr="00537750">
        <w:rPr>
          <w:rFonts w:ascii="Times New Roman" w:hAnsi="Times New Roman" w:cs="Times New Roman"/>
          <w:i/>
          <w:iCs/>
        </w:rPr>
        <w:t>heka</w:t>
      </w:r>
      <w:r w:rsidRPr="00537750">
        <w:rPr>
          <w:rFonts w:ascii="Times New Roman" w:hAnsi="Times New Roman" w:cs="Times New Roman"/>
        </w:rPr>
        <w:t xml:space="preserve"> as primordial Egyptian theology situates it at the heart of the cosmic structure rather than at its periphery. </w:t>
      </w:r>
    </w:p>
    <w:p w14:paraId="6FF45DF5" w14:textId="2976D042" w:rsidR="009354AC" w:rsidRPr="00537750" w:rsidRDefault="009354AC" w:rsidP="00537750">
      <w:pPr>
        <w:spacing w:line="360" w:lineRule="auto"/>
        <w:ind w:firstLine="720"/>
        <w:rPr>
          <w:rFonts w:ascii="Times New Roman" w:hAnsi="Times New Roman" w:cs="Times New Roman"/>
        </w:rPr>
      </w:pPr>
      <w:r w:rsidRPr="00537750">
        <w:rPr>
          <w:rFonts w:ascii="Times New Roman" w:hAnsi="Times New Roman" w:cs="Times New Roman"/>
        </w:rPr>
        <w:t xml:space="preserve">If </w:t>
      </w:r>
      <w:r w:rsidRPr="00537750">
        <w:rPr>
          <w:rFonts w:ascii="Times New Roman" w:hAnsi="Times New Roman" w:cs="Times New Roman"/>
          <w:i/>
          <w:iCs/>
        </w:rPr>
        <w:t>heka</w:t>
      </w:r>
      <w:r w:rsidRPr="00537750">
        <w:rPr>
          <w:rFonts w:ascii="Times New Roman" w:hAnsi="Times New Roman" w:cs="Times New Roman"/>
        </w:rPr>
        <w:t xml:space="preserve"> is the force that enables action, then divine power itself is understood through its lens. Gods are powerful not because they transcend </w:t>
      </w:r>
      <w:r w:rsidRPr="00537750">
        <w:rPr>
          <w:rFonts w:ascii="Times New Roman" w:hAnsi="Times New Roman" w:cs="Times New Roman"/>
          <w:i/>
          <w:iCs/>
        </w:rPr>
        <w:t>heka</w:t>
      </w:r>
      <w:r w:rsidRPr="00537750">
        <w:rPr>
          <w:rFonts w:ascii="Times New Roman" w:hAnsi="Times New Roman" w:cs="Times New Roman"/>
        </w:rPr>
        <w:t xml:space="preserve">, but because they wield it effectively. Deities such as Isis are explicitly praised for their mastery of </w:t>
      </w:r>
      <w:r w:rsidRPr="00537750">
        <w:rPr>
          <w:rFonts w:ascii="Times New Roman" w:hAnsi="Times New Roman" w:cs="Times New Roman"/>
          <w:i/>
          <w:iCs/>
        </w:rPr>
        <w:t>heka</w:t>
      </w:r>
      <w:r w:rsidRPr="00537750">
        <w:rPr>
          <w:rFonts w:ascii="Times New Roman" w:hAnsi="Times New Roman" w:cs="Times New Roman"/>
        </w:rPr>
        <w:t>, which allows them to heal, protect and transform.</w:t>
      </w:r>
      <w:r w:rsidRPr="00537750">
        <w:rPr>
          <w:rStyle w:val="FootnoteReference"/>
          <w:rFonts w:ascii="Times New Roman" w:hAnsi="Times New Roman" w:cs="Times New Roman"/>
        </w:rPr>
        <w:footnoteReference w:id="2"/>
      </w:r>
      <w:r w:rsidRPr="00537750">
        <w:rPr>
          <w:rFonts w:ascii="Times New Roman" w:hAnsi="Times New Roman" w:cs="Times New Roman"/>
        </w:rPr>
        <w:t xml:space="preserve"> Even</w:t>
      </w:r>
      <w:r w:rsidR="004B17FF" w:rsidRPr="00537750">
        <w:rPr>
          <w:rFonts w:ascii="Times New Roman" w:hAnsi="Times New Roman" w:cs="Times New Roman"/>
        </w:rPr>
        <w:t xml:space="preserve"> the creator gods rely on </w:t>
      </w:r>
      <w:r w:rsidR="004B17FF" w:rsidRPr="00537750">
        <w:rPr>
          <w:rFonts w:ascii="Times New Roman" w:hAnsi="Times New Roman" w:cs="Times New Roman"/>
          <w:i/>
          <w:iCs/>
        </w:rPr>
        <w:t>heka</w:t>
      </w:r>
      <w:r w:rsidR="004B17FF" w:rsidRPr="00537750">
        <w:rPr>
          <w:rFonts w:ascii="Times New Roman" w:hAnsi="Times New Roman" w:cs="Times New Roman"/>
        </w:rPr>
        <w:t xml:space="preserve"> to bring the world </w:t>
      </w:r>
      <w:r w:rsidR="004B17FF" w:rsidRPr="00537750">
        <w:rPr>
          <w:rFonts w:ascii="Times New Roman" w:hAnsi="Times New Roman" w:cs="Times New Roman"/>
        </w:rPr>
        <w:lastRenderedPageBreak/>
        <w:t>into being.</w:t>
      </w:r>
      <w:r w:rsidR="004B17FF" w:rsidRPr="00537750">
        <w:rPr>
          <w:rStyle w:val="FootnoteReference"/>
          <w:rFonts w:ascii="Times New Roman" w:hAnsi="Times New Roman" w:cs="Times New Roman"/>
        </w:rPr>
        <w:footnoteReference w:id="3"/>
      </w:r>
      <w:r w:rsidR="004B17FF" w:rsidRPr="00537750">
        <w:rPr>
          <w:rFonts w:ascii="Times New Roman" w:hAnsi="Times New Roman" w:cs="Times New Roman"/>
        </w:rPr>
        <w:t xml:space="preserve"> Rather than omnipotent beings acting through sheer will, Egyptian gods operate within a system where power is mediated through a shared cosmic mechanism. The pharaoh, as the divine ruler on earth, participates in this system as well. His authority is grounded not only in lineage or ideology but in his ability to channel </w:t>
      </w:r>
      <w:r w:rsidR="004B17FF" w:rsidRPr="00537750">
        <w:rPr>
          <w:rFonts w:ascii="Times New Roman" w:hAnsi="Times New Roman" w:cs="Times New Roman"/>
          <w:i/>
          <w:iCs/>
        </w:rPr>
        <w:t>heka</w:t>
      </w:r>
      <w:r w:rsidR="004B17FF" w:rsidRPr="00537750">
        <w:rPr>
          <w:rFonts w:ascii="Times New Roman" w:hAnsi="Times New Roman" w:cs="Times New Roman"/>
        </w:rPr>
        <w:t xml:space="preserve"> to uphold </w:t>
      </w:r>
      <w:r w:rsidR="004B17FF" w:rsidRPr="00537750">
        <w:rPr>
          <w:rFonts w:ascii="Times New Roman" w:hAnsi="Times New Roman" w:cs="Times New Roman"/>
          <w:i/>
          <w:iCs/>
        </w:rPr>
        <w:t>ma’at</w:t>
      </w:r>
      <w:r w:rsidR="004B17FF" w:rsidRPr="00537750">
        <w:rPr>
          <w:rFonts w:ascii="Times New Roman" w:hAnsi="Times New Roman" w:cs="Times New Roman"/>
        </w:rPr>
        <w:t xml:space="preserve">. Thus, </w:t>
      </w:r>
      <w:r w:rsidR="004B17FF" w:rsidRPr="00537750">
        <w:rPr>
          <w:rFonts w:ascii="Times New Roman" w:hAnsi="Times New Roman" w:cs="Times New Roman"/>
          <w:i/>
          <w:iCs/>
        </w:rPr>
        <w:t>heka</w:t>
      </w:r>
      <w:r w:rsidR="004B17FF" w:rsidRPr="00537750">
        <w:rPr>
          <w:rFonts w:ascii="Times New Roman" w:hAnsi="Times New Roman" w:cs="Times New Roman"/>
        </w:rPr>
        <w:t xml:space="preserve"> becomes a theological bridge between gods and king, reinforcing the political and cosmic order simultaneously. </w:t>
      </w:r>
    </w:p>
    <w:p w14:paraId="476D4713" w14:textId="189FBE5D" w:rsidR="004B17FF" w:rsidRPr="00537750" w:rsidRDefault="004B17FF" w:rsidP="00537750">
      <w:pPr>
        <w:spacing w:line="360" w:lineRule="auto"/>
        <w:ind w:firstLine="720"/>
        <w:rPr>
          <w:rFonts w:ascii="Times New Roman" w:hAnsi="Times New Roman" w:cs="Times New Roman"/>
        </w:rPr>
      </w:pPr>
      <w:r w:rsidRPr="00537750">
        <w:rPr>
          <w:rFonts w:ascii="Times New Roman" w:hAnsi="Times New Roman" w:cs="Times New Roman"/>
        </w:rPr>
        <w:t xml:space="preserve">The centrality of </w:t>
      </w:r>
      <w:r w:rsidRPr="00537750">
        <w:rPr>
          <w:rFonts w:ascii="Times New Roman" w:hAnsi="Times New Roman" w:cs="Times New Roman"/>
          <w:i/>
          <w:iCs/>
        </w:rPr>
        <w:t>heka</w:t>
      </w:r>
      <w:r w:rsidRPr="00537750">
        <w:rPr>
          <w:rFonts w:ascii="Times New Roman" w:hAnsi="Times New Roman" w:cs="Times New Roman"/>
        </w:rPr>
        <w:t xml:space="preserve"> becomes even more apparent when examining temple ritual. Daily temple rites were not symbolic </w:t>
      </w:r>
      <w:r w:rsidR="004D7871" w:rsidRPr="00537750">
        <w:rPr>
          <w:rFonts w:ascii="Times New Roman" w:hAnsi="Times New Roman" w:cs="Times New Roman"/>
        </w:rPr>
        <w:t>gestures,</w:t>
      </w:r>
      <w:r w:rsidRPr="00537750">
        <w:rPr>
          <w:rFonts w:ascii="Times New Roman" w:hAnsi="Times New Roman" w:cs="Times New Roman"/>
        </w:rPr>
        <w:t xml:space="preserve"> but performative acts believed to sustain the cosmos. Priests, acting on behalf of the pharaoh, used </w:t>
      </w:r>
      <w:r w:rsidRPr="00537750">
        <w:rPr>
          <w:rFonts w:ascii="Times New Roman" w:hAnsi="Times New Roman" w:cs="Times New Roman"/>
          <w:i/>
          <w:iCs/>
        </w:rPr>
        <w:t>heka</w:t>
      </w:r>
      <w:r w:rsidRPr="00537750">
        <w:rPr>
          <w:rFonts w:ascii="Times New Roman" w:hAnsi="Times New Roman" w:cs="Times New Roman"/>
        </w:rPr>
        <w:t xml:space="preserve"> to animate divine statues, repel malevolent forces, and renew creation each morning. Ritual texts frequently describe actions as “effective” or “true of voice”, signalling that their power derives from the correct application of </w:t>
      </w:r>
      <w:r w:rsidRPr="00537750">
        <w:rPr>
          <w:rFonts w:ascii="Times New Roman" w:hAnsi="Times New Roman" w:cs="Times New Roman"/>
          <w:i/>
          <w:iCs/>
        </w:rPr>
        <w:t>heka</w:t>
      </w:r>
      <w:r w:rsidRPr="00537750">
        <w:rPr>
          <w:rFonts w:ascii="Times New Roman" w:hAnsi="Times New Roman" w:cs="Times New Roman"/>
        </w:rPr>
        <w:t>.</w:t>
      </w:r>
      <w:r w:rsidRPr="00537750">
        <w:rPr>
          <w:rStyle w:val="FootnoteReference"/>
          <w:rFonts w:ascii="Times New Roman" w:hAnsi="Times New Roman" w:cs="Times New Roman"/>
        </w:rPr>
        <w:footnoteReference w:id="4"/>
      </w:r>
      <w:r w:rsidRPr="00537750">
        <w:rPr>
          <w:rFonts w:ascii="Times New Roman" w:hAnsi="Times New Roman" w:cs="Times New Roman"/>
        </w:rPr>
        <w:t xml:space="preserve"> The temple thus functioned as a site where cosmic maintenance was enacted through ritual performance. Without </w:t>
      </w:r>
      <w:r w:rsidRPr="00537750">
        <w:rPr>
          <w:rFonts w:ascii="Times New Roman" w:hAnsi="Times New Roman" w:cs="Times New Roman"/>
          <w:i/>
          <w:iCs/>
        </w:rPr>
        <w:t>heka</w:t>
      </w:r>
      <w:r w:rsidRPr="00537750">
        <w:rPr>
          <w:rFonts w:ascii="Times New Roman" w:hAnsi="Times New Roman" w:cs="Times New Roman"/>
        </w:rPr>
        <w:t xml:space="preserve">, these rituals would be empty gestures; with it, they were essential operations of the universe. This understanding challenges modern assumptions that separate ‘religious ceremony’ from ‘magical practice’. For Egyptians, ritual was effective precisely because it was grounded in </w:t>
      </w:r>
      <w:r w:rsidRPr="00537750">
        <w:rPr>
          <w:rFonts w:ascii="Times New Roman" w:hAnsi="Times New Roman" w:cs="Times New Roman"/>
          <w:i/>
          <w:iCs/>
        </w:rPr>
        <w:t>heka</w:t>
      </w:r>
      <w:r w:rsidRPr="00537750">
        <w:rPr>
          <w:rFonts w:ascii="Times New Roman" w:hAnsi="Times New Roman" w:cs="Times New Roman"/>
        </w:rPr>
        <w:t xml:space="preserve">. </w:t>
      </w:r>
    </w:p>
    <w:p w14:paraId="45638E34" w14:textId="133AB032" w:rsidR="004B17FF" w:rsidRPr="00537750" w:rsidRDefault="002E692A" w:rsidP="00537750">
      <w:pPr>
        <w:spacing w:line="360" w:lineRule="auto"/>
        <w:ind w:firstLine="720"/>
        <w:rPr>
          <w:rFonts w:ascii="Times New Roman" w:hAnsi="Times New Roman" w:cs="Times New Roman"/>
        </w:rPr>
      </w:pPr>
      <w:r w:rsidRPr="00537750">
        <w:rPr>
          <w:rFonts w:ascii="Times New Roman" w:hAnsi="Times New Roman" w:cs="Times New Roman"/>
        </w:rPr>
        <w:t xml:space="preserve">While temple rituals represent the elite and institutional dimension of </w:t>
      </w:r>
      <w:r w:rsidRPr="00537750">
        <w:rPr>
          <w:rFonts w:ascii="Times New Roman" w:hAnsi="Times New Roman" w:cs="Times New Roman"/>
          <w:i/>
          <w:iCs/>
        </w:rPr>
        <w:t>heka</w:t>
      </w:r>
      <w:r w:rsidRPr="00537750">
        <w:rPr>
          <w:rFonts w:ascii="Times New Roman" w:hAnsi="Times New Roman" w:cs="Times New Roman"/>
        </w:rPr>
        <w:t xml:space="preserve">, the concept permeated everyday life as well. Amulets, household rituals, healing spells, and protective charms all relied on </w:t>
      </w:r>
      <w:r w:rsidRPr="00537750">
        <w:rPr>
          <w:rFonts w:ascii="Times New Roman" w:hAnsi="Times New Roman" w:cs="Times New Roman"/>
          <w:i/>
          <w:iCs/>
        </w:rPr>
        <w:t>heka</w:t>
      </w:r>
      <w:r w:rsidRPr="00537750">
        <w:rPr>
          <w:rFonts w:ascii="Times New Roman" w:hAnsi="Times New Roman" w:cs="Times New Roman"/>
        </w:rPr>
        <w:t xml:space="preserve"> to function. Medical papyri, for example, frequently combine practical remedies with incantations, reflecting a worldview in which healing is both physical and metaphysical.</w:t>
      </w:r>
      <w:r w:rsidRPr="00537750">
        <w:rPr>
          <w:rStyle w:val="FootnoteReference"/>
          <w:rFonts w:ascii="Times New Roman" w:hAnsi="Times New Roman" w:cs="Times New Roman"/>
        </w:rPr>
        <w:footnoteReference w:id="5"/>
      </w:r>
      <w:r w:rsidRPr="00537750">
        <w:rPr>
          <w:rFonts w:ascii="Times New Roman" w:hAnsi="Times New Roman" w:cs="Times New Roman"/>
        </w:rPr>
        <w:t xml:space="preserve"> Ordinary</w:t>
      </w:r>
      <w:r w:rsidR="00855CE1" w:rsidRPr="00537750">
        <w:rPr>
          <w:rFonts w:ascii="Times New Roman" w:hAnsi="Times New Roman" w:cs="Times New Roman"/>
        </w:rPr>
        <w:t xml:space="preserve"> Egyptians accessed divine power through </w:t>
      </w:r>
      <w:r w:rsidR="00855CE1" w:rsidRPr="00537750">
        <w:rPr>
          <w:rFonts w:ascii="Times New Roman" w:hAnsi="Times New Roman" w:cs="Times New Roman"/>
          <w:i/>
          <w:iCs/>
        </w:rPr>
        <w:t>heka</w:t>
      </w:r>
      <w:r w:rsidR="00855CE1" w:rsidRPr="00537750">
        <w:rPr>
          <w:rFonts w:ascii="Times New Roman" w:hAnsi="Times New Roman" w:cs="Times New Roman"/>
        </w:rPr>
        <w:t xml:space="preserve"> in moments of vulnerability – illness, childbirth, travel or conflict. This widespread use demonstrates that </w:t>
      </w:r>
      <w:r w:rsidR="00855CE1" w:rsidRPr="00537750">
        <w:rPr>
          <w:rFonts w:ascii="Times New Roman" w:hAnsi="Times New Roman" w:cs="Times New Roman"/>
          <w:i/>
          <w:iCs/>
        </w:rPr>
        <w:t>heka</w:t>
      </w:r>
      <w:r w:rsidR="00855CE1" w:rsidRPr="00537750">
        <w:rPr>
          <w:rFonts w:ascii="Times New Roman" w:hAnsi="Times New Roman" w:cs="Times New Roman"/>
        </w:rPr>
        <w:t xml:space="preserve"> was not restricted to priests or royalty; it was a shared cultural resource. Its presence in domestic contexts underscores its role as a lived religious technology, one that shaped how individuals navigated the uncertainties of life. </w:t>
      </w:r>
    </w:p>
    <w:p w14:paraId="2F690F5F" w14:textId="30C8058D" w:rsidR="00855CE1" w:rsidRPr="00537750" w:rsidRDefault="00855CE1" w:rsidP="00537750">
      <w:pPr>
        <w:spacing w:line="360" w:lineRule="auto"/>
        <w:ind w:firstLine="720"/>
        <w:rPr>
          <w:rFonts w:ascii="Times New Roman" w:hAnsi="Times New Roman" w:cs="Times New Roman"/>
        </w:rPr>
      </w:pPr>
      <w:r w:rsidRPr="00537750">
        <w:rPr>
          <w:rFonts w:ascii="Times New Roman" w:hAnsi="Times New Roman" w:cs="Times New Roman"/>
        </w:rPr>
        <w:t xml:space="preserve">Funerary religion provides one of the clearest illustrations of </w:t>
      </w:r>
      <w:r w:rsidRPr="00537750">
        <w:rPr>
          <w:rFonts w:ascii="Times New Roman" w:hAnsi="Times New Roman" w:cs="Times New Roman"/>
          <w:i/>
          <w:iCs/>
        </w:rPr>
        <w:t>heka</w:t>
      </w:r>
      <w:r w:rsidRPr="00537750">
        <w:rPr>
          <w:rFonts w:ascii="Times New Roman" w:hAnsi="Times New Roman" w:cs="Times New Roman"/>
        </w:rPr>
        <w:t xml:space="preserve">’s centrality. The Coffin Texts, Pyramid Texts and Book of the Dead are filled with spells designed to protect, transform, and empower the deceased. These texts do not merely describe the afterlife; they </w:t>
      </w:r>
      <w:r w:rsidRPr="00537750">
        <w:rPr>
          <w:rFonts w:ascii="Times New Roman" w:hAnsi="Times New Roman" w:cs="Times New Roman"/>
        </w:rPr>
        <w:lastRenderedPageBreak/>
        <w:t xml:space="preserve">actively enable the dead to participate in it. Through </w:t>
      </w:r>
      <w:r w:rsidRPr="00537750">
        <w:rPr>
          <w:rFonts w:ascii="Times New Roman" w:hAnsi="Times New Roman" w:cs="Times New Roman"/>
          <w:i/>
          <w:iCs/>
        </w:rPr>
        <w:t>heka</w:t>
      </w:r>
      <w:r w:rsidRPr="00537750">
        <w:rPr>
          <w:rFonts w:ascii="Times New Roman" w:hAnsi="Times New Roman" w:cs="Times New Roman"/>
        </w:rPr>
        <w:t>, the deceased gains the ability to speak, move, repel dangers, and join the company of the gods.</w:t>
      </w:r>
      <w:r w:rsidRPr="00537750">
        <w:rPr>
          <w:rStyle w:val="FootnoteReference"/>
          <w:rFonts w:ascii="Times New Roman" w:hAnsi="Times New Roman" w:cs="Times New Roman"/>
        </w:rPr>
        <w:footnoteReference w:id="6"/>
      </w:r>
      <w:r w:rsidRPr="00537750">
        <w:rPr>
          <w:rFonts w:ascii="Times New Roman" w:hAnsi="Times New Roman" w:cs="Times New Roman"/>
        </w:rPr>
        <w:t xml:space="preserve"> The journey through the afterlife is not automatic but requires the effective use of </w:t>
      </w:r>
      <w:r w:rsidRPr="00537750">
        <w:rPr>
          <w:rFonts w:ascii="Times New Roman" w:hAnsi="Times New Roman" w:cs="Times New Roman"/>
          <w:i/>
          <w:iCs/>
        </w:rPr>
        <w:t>heka</w:t>
      </w:r>
      <w:r w:rsidRPr="00537750">
        <w:rPr>
          <w:rFonts w:ascii="Times New Roman" w:hAnsi="Times New Roman" w:cs="Times New Roman"/>
        </w:rPr>
        <w:t xml:space="preserve"> to overcome obstacles and achieve rebirth. This understanding reinforces the idea that </w:t>
      </w:r>
      <w:r w:rsidRPr="00537750">
        <w:rPr>
          <w:rFonts w:ascii="Times New Roman" w:hAnsi="Times New Roman" w:cs="Times New Roman"/>
          <w:i/>
          <w:iCs/>
        </w:rPr>
        <w:t>heka</w:t>
      </w:r>
      <w:r w:rsidRPr="00537750">
        <w:rPr>
          <w:rFonts w:ascii="Times New Roman" w:hAnsi="Times New Roman" w:cs="Times New Roman"/>
        </w:rPr>
        <w:t xml:space="preserve"> is not an optional supplement to religious practice but a necessary component of cosmic and personal survival. Without </w:t>
      </w:r>
      <w:r w:rsidRPr="00537750">
        <w:rPr>
          <w:rFonts w:ascii="Times New Roman" w:hAnsi="Times New Roman" w:cs="Times New Roman"/>
          <w:i/>
          <w:iCs/>
        </w:rPr>
        <w:t>heka</w:t>
      </w:r>
      <w:r w:rsidRPr="00537750">
        <w:rPr>
          <w:rFonts w:ascii="Times New Roman" w:hAnsi="Times New Roman" w:cs="Times New Roman"/>
        </w:rPr>
        <w:t>, eternal life would be impossible.</w:t>
      </w:r>
    </w:p>
    <w:p w14:paraId="36018C80" w14:textId="3351288A" w:rsidR="00855CE1" w:rsidRDefault="00855CE1" w:rsidP="00537750">
      <w:pPr>
        <w:spacing w:line="360" w:lineRule="auto"/>
        <w:ind w:firstLine="720"/>
        <w:rPr>
          <w:rFonts w:ascii="Times New Roman" w:hAnsi="Times New Roman" w:cs="Times New Roman"/>
        </w:rPr>
      </w:pPr>
      <w:r w:rsidRPr="00537750">
        <w:rPr>
          <w:rFonts w:ascii="Times New Roman" w:hAnsi="Times New Roman" w:cs="Times New Roman"/>
        </w:rPr>
        <w:t xml:space="preserve">The modern category of ‘magic’ has long distorted interpretations of </w:t>
      </w:r>
      <w:r w:rsidRPr="00537750">
        <w:rPr>
          <w:rFonts w:ascii="Times New Roman" w:hAnsi="Times New Roman" w:cs="Times New Roman"/>
          <w:i/>
          <w:iCs/>
        </w:rPr>
        <w:t>heka</w:t>
      </w:r>
      <w:r w:rsidRPr="00537750">
        <w:rPr>
          <w:rFonts w:ascii="Times New Roman" w:hAnsi="Times New Roman" w:cs="Times New Roman"/>
        </w:rPr>
        <w:t xml:space="preserve">. Early Egyptologists, influenced by Victorian and colonial frameworks, often dismissed </w:t>
      </w:r>
      <w:r w:rsidRPr="00537750">
        <w:rPr>
          <w:rFonts w:ascii="Times New Roman" w:hAnsi="Times New Roman" w:cs="Times New Roman"/>
          <w:i/>
          <w:iCs/>
        </w:rPr>
        <w:t>heka</w:t>
      </w:r>
      <w:r w:rsidRPr="00537750">
        <w:rPr>
          <w:rFonts w:ascii="Times New Roman" w:hAnsi="Times New Roman" w:cs="Times New Roman"/>
        </w:rPr>
        <w:t xml:space="preserve"> as superstition or irrational belief. However, contemporary scholarship has challenged this view. Researchers such as Jan Assmann, Robert Ritner, and Geraldine Pinch argue that </w:t>
      </w:r>
      <w:r w:rsidRPr="00537750">
        <w:rPr>
          <w:rFonts w:ascii="Times New Roman" w:hAnsi="Times New Roman" w:cs="Times New Roman"/>
          <w:i/>
          <w:iCs/>
        </w:rPr>
        <w:t>heka</w:t>
      </w:r>
      <w:r w:rsidRPr="00537750">
        <w:rPr>
          <w:rFonts w:ascii="Times New Roman" w:hAnsi="Times New Roman" w:cs="Times New Roman"/>
        </w:rPr>
        <w:t xml:space="preserve"> is integral to Egyptian religious thought and cannot be separated from ‘religion’ as a distinct category.</w:t>
      </w:r>
      <w:r w:rsidRPr="00537750">
        <w:rPr>
          <w:rStyle w:val="FootnoteReference"/>
          <w:rFonts w:ascii="Times New Roman" w:hAnsi="Times New Roman" w:cs="Times New Roman"/>
        </w:rPr>
        <w:footnoteReference w:id="7"/>
      </w:r>
      <w:r w:rsidRPr="00537750">
        <w:rPr>
          <w:rFonts w:ascii="Times New Roman" w:hAnsi="Times New Roman" w:cs="Times New Roman"/>
        </w:rPr>
        <w:t xml:space="preserve"> The magic</w:t>
      </w:r>
      <w:r w:rsidR="0083080E" w:rsidRPr="00537750">
        <w:rPr>
          <w:rFonts w:ascii="Times New Roman" w:hAnsi="Times New Roman" w:cs="Times New Roman"/>
        </w:rPr>
        <w:t xml:space="preserve">-religion divide, they contend, is a modern Western construct that does not map onto ancient Egyptian worldviews. Recognising this allows for a more accurate understanding of Egyptian ritual, theology and cosmology. It also highlights the need to approach ancient religions on their own terms, rather than through inherited conceptual frameworks. </w:t>
      </w:r>
    </w:p>
    <w:p w14:paraId="103128D1" w14:textId="44906368" w:rsidR="00827749" w:rsidRPr="00091E32" w:rsidRDefault="00827749" w:rsidP="00537750">
      <w:pPr>
        <w:spacing w:line="360" w:lineRule="auto"/>
        <w:ind w:firstLine="720"/>
        <w:rPr>
          <w:rFonts w:ascii="Times New Roman" w:hAnsi="Times New Roman" w:cs="Times New Roman"/>
        </w:rPr>
      </w:pPr>
      <w:r>
        <w:rPr>
          <w:rFonts w:ascii="Times New Roman" w:hAnsi="Times New Roman" w:cs="Times New Roman"/>
        </w:rPr>
        <w:t>Although many scholars now reject the magic-religion divide</w:t>
      </w:r>
      <w:r w:rsidR="004D70AE">
        <w:rPr>
          <w:rFonts w:ascii="Times New Roman" w:hAnsi="Times New Roman" w:cs="Times New Roman"/>
        </w:rPr>
        <w:t xml:space="preserve">, the methodological implications of this shift are still debated. Some researchers argue that emphasising </w:t>
      </w:r>
      <w:r w:rsidR="00BD6070">
        <w:rPr>
          <w:rFonts w:ascii="Times New Roman" w:hAnsi="Times New Roman" w:cs="Times New Roman"/>
          <w:i/>
          <w:iCs/>
        </w:rPr>
        <w:t>heka</w:t>
      </w:r>
      <w:r w:rsidR="00BD6070">
        <w:rPr>
          <w:rFonts w:ascii="Times New Roman" w:hAnsi="Times New Roman" w:cs="Times New Roman"/>
        </w:rPr>
        <w:t xml:space="preserve"> as a universal explanatory </w:t>
      </w:r>
      <w:r w:rsidR="003F4FDC">
        <w:rPr>
          <w:rFonts w:ascii="Times New Roman" w:hAnsi="Times New Roman" w:cs="Times New Roman"/>
        </w:rPr>
        <w:t xml:space="preserve">principle </w:t>
      </w:r>
      <w:r w:rsidR="00BD6070">
        <w:rPr>
          <w:rFonts w:ascii="Times New Roman" w:hAnsi="Times New Roman" w:cs="Times New Roman"/>
        </w:rPr>
        <w:t>risks flattening the diversity of Egyptian religious</w:t>
      </w:r>
      <w:r w:rsidR="00181E74">
        <w:rPr>
          <w:rFonts w:ascii="Times New Roman" w:hAnsi="Times New Roman" w:cs="Times New Roman"/>
        </w:rPr>
        <w:t xml:space="preserve"> experience, particularly the distinctions between state ritual, household practice, and elite theological </w:t>
      </w:r>
      <w:r w:rsidR="00EF526B">
        <w:rPr>
          <w:rFonts w:ascii="Times New Roman" w:hAnsi="Times New Roman" w:cs="Times New Roman"/>
        </w:rPr>
        <w:t>speculation.</w:t>
      </w:r>
      <w:r w:rsidR="00282408">
        <w:rPr>
          <w:rStyle w:val="FootnoteReference"/>
          <w:rFonts w:ascii="Times New Roman" w:hAnsi="Times New Roman" w:cs="Times New Roman"/>
        </w:rPr>
        <w:footnoteReference w:id="8"/>
      </w:r>
      <w:r w:rsidR="00EF526B">
        <w:rPr>
          <w:rFonts w:ascii="Times New Roman" w:hAnsi="Times New Roman" w:cs="Times New Roman"/>
        </w:rPr>
        <w:t xml:space="preserve"> Others contend that </w:t>
      </w:r>
      <w:r w:rsidR="00EF526B">
        <w:rPr>
          <w:rFonts w:ascii="Times New Roman" w:hAnsi="Times New Roman" w:cs="Times New Roman"/>
          <w:i/>
          <w:iCs/>
        </w:rPr>
        <w:t>heka</w:t>
      </w:r>
      <w:r w:rsidR="00EF526B">
        <w:rPr>
          <w:rFonts w:ascii="Times New Roman" w:hAnsi="Times New Roman" w:cs="Times New Roman"/>
        </w:rPr>
        <w:t xml:space="preserve"> should be understood not as a single, monolithic category</w:t>
      </w:r>
      <w:r w:rsidR="006F4025">
        <w:rPr>
          <w:rFonts w:ascii="Times New Roman" w:hAnsi="Times New Roman" w:cs="Times New Roman"/>
        </w:rPr>
        <w:t xml:space="preserve"> but as a cluster of related concepts whose meanings shift across genres and periods.</w:t>
      </w:r>
      <w:r w:rsidR="007E4E02">
        <w:rPr>
          <w:rStyle w:val="FootnoteReference"/>
          <w:rFonts w:ascii="Times New Roman" w:hAnsi="Times New Roman" w:cs="Times New Roman"/>
        </w:rPr>
        <w:footnoteReference w:id="9"/>
      </w:r>
      <w:r w:rsidR="006F4025">
        <w:rPr>
          <w:rFonts w:ascii="Times New Roman" w:hAnsi="Times New Roman" w:cs="Times New Roman"/>
        </w:rPr>
        <w:t xml:space="preserve"> This raises important questions </w:t>
      </w:r>
      <w:r w:rsidR="0000256F">
        <w:rPr>
          <w:rFonts w:ascii="Times New Roman" w:hAnsi="Times New Roman" w:cs="Times New Roman"/>
        </w:rPr>
        <w:t>about how modern scholars reconstruct ancient worldviews: to what extent are we imposing coherence on a tradition that was itself fluid</w:t>
      </w:r>
      <w:r w:rsidR="00E73E2E">
        <w:rPr>
          <w:rFonts w:ascii="Times New Roman" w:hAnsi="Times New Roman" w:cs="Times New Roman"/>
        </w:rPr>
        <w:t xml:space="preserve"> and context-dependent? Recognising these methodological tensions does not undermine the centrality of </w:t>
      </w:r>
      <w:r w:rsidR="00E73E2E">
        <w:rPr>
          <w:rFonts w:ascii="Times New Roman" w:hAnsi="Times New Roman" w:cs="Times New Roman"/>
          <w:i/>
          <w:iCs/>
        </w:rPr>
        <w:t>heka</w:t>
      </w:r>
      <w:r w:rsidR="009B28B0">
        <w:rPr>
          <w:rFonts w:ascii="Times New Roman" w:hAnsi="Times New Roman" w:cs="Times New Roman"/>
        </w:rPr>
        <w:t>; rather</w:t>
      </w:r>
      <w:r w:rsidR="003F4FDC">
        <w:rPr>
          <w:rFonts w:ascii="Times New Roman" w:hAnsi="Times New Roman" w:cs="Times New Roman"/>
        </w:rPr>
        <w:t>,</w:t>
      </w:r>
      <w:r w:rsidR="009B28B0">
        <w:rPr>
          <w:rFonts w:ascii="Times New Roman" w:hAnsi="Times New Roman" w:cs="Times New Roman"/>
        </w:rPr>
        <w:t xml:space="preserve"> it highlights the need for interpretive caution and theoretical reflexivity. By acknowledging the limits of </w:t>
      </w:r>
      <w:r w:rsidR="00091E32">
        <w:rPr>
          <w:rFonts w:ascii="Times New Roman" w:hAnsi="Times New Roman" w:cs="Times New Roman"/>
        </w:rPr>
        <w:t xml:space="preserve">our evidence and the variability of ancient usage, we gain a more </w:t>
      </w:r>
      <w:r w:rsidR="00091E32">
        <w:rPr>
          <w:rFonts w:ascii="Times New Roman" w:hAnsi="Times New Roman" w:cs="Times New Roman"/>
        </w:rPr>
        <w:lastRenderedPageBreak/>
        <w:t xml:space="preserve">nuanced understanding of </w:t>
      </w:r>
      <w:r w:rsidR="00091E32">
        <w:rPr>
          <w:rFonts w:ascii="Times New Roman" w:hAnsi="Times New Roman" w:cs="Times New Roman"/>
          <w:i/>
          <w:iCs/>
        </w:rPr>
        <w:t>heka</w:t>
      </w:r>
      <w:r w:rsidR="00091E32">
        <w:rPr>
          <w:rFonts w:ascii="Times New Roman" w:hAnsi="Times New Roman" w:cs="Times New Roman"/>
        </w:rPr>
        <w:t xml:space="preserve"> functioned within the </w:t>
      </w:r>
      <w:r w:rsidR="0075039D">
        <w:rPr>
          <w:rFonts w:ascii="Times New Roman" w:hAnsi="Times New Roman" w:cs="Times New Roman"/>
        </w:rPr>
        <w:t>broader landscape of Egyptian religious thought.</w:t>
      </w:r>
    </w:p>
    <w:p w14:paraId="7CA7F7C5" w14:textId="4D825385" w:rsidR="0083080E" w:rsidRPr="00537750" w:rsidRDefault="00C32E0D" w:rsidP="00537750">
      <w:pPr>
        <w:spacing w:line="360" w:lineRule="auto"/>
        <w:ind w:firstLine="720"/>
        <w:rPr>
          <w:rFonts w:ascii="Times New Roman" w:hAnsi="Times New Roman" w:cs="Times New Roman"/>
        </w:rPr>
      </w:pPr>
      <w:r>
        <w:rPr>
          <w:rFonts w:ascii="Times New Roman" w:hAnsi="Times New Roman" w:cs="Times New Roman"/>
        </w:rPr>
        <w:t xml:space="preserve">Taken together, these perspectives demonstrate that </w:t>
      </w:r>
      <w:r w:rsidRPr="00C32E0D">
        <w:rPr>
          <w:rFonts w:ascii="Times New Roman" w:hAnsi="Times New Roman" w:cs="Times New Roman"/>
          <w:i/>
          <w:iCs/>
        </w:rPr>
        <w:t>heka</w:t>
      </w:r>
      <w:r>
        <w:rPr>
          <w:rFonts w:ascii="Times New Roman" w:hAnsi="Times New Roman" w:cs="Times New Roman"/>
          <w:i/>
          <w:iCs/>
        </w:rPr>
        <w:t xml:space="preserve"> </w:t>
      </w:r>
      <w:r w:rsidR="00276BB2">
        <w:rPr>
          <w:rFonts w:ascii="Times New Roman" w:hAnsi="Times New Roman" w:cs="Times New Roman"/>
        </w:rPr>
        <w:t>is not simply one element within Egyptian religion but the conceptual thread that binds its diverse expressions into a coherent worldview. As a primordial force, it structures the cosmos; as a theological principle</w:t>
      </w:r>
      <w:r w:rsidR="00752D4B">
        <w:rPr>
          <w:rFonts w:ascii="Times New Roman" w:hAnsi="Times New Roman" w:cs="Times New Roman"/>
        </w:rPr>
        <w:t xml:space="preserve">, it shapes divine agency and kingship; as a ritual mechanism, it underpins the efficacy </w:t>
      </w:r>
      <w:r w:rsidR="007528C9">
        <w:rPr>
          <w:rFonts w:ascii="Times New Roman" w:hAnsi="Times New Roman" w:cs="Times New Roman"/>
        </w:rPr>
        <w:t xml:space="preserve">of temple performance; and as a lived practice, it empowers individuals in both life and death. Yet recognising </w:t>
      </w:r>
      <w:r w:rsidR="007528C9" w:rsidRPr="00D84EF0">
        <w:rPr>
          <w:rFonts w:ascii="Times New Roman" w:hAnsi="Times New Roman" w:cs="Times New Roman"/>
          <w:i/>
          <w:iCs/>
        </w:rPr>
        <w:t>heka</w:t>
      </w:r>
      <w:r w:rsidR="00E63386">
        <w:rPr>
          <w:rFonts w:ascii="Times New Roman" w:hAnsi="Times New Roman" w:cs="Times New Roman"/>
        </w:rPr>
        <w:t>’s centrality also requires acknowledging the interpretive challenges it presents. Its meanings shift across genres,</w:t>
      </w:r>
      <w:r w:rsidR="00732943">
        <w:rPr>
          <w:rFonts w:ascii="Times New Roman" w:hAnsi="Times New Roman" w:cs="Times New Roman"/>
        </w:rPr>
        <w:t xml:space="preserve"> periods and social contexts, reminding us that Egyptian religious thought was dynamic rather than monolithic. Approaching </w:t>
      </w:r>
      <w:r w:rsidR="00732943">
        <w:rPr>
          <w:rFonts w:ascii="Times New Roman" w:hAnsi="Times New Roman" w:cs="Times New Roman"/>
          <w:i/>
          <w:iCs/>
        </w:rPr>
        <w:t>heka</w:t>
      </w:r>
      <w:r w:rsidR="00732943">
        <w:rPr>
          <w:rFonts w:ascii="Times New Roman" w:hAnsi="Times New Roman" w:cs="Times New Roman"/>
        </w:rPr>
        <w:t xml:space="preserve"> </w:t>
      </w:r>
      <w:r w:rsidR="00EE7229">
        <w:rPr>
          <w:rFonts w:ascii="Times New Roman" w:hAnsi="Times New Roman" w:cs="Times New Roman"/>
        </w:rPr>
        <w:t xml:space="preserve">with methodological reflexivity allows us to appreciate both its </w:t>
      </w:r>
      <w:r w:rsidR="00D74217">
        <w:rPr>
          <w:rFonts w:ascii="Times New Roman" w:hAnsi="Times New Roman" w:cs="Times New Roman"/>
        </w:rPr>
        <w:t xml:space="preserve">unifying role and its internal complexity. Ultimately, understanding </w:t>
      </w:r>
      <w:r w:rsidR="00D74217">
        <w:rPr>
          <w:rFonts w:ascii="Times New Roman" w:hAnsi="Times New Roman" w:cs="Times New Roman"/>
          <w:i/>
          <w:iCs/>
        </w:rPr>
        <w:t>heka</w:t>
      </w:r>
      <w:r w:rsidR="00D74217">
        <w:rPr>
          <w:rFonts w:ascii="Times New Roman" w:hAnsi="Times New Roman" w:cs="Times New Roman"/>
        </w:rPr>
        <w:t xml:space="preserve"> as the foundation of cosmic and ritual efficacy enables a more nuanced </w:t>
      </w:r>
      <w:r w:rsidR="00D84EF0">
        <w:rPr>
          <w:rFonts w:ascii="Times New Roman" w:hAnsi="Times New Roman" w:cs="Times New Roman"/>
        </w:rPr>
        <w:t xml:space="preserve">reading of Egyptian religion – one that moves beyond modern categories and engages more closely with logic thought which the Egyptians themselves understood power, agency, and the sacred. </w:t>
      </w:r>
      <w:r w:rsidR="0083080E" w:rsidRPr="00537750">
        <w:rPr>
          <w:rFonts w:ascii="Times New Roman" w:hAnsi="Times New Roman" w:cs="Times New Roman"/>
        </w:rPr>
        <w:t xml:space="preserve"> </w:t>
      </w:r>
    </w:p>
    <w:p w14:paraId="5A1DB9D3" w14:textId="77777777" w:rsidR="0083080E" w:rsidRPr="00537750" w:rsidRDefault="0083080E" w:rsidP="00537750">
      <w:pPr>
        <w:spacing w:line="360" w:lineRule="auto"/>
        <w:rPr>
          <w:rFonts w:ascii="Times New Roman" w:hAnsi="Times New Roman" w:cs="Times New Roman"/>
        </w:rPr>
      </w:pPr>
    </w:p>
    <w:p w14:paraId="13B6C4B4" w14:textId="4EAA9F2D" w:rsidR="004410CF" w:rsidRPr="00537750" w:rsidRDefault="004410CF" w:rsidP="00537750">
      <w:pPr>
        <w:spacing w:line="360" w:lineRule="auto"/>
        <w:rPr>
          <w:rFonts w:ascii="Times New Roman" w:hAnsi="Times New Roman" w:cs="Times New Roman"/>
        </w:rPr>
      </w:pPr>
      <w:r w:rsidRPr="00537750">
        <w:rPr>
          <w:rFonts w:ascii="Times New Roman" w:hAnsi="Times New Roman" w:cs="Times New Roman"/>
        </w:rPr>
        <w:t>Word Count: 1</w:t>
      </w:r>
      <w:r w:rsidR="00651AE6">
        <w:rPr>
          <w:rFonts w:ascii="Times New Roman" w:hAnsi="Times New Roman" w:cs="Times New Roman"/>
        </w:rPr>
        <w:t>341</w:t>
      </w:r>
    </w:p>
    <w:p w14:paraId="1A08A87B" w14:textId="77777777" w:rsidR="004410CF" w:rsidRPr="00537750" w:rsidRDefault="004410CF" w:rsidP="00537750">
      <w:pPr>
        <w:spacing w:line="360" w:lineRule="auto"/>
        <w:rPr>
          <w:rFonts w:ascii="Times New Roman" w:hAnsi="Times New Roman" w:cs="Times New Roman"/>
        </w:rPr>
      </w:pPr>
    </w:p>
    <w:p w14:paraId="51BCE182" w14:textId="043D038A" w:rsidR="0083080E" w:rsidRPr="00537750" w:rsidRDefault="0083080E" w:rsidP="00537750">
      <w:pPr>
        <w:spacing w:line="360" w:lineRule="auto"/>
        <w:rPr>
          <w:rFonts w:ascii="Times New Roman" w:hAnsi="Times New Roman" w:cs="Times New Roman"/>
          <w:b/>
          <w:bCs/>
          <w:u w:val="single"/>
        </w:rPr>
      </w:pPr>
      <w:r w:rsidRPr="00537750">
        <w:rPr>
          <w:rFonts w:ascii="Times New Roman" w:hAnsi="Times New Roman" w:cs="Times New Roman"/>
          <w:b/>
          <w:bCs/>
          <w:u w:val="single"/>
        </w:rPr>
        <w:t>Bibliography</w:t>
      </w:r>
    </w:p>
    <w:p w14:paraId="0481449A" w14:textId="7C131274" w:rsidR="0083080E" w:rsidRPr="00537750" w:rsidRDefault="0083080E" w:rsidP="00537750">
      <w:pPr>
        <w:spacing w:line="360" w:lineRule="auto"/>
        <w:rPr>
          <w:rFonts w:ascii="Times New Roman" w:hAnsi="Times New Roman" w:cs="Times New Roman"/>
        </w:rPr>
      </w:pPr>
      <w:r w:rsidRPr="00537750">
        <w:rPr>
          <w:rFonts w:ascii="Times New Roman" w:hAnsi="Times New Roman" w:cs="Times New Roman"/>
        </w:rPr>
        <w:t>Assmann, Jan. Death and Salvation in Ancient Egypt. Translated by David Lorton. Ithaca, NY: Cornell University Press, 2005.</w:t>
      </w:r>
    </w:p>
    <w:p w14:paraId="631B52EC" w14:textId="0CCB4AB9" w:rsidR="0083080E" w:rsidRPr="00537750" w:rsidRDefault="002D4CC3" w:rsidP="00537750">
      <w:pPr>
        <w:spacing w:line="360" w:lineRule="auto"/>
        <w:rPr>
          <w:rFonts w:ascii="Times New Roman" w:hAnsi="Times New Roman" w:cs="Times New Roman"/>
        </w:rPr>
      </w:pPr>
      <w:r w:rsidRPr="00537750">
        <w:rPr>
          <w:rFonts w:ascii="Times New Roman" w:hAnsi="Times New Roman" w:cs="Times New Roman"/>
        </w:rPr>
        <w:t xml:space="preserve">Assmann, Jan. </w:t>
      </w:r>
      <w:r w:rsidR="0083080E" w:rsidRPr="00537750">
        <w:rPr>
          <w:rFonts w:ascii="Times New Roman" w:hAnsi="Times New Roman" w:cs="Times New Roman"/>
        </w:rPr>
        <w:t>The Search for God in Ancient Egypt. Translated by David Lorton. Ithaca, NY: Cornell University Press, 2001.</w:t>
      </w:r>
    </w:p>
    <w:p w14:paraId="258008CD" w14:textId="07F487C0" w:rsidR="0083080E" w:rsidRPr="00537750" w:rsidRDefault="0083080E" w:rsidP="00537750">
      <w:pPr>
        <w:spacing w:line="360" w:lineRule="auto"/>
        <w:rPr>
          <w:rFonts w:ascii="Times New Roman" w:hAnsi="Times New Roman" w:cs="Times New Roman"/>
        </w:rPr>
      </w:pPr>
      <w:r w:rsidRPr="00537750">
        <w:rPr>
          <w:rFonts w:ascii="Times New Roman" w:hAnsi="Times New Roman" w:cs="Times New Roman"/>
        </w:rPr>
        <w:t xml:space="preserve">Faulkner, Raymond O. The Ancient Egyptian Coffin Texts. 3 vols. Warminster: Aris &amp; Phillips, 1973-1978. </w:t>
      </w:r>
    </w:p>
    <w:p w14:paraId="22E1DE6E" w14:textId="112EF178" w:rsidR="0083080E" w:rsidRPr="00537750" w:rsidRDefault="00486F00" w:rsidP="00537750">
      <w:pPr>
        <w:spacing w:line="360" w:lineRule="auto"/>
        <w:rPr>
          <w:rFonts w:ascii="Times New Roman" w:hAnsi="Times New Roman" w:cs="Times New Roman"/>
        </w:rPr>
      </w:pPr>
      <w:r>
        <w:rPr>
          <w:rFonts w:ascii="Times New Roman" w:hAnsi="Times New Roman" w:cs="Times New Roman"/>
        </w:rPr>
        <w:t xml:space="preserve">Faulkner, Raymond O. </w:t>
      </w:r>
      <w:r w:rsidR="0083080E" w:rsidRPr="00537750">
        <w:rPr>
          <w:rFonts w:ascii="Times New Roman" w:hAnsi="Times New Roman" w:cs="Times New Roman"/>
        </w:rPr>
        <w:t>The Ancient Egyptian Pyramid Texts. Oxford: Oxford University Press, 1969.</w:t>
      </w:r>
    </w:p>
    <w:p w14:paraId="1817FE17" w14:textId="527A1570" w:rsidR="0083080E" w:rsidRPr="00537750" w:rsidRDefault="00C0045B" w:rsidP="00537750">
      <w:pPr>
        <w:spacing w:line="360" w:lineRule="auto"/>
        <w:rPr>
          <w:rFonts w:ascii="Times New Roman" w:hAnsi="Times New Roman" w:cs="Times New Roman"/>
        </w:rPr>
      </w:pPr>
      <w:r>
        <w:rPr>
          <w:rFonts w:ascii="Times New Roman" w:hAnsi="Times New Roman" w:cs="Times New Roman"/>
        </w:rPr>
        <w:t xml:space="preserve">Faulkner, Raymond O. </w:t>
      </w:r>
      <w:r w:rsidR="0083080E" w:rsidRPr="00537750">
        <w:rPr>
          <w:rFonts w:ascii="Times New Roman" w:hAnsi="Times New Roman" w:cs="Times New Roman"/>
        </w:rPr>
        <w:t xml:space="preserve">The Egyptian Book of the Dead: The Book of Going Forth by Day. San Francisco: Chronicle </w:t>
      </w:r>
      <w:r w:rsidR="002559BB" w:rsidRPr="00537750">
        <w:rPr>
          <w:rFonts w:ascii="Times New Roman" w:hAnsi="Times New Roman" w:cs="Times New Roman"/>
        </w:rPr>
        <w:t>Books, 1994.</w:t>
      </w:r>
    </w:p>
    <w:p w14:paraId="3523F020" w14:textId="2B5330FF" w:rsidR="002559BB" w:rsidRPr="00537750" w:rsidRDefault="002559BB" w:rsidP="00537750">
      <w:pPr>
        <w:spacing w:line="360" w:lineRule="auto"/>
        <w:rPr>
          <w:rFonts w:ascii="Times New Roman" w:hAnsi="Times New Roman" w:cs="Times New Roman"/>
        </w:rPr>
      </w:pPr>
      <w:r w:rsidRPr="00537750">
        <w:rPr>
          <w:rFonts w:ascii="Times New Roman" w:hAnsi="Times New Roman" w:cs="Times New Roman"/>
        </w:rPr>
        <w:lastRenderedPageBreak/>
        <w:t>Hornung, Erik. Conceptions of God in Ancient Egypt: The One and the Many. Translated by John Baines. Ithaca, NY: Cornell University Press, 1982.</w:t>
      </w:r>
    </w:p>
    <w:p w14:paraId="4D31B7FF" w14:textId="556421EA" w:rsidR="002559BB" w:rsidRPr="00537750" w:rsidRDefault="002559BB" w:rsidP="00537750">
      <w:pPr>
        <w:spacing w:line="360" w:lineRule="auto"/>
        <w:rPr>
          <w:rFonts w:ascii="Times New Roman" w:hAnsi="Times New Roman" w:cs="Times New Roman"/>
        </w:rPr>
      </w:pPr>
      <w:r w:rsidRPr="00537750">
        <w:rPr>
          <w:rFonts w:ascii="Times New Roman" w:hAnsi="Times New Roman" w:cs="Times New Roman"/>
        </w:rPr>
        <w:t>Pinch, Geraldine. Magic in Ancient Egypt. 2</w:t>
      </w:r>
      <w:r w:rsidRPr="00537750">
        <w:rPr>
          <w:rFonts w:ascii="Times New Roman" w:hAnsi="Times New Roman" w:cs="Times New Roman"/>
          <w:vertAlign w:val="superscript"/>
        </w:rPr>
        <w:t>nd</w:t>
      </w:r>
      <w:r w:rsidRPr="00537750">
        <w:rPr>
          <w:rFonts w:ascii="Times New Roman" w:hAnsi="Times New Roman" w:cs="Times New Roman"/>
        </w:rPr>
        <w:t xml:space="preserve"> ed. London: British Museum Press, 2006.</w:t>
      </w:r>
    </w:p>
    <w:p w14:paraId="2DE7D18B" w14:textId="48AC1802" w:rsidR="002559BB" w:rsidRPr="00537750" w:rsidRDefault="002559BB" w:rsidP="00537750">
      <w:pPr>
        <w:spacing w:line="360" w:lineRule="auto"/>
        <w:rPr>
          <w:rFonts w:ascii="Times New Roman" w:hAnsi="Times New Roman" w:cs="Times New Roman"/>
        </w:rPr>
      </w:pPr>
      <w:r w:rsidRPr="00537750">
        <w:rPr>
          <w:rFonts w:ascii="Times New Roman" w:hAnsi="Times New Roman" w:cs="Times New Roman"/>
        </w:rPr>
        <w:t>Ritner, Robert K. The Mechanics of Ancient Egyptian Magical Practice. Chicago: Oriental Institute of the University of Chicago, 1993.</w:t>
      </w:r>
    </w:p>
    <w:p w14:paraId="69DF75C4" w14:textId="5ADCD08A" w:rsidR="002559BB" w:rsidRPr="00537750" w:rsidRDefault="002559BB" w:rsidP="00537750">
      <w:pPr>
        <w:spacing w:line="360" w:lineRule="auto"/>
        <w:rPr>
          <w:rFonts w:ascii="Times New Roman" w:hAnsi="Times New Roman" w:cs="Times New Roman"/>
        </w:rPr>
      </w:pPr>
      <w:r w:rsidRPr="00537750">
        <w:rPr>
          <w:rFonts w:ascii="Times New Roman" w:hAnsi="Times New Roman" w:cs="Times New Roman"/>
        </w:rPr>
        <w:t>Teeter, Emily. Religion and Ritual in Ancient Egypt. Cambridge: Cambridge University Press, 2011.</w:t>
      </w:r>
    </w:p>
    <w:p w14:paraId="537297CA" w14:textId="77777777" w:rsidR="002A602B" w:rsidRPr="00537750" w:rsidRDefault="002A602B" w:rsidP="00537750">
      <w:pPr>
        <w:rPr>
          <w:rFonts w:ascii="Arial" w:hAnsi="Arial" w:cs="Arial"/>
          <w:b/>
          <w:bCs/>
          <w:u w:val="single"/>
        </w:rPr>
      </w:pPr>
    </w:p>
    <w:sectPr w:rsidR="002A602B" w:rsidRPr="00537750" w:rsidSect="00310B89">
      <w:headerReference w:type="default" r:id="rId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2A32B" w14:textId="77777777" w:rsidR="001C158F" w:rsidRDefault="001C158F" w:rsidP="002A602B">
      <w:pPr>
        <w:spacing w:after="0" w:line="240" w:lineRule="auto"/>
      </w:pPr>
      <w:r>
        <w:separator/>
      </w:r>
    </w:p>
  </w:endnote>
  <w:endnote w:type="continuationSeparator" w:id="0">
    <w:p w14:paraId="19857E6C" w14:textId="77777777" w:rsidR="001C158F" w:rsidRDefault="001C158F" w:rsidP="002A6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F6247" w14:textId="19AE302C" w:rsidR="00310B89" w:rsidRDefault="00310B89">
    <w:pPr>
      <w:pStyle w:val="Footer"/>
      <w:jc w:val="right"/>
    </w:pPr>
  </w:p>
  <w:p w14:paraId="3912B870" w14:textId="77777777" w:rsidR="00D06DDA" w:rsidRDefault="00D06D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5980632"/>
      <w:docPartObj>
        <w:docPartGallery w:val="Page Numbers (Bottom of Page)"/>
        <w:docPartUnique/>
      </w:docPartObj>
    </w:sdtPr>
    <w:sdtEndPr>
      <w:rPr>
        <w:rFonts w:ascii="Times New Roman" w:hAnsi="Times New Roman" w:cs="Times New Roman"/>
        <w:sz w:val="22"/>
        <w:szCs w:val="22"/>
      </w:rPr>
    </w:sdtEndPr>
    <w:sdtContent>
      <w:p w14:paraId="487A13F6" w14:textId="77777777" w:rsidR="00310B89" w:rsidRPr="00721849" w:rsidRDefault="00310B89">
        <w:pPr>
          <w:pStyle w:val="Footer"/>
          <w:jc w:val="right"/>
          <w:rPr>
            <w:rFonts w:ascii="Times New Roman" w:hAnsi="Times New Roman" w:cs="Times New Roman"/>
            <w:sz w:val="22"/>
            <w:szCs w:val="22"/>
          </w:rPr>
        </w:pPr>
        <w:r w:rsidRPr="00721849">
          <w:rPr>
            <w:rFonts w:ascii="Times New Roman" w:hAnsi="Times New Roman" w:cs="Times New Roman"/>
            <w:sz w:val="22"/>
            <w:szCs w:val="22"/>
          </w:rPr>
          <w:fldChar w:fldCharType="begin"/>
        </w:r>
        <w:r w:rsidRPr="00721849">
          <w:rPr>
            <w:rFonts w:ascii="Times New Roman" w:hAnsi="Times New Roman" w:cs="Times New Roman"/>
            <w:sz w:val="22"/>
            <w:szCs w:val="22"/>
          </w:rPr>
          <w:instrText>PAGE   \* MERGEFORMAT</w:instrText>
        </w:r>
        <w:r w:rsidRPr="00721849">
          <w:rPr>
            <w:rFonts w:ascii="Times New Roman" w:hAnsi="Times New Roman" w:cs="Times New Roman"/>
            <w:sz w:val="22"/>
            <w:szCs w:val="22"/>
          </w:rPr>
          <w:fldChar w:fldCharType="separate"/>
        </w:r>
        <w:r w:rsidRPr="00721849">
          <w:rPr>
            <w:rFonts w:ascii="Times New Roman" w:hAnsi="Times New Roman" w:cs="Times New Roman"/>
            <w:sz w:val="22"/>
            <w:szCs w:val="22"/>
          </w:rPr>
          <w:t>2</w:t>
        </w:r>
        <w:r w:rsidRPr="00721849">
          <w:rPr>
            <w:rFonts w:ascii="Times New Roman" w:hAnsi="Times New Roman" w:cs="Times New Roman"/>
            <w:sz w:val="22"/>
            <w:szCs w:val="22"/>
          </w:rPr>
          <w:fldChar w:fldCharType="end"/>
        </w:r>
      </w:p>
    </w:sdtContent>
  </w:sdt>
  <w:p w14:paraId="0E5C9FB5" w14:textId="77777777" w:rsidR="00310B89" w:rsidRDefault="00310B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FEA40C" w14:textId="77777777" w:rsidR="001C158F" w:rsidRDefault="001C158F" w:rsidP="002A602B">
      <w:pPr>
        <w:spacing w:after="0" w:line="240" w:lineRule="auto"/>
      </w:pPr>
      <w:r>
        <w:separator/>
      </w:r>
    </w:p>
  </w:footnote>
  <w:footnote w:type="continuationSeparator" w:id="0">
    <w:p w14:paraId="38BFC02F" w14:textId="77777777" w:rsidR="001C158F" w:rsidRDefault="001C158F" w:rsidP="002A602B">
      <w:pPr>
        <w:spacing w:after="0" w:line="240" w:lineRule="auto"/>
      </w:pPr>
      <w:r>
        <w:continuationSeparator/>
      </w:r>
    </w:p>
  </w:footnote>
  <w:footnote w:id="1">
    <w:p w14:paraId="2F894AF3" w14:textId="616D995F" w:rsidR="009354AC" w:rsidRDefault="009354AC">
      <w:pPr>
        <w:pStyle w:val="FootnoteText"/>
      </w:pPr>
      <w:r>
        <w:rPr>
          <w:rStyle w:val="FootnoteReference"/>
        </w:rPr>
        <w:footnoteRef/>
      </w:r>
      <w:r>
        <w:t xml:space="preserve"> Raymond O. Faulkner, The Ancient Egyptian Coffin Texts, vol. 1 (Warminster: Aris &amp; Phillips, 1973), Spell 261.</w:t>
      </w:r>
    </w:p>
  </w:footnote>
  <w:footnote w:id="2">
    <w:p w14:paraId="5208D69E" w14:textId="381E586B" w:rsidR="009354AC" w:rsidRDefault="009354AC">
      <w:pPr>
        <w:pStyle w:val="FootnoteText"/>
      </w:pPr>
      <w:r>
        <w:rPr>
          <w:rStyle w:val="FootnoteReference"/>
        </w:rPr>
        <w:footnoteRef/>
      </w:r>
      <w:r>
        <w:t xml:space="preserve"> Geraldine Pinch, Magic in Ancient Egypt, 2</w:t>
      </w:r>
      <w:r w:rsidRPr="009354AC">
        <w:rPr>
          <w:vertAlign w:val="superscript"/>
        </w:rPr>
        <w:t>nd</w:t>
      </w:r>
      <w:r>
        <w:t xml:space="preserve"> ed. (London: British Museum Press, 2006), 108-12.</w:t>
      </w:r>
    </w:p>
  </w:footnote>
  <w:footnote w:id="3">
    <w:p w14:paraId="6D2FEB94" w14:textId="35141982" w:rsidR="004B17FF" w:rsidRDefault="004B17FF">
      <w:pPr>
        <w:pStyle w:val="FootnoteText"/>
      </w:pPr>
      <w:r>
        <w:rPr>
          <w:rStyle w:val="FootnoteReference"/>
        </w:rPr>
        <w:footnoteRef/>
      </w:r>
      <w:r>
        <w:t xml:space="preserve"> Jan Assmann, The Search for God in Ancient Egypt, trans. David Lorton (Ithaca, NY: Cornell University Press, 2001), 44-47.</w:t>
      </w:r>
    </w:p>
  </w:footnote>
  <w:footnote w:id="4">
    <w:p w14:paraId="0C73D3F7" w14:textId="2316ABF3" w:rsidR="004B17FF" w:rsidRDefault="004B17FF">
      <w:pPr>
        <w:pStyle w:val="FootnoteText"/>
      </w:pPr>
      <w:r>
        <w:rPr>
          <w:rStyle w:val="FootnoteReference"/>
        </w:rPr>
        <w:footnoteRef/>
      </w:r>
      <w:r>
        <w:t xml:space="preserve"> Robert K. Ritner, The Mechanics of Ancient Egyptian Magical Practice (Chicago: Oriental Institute, 1993), 44-47.</w:t>
      </w:r>
    </w:p>
  </w:footnote>
  <w:footnote w:id="5">
    <w:p w14:paraId="7920D1DE" w14:textId="4EED6A33" w:rsidR="002E692A" w:rsidRDefault="002E692A">
      <w:pPr>
        <w:pStyle w:val="FootnoteText"/>
      </w:pPr>
      <w:r>
        <w:rPr>
          <w:rStyle w:val="FootnoteReference"/>
        </w:rPr>
        <w:footnoteRef/>
      </w:r>
      <w:r>
        <w:t xml:space="preserve"> Pinch, Magic in Ancient Egypt, 85-90.</w:t>
      </w:r>
    </w:p>
  </w:footnote>
  <w:footnote w:id="6">
    <w:p w14:paraId="2BC75666" w14:textId="0BC697AA" w:rsidR="00855CE1" w:rsidRDefault="00855CE1">
      <w:pPr>
        <w:pStyle w:val="FootnoteText"/>
      </w:pPr>
      <w:r>
        <w:rPr>
          <w:rStyle w:val="FootnoteReference"/>
        </w:rPr>
        <w:footnoteRef/>
      </w:r>
      <w:r>
        <w:t xml:space="preserve"> Raymond O. Faulkner, The Egyptian Book of the Dead: The Book of Going Forth by Day (San Francisco: Chronicle Books, 1994), 34-36.</w:t>
      </w:r>
    </w:p>
  </w:footnote>
  <w:footnote w:id="7">
    <w:p w14:paraId="784C03F8" w14:textId="139F08B9" w:rsidR="00855CE1" w:rsidRDefault="00855CE1">
      <w:pPr>
        <w:pStyle w:val="FootnoteText"/>
      </w:pPr>
      <w:r>
        <w:rPr>
          <w:rStyle w:val="FootnoteReference"/>
        </w:rPr>
        <w:footnoteRef/>
      </w:r>
      <w:r>
        <w:t xml:space="preserve"> Jan Assmann, Death and Salvation in Ancient Egypt, trans. David Lorton (Ithaca, NY: Cornell University Press, 2005),199-205; Ritner, Mechanics, 3-6; Pinch, Magic, 12-15.</w:t>
      </w:r>
    </w:p>
  </w:footnote>
  <w:footnote w:id="8">
    <w:p w14:paraId="64E0C0F3" w14:textId="33FE79B8" w:rsidR="00282408" w:rsidRDefault="00282408">
      <w:pPr>
        <w:pStyle w:val="FootnoteText"/>
      </w:pPr>
      <w:r>
        <w:rPr>
          <w:rStyle w:val="FootnoteReference"/>
        </w:rPr>
        <w:footnoteRef/>
      </w:r>
      <w:r>
        <w:t xml:space="preserve"> </w:t>
      </w:r>
      <w:r w:rsidR="00C61B80">
        <w:t>Assmann, Search for God</w:t>
      </w:r>
      <w:r w:rsidR="007E4E02">
        <w:t>, 3-5.</w:t>
      </w:r>
    </w:p>
  </w:footnote>
  <w:footnote w:id="9">
    <w:p w14:paraId="72426545" w14:textId="7E32D5DA" w:rsidR="007E4E02" w:rsidRDefault="007E4E02">
      <w:pPr>
        <w:pStyle w:val="FootnoteText"/>
      </w:pPr>
      <w:r>
        <w:rPr>
          <w:rStyle w:val="FootnoteReference"/>
        </w:rPr>
        <w:footnoteRef/>
      </w:r>
      <w:r>
        <w:t xml:space="preserve"> Ritner, Mechanics</w:t>
      </w:r>
      <w:r w:rsidR="00926CEB">
        <w:t>, 3-6; Pinch, Magic, 12-15.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AF686" w14:textId="77777777" w:rsidR="00A63AC7" w:rsidRPr="00721849" w:rsidRDefault="00A63AC7">
    <w:pPr>
      <w:pStyle w:val="Header"/>
      <w:rPr>
        <w:rFonts w:ascii="Times New Roman" w:hAnsi="Times New Roman" w:cs="Times New Roman"/>
        <w:sz w:val="22"/>
        <w:szCs w:val="22"/>
      </w:rPr>
    </w:pPr>
    <w:r w:rsidRPr="00721849">
      <w:rPr>
        <w:rFonts w:ascii="Times New Roman" w:hAnsi="Times New Roman" w:cs="Times New Roman"/>
        <w:sz w:val="22"/>
        <w:szCs w:val="22"/>
      </w:rPr>
      <w:t>2325315</w:t>
    </w:r>
    <w:r w:rsidRPr="00721849">
      <w:rPr>
        <w:rFonts w:ascii="Times New Roman" w:hAnsi="Times New Roman" w:cs="Times New Roman"/>
        <w:sz w:val="22"/>
        <w:szCs w:val="22"/>
      </w:rPr>
      <w:tab/>
      <w:t>Portfolio 1a</w:t>
    </w:r>
    <w:r w:rsidRPr="00721849">
      <w:rPr>
        <w:rFonts w:ascii="Times New Roman" w:hAnsi="Times New Roman" w:cs="Times New Roman"/>
        <w:sz w:val="22"/>
        <w:szCs w:val="22"/>
      </w:rPr>
      <w:tab/>
      <w:t>HPAH7015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02B"/>
    <w:rsid w:val="0000256F"/>
    <w:rsid w:val="00091E32"/>
    <w:rsid w:val="000D5756"/>
    <w:rsid w:val="00181E74"/>
    <w:rsid w:val="001C158F"/>
    <w:rsid w:val="001C57C7"/>
    <w:rsid w:val="001E6B34"/>
    <w:rsid w:val="00243B6C"/>
    <w:rsid w:val="002559BB"/>
    <w:rsid w:val="00276BB2"/>
    <w:rsid w:val="00282408"/>
    <w:rsid w:val="002A602B"/>
    <w:rsid w:val="002C1DF6"/>
    <w:rsid w:val="002D4CC3"/>
    <w:rsid w:val="002E692A"/>
    <w:rsid w:val="00310B89"/>
    <w:rsid w:val="003F4FDC"/>
    <w:rsid w:val="003F59F0"/>
    <w:rsid w:val="00427C4E"/>
    <w:rsid w:val="004410CF"/>
    <w:rsid w:val="00475456"/>
    <w:rsid w:val="00475A16"/>
    <w:rsid w:val="00486F00"/>
    <w:rsid w:val="004B17FF"/>
    <w:rsid w:val="004D70AE"/>
    <w:rsid w:val="004D7871"/>
    <w:rsid w:val="00537750"/>
    <w:rsid w:val="005E579F"/>
    <w:rsid w:val="00651AE6"/>
    <w:rsid w:val="006F4025"/>
    <w:rsid w:val="00721849"/>
    <w:rsid w:val="00732943"/>
    <w:rsid w:val="0075039D"/>
    <w:rsid w:val="007528C9"/>
    <w:rsid w:val="00752D4B"/>
    <w:rsid w:val="00753384"/>
    <w:rsid w:val="00761938"/>
    <w:rsid w:val="007E4E02"/>
    <w:rsid w:val="00827749"/>
    <w:rsid w:val="0083080E"/>
    <w:rsid w:val="00855CE1"/>
    <w:rsid w:val="009126A5"/>
    <w:rsid w:val="00926CEB"/>
    <w:rsid w:val="009354AC"/>
    <w:rsid w:val="009B28B0"/>
    <w:rsid w:val="00A63AC7"/>
    <w:rsid w:val="00A76690"/>
    <w:rsid w:val="00B17BA9"/>
    <w:rsid w:val="00B37E85"/>
    <w:rsid w:val="00BB6A2B"/>
    <w:rsid w:val="00BD6070"/>
    <w:rsid w:val="00BF7844"/>
    <w:rsid w:val="00C0045B"/>
    <w:rsid w:val="00C24AF4"/>
    <w:rsid w:val="00C32E0D"/>
    <w:rsid w:val="00C61B80"/>
    <w:rsid w:val="00D06DDA"/>
    <w:rsid w:val="00D74217"/>
    <w:rsid w:val="00D84EF0"/>
    <w:rsid w:val="00E41AFF"/>
    <w:rsid w:val="00E41BD3"/>
    <w:rsid w:val="00E63386"/>
    <w:rsid w:val="00E73E2E"/>
    <w:rsid w:val="00EB1B25"/>
    <w:rsid w:val="00EE7229"/>
    <w:rsid w:val="00EF526B"/>
    <w:rsid w:val="00F70890"/>
    <w:rsid w:val="00FA0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06275"/>
  <w15:chartTrackingRefBased/>
  <w15:docId w15:val="{CA95E4AB-6318-4CC8-857E-90C0093F4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60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60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60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60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60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60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60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60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60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60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60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60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60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60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60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60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60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602B"/>
    <w:rPr>
      <w:rFonts w:eastAsiaTheme="majorEastAsia" w:cstheme="majorBidi"/>
      <w:color w:val="272727" w:themeColor="text1" w:themeTint="D8"/>
    </w:rPr>
  </w:style>
  <w:style w:type="paragraph" w:styleId="Title">
    <w:name w:val="Title"/>
    <w:basedOn w:val="Normal"/>
    <w:next w:val="Normal"/>
    <w:link w:val="TitleChar"/>
    <w:uiPriority w:val="10"/>
    <w:qFormat/>
    <w:rsid w:val="002A60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60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60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60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602B"/>
    <w:pPr>
      <w:spacing w:before="160"/>
      <w:jc w:val="center"/>
    </w:pPr>
    <w:rPr>
      <w:i/>
      <w:iCs/>
      <w:color w:val="404040" w:themeColor="text1" w:themeTint="BF"/>
    </w:rPr>
  </w:style>
  <w:style w:type="character" w:customStyle="1" w:styleId="QuoteChar">
    <w:name w:val="Quote Char"/>
    <w:basedOn w:val="DefaultParagraphFont"/>
    <w:link w:val="Quote"/>
    <w:uiPriority w:val="29"/>
    <w:rsid w:val="002A602B"/>
    <w:rPr>
      <w:i/>
      <w:iCs/>
      <w:color w:val="404040" w:themeColor="text1" w:themeTint="BF"/>
    </w:rPr>
  </w:style>
  <w:style w:type="paragraph" w:styleId="ListParagraph">
    <w:name w:val="List Paragraph"/>
    <w:basedOn w:val="Normal"/>
    <w:uiPriority w:val="34"/>
    <w:qFormat/>
    <w:rsid w:val="002A602B"/>
    <w:pPr>
      <w:ind w:left="720"/>
      <w:contextualSpacing/>
    </w:pPr>
  </w:style>
  <w:style w:type="character" w:styleId="IntenseEmphasis">
    <w:name w:val="Intense Emphasis"/>
    <w:basedOn w:val="DefaultParagraphFont"/>
    <w:uiPriority w:val="21"/>
    <w:qFormat/>
    <w:rsid w:val="002A602B"/>
    <w:rPr>
      <w:i/>
      <w:iCs/>
      <w:color w:val="0F4761" w:themeColor="accent1" w:themeShade="BF"/>
    </w:rPr>
  </w:style>
  <w:style w:type="paragraph" w:styleId="IntenseQuote">
    <w:name w:val="Intense Quote"/>
    <w:basedOn w:val="Normal"/>
    <w:next w:val="Normal"/>
    <w:link w:val="IntenseQuoteChar"/>
    <w:uiPriority w:val="30"/>
    <w:qFormat/>
    <w:rsid w:val="002A60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602B"/>
    <w:rPr>
      <w:i/>
      <w:iCs/>
      <w:color w:val="0F4761" w:themeColor="accent1" w:themeShade="BF"/>
    </w:rPr>
  </w:style>
  <w:style w:type="character" w:styleId="IntenseReference">
    <w:name w:val="Intense Reference"/>
    <w:basedOn w:val="DefaultParagraphFont"/>
    <w:uiPriority w:val="32"/>
    <w:qFormat/>
    <w:rsid w:val="002A602B"/>
    <w:rPr>
      <w:b/>
      <w:bCs/>
      <w:smallCaps/>
      <w:color w:val="0F4761" w:themeColor="accent1" w:themeShade="BF"/>
      <w:spacing w:val="5"/>
    </w:rPr>
  </w:style>
  <w:style w:type="paragraph" w:styleId="Header">
    <w:name w:val="header"/>
    <w:basedOn w:val="Normal"/>
    <w:link w:val="HeaderChar"/>
    <w:uiPriority w:val="99"/>
    <w:unhideWhenUsed/>
    <w:rsid w:val="002A60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02B"/>
  </w:style>
  <w:style w:type="paragraph" w:styleId="Footer">
    <w:name w:val="footer"/>
    <w:basedOn w:val="Normal"/>
    <w:link w:val="FooterChar"/>
    <w:uiPriority w:val="99"/>
    <w:unhideWhenUsed/>
    <w:rsid w:val="002A60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02B"/>
  </w:style>
  <w:style w:type="paragraph" w:styleId="FootnoteText">
    <w:name w:val="footnote text"/>
    <w:basedOn w:val="Normal"/>
    <w:link w:val="FootnoteTextChar"/>
    <w:uiPriority w:val="99"/>
    <w:semiHidden/>
    <w:unhideWhenUsed/>
    <w:rsid w:val="009354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54AC"/>
    <w:rPr>
      <w:sz w:val="20"/>
      <w:szCs w:val="20"/>
    </w:rPr>
  </w:style>
  <w:style w:type="character" w:styleId="FootnoteReference">
    <w:name w:val="footnote reference"/>
    <w:basedOn w:val="DefaultParagraphFont"/>
    <w:uiPriority w:val="99"/>
    <w:semiHidden/>
    <w:unhideWhenUsed/>
    <w:rsid w:val="009354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9BA3E-64D2-43CD-BB94-6BEE83E64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6</Pages>
  <Words>1427</Words>
  <Characters>8134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Ministry of Defence</Company>
  <LinksUpToDate>false</LinksUpToDate>
  <CharactersWithSpaces>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Early, Hannah C1 (NAVY DEV-DCTO-Ops and Gov)</dc:creator>
  <cp:keywords/>
  <dc:description/>
  <cp:lastModifiedBy>Hannah Kathleen Early (2525315)</cp:lastModifiedBy>
  <cp:revision>54</cp:revision>
  <dcterms:created xsi:type="dcterms:W3CDTF">2026-03-18T11:38:00Z</dcterms:created>
  <dcterms:modified xsi:type="dcterms:W3CDTF">2026-03-20T08:16:00Z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2026-03-18T13:57:50Z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d3e49d32-8a2e-4143-b87d-69bbb18fa4aa</vt:lpwstr>
  </property>
  <property fmtid="{D5CDD505-2E9C-101B-9397-08002B2CF9AE}" pid="8" name="MSIP_Label_8e28611e-2819-430a-bdf7-3581be6cbbdd_ContentBits">
    <vt:lpwstr>0</vt:lpwstr>
  </property>
  <property fmtid="{D5CDD505-2E9C-101B-9397-08002B2CF9AE}" pid="9" name="MSIP_Label_8e28611e-2819-430a-bdf7-3581be6cbbdd_Tag">
    <vt:lpwstr>10, 0, 1, 1</vt:lpwstr>
  </property>
</Properties>
</file>