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655EC8" w:rsidRDefault="0026464A" w14:paraId="1556387E" w14:textId="65714235">
      <w:r>
        <w:t xml:space="preserve"> </w:t>
      </w:r>
    </w:p>
    <w:p w:rsidR="0026464A" w:rsidRDefault="0026464A" w14:paraId="5C0AB096" w14:textId="77777777"/>
    <w:p w:rsidR="00C41E44" w:rsidP="0026464A" w:rsidRDefault="00C41E44" w14:paraId="7DB8860B" w14:textId="1DA6C185">
      <w:pPr>
        <w:spacing w:before="100" w:beforeAutospacing="1" w:after="100" w:afterAutospacing="1"/>
        <w:outlineLvl w:val="1"/>
        <w:rPr>
          <w:rFonts w:ascii="Times New Roman" w:hAnsi="Times New Roman" w:eastAsia="Times New Roman" w:cs="Times New Roman"/>
          <w:b/>
          <w:bCs/>
          <w:color w:val="000000"/>
          <w:sz w:val="36"/>
          <w:szCs w:val="36"/>
          <w:lang w:eastAsia="en-GB"/>
        </w:rPr>
      </w:pPr>
      <w:r>
        <w:rPr>
          <w:noProof/>
        </w:rPr>
        <w:drawing>
          <wp:inline distT="0" distB="0" distL="0" distR="0" wp14:anchorId="215AD2BA" wp14:editId="3452E105">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rsidR="00C41E44" w:rsidP="0026464A" w:rsidRDefault="00C41E44" w14:paraId="3331D077" w14:textId="77777777">
      <w:pPr>
        <w:spacing w:before="100" w:beforeAutospacing="1" w:after="100" w:afterAutospacing="1"/>
        <w:outlineLvl w:val="1"/>
        <w:rPr>
          <w:rFonts w:ascii="Times New Roman" w:hAnsi="Times New Roman" w:eastAsia="Times New Roman" w:cs="Times New Roman"/>
          <w:b/>
          <w:bCs/>
          <w:color w:val="000000"/>
          <w:sz w:val="36"/>
          <w:szCs w:val="36"/>
          <w:lang w:eastAsia="en-GB"/>
        </w:rPr>
      </w:pPr>
    </w:p>
    <w:p w:rsidR="00C41E44" w:rsidP="0026464A" w:rsidRDefault="00C41E44" w14:paraId="055B736D" w14:textId="77777777">
      <w:pPr>
        <w:spacing w:before="100" w:beforeAutospacing="1" w:after="100" w:afterAutospacing="1"/>
        <w:outlineLvl w:val="1"/>
        <w:rPr>
          <w:rFonts w:ascii="Times New Roman" w:hAnsi="Times New Roman" w:eastAsia="Times New Roman" w:cs="Times New Roman"/>
          <w:b/>
          <w:bCs/>
          <w:color w:val="000000"/>
          <w:sz w:val="36"/>
          <w:szCs w:val="36"/>
          <w:lang w:eastAsia="en-GB"/>
        </w:rPr>
      </w:pPr>
    </w:p>
    <w:p w:rsidR="00C41E44" w:rsidP="0026464A" w:rsidRDefault="00C41E44" w14:paraId="482ACBA5" w14:textId="77777777">
      <w:pPr>
        <w:spacing w:before="100" w:beforeAutospacing="1" w:after="100" w:afterAutospacing="1"/>
        <w:outlineLvl w:val="1"/>
        <w:rPr>
          <w:rFonts w:ascii="Times New Roman" w:hAnsi="Times New Roman" w:eastAsia="Times New Roman" w:cs="Times New Roman"/>
          <w:b/>
          <w:bCs/>
          <w:color w:val="000000"/>
          <w:sz w:val="36"/>
          <w:szCs w:val="36"/>
          <w:lang w:eastAsia="en-GB"/>
        </w:rPr>
      </w:pPr>
    </w:p>
    <w:p w:rsidR="00C41E44" w:rsidP="0026464A" w:rsidRDefault="00C41E44" w14:paraId="2B686C63" w14:textId="4CD0FED7">
      <w:pPr>
        <w:spacing w:before="100" w:beforeAutospacing="1" w:after="100" w:afterAutospacing="1"/>
        <w:outlineLvl w:val="1"/>
        <w:rPr>
          <w:rFonts w:ascii="Times New Roman" w:hAnsi="Times New Roman" w:eastAsia="Times New Roman" w:cs="Times New Roman"/>
          <w:b/>
          <w:bCs/>
          <w:color w:val="000000"/>
          <w:sz w:val="36"/>
          <w:szCs w:val="36"/>
          <w:lang w:eastAsia="en-GB"/>
        </w:rPr>
      </w:pPr>
    </w:p>
    <w:p w:rsidRPr="00C41E44" w:rsidR="00C41E44" w:rsidP="360425F4" w:rsidRDefault="00C41E44" w14:paraId="08CD63A3" w14:textId="77777777">
      <w:pPr>
        <w:spacing w:line="360" w:lineRule="auto"/>
        <w:jc w:val="left"/>
        <w:rPr>
          <w:rStyle w:val="Strong"/>
          <w:rFonts w:ascii="Arial" w:hAnsi="Arial" w:cs="Arial"/>
          <w:color w:val="1D2125"/>
          <w:sz w:val="32"/>
          <w:szCs w:val="32"/>
        </w:rPr>
      </w:pPr>
      <w:r w:rsidRPr="00C41E44" w:rsidR="00C41E44">
        <w:rPr>
          <w:rStyle w:val="Strong"/>
          <w:rFonts w:ascii="Arial" w:hAnsi="Arial" w:cs="Arial"/>
          <w:color w:val="1D2125"/>
          <w:sz w:val="32"/>
          <w:szCs w:val="32"/>
          <w:shd w:val="clear" w:color="auto" w:fill="FFFFFF"/>
        </w:rPr>
        <w:t>Changemakers: Creativity and Value Creation</w:t>
      </w:r>
    </w:p>
    <w:p w:rsidRPr="00C41E44" w:rsidR="00C41E44" w:rsidP="360425F4" w:rsidRDefault="00C41E44" w14:paraId="4A741C69" w14:textId="77777777">
      <w:pPr>
        <w:spacing w:line="360" w:lineRule="auto"/>
        <w:jc w:val="left"/>
        <w:rPr>
          <w:rStyle w:val="Strong"/>
          <w:rFonts w:ascii="Arial" w:hAnsi="Arial" w:cs="Arial"/>
          <w:color w:val="1D2125"/>
          <w:sz w:val="32"/>
          <w:szCs w:val="32"/>
        </w:rPr>
      </w:pPr>
      <w:r w:rsidRPr="360425F4" w:rsidR="00C41E44">
        <w:rPr>
          <w:rStyle w:val="Strong"/>
          <w:rFonts w:ascii="Arial" w:hAnsi="Arial" w:cs="Arial"/>
          <w:color w:val="1D2125"/>
          <w:sz w:val="32"/>
          <w:szCs w:val="32"/>
        </w:rPr>
        <w:t>Professions (BMHP5014)</w:t>
      </w:r>
    </w:p>
    <w:p w:rsidR="00C41E44" w:rsidP="0026464A" w:rsidRDefault="00C41E44" w14:paraId="08C86409" w14:textId="77777777">
      <w:pPr>
        <w:spacing w:before="100" w:beforeAutospacing="1" w:after="100" w:afterAutospacing="1"/>
        <w:outlineLvl w:val="1"/>
        <w:rPr>
          <w:rFonts w:ascii="Times New Roman" w:hAnsi="Times New Roman" w:eastAsia="Times New Roman" w:cs="Times New Roman"/>
          <w:b/>
          <w:bCs/>
          <w:color w:val="000000"/>
          <w:sz w:val="36"/>
          <w:szCs w:val="36"/>
          <w:lang w:eastAsia="en-GB"/>
        </w:rPr>
      </w:pPr>
    </w:p>
    <w:p w:rsidR="00C41E44" w:rsidP="0026464A" w:rsidRDefault="00C41E44" w14:paraId="5DC164FF" w14:textId="77777777">
      <w:pPr>
        <w:spacing w:before="100" w:beforeAutospacing="1" w:after="100" w:afterAutospacing="1"/>
        <w:outlineLvl w:val="1"/>
        <w:rPr>
          <w:rFonts w:ascii="Times New Roman" w:hAnsi="Times New Roman" w:eastAsia="Times New Roman" w:cs="Times New Roman"/>
          <w:b/>
          <w:bCs/>
          <w:color w:val="000000"/>
          <w:sz w:val="36"/>
          <w:szCs w:val="36"/>
          <w:lang w:eastAsia="en-GB"/>
        </w:rPr>
      </w:pPr>
    </w:p>
    <w:p w:rsidRPr="00C41E44" w:rsidR="00C41E44" w:rsidP="360425F4" w:rsidRDefault="00C41E44" w14:paraId="2328537D" w14:textId="6D67A361">
      <w:pPr>
        <w:pStyle w:val="Normal"/>
        <w:spacing w:beforeAutospacing="on" w:afterAutospacing="on" w:line="360" w:lineRule="auto"/>
        <w:outlineLvl w:val="1"/>
        <w:rPr>
          <w:rStyle w:val="Strong"/>
          <w:rFonts w:ascii="Arial" w:hAnsi="Arial" w:cs="Arial"/>
          <w:b w:val="0"/>
          <w:bCs w:val="0"/>
          <w:color w:val="1D2125"/>
          <w:sz w:val="28"/>
          <w:szCs w:val="28"/>
        </w:rPr>
      </w:pPr>
      <w:r w:rsidRPr="360425F4" w:rsidR="00C41E44">
        <w:rPr>
          <w:rFonts w:ascii="Arial" w:hAnsi="Arial" w:cs="Arial"/>
          <w:b w:val="1"/>
          <w:bCs w:val="1"/>
          <w:color w:val="000000" w:themeColor="text1" w:themeTint="FF" w:themeShade="FF"/>
          <w:sz w:val="28"/>
          <w:szCs w:val="28"/>
        </w:rPr>
        <w:t>Component</w:t>
      </w:r>
      <w:r w:rsidRPr="360425F4" w:rsidR="00C41E44">
        <w:rPr>
          <w:rFonts w:ascii="Arial" w:hAnsi="Arial" w:cs="Arial"/>
          <w:b w:val="1"/>
          <w:bCs w:val="1"/>
          <w:color w:val="000000" w:themeColor="text1" w:themeTint="FF" w:themeShade="FF"/>
          <w:sz w:val="28"/>
          <w:szCs w:val="28"/>
        </w:rPr>
        <w:t xml:space="preserve"> 1:</w:t>
      </w:r>
      <w:r w:rsidRPr="360425F4" w:rsidR="00C41E44">
        <w:rPr>
          <w:sz w:val="28"/>
          <w:szCs w:val="28"/>
        </w:rPr>
        <w:t xml:space="preserve"> </w:t>
      </w:r>
      <w:r w:rsidRPr="360425F4" w:rsidR="00C41E44">
        <w:rPr>
          <w:rFonts w:ascii="Arial" w:hAnsi="Arial" w:cs="Arial"/>
          <w:b w:val="1"/>
          <w:bCs w:val="1"/>
          <w:color w:val="000000" w:themeColor="text1" w:themeTint="FF" w:themeShade="FF"/>
          <w:sz w:val="28"/>
          <w:szCs w:val="28"/>
        </w:rPr>
        <w:t>Online portfolio of set exercises</w:t>
      </w:r>
    </w:p>
    <w:p w:rsidRPr="00C41E44" w:rsidR="00C41E44" w:rsidP="00C41E44" w:rsidRDefault="00C41E44" w14:paraId="5D17956F" w14:textId="77777777">
      <w:pPr>
        <w:spacing w:line="360" w:lineRule="auto"/>
        <w:rPr>
          <w:rStyle w:val="Strong"/>
          <w:rFonts w:ascii="Arial" w:hAnsi="Arial" w:cs="Arial"/>
          <w:color w:val="1D2125"/>
          <w:sz w:val="28"/>
          <w:szCs w:val="28"/>
        </w:rPr>
      </w:pPr>
    </w:p>
    <w:p w:rsidRPr="00C41E44" w:rsidR="00C41E44" w:rsidP="00C41E44" w:rsidRDefault="00C41E44" w14:paraId="6CCCB7E9" w14:textId="376B0F05">
      <w:pPr>
        <w:spacing w:line="360" w:lineRule="auto"/>
        <w:rPr>
          <w:rStyle w:val="Strong"/>
          <w:rFonts w:ascii="Arial" w:hAnsi="Arial" w:cs="Arial"/>
          <w:color w:val="1D2125"/>
          <w:sz w:val="28"/>
          <w:szCs w:val="28"/>
        </w:rPr>
      </w:pPr>
      <w:r w:rsidRPr="00C41E44">
        <w:rPr>
          <w:rStyle w:val="Strong"/>
          <w:rFonts w:ascii="Arial" w:hAnsi="Arial" w:cs="Arial"/>
          <w:color w:val="1D2125"/>
          <w:sz w:val="28"/>
          <w:szCs w:val="28"/>
        </w:rPr>
        <w:t>Student name:</w:t>
      </w:r>
      <w:r w:rsidR="00833F1E">
        <w:rPr>
          <w:rStyle w:val="Strong"/>
          <w:rFonts w:ascii="Arial" w:hAnsi="Arial" w:cs="Arial"/>
          <w:color w:val="1D2125"/>
          <w:sz w:val="28"/>
          <w:szCs w:val="28"/>
        </w:rPr>
        <w:t xml:space="preserve"> </w:t>
      </w:r>
      <w:proofErr w:type="spellStart"/>
      <w:r w:rsidR="00833F1E">
        <w:rPr>
          <w:rStyle w:val="Strong"/>
          <w:rFonts w:ascii="Arial" w:hAnsi="Arial" w:cs="Arial"/>
          <w:color w:val="1D2125"/>
          <w:sz w:val="28"/>
          <w:szCs w:val="28"/>
        </w:rPr>
        <w:t>Sima</w:t>
      </w:r>
      <w:proofErr w:type="spellEnd"/>
      <w:r w:rsidR="00833F1E">
        <w:rPr>
          <w:rStyle w:val="Strong"/>
          <w:rFonts w:ascii="Arial" w:hAnsi="Arial" w:cs="Arial"/>
          <w:color w:val="1D2125"/>
          <w:sz w:val="28"/>
          <w:szCs w:val="28"/>
        </w:rPr>
        <w:t xml:space="preserve"> </w:t>
      </w:r>
      <w:proofErr w:type="spellStart"/>
      <w:r w:rsidR="00833F1E">
        <w:rPr>
          <w:rStyle w:val="Strong"/>
          <w:rFonts w:ascii="Arial" w:hAnsi="Arial" w:cs="Arial"/>
          <w:color w:val="1D2125"/>
          <w:sz w:val="28"/>
          <w:szCs w:val="28"/>
        </w:rPr>
        <w:t>Pervin</w:t>
      </w:r>
      <w:proofErr w:type="spellEnd"/>
    </w:p>
    <w:p w:rsidR="00833F1E" w:rsidP="00833F1E" w:rsidRDefault="00C41E44" w14:paraId="2A1622F6" w14:textId="77777777">
      <w:pPr>
        <w:spacing w:line="360" w:lineRule="auto"/>
        <w:rPr>
          <w:rStyle w:val="Strong"/>
          <w:rFonts w:ascii="Arial" w:hAnsi="Arial" w:cs="Arial"/>
          <w:color w:val="1D2125"/>
          <w:sz w:val="28"/>
          <w:szCs w:val="28"/>
        </w:rPr>
      </w:pPr>
      <w:r w:rsidRPr="00C41E44">
        <w:rPr>
          <w:rStyle w:val="Strong"/>
          <w:rFonts w:ascii="Arial" w:hAnsi="Arial" w:cs="Arial"/>
          <w:color w:val="1D2125"/>
          <w:sz w:val="28"/>
          <w:szCs w:val="28"/>
        </w:rPr>
        <w:t>Student number:</w:t>
      </w:r>
      <w:r w:rsidR="00833F1E">
        <w:rPr>
          <w:rStyle w:val="Strong"/>
          <w:rFonts w:ascii="Arial" w:hAnsi="Arial" w:cs="Arial"/>
          <w:color w:val="1D2125"/>
          <w:sz w:val="28"/>
          <w:szCs w:val="28"/>
        </w:rPr>
        <w:t xml:space="preserve"> </w:t>
      </w:r>
      <w:r w:rsidRPr="00833F1E" w:rsidR="00833F1E">
        <w:rPr>
          <w:rFonts w:ascii="Arial" w:hAnsi="Arial" w:cs="Arial"/>
          <w:b/>
          <w:bCs/>
          <w:color w:val="1D2125"/>
          <w:sz w:val="28"/>
          <w:szCs w:val="28"/>
        </w:rPr>
        <w:t>2428548</w:t>
      </w:r>
    </w:p>
    <w:p w:rsidRPr="00833F1E" w:rsidR="00C41E44" w:rsidP="00833F1E" w:rsidRDefault="00C41E44" w14:paraId="7673055C" w14:textId="462F928E">
      <w:pPr>
        <w:spacing w:line="360" w:lineRule="auto"/>
        <w:rPr>
          <w:rFonts w:ascii="Arial" w:hAnsi="Arial" w:cs="Arial"/>
          <w:b/>
          <w:bCs/>
          <w:color w:val="1D2125"/>
          <w:sz w:val="28"/>
          <w:szCs w:val="28"/>
        </w:rPr>
      </w:pPr>
      <w:r w:rsidRPr="00C41E44">
        <w:rPr>
          <w:rStyle w:val="Strong"/>
          <w:rFonts w:ascii="Arial" w:hAnsi="Arial" w:cs="Arial"/>
          <w:color w:val="1D2125"/>
          <w:sz w:val="28"/>
          <w:szCs w:val="28"/>
        </w:rPr>
        <w:t>Lecturer’s name:</w:t>
      </w:r>
      <w:r w:rsidRPr="00833F1E" w:rsidR="00833F1E">
        <w:rPr>
          <w:rFonts w:ascii="Arial" w:hAnsi="Arial" w:cs="Arial" w:eastAsiaTheme="minorEastAsia"/>
          <w:b/>
          <w:bCs/>
          <w:color w:val="FFFFFF" w:themeColor="background1"/>
          <w:kern w:val="24"/>
          <w:sz w:val="56"/>
          <w:szCs w:val="56"/>
        </w:rPr>
        <w:t xml:space="preserve"> </w:t>
      </w:r>
      <w:r w:rsidRPr="00833F1E" w:rsidR="00833F1E">
        <w:rPr>
          <w:rFonts w:ascii="Arial" w:hAnsi="Arial" w:cs="Arial"/>
          <w:b/>
          <w:bCs/>
          <w:color w:val="1D2125"/>
          <w:sz w:val="28"/>
          <w:szCs w:val="28"/>
        </w:rPr>
        <w:t>Subhan Sadiq</w:t>
      </w:r>
    </w:p>
    <w:p w:rsidRPr="0026464A" w:rsidR="0026464A" w:rsidP="0026464A" w:rsidRDefault="00C41E44" w14:paraId="417165A9" w14:textId="5F709001">
      <w:pPr>
        <w:spacing w:before="100" w:beforeAutospacing="1" w:after="100" w:afterAutospacing="1"/>
        <w:outlineLvl w:val="1"/>
        <w:rPr>
          <w:rFonts w:ascii="Times New Roman" w:hAnsi="Times New Roman" w:eastAsia="Times New Roman" w:cs="Times New Roman"/>
          <w:b/>
          <w:bCs/>
          <w:color w:val="000000"/>
          <w:sz w:val="36"/>
          <w:szCs w:val="36"/>
          <w:lang w:eastAsia="en-GB"/>
        </w:rPr>
      </w:pPr>
      <w:r>
        <w:rPr>
          <w:rFonts w:ascii="Times New Roman" w:hAnsi="Times New Roman" w:eastAsia="Times New Roman" w:cs="Times New Roman"/>
          <w:b/>
          <w:bCs/>
          <w:color w:val="000000"/>
          <w:sz w:val="36"/>
          <w:szCs w:val="36"/>
          <w:lang w:eastAsia="en-GB"/>
        </w:rPr>
        <w:t xml:space="preserve"> </w:t>
      </w:r>
    </w:p>
    <w:p w:rsidRPr="00A95CA8" w:rsidR="0026464A" w:rsidP="360425F4" w:rsidRDefault="0026464A" w14:paraId="7D6C43AF" w14:textId="2848163F">
      <w:pPr>
        <w:spacing w:before="100" w:beforeAutospacing="on" w:after="100" w:afterAutospacing="on"/>
        <w:rPr>
          <w:rFonts w:ascii="Arial" w:hAnsi="Arial" w:eastAsia="Arial" w:cs="Arial"/>
          <w:color w:val="000000"/>
          <w:sz w:val="28"/>
          <w:szCs w:val="28"/>
          <w:lang w:eastAsia="en-GB"/>
        </w:rPr>
      </w:pPr>
      <w:r w:rsidRPr="360425F4" w:rsidR="00CF242E">
        <w:rPr>
          <w:rFonts w:ascii="Times New Roman" w:hAnsi="Times New Roman" w:eastAsia="Times New Roman" w:cs="Times New Roman"/>
          <w:b w:val="1"/>
          <w:bCs w:val="1"/>
          <w:color w:val="000000" w:themeColor="text1" w:themeTint="FF" w:themeShade="FF"/>
          <w:sz w:val="27"/>
          <w:szCs w:val="27"/>
          <w:lang w:eastAsia="en-GB"/>
        </w:rPr>
        <w:t xml:space="preserve"> </w:t>
      </w:r>
      <w:r>
        <w:br/>
      </w:r>
      <w:r w:rsidRPr="360425F4" w:rsidR="0026464A">
        <w:rPr>
          <w:rStyle w:val="Strong"/>
          <w:rFonts w:ascii="Arial" w:hAnsi="Arial" w:eastAsia="Arial" w:cs="Arial"/>
          <w:color w:val="000000" w:themeColor="text1" w:themeTint="FF" w:themeShade="FF"/>
          <w:sz w:val="28"/>
          <w:szCs w:val="28"/>
        </w:rPr>
        <w:t>Introduction</w:t>
      </w:r>
    </w:p>
    <w:p w:rsidRPr="002A2CBC" w:rsidR="0026464A" w:rsidP="0026464A" w:rsidRDefault="0026464A" w14:paraId="3D6D8982" w14:textId="77777777">
      <w:pPr>
        <w:pStyle w:val="NormalWeb"/>
        <w:rPr>
          <w:rFonts w:ascii="Arial" w:hAnsi="Arial" w:cs="Arial"/>
          <w:color w:val="000000"/>
          <w:sz w:val="22"/>
          <w:szCs w:val="22"/>
        </w:rPr>
      </w:pPr>
      <w:r w:rsidRPr="002A2CBC">
        <w:rPr>
          <w:rFonts w:ascii="Arial" w:hAnsi="Arial" w:cs="Arial"/>
          <w:color w:val="000000"/>
          <w:sz w:val="22"/>
          <w:szCs w:val="22"/>
        </w:rPr>
        <w:t>Health and social care organisations currently face complex challenges, including increasing demand for services, workforce shortages, financial pressures, and the need to improve the quality and safety of care. One significant challenge affecting healthcare systems is staff burnout, which can negatively influence employee wellbeing, patient experiences, and organisational effectiveness. Addressing these challenges requires healthcare professionals and leaders to apply creativity, innovation, value creation, and effective change management to develop sustainable improvements.</w:t>
      </w:r>
    </w:p>
    <w:p w:rsidRPr="002A2CBC" w:rsidR="0026464A" w:rsidP="0026464A" w:rsidRDefault="0026464A" w14:paraId="2E4120A9" w14:textId="77777777">
      <w:pPr>
        <w:pStyle w:val="NormalWeb"/>
        <w:rPr>
          <w:rFonts w:ascii="Arial" w:hAnsi="Arial" w:cs="Arial"/>
          <w:color w:val="000000"/>
          <w:sz w:val="22"/>
          <w:szCs w:val="22"/>
        </w:rPr>
      </w:pPr>
      <w:r w:rsidRPr="002A2CBC">
        <w:rPr>
          <w:rFonts w:ascii="Arial" w:hAnsi="Arial" w:cs="Arial"/>
          <w:color w:val="000000"/>
          <w:sz w:val="22"/>
          <w:szCs w:val="22"/>
        </w:rPr>
        <w:t>Creativity and innovation enable health and social care organisations to develop new approaches to service delivery, while value creation ensures that improvements provide meaningful benefits for service users, staff, and healthcare systems. Leadership is also essential because effective leaders encourage collaboration, support staff wellbeing, and create environments where new ideas can be developed and implemented.</w:t>
      </w:r>
    </w:p>
    <w:p w:rsidRPr="002A2CBC" w:rsidR="0026464A" w:rsidP="0026464A" w:rsidRDefault="0026464A" w14:paraId="138EC478" w14:textId="77777777">
      <w:pPr>
        <w:pStyle w:val="NormalWeb"/>
        <w:rPr>
          <w:rFonts w:ascii="Arial" w:hAnsi="Arial" w:cs="Arial"/>
          <w:color w:val="000000"/>
          <w:sz w:val="22"/>
          <w:szCs w:val="22"/>
        </w:rPr>
      </w:pPr>
      <w:r w:rsidRPr="002A2CBC">
        <w:rPr>
          <w:rFonts w:ascii="Arial" w:hAnsi="Arial" w:cs="Arial"/>
          <w:color w:val="000000"/>
          <w:sz w:val="22"/>
          <w:szCs w:val="22"/>
        </w:rPr>
        <w:t>This portfolio explores the practical application of creativity, leadership, value creation, and contemporary technology within health and social care. Using staff burnout as a central theme, the portfolio examines how theoretical frameworks and real-world examples can support innovative solutions, improve workforce wellbeing, and enhance person-centred care.</w:t>
      </w:r>
    </w:p>
    <w:p w:rsidR="002A2CBC" w:rsidP="002A2CBC" w:rsidRDefault="0026464A" w14:paraId="3C8327A9" w14:textId="405A666F">
      <w:pPr>
        <w:pStyle w:val="Heading1"/>
        <w:rPr>
          <w:rStyle w:val="Strong"/>
          <w:rFonts w:ascii="Arial" w:hAnsi="Arial" w:cs="Arial"/>
          <w:color w:val="000000"/>
        </w:rPr>
      </w:pPr>
      <w:r w:rsidRPr="002A2CBC">
        <w:rPr>
          <w:rStyle w:val="Strong"/>
          <w:rFonts w:ascii="Arial" w:hAnsi="Arial" w:cs="Arial"/>
          <w:color w:val="000000"/>
        </w:rPr>
        <w:t>Task 1</w:t>
      </w:r>
      <w:r w:rsidR="002A2CBC">
        <w:rPr>
          <w:rStyle w:val="Strong"/>
          <w:rFonts w:ascii="Arial" w:hAnsi="Arial" w:cs="Arial"/>
          <w:color w:val="000000"/>
        </w:rPr>
        <w:t>-</w:t>
      </w:r>
    </w:p>
    <w:p w:rsidRPr="002A2CBC" w:rsidR="0026464A" w:rsidP="002A2CBC" w:rsidRDefault="0026464A" w14:paraId="3EE1760C" w14:textId="749969F7">
      <w:pPr>
        <w:pStyle w:val="Heading1"/>
        <w:rPr>
          <w:rFonts w:ascii="Arial" w:hAnsi="Arial" w:cs="Arial"/>
          <w:color w:val="000000"/>
        </w:rPr>
      </w:pPr>
      <w:r w:rsidRPr="002A2CBC">
        <w:rPr>
          <w:rStyle w:val="Strong"/>
          <w:rFonts w:ascii="Arial" w:hAnsi="Arial" w:cs="Arial"/>
          <w:color w:val="000000"/>
          <w:sz w:val="28"/>
          <w:szCs w:val="28"/>
        </w:rPr>
        <w:t>Innovation</w:t>
      </w:r>
    </w:p>
    <w:p w:rsidRPr="002A2CBC" w:rsidR="0026464A" w:rsidP="0026464A" w:rsidRDefault="0026464A" w14:paraId="6A7A9282" w14:textId="77777777">
      <w:pPr>
        <w:pStyle w:val="NormalWeb"/>
        <w:rPr>
          <w:rFonts w:ascii="Arial" w:hAnsi="Arial" w:cs="Arial"/>
          <w:color w:val="000000"/>
          <w:sz w:val="22"/>
          <w:szCs w:val="22"/>
        </w:rPr>
      </w:pPr>
      <w:r w:rsidRPr="002A2CBC">
        <w:rPr>
          <w:rFonts w:ascii="Arial" w:hAnsi="Arial" w:cs="Arial"/>
          <w:color w:val="000000"/>
          <w:sz w:val="22"/>
          <w:szCs w:val="22"/>
        </w:rPr>
        <w:t>Innovation refers to the process of developing and implementing new ideas, services, technologies, or practices that create improvement and provide value. In health and social care, innovation is important because it enables organisations to respond to increasing demand, workforce pressures, and changing patient needs. Innovation can improve efficiency, enhance patient experiences, and support better health outcomes.</w:t>
      </w:r>
    </w:p>
    <w:p w:rsidRPr="002A2CBC" w:rsidR="0026464A" w:rsidP="0026464A" w:rsidRDefault="0026464A" w14:paraId="7B53717F" w14:textId="77777777">
      <w:pPr>
        <w:pStyle w:val="NormalWeb"/>
        <w:rPr>
          <w:rFonts w:ascii="Arial" w:hAnsi="Arial" w:cs="Arial"/>
          <w:color w:val="000000"/>
          <w:sz w:val="22"/>
          <w:szCs w:val="22"/>
        </w:rPr>
      </w:pPr>
      <w:r w:rsidRPr="002A2CBC">
        <w:rPr>
          <w:rFonts w:ascii="Arial" w:hAnsi="Arial" w:cs="Arial"/>
          <w:color w:val="000000"/>
          <w:sz w:val="22"/>
          <w:szCs w:val="22"/>
        </w:rPr>
        <w:t>An example of innovation in healthcare is the development of NHS virtual wards, which allow suitable patients to receive hospital-level care in their own homes through digital monitoring and clinical support. This reduces pressure on hospital capacity while maintaining safe and effective care.</w:t>
      </w:r>
    </w:p>
    <w:p w:rsidRPr="002A2CBC" w:rsidR="0026464A" w:rsidP="0026464A" w:rsidRDefault="0026464A" w14:paraId="4B360108" w14:textId="77777777">
      <w:pPr>
        <w:pStyle w:val="NormalWeb"/>
        <w:rPr>
          <w:rFonts w:ascii="Arial" w:hAnsi="Arial" w:cs="Arial"/>
          <w:color w:val="000000"/>
          <w:sz w:val="22"/>
          <w:szCs w:val="22"/>
        </w:rPr>
      </w:pPr>
      <w:r w:rsidRPr="7B16BC5B" w:rsidR="0026464A">
        <w:rPr>
          <w:rFonts w:ascii="Arial" w:hAnsi="Arial" w:cs="Arial"/>
          <w:color w:val="000000" w:themeColor="text1" w:themeTint="FF" w:themeShade="FF"/>
          <w:sz w:val="22"/>
          <w:szCs w:val="22"/>
        </w:rPr>
        <w:t>Rogers’ Diffusion of Innovation Theory explains how new ideas and technologies are introduced and adopted within organisations over time. The theory highlights that successful adoption depends on factors such as perceived usefulness, communication, and compatibility with existing practices (Rogers, 2003). This demonstrates why healthcare organisations must support staff when introducing innovative approaches.</w:t>
      </w:r>
    </w:p>
    <w:p w:rsidR="7B16BC5B" w:rsidP="7B16BC5B" w:rsidRDefault="7B16BC5B" w14:paraId="033CCA77" w14:textId="5F4A44BC">
      <w:pPr>
        <w:pStyle w:val="Heading2"/>
        <w:rPr>
          <w:rStyle w:val="Strong"/>
          <w:rFonts w:ascii="Arial" w:hAnsi="Arial" w:cs="Arial"/>
          <w:b w:val="1"/>
          <w:bCs w:val="1"/>
          <w:color w:val="000000" w:themeColor="text1" w:themeTint="FF" w:themeShade="FF"/>
          <w:sz w:val="28"/>
          <w:szCs w:val="28"/>
        </w:rPr>
      </w:pPr>
    </w:p>
    <w:p w:rsidR="7B16BC5B" w:rsidP="7B16BC5B" w:rsidRDefault="7B16BC5B" w14:paraId="6B70257B" w14:textId="21C1FA22">
      <w:pPr>
        <w:pStyle w:val="Heading2"/>
        <w:rPr>
          <w:rStyle w:val="Strong"/>
          <w:rFonts w:ascii="Arial" w:hAnsi="Arial" w:cs="Arial"/>
          <w:b w:val="1"/>
          <w:bCs w:val="1"/>
          <w:color w:val="000000" w:themeColor="text1" w:themeTint="FF" w:themeShade="FF"/>
          <w:sz w:val="28"/>
          <w:szCs w:val="28"/>
        </w:rPr>
      </w:pPr>
    </w:p>
    <w:p w:rsidRPr="002A2CBC" w:rsidR="0026464A" w:rsidP="0026464A" w:rsidRDefault="0026464A" w14:paraId="71D27F52" w14:textId="77777777">
      <w:pPr>
        <w:pStyle w:val="Heading2"/>
        <w:rPr>
          <w:rFonts w:ascii="Arial" w:hAnsi="Arial" w:cs="Arial"/>
          <w:color w:val="000000"/>
          <w:sz w:val="28"/>
          <w:szCs w:val="28"/>
        </w:rPr>
      </w:pPr>
      <w:r w:rsidRPr="002A2CBC">
        <w:rPr>
          <w:rStyle w:val="Strong"/>
          <w:rFonts w:ascii="Arial" w:hAnsi="Arial" w:cs="Arial"/>
          <w:b/>
          <w:bCs/>
          <w:color w:val="000000"/>
          <w:sz w:val="28"/>
          <w:szCs w:val="28"/>
        </w:rPr>
        <w:t>Creativity</w:t>
      </w:r>
    </w:p>
    <w:p w:rsidR="002A2CBC" w:rsidP="0026464A" w:rsidRDefault="0026464A" w14:paraId="48F8E214" w14:textId="77777777">
      <w:pPr>
        <w:pStyle w:val="NormalWeb"/>
        <w:rPr>
          <w:rFonts w:ascii="Arial" w:hAnsi="Arial" w:cs="Arial"/>
          <w:color w:val="000000"/>
          <w:sz w:val="22"/>
          <w:szCs w:val="22"/>
        </w:rPr>
      </w:pPr>
      <w:r w:rsidRPr="002A2CBC">
        <w:rPr>
          <w:rFonts w:ascii="Arial" w:hAnsi="Arial" w:cs="Arial"/>
          <w:color w:val="000000"/>
          <w:sz w:val="22"/>
          <w:szCs w:val="22"/>
        </w:rPr>
        <w:t>Creativity is the ability to generate original and useful ideas that can solve problems or improve existing practices. Within health and social care, creativity encourages professionals to consider alternative approaches to complex challenges and develop solutions that improve service delivery.</w:t>
      </w:r>
    </w:p>
    <w:p w:rsidRPr="002A2CBC" w:rsidR="0026464A" w:rsidP="0026464A" w:rsidRDefault="0026464A" w14:paraId="3BD3B780" w14:textId="5C0F1080">
      <w:pPr>
        <w:pStyle w:val="NormalWeb"/>
        <w:rPr>
          <w:rFonts w:ascii="Arial" w:hAnsi="Arial" w:cs="Arial"/>
          <w:color w:val="000000"/>
          <w:sz w:val="22"/>
          <w:szCs w:val="22"/>
        </w:rPr>
      </w:pPr>
      <w:r w:rsidRPr="002A2CBC">
        <w:rPr>
          <w:rFonts w:ascii="Arial" w:hAnsi="Arial" w:cs="Arial"/>
          <w:color w:val="000000"/>
          <w:sz w:val="22"/>
          <w:szCs w:val="22"/>
        </w:rPr>
        <w:t>For example, healthcare teams may create new staff wellbeing initiatives, such as flexible working arrangements or peer-support programmes, to reduce workplace stress and improve staff retention.</w:t>
      </w:r>
    </w:p>
    <w:p w:rsidRPr="002A2CBC" w:rsidR="0026464A" w:rsidP="0026464A" w:rsidRDefault="0026464A" w14:paraId="44337E78" w14:textId="77777777">
      <w:pPr>
        <w:pStyle w:val="NormalWeb"/>
        <w:rPr>
          <w:rFonts w:ascii="Arial" w:hAnsi="Arial" w:cs="Arial"/>
          <w:color w:val="000000"/>
          <w:sz w:val="22"/>
          <w:szCs w:val="22"/>
        </w:rPr>
      </w:pPr>
      <w:r w:rsidRPr="002A2CBC">
        <w:rPr>
          <w:rFonts w:ascii="Arial" w:hAnsi="Arial" w:cs="Arial"/>
          <w:color w:val="000000"/>
          <w:sz w:val="22"/>
          <w:szCs w:val="22"/>
        </w:rPr>
        <w:lastRenderedPageBreak/>
        <w:t>Amabile’s Componential Theory of Creativity suggests that creativity occurs when individuals combine expertise, creative-thinking skills, and motivation to produce valuable ideas (Amabile, 1996). This theory demonstrates that healthcare professionals’ knowledge and experiences can contribute to developing effective solutions for challenges such as staff burnout.</w:t>
      </w:r>
    </w:p>
    <w:p w:rsidRPr="002A2CBC" w:rsidR="0026464A" w:rsidP="0026464A" w:rsidRDefault="0026464A" w14:paraId="06879AB0" w14:textId="77777777">
      <w:pPr>
        <w:pStyle w:val="Heading2"/>
        <w:rPr>
          <w:rFonts w:ascii="Arial" w:hAnsi="Arial" w:cs="Arial"/>
          <w:color w:val="000000"/>
          <w:sz w:val="28"/>
          <w:szCs w:val="28"/>
        </w:rPr>
      </w:pPr>
      <w:r w:rsidRPr="002A2CBC">
        <w:rPr>
          <w:rStyle w:val="Strong"/>
          <w:rFonts w:ascii="Arial" w:hAnsi="Arial" w:cs="Arial"/>
          <w:b/>
          <w:bCs/>
          <w:color w:val="000000"/>
          <w:sz w:val="28"/>
          <w:szCs w:val="28"/>
        </w:rPr>
        <w:t>Value Creation</w:t>
      </w:r>
    </w:p>
    <w:p w:rsidRPr="002A2CBC" w:rsidR="0026464A" w:rsidP="0026464A" w:rsidRDefault="0026464A" w14:paraId="1B46044B" w14:textId="77777777">
      <w:pPr>
        <w:pStyle w:val="NormalWeb"/>
        <w:rPr>
          <w:rFonts w:ascii="Arial" w:hAnsi="Arial" w:cs="Arial"/>
          <w:color w:val="000000"/>
          <w:sz w:val="22"/>
          <w:szCs w:val="22"/>
        </w:rPr>
      </w:pPr>
      <w:r w:rsidRPr="002A2CBC">
        <w:rPr>
          <w:rFonts w:ascii="Arial" w:hAnsi="Arial" w:cs="Arial"/>
          <w:color w:val="000000"/>
          <w:sz w:val="22"/>
          <w:szCs w:val="22"/>
        </w:rPr>
        <w:t>Value creation refers to improving outcomes while making effective use of available resources. In health and social care, value is created when services improve patient outcomes, safety, satisfaction, and overall experiences while maintaining efficiency.</w:t>
      </w:r>
    </w:p>
    <w:p w:rsidRPr="002A2CBC" w:rsidR="0026464A" w:rsidP="0026464A" w:rsidRDefault="0026464A" w14:paraId="681F671E" w14:textId="77777777">
      <w:pPr>
        <w:pStyle w:val="NormalWeb"/>
        <w:rPr>
          <w:rFonts w:ascii="Arial" w:hAnsi="Arial" w:cs="Arial"/>
          <w:color w:val="000000"/>
          <w:sz w:val="22"/>
          <w:szCs w:val="22"/>
        </w:rPr>
      </w:pPr>
      <w:r w:rsidRPr="002A2CBC">
        <w:rPr>
          <w:rFonts w:ascii="Arial" w:hAnsi="Arial" w:cs="Arial"/>
          <w:color w:val="000000"/>
          <w:sz w:val="22"/>
          <w:szCs w:val="22"/>
        </w:rPr>
        <w:t>For example, staff wellbeing programmes may reduce sickness absence, improve staff retention, and support continuity of care for patients.</w:t>
      </w:r>
    </w:p>
    <w:p w:rsidRPr="002A2CBC" w:rsidR="0026464A" w:rsidP="0026464A" w:rsidRDefault="0026464A" w14:paraId="17C3DABE" w14:textId="77777777">
      <w:pPr>
        <w:pStyle w:val="NormalWeb"/>
        <w:rPr>
          <w:rFonts w:ascii="Arial" w:hAnsi="Arial" w:cs="Arial"/>
          <w:color w:val="000000"/>
          <w:sz w:val="22"/>
          <w:szCs w:val="22"/>
        </w:rPr>
      </w:pPr>
      <w:r w:rsidRPr="002A2CBC">
        <w:rPr>
          <w:rFonts w:ascii="Arial" w:hAnsi="Arial" w:cs="Arial"/>
          <w:color w:val="000000"/>
          <w:sz w:val="22"/>
          <w:szCs w:val="22"/>
        </w:rPr>
        <w:t>Porter (2010) explains that healthcare value is created when patient outcomes improve relative to the cost of providing care. This approach encourages organisations to focus not only on reducing costs but also on improving quality and outcomes.</w:t>
      </w:r>
    </w:p>
    <w:p w:rsidRPr="002A2CBC" w:rsidR="0026464A" w:rsidP="0026464A" w:rsidRDefault="0026464A" w14:paraId="4FAB73A1" w14:textId="77777777">
      <w:pPr>
        <w:pStyle w:val="Heading2"/>
        <w:rPr>
          <w:rFonts w:ascii="Arial" w:hAnsi="Arial" w:cs="Arial"/>
          <w:color w:val="000000"/>
          <w:sz w:val="28"/>
          <w:szCs w:val="28"/>
        </w:rPr>
      </w:pPr>
      <w:r w:rsidRPr="002A2CBC">
        <w:rPr>
          <w:rStyle w:val="Strong"/>
          <w:rFonts w:ascii="Arial" w:hAnsi="Arial" w:cs="Arial"/>
          <w:b/>
          <w:bCs/>
          <w:color w:val="000000"/>
          <w:sz w:val="28"/>
          <w:szCs w:val="28"/>
        </w:rPr>
        <w:t>Change</w:t>
      </w:r>
    </w:p>
    <w:p w:rsidRPr="002A2CBC" w:rsidR="0026464A" w:rsidP="0026464A" w:rsidRDefault="0026464A" w14:paraId="7F7FC1B3" w14:textId="77777777">
      <w:pPr>
        <w:pStyle w:val="NormalWeb"/>
        <w:rPr>
          <w:rFonts w:ascii="Arial" w:hAnsi="Arial" w:cs="Arial"/>
          <w:color w:val="000000"/>
          <w:sz w:val="22"/>
          <w:szCs w:val="22"/>
        </w:rPr>
      </w:pPr>
      <w:r w:rsidRPr="002A2CBC">
        <w:rPr>
          <w:rFonts w:ascii="Arial" w:hAnsi="Arial" w:cs="Arial"/>
          <w:color w:val="000000"/>
          <w:sz w:val="22"/>
          <w:szCs w:val="22"/>
        </w:rPr>
        <w:t>Change refers to the process of moving from current ways of working towards improved practices. Change is essential in health and social care because organisations must adapt to technological developments, workforce challenges, and changing service-user needs.</w:t>
      </w:r>
    </w:p>
    <w:p w:rsidRPr="002A2CBC" w:rsidR="0026464A" w:rsidP="0026464A" w:rsidRDefault="0026464A" w14:paraId="6336E48A" w14:textId="77777777">
      <w:pPr>
        <w:pStyle w:val="NormalWeb"/>
        <w:rPr>
          <w:rFonts w:ascii="Arial" w:hAnsi="Arial" w:cs="Arial"/>
          <w:color w:val="000000"/>
          <w:sz w:val="22"/>
          <w:szCs w:val="22"/>
        </w:rPr>
      </w:pPr>
      <w:r w:rsidRPr="002A2CBC">
        <w:rPr>
          <w:rFonts w:ascii="Arial" w:hAnsi="Arial" w:cs="Arial"/>
          <w:color w:val="000000"/>
          <w:sz w:val="22"/>
          <w:szCs w:val="22"/>
        </w:rPr>
        <w:t>An example of healthcare change is introducing digital systems to reduce administrative workload and improve communication between professionals.</w:t>
      </w:r>
    </w:p>
    <w:p w:rsidRPr="002A2CBC" w:rsidR="0026464A" w:rsidP="0026464A" w:rsidRDefault="0026464A" w14:paraId="4BEA6D5B" w14:textId="19054A72">
      <w:pPr>
        <w:pStyle w:val="NormalWeb"/>
        <w:rPr>
          <w:rFonts w:ascii="Arial" w:hAnsi="Arial" w:cs="Arial"/>
          <w:color w:val="000000"/>
          <w:sz w:val="22"/>
          <w:szCs w:val="22"/>
        </w:rPr>
      </w:pPr>
      <w:r w:rsidRPr="7B16BC5B" w:rsidR="0026464A">
        <w:rPr>
          <w:rFonts w:ascii="Arial" w:hAnsi="Arial" w:cs="Arial"/>
          <w:color w:val="000000" w:themeColor="text1" w:themeTint="FF" w:themeShade="FF"/>
          <w:sz w:val="22"/>
          <w:szCs w:val="22"/>
        </w:rPr>
        <w:t xml:space="preserve">Lewin’s Change Management Model explains that successful change occurs through three stages: unfreezing existing practices, implementing new behaviours, and refreezing changes to make improvements sustainable (Lewin, 1951). This highlights the importance of preparation, staff involvement, and ongoing support when implementing healthcare </w:t>
      </w:r>
      <w:r w:rsidRPr="7B16BC5B" w:rsidR="0026464A">
        <w:rPr>
          <w:rFonts w:ascii="Arial" w:hAnsi="Arial" w:cs="Arial"/>
          <w:color w:val="000000" w:themeColor="text1" w:themeTint="FF" w:themeShade="FF"/>
          <w:sz w:val="22"/>
          <w:szCs w:val="22"/>
        </w:rPr>
        <w:t>improvements.</w:t>
      </w:r>
    </w:p>
    <w:p w:rsidR="0026464A" w:rsidP="7B16BC5B" w:rsidRDefault="0026464A" w14:paraId="5E79BDB7" w14:textId="57945908">
      <w:pPr>
        <w:pStyle w:val="Heading1"/>
        <w:rPr>
          <w:rStyle w:val="Strong"/>
          <w:rFonts w:ascii="Arial" w:hAnsi="Arial" w:cs="Arial"/>
          <w:color w:val="000000" w:themeColor="text1" w:themeTint="FF" w:themeShade="FF"/>
        </w:rPr>
      </w:pPr>
    </w:p>
    <w:p w:rsidR="0026464A" w:rsidP="7B16BC5B" w:rsidRDefault="0026464A" w14:paraId="1CCF7623" w14:textId="5D37C4AE">
      <w:pPr>
        <w:pStyle w:val="Heading1"/>
        <w:rPr>
          <w:rStyle w:val="Strong"/>
          <w:rFonts w:ascii="Arial" w:hAnsi="Arial" w:cs="Arial"/>
          <w:color w:val="000000" w:themeColor="text1" w:themeTint="FF" w:themeShade="FF"/>
        </w:rPr>
      </w:pPr>
    </w:p>
    <w:p w:rsidR="0026464A" w:rsidP="002A2CBC" w:rsidRDefault="0026464A" w14:paraId="60FF3E94" w14:textId="08D9E410">
      <w:pPr>
        <w:pStyle w:val="Heading1"/>
        <w:rPr>
          <w:rStyle w:val="Strong"/>
          <w:rFonts w:ascii="Arial" w:hAnsi="Arial" w:cs="Arial"/>
          <w:color w:val="000000"/>
        </w:rPr>
      </w:pPr>
      <w:r w:rsidRPr="7B16BC5B" w:rsidR="0026464A">
        <w:rPr>
          <w:rStyle w:val="Strong"/>
          <w:rFonts w:ascii="Arial" w:hAnsi="Arial" w:cs="Arial"/>
          <w:color w:val="000000" w:themeColor="text1" w:themeTint="FF" w:themeShade="FF"/>
        </w:rPr>
        <w:t>Task 2</w:t>
      </w:r>
      <w:r w:rsidRPr="7B16BC5B" w:rsidR="002A2CBC">
        <w:rPr>
          <w:rStyle w:val="Strong"/>
          <w:rFonts w:ascii="Arial" w:hAnsi="Arial" w:cs="Arial"/>
          <w:color w:val="000000" w:themeColor="text1" w:themeTint="FF" w:themeShade="FF"/>
        </w:rPr>
        <w:t>-</w:t>
      </w:r>
      <w:r w:rsidRPr="7B16BC5B" w:rsidR="0026464A">
        <w:rPr>
          <w:rStyle w:val="Strong"/>
          <w:rFonts w:ascii="Arial" w:hAnsi="Arial" w:cs="Arial"/>
          <w:color w:val="000000" w:themeColor="text1" w:themeTint="FF" w:themeShade="FF"/>
        </w:rPr>
        <w:t xml:space="preserve"> Mind Map: Staff Burnout in Health and Social Care </w:t>
      </w:r>
      <w:r w:rsidRPr="7B16BC5B" w:rsidR="002A2CBC">
        <w:rPr>
          <w:rStyle w:val="Strong"/>
          <w:rFonts w:ascii="Arial" w:hAnsi="Arial" w:cs="Arial"/>
          <w:color w:val="000000" w:themeColor="text1" w:themeTint="FF" w:themeShade="FF"/>
        </w:rPr>
        <w:t xml:space="preserve"> </w:t>
      </w:r>
    </w:p>
    <w:p w:rsidRPr="002A2CBC" w:rsidR="002A2CBC" w:rsidP="002A2CBC" w:rsidRDefault="002A2CBC" w14:paraId="48143341" w14:textId="77777777"/>
    <w:p w:rsidR="0026464A" w:rsidP="0026464A" w:rsidRDefault="0026464A" w14:paraId="3B10A176" w14:textId="77777777">
      <w:pPr>
        <w:pStyle w:val="HTMLPreformatted"/>
        <w:rPr>
          <w:rStyle w:val="HTMLCode"/>
          <w:b/>
          <w:bCs/>
          <w:color w:val="000000"/>
        </w:rPr>
      </w:pPr>
      <w:r>
        <w:rPr>
          <w:rStyle w:val="HTMLCode"/>
          <w:color w:val="000000"/>
        </w:rPr>
        <w:t xml:space="preserve">                         </w:t>
      </w:r>
      <w:r w:rsidRPr="0026464A">
        <w:rPr>
          <w:rStyle w:val="HTMLCode"/>
          <w:b/>
          <w:bCs/>
          <w:color w:val="000000"/>
        </w:rPr>
        <w:t>STAFF BURNOUT</w:t>
      </w:r>
      <w:r w:rsidRPr="0026464A">
        <w:rPr>
          <w:b/>
          <w:bCs/>
          <w:color w:val="000000"/>
        </w:rPr>
        <w:br/>
      </w:r>
      <w:r w:rsidRPr="0026464A">
        <w:rPr>
          <w:rStyle w:val="HTMLCode"/>
          <w:b/>
          <w:bCs/>
          <w:color w:val="000000"/>
        </w:rPr>
        <w:t xml:space="preserve">                              |</w:t>
      </w:r>
      <w:r w:rsidRPr="0026464A">
        <w:rPr>
          <w:b/>
          <w:bCs/>
          <w:color w:val="000000"/>
        </w:rPr>
        <w:br/>
      </w:r>
      <w:r w:rsidRPr="0026464A">
        <w:rPr>
          <w:rStyle w:val="HTMLCode"/>
          <w:b/>
          <w:bCs/>
          <w:color w:val="000000"/>
        </w:rPr>
        <w:t xml:space="preserve"> ----------------------------------------------------------------</w:t>
      </w:r>
      <w:r w:rsidRPr="0026464A">
        <w:rPr>
          <w:b/>
          <w:bCs/>
          <w:color w:val="000000"/>
        </w:rPr>
        <w:br/>
      </w:r>
      <w:r w:rsidRPr="0026464A">
        <w:rPr>
          <w:rStyle w:val="HTMLCode"/>
          <w:b/>
          <w:bCs/>
          <w:color w:val="000000"/>
        </w:rPr>
        <w:t xml:space="preserve"> |                         |                         |</w:t>
      </w:r>
      <w:r w:rsidRPr="0026464A">
        <w:rPr>
          <w:b/>
          <w:bCs/>
          <w:color w:val="000000"/>
        </w:rPr>
        <w:br/>
      </w:r>
      <w:r w:rsidRPr="0026464A">
        <w:rPr>
          <w:rStyle w:val="HTMLCode"/>
          <w:b/>
          <w:bCs/>
          <w:color w:val="000000"/>
        </w:rPr>
        <w:t>Causes                  Impacts                 Possible Solutions</w:t>
      </w:r>
      <w:r w:rsidRPr="0026464A">
        <w:rPr>
          <w:b/>
          <w:bCs/>
          <w:color w:val="000000"/>
        </w:rPr>
        <w:br/>
      </w:r>
      <w:r w:rsidRPr="0026464A">
        <w:rPr>
          <w:rStyle w:val="HTMLCode"/>
          <w:b/>
          <w:bCs/>
          <w:color w:val="000000"/>
        </w:rPr>
        <w:t xml:space="preserve"> |                         |                         |</w:t>
      </w:r>
      <w:r w:rsidRPr="0026464A">
        <w:rPr>
          <w:b/>
          <w:bCs/>
          <w:color w:val="000000"/>
        </w:rPr>
        <w:br/>
      </w:r>
      <w:r w:rsidRPr="0026464A">
        <w:rPr>
          <w:rStyle w:val="HTMLCode"/>
          <w:b/>
          <w:bCs/>
          <w:color w:val="000000"/>
        </w:rPr>
        <w:t>- Staff shortages       - Poor care quality       - Staff wellbeing</w:t>
      </w:r>
      <w:r w:rsidRPr="0026464A">
        <w:rPr>
          <w:b/>
          <w:bCs/>
          <w:color w:val="000000"/>
        </w:rPr>
        <w:br/>
      </w:r>
      <w:r w:rsidRPr="0026464A">
        <w:rPr>
          <w:rStyle w:val="HTMLCode"/>
          <w:b/>
          <w:bCs/>
          <w:color w:val="000000"/>
        </w:rPr>
        <w:t>- High workload         - Patient safety risks    - Supportive leadership</w:t>
      </w:r>
      <w:r w:rsidRPr="0026464A">
        <w:rPr>
          <w:b/>
          <w:bCs/>
          <w:color w:val="000000"/>
        </w:rPr>
        <w:br/>
      </w:r>
      <w:r w:rsidRPr="0026464A">
        <w:rPr>
          <w:rStyle w:val="HTMLCode"/>
          <w:b/>
          <w:bCs/>
          <w:color w:val="000000"/>
        </w:rPr>
        <w:t>- Long working hours    - Staff turnover         - Flexible working</w:t>
      </w:r>
      <w:r w:rsidRPr="0026464A">
        <w:rPr>
          <w:b/>
          <w:bCs/>
          <w:color w:val="000000"/>
        </w:rPr>
        <w:br/>
      </w:r>
      <w:r w:rsidRPr="0026464A">
        <w:rPr>
          <w:rStyle w:val="HTMLCode"/>
          <w:b/>
          <w:bCs/>
          <w:color w:val="000000"/>
        </w:rPr>
        <w:t>- Emotional stress      - Absence from work      - Digital solutions</w:t>
      </w:r>
      <w:r w:rsidRPr="0026464A">
        <w:rPr>
          <w:b/>
          <w:bCs/>
          <w:color w:val="000000"/>
        </w:rPr>
        <w:br/>
      </w:r>
      <w:r w:rsidRPr="0026464A">
        <w:rPr>
          <w:rStyle w:val="HTMLCode"/>
          <w:b/>
          <w:bCs/>
          <w:color w:val="000000"/>
        </w:rPr>
        <w:t>- Administrative load   - Reduced motivation     - Workforce planning</w:t>
      </w:r>
      <w:r w:rsidRPr="0026464A">
        <w:rPr>
          <w:b/>
          <w:bCs/>
          <w:color w:val="000000"/>
        </w:rPr>
        <w:br/>
      </w:r>
      <w:r w:rsidRPr="0026464A">
        <w:rPr>
          <w:rStyle w:val="HTMLCode"/>
          <w:b/>
          <w:bCs/>
          <w:color w:val="000000"/>
        </w:rPr>
        <w:t xml:space="preserve">                              |</w:t>
      </w:r>
      <w:r w:rsidRPr="0026464A">
        <w:rPr>
          <w:b/>
          <w:bCs/>
          <w:color w:val="000000"/>
        </w:rPr>
        <w:br/>
      </w:r>
      <w:r w:rsidRPr="0026464A">
        <w:rPr>
          <w:rStyle w:val="HTMLCode"/>
          <w:b/>
          <w:bCs/>
          <w:color w:val="000000"/>
        </w:rPr>
        <w:t xml:space="preserve">                         Long-term Effects</w:t>
      </w:r>
      <w:r w:rsidRPr="0026464A">
        <w:rPr>
          <w:b/>
          <w:bCs/>
          <w:color w:val="000000"/>
        </w:rPr>
        <w:br/>
      </w:r>
      <w:r w:rsidRPr="0026464A">
        <w:rPr>
          <w:rStyle w:val="HTMLCode"/>
          <w:b/>
          <w:bCs/>
          <w:color w:val="000000"/>
        </w:rPr>
        <w:t xml:space="preserve">                              |</w:t>
      </w:r>
      <w:r w:rsidRPr="0026464A">
        <w:rPr>
          <w:b/>
          <w:bCs/>
          <w:color w:val="000000"/>
        </w:rPr>
        <w:br/>
      </w:r>
      <w:r w:rsidRPr="0026464A">
        <w:rPr>
          <w:rStyle w:val="HTMLCode"/>
          <w:b/>
          <w:bCs/>
          <w:color w:val="000000"/>
        </w:rPr>
        <w:t xml:space="preserve">                 Reduced sustainability of services</w:t>
      </w:r>
    </w:p>
    <w:p w:rsidRPr="0026464A" w:rsidR="002A2CBC" w:rsidP="0026464A" w:rsidRDefault="002A2CBC" w14:paraId="7E7138C2" w14:textId="77777777">
      <w:pPr>
        <w:pStyle w:val="HTMLPreformatted"/>
        <w:rPr>
          <w:b/>
          <w:bCs/>
          <w:color w:val="000000"/>
        </w:rPr>
      </w:pPr>
    </w:p>
    <w:p w:rsidR="5D67A193" w:rsidP="5D67A193" w:rsidRDefault="5D67A193" w14:paraId="6C2071A2" w14:textId="01344F4A">
      <w:pPr>
        <w:pStyle w:val="NormalWeb"/>
        <w:rPr>
          <w:rFonts w:ascii="Arial" w:hAnsi="Arial" w:cs="Arial"/>
          <w:color w:val="000000" w:themeColor="text1" w:themeTint="FF" w:themeShade="FF"/>
          <w:sz w:val="22"/>
          <w:szCs w:val="22"/>
        </w:rPr>
      </w:pPr>
    </w:p>
    <w:p w:rsidRPr="002A2CBC" w:rsidR="0026464A" w:rsidP="0026464A" w:rsidRDefault="0026464A" w14:paraId="080F02B6" w14:textId="459A17C1">
      <w:pPr>
        <w:pStyle w:val="NormalWeb"/>
        <w:rPr>
          <w:rFonts w:ascii="Arial" w:hAnsi="Arial" w:cs="Arial"/>
          <w:color w:val="000000"/>
          <w:sz w:val="22"/>
          <w:szCs w:val="22"/>
        </w:rPr>
      </w:pPr>
      <w:r w:rsidRPr="002A2CBC">
        <w:rPr>
          <w:rFonts w:ascii="Arial" w:hAnsi="Arial" w:cs="Arial"/>
          <w:color w:val="000000"/>
          <w:sz w:val="22"/>
          <w:szCs w:val="22"/>
        </w:rPr>
        <w:lastRenderedPageBreak/>
        <w:t>Staff burnout is a significant health and social care issue because it affects both healthcare professionals and service users. The mind map demonstrates that burnout develops through interconnected causes, including workforce shortages, excessive workload, emotional demands, and organisational pressures. These factors can contribute to reduced staff wellbeing, increased sickness absence, higher turnover, and poorer patient outcomes. A systems thinking approach recognises that healthcare challenges are influenced by multiple connected factors rather than one individual cause (Meadows, 2008). Therefore, addressing burnout requires wider organisational solutions, including supportive leadership, improved working conditions, and preventative strategies. If burnout is not addressed, workforce shortages may increase, and the quality and sustainability of care services may be negatively affected.</w:t>
      </w:r>
    </w:p>
    <w:p w:rsidRPr="002A2CBC" w:rsidR="00CF242E" w:rsidP="00CF242E" w:rsidRDefault="00CF242E" w14:paraId="66A02AFA" w14:textId="3EAF4F17">
      <w:pPr>
        <w:pStyle w:val="Heading1"/>
        <w:rPr>
          <w:rFonts w:ascii="Arial" w:hAnsi="Arial" w:cs="Arial"/>
          <w:color w:val="000000"/>
        </w:rPr>
      </w:pPr>
      <w:r w:rsidRPr="002A2CBC">
        <w:rPr>
          <w:rStyle w:val="Strong"/>
          <w:rFonts w:ascii="Arial" w:hAnsi="Arial" w:cs="Arial"/>
          <w:color w:val="000000"/>
        </w:rPr>
        <w:t>Task 3</w:t>
      </w:r>
      <w:r w:rsidR="002A2CBC">
        <w:rPr>
          <w:rStyle w:val="Strong"/>
          <w:rFonts w:ascii="Arial" w:hAnsi="Arial" w:cs="Arial"/>
          <w:color w:val="000000"/>
        </w:rPr>
        <w:t xml:space="preserve">- </w:t>
      </w:r>
      <w:r w:rsidRPr="002A2CBC">
        <w:rPr>
          <w:rStyle w:val="Strong"/>
          <w:rFonts w:ascii="Arial" w:hAnsi="Arial" w:cs="Arial"/>
          <w:color w:val="000000"/>
        </w:rPr>
        <w:t xml:space="preserve">Self-Reflection of Convergent and Divergent Thinking Activity </w:t>
      </w:r>
      <w:r w:rsidRPr="002A2CBC" w:rsidR="002A2CBC">
        <w:rPr>
          <w:rStyle w:val="Strong"/>
          <w:rFonts w:ascii="Arial" w:hAnsi="Arial" w:cs="Arial"/>
          <w:color w:val="000000"/>
        </w:rPr>
        <w:t xml:space="preserve"> </w:t>
      </w:r>
    </w:p>
    <w:p w:rsidRPr="002A2CBC" w:rsidR="00CF242E" w:rsidP="00CF242E" w:rsidRDefault="00CF242E" w14:paraId="299DA2FF" w14:textId="77777777">
      <w:pPr>
        <w:pStyle w:val="NormalWeb"/>
        <w:rPr>
          <w:rFonts w:ascii="Arial" w:hAnsi="Arial" w:cs="Arial"/>
          <w:color w:val="000000"/>
          <w:sz w:val="22"/>
          <w:szCs w:val="22"/>
        </w:rPr>
      </w:pPr>
      <w:r w:rsidRPr="002A2CBC">
        <w:rPr>
          <w:rFonts w:ascii="Arial" w:hAnsi="Arial" w:cs="Arial"/>
          <w:color w:val="000000"/>
          <w:sz w:val="22"/>
          <w:szCs w:val="22"/>
        </w:rPr>
        <w:t>This reflection uses</w:t>
      </w:r>
      <w:r w:rsidRPr="002A2CBC">
        <w:rPr>
          <w:rStyle w:val="apple-converted-space"/>
          <w:rFonts w:ascii="Arial" w:hAnsi="Arial" w:cs="Arial"/>
          <w:color w:val="000000"/>
          <w:sz w:val="22"/>
          <w:szCs w:val="22"/>
        </w:rPr>
        <w:t> </w:t>
      </w:r>
      <w:r w:rsidRPr="002A2CBC">
        <w:rPr>
          <w:rStyle w:val="Strong"/>
          <w:rFonts w:ascii="Arial" w:hAnsi="Arial" w:cs="Arial"/>
          <w:color w:val="000000"/>
          <w:sz w:val="22"/>
          <w:szCs w:val="22"/>
        </w:rPr>
        <w:t>Gibbs’ Reflective Cycle</w:t>
      </w:r>
      <w:r w:rsidRPr="002A2CBC">
        <w:rPr>
          <w:rStyle w:val="apple-converted-space"/>
          <w:rFonts w:ascii="Arial" w:hAnsi="Arial" w:cs="Arial"/>
          <w:color w:val="000000"/>
          <w:sz w:val="22"/>
          <w:szCs w:val="22"/>
        </w:rPr>
        <w:t> </w:t>
      </w:r>
      <w:r w:rsidRPr="002A2CBC">
        <w:rPr>
          <w:rFonts w:ascii="Arial" w:hAnsi="Arial" w:cs="Arial"/>
          <w:color w:val="000000"/>
          <w:sz w:val="22"/>
          <w:szCs w:val="22"/>
        </w:rPr>
        <w:t>(1988) to evaluate my experience of participating in a group activity focused on developing creative solutions to communication challenges within health and social care.</w:t>
      </w:r>
    </w:p>
    <w:p w:rsidRPr="002A2CBC" w:rsidR="00CF242E" w:rsidP="00CF242E" w:rsidRDefault="00CF242E" w14:paraId="1F82D2E0" w14:textId="77777777">
      <w:pPr>
        <w:pStyle w:val="Heading3"/>
        <w:rPr>
          <w:rFonts w:ascii="Arial" w:hAnsi="Arial" w:cs="Arial"/>
          <w:color w:val="000000"/>
          <w:sz w:val="28"/>
          <w:szCs w:val="28"/>
        </w:rPr>
      </w:pPr>
      <w:r w:rsidRPr="002A2CBC">
        <w:rPr>
          <w:rStyle w:val="Strong"/>
          <w:rFonts w:ascii="Arial" w:hAnsi="Arial" w:cs="Arial"/>
          <w:b/>
          <w:bCs/>
          <w:color w:val="000000"/>
          <w:sz w:val="28"/>
          <w:szCs w:val="28"/>
        </w:rPr>
        <w:t>Description</w:t>
      </w:r>
    </w:p>
    <w:p w:rsidRPr="002A2CBC" w:rsidR="00CF242E" w:rsidP="00CF242E" w:rsidRDefault="00CF242E" w14:paraId="78E0A4BA" w14:textId="77777777">
      <w:pPr>
        <w:pStyle w:val="NormalWeb"/>
        <w:rPr>
          <w:rFonts w:ascii="Arial" w:hAnsi="Arial" w:cs="Arial"/>
          <w:color w:val="000000"/>
          <w:sz w:val="22"/>
          <w:szCs w:val="22"/>
        </w:rPr>
      </w:pPr>
      <w:r w:rsidRPr="002A2CBC">
        <w:rPr>
          <w:rFonts w:ascii="Arial" w:hAnsi="Arial" w:cs="Arial"/>
          <w:color w:val="000000"/>
          <w:sz w:val="22"/>
          <w:szCs w:val="22"/>
        </w:rPr>
        <w:t>During the group activity, we explored the issue of poor communication between health and social care professionals and considered possible solutions. The activity required both divergent and convergent thinking. Divergent thinking involves generating a range of possible ideas, while convergent thinking involves analysing ideas and selecting the most appropriate solution (</w:t>
      </w:r>
      <w:proofErr w:type="spellStart"/>
      <w:r w:rsidRPr="002A2CBC">
        <w:rPr>
          <w:rFonts w:ascii="Arial" w:hAnsi="Arial" w:cs="Arial"/>
          <w:color w:val="000000"/>
          <w:sz w:val="22"/>
          <w:szCs w:val="22"/>
        </w:rPr>
        <w:t>Cropley</w:t>
      </w:r>
      <w:proofErr w:type="spellEnd"/>
      <w:r w:rsidRPr="002A2CBC">
        <w:rPr>
          <w:rFonts w:ascii="Arial" w:hAnsi="Arial" w:cs="Arial"/>
          <w:color w:val="000000"/>
          <w:sz w:val="22"/>
          <w:szCs w:val="22"/>
        </w:rPr>
        <w:t>, 2006).</w:t>
      </w:r>
    </w:p>
    <w:p w:rsidRPr="002A2CBC" w:rsidR="00CF242E" w:rsidP="00CF242E" w:rsidRDefault="00CF242E" w14:paraId="5D1C6D1A" w14:textId="77777777">
      <w:pPr>
        <w:pStyle w:val="Heading3"/>
        <w:rPr>
          <w:rFonts w:ascii="Arial" w:hAnsi="Arial" w:cs="Arial"/>
          <w:color w:val="000000"/>
          <w:sz w:val="28"/>
          <w:szCs w:val="28"/>
        </w:rPr>
      </w:pPr>
      <w:r w:rsidRPr="002A2CBC">
        <w:rPr>
          <w:rStyle w:val="Strong"/>
          <w:rFonts w:ascii="Arial" w:hAnsi="Arial" w:cs="Arial"/>
          <w:b/>
          <w:bCs/>
          <w:color w:val="000000"/>
          <w:sz w:val="28"/>
          <w:szCs w:val="28"/>
        </w:rPr>
        <w:t>Feelings</w:t>
      </w:r>
    </w:p>
    <w:p w:rsidR="00CF242E" w:rsidP="00CF242E" w:rsidRDefault="00CF242E" w14:paraId="26927043" w14:textId="77777777">
      <w:pPr>
        <w:pStyle w:val="NormalWeb"/>
        <w:rPr>
          <w:color w:val="000000"/>
        </w:rPr>
      </w:pPr>
      <w:r w:rsidRPr="002A2CBC">
        <w:rPr>
          <w:rFonts w:ascii="Arial" w:hAnsi="Arial" w:cs="Arial"/>
          <w:color w:val="000000"/>
          <w:sz w:val="22"/>
          <w:szCs w:val="22"/>
        </w:rPr>
        <w:t>Initially, I found divergent thinking easier because it allowed me to suggest different possibilities without immediately judging whether they were practical. I enjoyed hearing different perspectives from group members and recognised the importance of collaboration when solving healthcare problems</w:t>
      </w:r>
      <w:r>
        <w:rPr>
          <w:color w:val="000000"/>
        </w:rPr>
        <w:t>.</w:t>
      </w:r>
    </w:p>
    <w:p w:rsidRPr="002A2CBC" w:rsidR="00CF242E" w:rsidP="00CF242E" w:rsidRDefault="00CF242E" w14:paraId="5AE990CE" w14:textId="77777777">
      <w:pPr>
        <w:pStyle w:val="Heading3"/>
        <w:rPr>
          <w:rFonts w:ascii="Arial" w:hAnsi="Arial" w:cs="Arial"/>
          <w:color w:val="000000"/>
          <w:sz w:val="28"/>
          <w:szCs w:val="28"/>
        </w:rPr>
      </w:pPr>
      <w:r w:rsidRPr="002A2CBC">
        <w:rPr>
          <w:rStyle w:val="Strong"/>
          <w:rFonts w:ascii="Arial" w:hAnsi="Arial" w:cs="Arial"/>
          <w:b/>
          <w:bCs/>
          <w:color w:val="000000"/>
          <w:sz w:val="28"/>
          <w:szCs w:val="28"/>
        </w:rPr>
        <w:t>Evaluation and Analysis</w:t>
      </w:r>
    </w:p>
    <w:p w:rsidRPr="002A2CBC" w:rsidR="00CF242E" w:rsidP="00CF242E" w:rsidRDefault="00CF242E" w14:paraId="4D652034" w14:textId="77777777">
      <w:pPr>
        <w:pStyle w:val="NormalWeb"/>
        <w:rPr>
          <w:rFonts w:ascii="Arial" w:hAnsi="Arial" w:cs="Arial"/>
          <w:color w:val="000000"/>
          <w:sz w:val="22"/>
          <w:szCs w:val="22"/>
        </w:rPr>
      </w:pPr>
      <w:r w:rsidRPr="002A2CBC">
        <w:rPr>
          <w:rFonts w:ascii="Arial" w:hAnsi="Arial" w:cs="Arial"/>
          <w:color w:val="000000"/>
          <w:sz w:val="22"/>
          <w:szCs w:val="22"/>
        </w:rPr>
        <w:t>During the divergent stage, my group developed several ideas, including improving multidisciplinary team meetings, increasing communication training, and introducing digital communication platforms. I contributed the idea of using a shared digital system to improve information exchange between professionals. During the convergent stage, we evaluated each suggestion by considering resources, feasibility, and potential benefits. We agreed that improving communication processes through digital tools was the most realistic option.</w:t>
      </w:r>
    </w:p>
    <w:p w:rsidRPr="002A2CBC" w:rsidR="00CF242E" w:rsidP="00CF242E" w:rsidRDefault="00CF242E" w14:paraId="3B913DE9" w14:textId="77777777">
      <w:pPr>
        <w:pStyle w:val="NormalWeb"/>
        <w:rPr>
          <w:rFonts w:ascii="Arial" w:hAnsi="Arial" w:cs="Arial"/>
          <w:color w:val="000000"/>
          <w:sz w:val="22"/>
          <w:szCs w:val="22"/>
        </w:rPr>
      </w:pPr>
      <w:r w:rsidRPr="002A2CBC">
        <w:rPr>
          <w:rFonts w:ascii="Arial" w:hAnsi="Arial" w:cs="Arial"/>
          <w:color w:val="000000"/>
          <w:sz w:val="22"/>
          <w:szCs w:val="22"/>
        </w:rPr>
        <w:t>Gibbs’ Reflective Cycle helped me understand that creativity requires both idea generation and critical evaluation. The activity demonstrated that effective solutions are developed when teams combine different perspectives and experiences.</w:t>
      </w:r>
    </w:p>
    <w:p w:rsidRPr="002A2CBC" w:rsidR="00CF242E" w:rsidP="00CF242E" w:rsidRDefault="00CF242E" w14:paraId="4E00F760" w14:textId="77777777">
      <w:pPr>
        <w:pStyle w:val="Heading3"/>
        <w:rPr>
          <w:rFonts w:ascii="Arial" w:hAnsi="Arial" w:cs="Arial"/>
          <w:color w:val="000000"/>
          <w:sz w:val="28"/>
          <w:szCs w:val="28"/>
        </w:rPr>
      </w:pPr>
      <w:r w:rsidRPr="002A2CBC">
        <w:rPr>
          <w:rStyle w:val="Strong"/>
          <w:rFonts w:ascii="Arial" w:hAnsi="Arial" w:cs="Arial"/>
          <w:b/>
          <w:bCs/>
          <w:color w:val="000000"/>
          <w:sz w:val="28"/>
          <w:szCs w:val="28"/>
        </w:rPr>
        <w:t>Conclusion and Action Plan</w:t>
      </w:r>
    </w:p>
    <w:p w:rsidRPr="002A2CBC" w:rsidR="00CF242E" w:rsidP="00CF242E" w:rsidRDefault="00CF242E" w14:paraId="161EEEA7" w14:textId="77777777">
      <w:pPr>
        <w:pStyle w:val="NormalWeb"/>
        <w:rPr>
          <w:rFonts w:ascii="Arial" w:hAnsi="Arial" w:cs="Arial"/>
          <w:color w:val="000000"/>
          <w:sz w:val="22"/>
          <w:szCs w:val="22"/>
        </w:rPr>
      </w:pPr>
      <w:r w:rsidRPr="002A2CBC">
        <w:rPr>
          <w:rFonts w:ascii="Arial" w:hAnsi="Arial" w:cs="Arial"/>
          <w:color w:val="000000"/>
          <w:sz w:val="22"/>
          <w:szCs w:val="22"/>
        </w:rPr>
        <w:t xml:space="preserve">I learned that teamwork and structured decision-making are essential in developing innovative healthcare solutions. In future group activities, I will encourage greater </w:t>
      </w:r>
      <w:r w:rsidRPr="002A2CBC">
        <w:rPr>
          <w:rFonts w:ascii="Arial" w:hAnsi="Arial" w:cs="Arial"/>
          <w:color w:val="000000"/>
          <w:sz w:val="22"/>
          <w:szCs w:val="22"/>
        </w:rPr>
        <w:lastRenderedPageBreak/>
        <w:t>participation from all members and use methods such as advantages and disadvantages analysis to support decision-making.</w:t>
      </w:r>
    </w:p>
    <w:p w:rsidRPr="002A2CBC" w:rsidR="00CF242E" w:rsidP="00CF242E" w:rsidRDefault="00CF242E" w14:paraId="564819C9" w14:textId="66F7D5CF">
      <w:pPr>
        <w:pStyle w:val="Heading1"/>
        <w:rPr>
          <w:rFonts w:ascii="Arial" w:hAnsi="Arial" w:cs="Arial"/>
          <w:color w:val="000000"/>
        </w:rPr>
      </w:pPr>
      <w:r w:rsidRPr="002A2CBC">
        <w:rPr>
          <w:rStyle w:val="Strong"/>
          <w:rFonts w:ascii="Arial" w:hAnsi="Arial" w:cs="Arial"/>
          <w:color w:val="000000"/>
        </w:rPr>
        <w:t>Task 4</w:t>
      </w:r>
      <w:r w:rsidR="002A2CBC">
        <w:rPr>
          <w:rStyle w:val="Strong"/>
          <w:rFonts w:ascii="Arial" w:hAnsi="Arial" w:cs="Arial"/>
          <w:color w:val="000000"/>
        </w:rPr>
        <w:t>-</w:t>
      </w:r>
      <w:r w:rsidRPr="002A2CBC">
        <w:rPr>
          <w:rStyle w:val="Strong"/>
          <w:rFonts w:ascii="Arial" w:hAnsi="Arial" w:cs="Arial"/>
          <w:color w:val="000000"/>
        </w:rPr>
        <w:t xml:space="preserve"> Case Study Analysis of a UK Innovation </w:t>
      </w:r>
      <w:r w:rsidRPr="002A2CBC" w:rsidR="002A2CBC">
        <w:rPr>
          <w:rStyle w:val="Strong"/>
          <w:rFonts w:ascii="Arial" w:hAnsi="Arial" w:cs="Arial"/>
          <w:color w:val="000000"/>
        </w:rPr>
        <w:t xml:space="preserve"> </w:t>
      </w:r>
    </w:p>
    <w:p w:rsidRPr="002A2CBC" w:rsidR="00CF242E" w:rsidP="00CF242E" w:rsidRDefault="00CF242E" w14:paraId="271221A4" w14:textId="77777777">
      <w:pPr>
        <w:pStyle w:val="Heading2"/>
        <w:rPr>
          <w:rFonts w:ascii="Arial" w:hAnsi="Arial" w:cs="Arial"/>
          <w:color w:val="000000"/>
          <w:sz w:val="28"/>
          <w:szCs w:val="28"/>
        </w:rPr>
      </w:pPr>
      <w:r w:rsidRPr="002A2CBC">
        <w:rPr>
          <w:rStyle w:val="Strong"/>
          <w:rFonts w:ascii="Arial" w:hAnsi="Arial" w:cs="Arial"/>
          <w:b/>
          <w:bCs/>
          <w:color w:val="000000"/>
          <w:sz w:val="28"/>
          <w:szCs w:val="28"/>
        </w:rPr>
        <w:t>NHS Virtual Wards</w:t>
      </w:r>
    </w:p>
    <w:p w:rsidRPr="002A2CBC" w:rsidR="00CF242E" w:rsidP="00CF242E" w:rsidRDefault="00CF242E" w14:paraId="7DA16073" w14:textId="77777777">
      <w:pPr>
        <w:pStyle w:val="NormalWeb"/>
        <w:rPr>
          <w:rFonts w:ascii="Arial" w:hAnsi="Arial" w:cs="Arial"/>
          <w:color w:val="000000"/>
          <w:sz w:val="22"/>
          <w:szCs w:val="22"/>
        </w:rPr>
      </w:pPr>
      <w:r w:rsidRPr="002A2CBC">
        <w:rPr>
          <w:rFonts w:ascii="Arial" w:hAnsi="Arial" w:cs="Arial"/>
          <w:color w:val="000000"/>
          <w:sz w:val="22"/>
          <w:szCs w:val="22"/>
        </w:rPr>
        <w:t>One important innovation within the NHS is the development of</w:t>
      </w:r>
      <w:r w:rsidRPr="002A2CBC">
        <w:rPr>
          <w:rStyle w:val="apple-converted-space"/>
          <w:rFonts w:ascii="Arial" w:hAnsi="Arial" w:cs="Arial"/>
          <w:color w:val="000000"/>
          <w:sz w:val="22"/>
          <w:szCs w:val="22"/>
        </w:rPr>
        <w:t> </w:t>
      </w:r>
      <w:r w:rsidRPr="002A2CBC">
        <w:rPr>
          <w:rStyle w:val="Strong"/>
          <w:rFonts w:ascii="Arial" w:hAnsi="Arial" w:cs="Arial"/>
          <w:color w:val="000000"/>
          <w:sz w:val="22"/>
          <w:szCs w:val="22"/>
        </w:rPr>
        <w:t>virtual wards</w:t>
      </w:r>
      <w:r w:rsidRPr="002A2CBC">
        <w:rPr>
          <w:rFonts w:ascii="Arial" w:hAnsi="Arial" w:cs="Arial"/>
          <w:color w:val="000000"/>
          <w:sz w:val="22"/>
          <w:szCs w:val="22"/>
        </w:rPr>
        <w:t>, which provide hospital-level care to suitable patients in their own homes through digital monitoring and multidisciplinary support. Virtual wards were introduced to address challenges including increasing hospital demand, limited bed capacity, and the need to provide more personalised care closer to home (NHS England, 2024a).</w:t>
      </w:r>
    </w:p>
    <w:p w:rsidRPr="002A2CBC" w:rsidR="00CF242E" w:rsidP="00CF242E" w:rsidRDefault="00CF242E" w14:paraId="32FE0DBF" w14:textId="77777777">
      <w:pPr>
        <w:pStyle w:val="NormalWeb"/>
        <w:rPr>
          <w:rFonts w:ascii="Arial" w:hAnsi="Arial" w:cs="Arial"/>
          <w:color w:val="000000"/>
          <w:sz w:val="22"/>
          <w:szCs w:val="22"/>
        </w:rPr>
      </w:pPr>
      <w:r w:rsidRPr="002A2CBC">
        <w:rPr>
          <w:rFonts w:ascii="Arial" w:hAnsi="Arial" w:cs="Arial"/>
          <w:color w:val="000000"/>
          <w:sz w:val="22"/>
          <w:szCs w:val="22"/>
        </w:rPr>
        <w:t>Creativity contributed to this innovation because healthcare professionals moved away from traditional hospital-based care models and developed new ways of supporting patients remotely. Through digital monitoring technology, patients can share health information with healthcare teams, allowing early identification of deterioration and timely intervention.</w:t>
      </w:r>
    </w:p>
    <w:p w:rsidRPr="002A2CBC" w:rsidR="00CF242E" w:rsidP="00CF242E" w:rsidRDefault="00CF242E" w14:paraId="57621680" w14:textId="77777777">
      <w:pPr>
        <w:pStyle w:val="NormalWeb"/>
        <w:rPr>
          <w:rFonts w:ascii="Arial" w:hAnsi="Arial" w:cs="Arial"/>
          <w:color w:val="000000"/>
          <w:sz w:val="22"/>
          <w:szCs w:val="22"/>
        </w:rPr>
      </w:pPr>
      <w:r w:rsidRPr="002A2CBC">
        <w:rPr>
          <w:rFonts w:ascii="Arial" w:hAnsi="Arial" w:cs="Arial"/>
          <w:color w:val="000000"/>
          <w:sz w:val="22"/>
          <w:szCs w:val="22"/>
        </w:rPr>
        <w:t>Virtual wards create value for service users, staff, and healthcare systems. For patients, receiving care at home can improve comfort, independence, and satisfaction. For healthcare professionals, virtual wards support better management of resources and allow staff to focus hospital capacity on patients requiring urgent care. NHS England (2024b) highlights that virtual wards can improve patient experience while helping organisations manage healthcare demand.</w:t>
      </w:r>
    </w:p>
    <w:p w:rsidRPr="002A2CBC" w:rsidR="00CF242E" w:rsidP="00CF242E" w:rsidRDefault="00CF242E" w14:paraId="69061C97" w14:textId="77777777">
      <w:pPr>
        <w:pStyle w:val="NormalWeb"/>
        <w:rPr>
          <w:rFonts w:ascii="Arial" w:hAnsi="Arial" w:cs="Arial"/>
          <w:color w:val="000000"/>
          <w:sz w:val="22"/>
          <w:szCs w:val="22"/>
        </w:rPr>
      </w:pPr>
      <w:r w:rsidRPr="002A2CBC">
        <w:rPr>
          <w:rFonts w:ascii="Arial" w:hAnsi="Arial" w:cs="Arial"/>
          <w:color w:val="000000"/>
          <w:sz w:val="22"/>
          <w:szCs w:val="22"/>
        </w:rPr>
        <w:t>The adoption of virtual wards can be explained through</w:t>
      </w:r>
      <w:r w:rsidRPr="002A2CBC">
        <w:rPr>
          <w:rStyle w:val="apple-converted-space"/>
          <w:rFonts w:ascii="Arial" w:hAnsi="Arial" w:cs="Arial"/>
          <w:color w:val="000000"/>
          <w:sz w:val="22"/>
          <w:szCs w:val="22"/>
        </w:rPr>
        <w:t> </w:t>
      </w:r>
      <w:r w:rsidRPr="002A2CBC">
        <w:rPr>
          <w:rStyle w:val="Strong"/>
          <w:rFonts w:ascii="Arial" w:hAnsi="Arial" w:cs="Arial"/>
          <w:color w:val="000000"/>
          <w:sz w:val="22"/>
          <w:szCs w:val="22"/>
        </w:rPr>
        <w:t>Rogers’ Diffusion of Innovation Theory</w:t>
      </w:r>
      <w:r w:rsidRPr="002A2CBC">
        <w:rPr>
          <w:rFonts w:ascii="Arial" w:hAnsi="Arial" w:cs="Arial"/>
          <w:color w:val="000000"/>
          <w:sz w:val="22"/>
          <w:szCs w:val="22"/>
        </w:rPr>
        <w:t>, which suggests that innovations are more likely to succeed when users recognise their benefits and compatibility with existing practice (Rogers, 2003). Reported outcomes include improved access to care, reduced pressure on hospitals, and greater flexibility in service delivery. However, successful implementation requires staff training, digital confidence, and continuous evaluation.</w:t>
      </w:r>
    </w:p>
    <w:p w:rsidRPr="002A2CBC" w:rsidR="00CF242E" w:rsidP="00CF242E" w:rsidRDefault="00CF242E" w14:paraId="1BD79BB6" w14:textId="4C8FA556">
      <w:pPr>
        <w:pStyle w:val="Heading1"/>
        <w:rPr>
          <w:rFonts w:ascii="Arial" w:hAnsi="Arial" w:cs="Arial"/>
          <w:color w:val="000000"/>
          <w:sz w:val="28"/>
          <w:szCs w:val="28"/>
        </w:rPr>
      </w:pPr>
      <w:r w:rsidRPr="002A2CBC">
        <w:rPr>
          <w:rStyle w:val="Strong"/>
          <w:rFonts w:ascii="Arial" w:hAnsi="Arial" w:cs="Arial"/>
          <w:color w:val="000000"/>
          <w:sz w:val="28"/>
          <w:szCs w:val="28"/>
        </w:rPr>
        <w:t xml:space="preserve">Task 5 – Research Task: Staff Burnout in Health and Social Care </w:t>
      </w:r>
      <w:r w:rsidRPr="002A2CBC" w:rsidR="002A2CBC">
        <w:rPr>
          <w:rStyle w:val="Strong"/>
          <w:rFonts w:ascii="Arial" w:hAnsi="Arial" w:cs="Arial"/>
          <w:color w:val="000000"/>
          <w:sz w:val="28"/>
          <w:szCs w:val="28"/>
        </w:rPr>
        <w:t xml:space="preserve"> </w:t>
      </w:r>
    </w:p>
    <w:p w:rsidRPr="002A2CBC" w:rsidR="00CF242E" w:rsidP="00CF242E" w:rsidRDefault="00CF242E" w14:paraId="397D5F86" w14:textId="77777777">
      <w:pPr>
        <w:pStyle w:val="NormalWeb"/>
        <w:rPr>
          <w:rFonts w:ascii="Arial" w:hAnsi="Arial" w:cs="Arial"/>
          <w:color w:val="000000"/>
          <w:sz w:val="22"/>
          <w:szCs w:val="22"/>
        </w:rPr>
      </w:pPr>
      <w:r w:rsidRPr="002A2CBC">
        <w:rPr>
          <w:rFonts w:ascii="Arial" w:hAnsi="Arial" w:cs="Arial"/>
          <w:color w:val="000000"/>
          <w:sz w:val="22"/>
          <w:szCs w:val="22"/>
        </w:rPr>
        <w:t>Staff burnout is a significant challenge affecting health and social care professionals. Research by</w:t>
      </w:r>
      <w:r w:rsidRPr="002A2CBC">
        <w:rPr>
          <w:rStyle w:val="apple-converted-space"/>
          <w:rFonts w:ascii="Arial" w:hAnsi="Arial" w:cs="Arial"/>
          <w:color w:val="000000"/>
          <w:sz w:val="22"/>
          <w:szCs w:val="22"/>
        </w:rPr>
        <w:t> </w:t>
      </w:r>
      <w:r w:rsidRPr="002A2CBC">
        <w:rPr>
          <w:rStyle w:val="Strong"/>
          <w:rFonts w:ascii="Arial" w:hAnsi="Arial" w:cs="Arial"/>
          <w:color w:val="000000"/>
          <w:sz w:val="22"/>
          <w:szCs w:val="22"/>
        </w:rPr>
        <w:t>Maslach and Leiter (2016)</w:t>
      </w:r>
      <w:r w:rsidRPr="002A2CBC">
        <w:rPr>
          <w:rStyle w:val="apple-converted-space"/>
          <w:rFonts w:ascii="Arial" w:hAnsi="Arial" w:cs="Arial"/>
          <w:color w:val="000000"/>
          <w:sz w:val="22"/>
          <w:szCs w:val="22"/>
        </w:rPr>
        <w:t> </w:t>
      </w:r>
      <w:r w:rsidRPr="002A2CBC">
        <w:rPr>
          <w:rFonts w:ascii="Arial" w:hAnsi="Arial" w:cs="Arial"/>
          <w:color w:val="000000"/>
          <w:sz w:val="22"/>
          <w:szCs w:val="22"/>
        </w:rPr>
        <w:t>identifies excessive workload, emotional exhaustion, and prolonged workplace stress as important causes of burnout. Their research suggests that when employees experience continuous pressure without adequate support, they may experience reduced motivation, emotional fatigue, and decreased job satisfaction. This helps explain why healthcare professionals working in demanding environments are at increased risk of burnout.</w:t>
      </w:r>
    </w:p>
    <w:p w:rsidRPr="002A2CBC" w:rsidR="00CF242E" w:rsidP="00CF242E" w:rsidRDefault="00CF242E" w14:paraId="19C65952" w14:textId="61A9B6A9">
      <w:pPr>
        <w:pStyle w:val="NormalWeb"/>
        <w:rPr>
          <w:rFonts w:ascii="Arial" w:hAnsi="Arial" w:cs="Arial"/>
          <w:color w:val="000000"/>
          <w:sz w:val="22"/>
          <w:szCs w:val="22"/>
        </w:rPr>
      </w:pPr>
      <w:r w:rsidRPr="002A2CBC">
        <w:rPr>
          <w:rFonts w:ascii="Arial" w:hAnsi="Arial" w:cs="Arial"/>
          <w:color w:val="000000"/>
          <w:sz w:val="22"/>
          <w:szCs w:val="22"/>
        </w:rPr>
        <w:t>Similarly,</w:t>
      </w:r>
      <w:r w:rsidRPr="002A2CBC">
        <w:rPr>
          <w:rStyle w:val="apple-converted-space"/>
          <w:rFonts w:ascii="Arial" w:hAnsi="Arial" w:cs="Arial"/>
          <w:color w:val="000000"/>
          <w:sz w:val="22"/>
          <w:szCs w:val="22"/>
        </w:rPr>
        <w:t> </w:t>
      </w:r>
      <w:proofErr w:type="spellStart"/>
      <w:r w:rsidRPr="002A2CBC">
        <w:rPr>
          <w:rStyle w:val="Strong"/>
          <w:rFonts w:ascii="Arial" w:hAnsi="Arial" w:cs="Arial"/>
          <w:color w:val="000000"/>
          <w:sz w:val="22"/>
          <w:szCs w:val="22"/>
        </w:rPr>
        <w:t>Dall’Ora</w:t>
      </w:r>
      <w:proofErr w:type="spellEnd"/>
      <w:r w:rsidRPr="002A2CBC">
        <w:rPr>
          <w:rStyle w:val="Strong"/>
          <w:rFonts w:ascii="Arial" w:hAnsi="Arial" w:cs="Arial"/>
          <w:color w:val="000000"/>
          <w:sz w:val="22"/>
          <w:szCs w:val="22"/>
        </w:rPr>
        <w:t xml:space="preserve"> et al. (2020)</w:t>
      </w:r>
      <w:r w:rsidRPr="002A2CBC">
        <w:rPr>
          <w:rStyle w:val="apple-converted-space"/>
          <w:rFonts w:ascii="Arial" w:hAnsi="Arial" w:cs="Arial"/>
          <w:color w:val="000000"/>
          <w:sz w:val="22"/>
          <w:szCs w:val="22"/>
        </w:rPr>
        <w:t> </w:t>
      </w:r>
      <w:r w:rsidRPr="002A2CBC">
        <w:rPr>
          <w:rFonts w:ascii="Arial" w:hAnsi="Arial" w:cs="Arial"/>
          <w:color w:val="000000"/>
          <w:sz w:val="22"/>
          <w:szCs w:val="22"/>
        </w:rPr>
        <w:t>found that high workloads, staffing shortages, and long working hours contribute significantly to burnout among nurses. Their research highlights that organisational factor, such as working conditions and staffing levels, have a major influence on employee wellbeing.</w:t>
      </w:r>
    </w:p>
    <w:p w:rsidRPr="002A2CBC" w:rsidR="00CF242E" w:rsidP="00CF242E" w:rsidRDefault="00CF242E" w14:paraId="695D56C2" w14:textId="77777777">
      <w:pPr>
        <w:pStyle w:val="NormalWeb"/>
        <w:rPr>
          <w:rFonts w:ascii="Arial" w:hAnsi="Arial" w:cs="Arial"/>
          <w:color w:val="000000"/>
          <w:sz w:val="22"/>
          <w:szCs w:val="22"/>
        </w:rPr>
      </w:pPr>
      <w:r w:rsidRPr="002A2CBC">
        <w:rPr>
          <w:rFonts w:ascii="Arial" w:hAnsi="Arial" w:cs="Arial"/>
          <w:color w:val="000000"/>
          <w:sz w:val="22"/>
          <w:szCs w:val="22"/>
        </w:rPr>
        <w:t xml:space="preserve">Both studies agree that workload pressures are a key factor contributing to burnout. However, they approach the issue from different perspectives. Maslach and Leiter (2016) focus more on the psychological effects of workplace stress, while </w:t>
      </w:r>
      <w:proofErr w:type="spellStart"/>
      <w:r w:rsidRPr="002A2CBC">
        <w:rPr>
          <w:rFonts w:ascii="Arial" w:hAnsi="Arial" w:cs="Arial"/>
          <w:color w:val="000000"/>
          <w:sz w:val="22"/>
          <w:szCs w:val="22"/>
        </w:rPr>
        <w:t>Dall’Ora</w:t>
      </w:r>
      <w:proofErr w:type="spellEnd"/>
      <w:r w:rsidRPr="002A2CBC">
        <w:rPr>
          <w:rFonts w:ascii="Arial" w:hAnsi="Arial" w:cs="Arial"/>
          <w:color w:val="000000"/>
          <w:sz w:val="22"/>
          <w:szCs w:val="22"/>
        </w:rPr>
        <w:t xml:space="preserve"> et al. (2020) emphasise the impact of organisational conditions and healthcare systems.</w:t>
      </w:r>
    </w:p>
    <w:p w:rsidRPr="002A2CBC" w:rsidR="00CF242E" w:rsidP="00CF242E" w:rsidRDefault="00CF242E" w14:paraId="3CD6449E" w14:textId="77777777">
      <w:pPr>
        <w:pStyle w:val="NormalWeb"/>
        <w:rPr>
          <w:rFonts w:ascii="Arial" w:hAnsi="Arial" w:cs="Arial"/>
          <w:color w:val="000000"/>
          <w:sz w:val="22"/>
          <w:szCs w:val="22"/>
        </w:rPr>
      </w:pPr>
      <w:r w:rsidRPr="002A2CBC">
        <w:rPr>
          <w:rFonts w:ascii="Arial" w:hAnsi="Arial" w:cs="Arial"/>
          <w:color w:val="000000"/>
          <w:sz w:val="22"/>
          <w:szCs w:val="22"/>
        </w:rPr>
        <w:lastRenderedPageBreak/>
        <w:t>Together, these studies demonstrate that burnout is a complex problem requiring both individual and organisational solutions.</w:t>
      </w:r>
      <w:r w:rsidRPr="002A2CBC">
        <w:rPr>
          <w:rStyle w:val="apple-converted-space"/>
          <w:rFonts w:ascii="Arial" w:hAnsi="Arial" w:cs="Arial"/>
          <w:color w:val="000000"/>
          <w:sz w:val="22"/>
          <w:szCs w:val="22"/>
        </w:rPr>
        <w:t> </w:t>
      </w:r>
      <w:r w:rsidRPr="002A2CBC">
        <w:rPr>
          <w:rStyle w:val="Strong"/>
          <w:rFonts w:ascii="Arial" w:hAnsi="Arial" w:cs="Arial"/>
          <w:color w:val="000000"/>
          <w:sz w:val="22"/>
          <w:szCs w:val="22"/>
        </w:rPr>
        <w:t>Maslach’s Burnout Theory</w:t>
      </w:r>
      <w:r w:rsidRPr="002A2CBC">
        <w:rPr>
          <w:rStyle w:val="apple-converted-space"/>
          <w:rFonts w:ascii="Arial" w:hAnsi="Arial" w:cs="Arial"/>
          <w:color w:val="000000"/>
          <w:sz w:val="22"/>
          <w:szCs w:val="22"/>
        </w:rPr>
        <w:t> </w:t>
      </w:r>
      <w:r w:rsidRPr="002A2CBC">
        <w:rPr>
          <w:rFonts w:ascii="Arial" w:hAnsi="Arial" w:cs="Arial"/>
          <w:color w:val="000000"/>
          <w:sz w:val="22"/>
          <w:szCs w:val="22"/>
        </w:rPr>
        <w:t>provides a useful framework for understanding how prolonged workplace stress can affect employee wellbeing and professional performance. Addressing burnout requires supportive leadership, improved working environments, and strategies that promote staff resilience and wellbeing.</w:t>
      </w:r>
    </w:p>
    <w:p w:rsidRPr="002A2CBC" w:rsidR="00CF242E" w:rsidP="00CF242E" w:rsidRDefault="00CF242E" w14:paraId="3C0A6166" w14:textId="0A02CDF3">
      <w:pPr>
        <w:pStyle w:val="Heading1"/>
        <w:rPr>
          <w:rFonts w:ascii="Arial" w:hAnsi="Arial" w:cs="Arial"/>
          <w:color w:val="000000"/>
        </w:rPr>
      </w:pPr>
      <w:r w:rsidRPr="002A2CBC">
        <w:rPr>
          <w:rStyle w:val="Strong"/>
          <w:rFonts w:ascii="Arial" w:hAnsi="Arial" w:cs="Arial"/>
          <w:color w:val="000000"/>
        </w:rPr>
        <w:t xml:space="preserve">Task 6 – Exploring Digital Innovation in Health and Social Care </w:t>
      </w:r>
      <w:r w:rsidRPr="002A2CBC" w:rsidR="002A2CBC">
        <w:rPr>
          <w:rStyle w:val="Strong"/>
          <w:rFonts w:ascii="Arial" w:hAnsi="Arial" w:cs="Arial"/>
          <w:color w:val="000000"/>
        </w:rPr>
        <w:t xml:space="preserve"> </w:t>
      </w:r>
    </w:p>
    <w:p w:rsidRPr="002A2CBC" w:rsidR="00CF242E" w:rsidP="00CF242E" w:rsidRDefault="00CF242E" w14:paraId="754769C8" w14:textId="77777777">
      <w:pPr>
        <w:pStyle w:val="Heading2"/>
        <w:rPr>
          <w:rFonts w:ascii="Arial" w:hAnsi="Arial" w:cs="Arial"/>
          <w:color w:val="000000"/>
          <w:sz w:val="28"/>
          <w:szCs w:val="28"/>
        </w:rPr>
      </w:pPr>
      <w:r w:rsidRPr="002A2CBC">
        <w:rPr>
          <w:rStyle w:val="Strong"/>
          <w:rFonts w:ascii="Arial" w:hAnsi="Arial" w:cs="Arial"/>
          <w:b/>
          <w:bCs/>
          <w:color w:val="000000"/>
          <w:sz w:val="28"/>
          <w:szCs w:val="28"/>
        </w:rPr>
        <w:t>6.1 Wearable Health Technologies</w:t>
      </w:r>
    </w:p>
    <w:p w:rsidR="00CF242E" w:rsidP="360425F4" w:rsidRDefault="00CF242E" w14:paraId="4FB214CB" w14:textId="77777777">
      <w:pPr>
        <w:pStyle w:val="NormalWeb"/>
        <w:rPr>
          <w:rFonts w:ascii="Arial" w:hAnsi="Arial" w:eastAsia="Arial" w:cs="Arial"/>
          <w:color w:val="000000"/>
          <w:sz w:val="22"/>
          <w:szCs w:val="22"/>
        </w:rPr>
      </w:pPr>
      <w:r w:rsidRPr="360425F4" w:rsidR="00CF242E">
        <w:rPr>
          <w:rFonts w:ascii="Arial" w:hAnsi="Arial" w:eastAsia="Arial" w:cs="Arial"/>
          <w:color w:val="000000" w:themeColor="text1" w:themeTint="FF" w:themeShade="FF"/>
          <w:sz w:val="22"/>
          <w:szCs w:val="22"/>
        </w:rPr>
        <w:t>Wearable health technologies, including smartwatches and fitness trackers, are increasingly used to support the management of chronic health conditions. These devices can monitor health information such as heart rate, physical activity, sleep patterns, and blood oxygen</w:t>
      </w:r>
      <w:r w:rsidRPr="360425F4" w:rsidR="00CF242E">
        <w:rPr>
          <w:color w:val="000000" w:themeColor="text1" w:themeTint="FF" w:themeShade="FF"/>
        </w:rPr>
        <w:t xml:space="preserve"> </w:t>
      </w:r>
      <w:r w:rsidRPr="360425F4" w:rsidR="00CF242E">
        <w:rPr>
          <w:rFonts w:ascii="Arial" w:hAnsi="Arial" w:eastAsia="Arial" w:cs="Arial"/>
          <w:color w:val="000000" w:themeColor="text1" w:themeTint="FF" w:themeShade="FF"/>
          <w:sz w:val="22"/>
          <w:szCs w:val="22"/>
        </w:rPr>
        <w:t>levels. By providing real-time information, wearable technologies allow individuals to become more involved in managing their own health and enable healthcare professionals to identify possible health concerns earlier.</w:t>
      </w:r>
    </w:p>
    <w:p w:rsidR="00CF242E" w:rsidP="360425F4" w:rsidRDefault="00CF242E" w14:paraId="7DD48263" w14:textId="77777777">
      <w:pPr>
        <w:pStyle w:val="NormalWeb"/>
        <w:rPr>
          <w:rFonts w:ascii="Arial" w:hAnsi="Arial" w:eastAsia="Arial" w:cs="Arial"/>
          <w:color w:val="000000"/>
          <w:sz w:val="22"/>
          <w:szCs w:val="22"/>
        </w:rPr>
      </w:pPr>
      <w:r w:rsidRPr="360425F4" w:rsidR="00CF242E">
        <w:rPr>
          <w:rFonts w:ascii="Arial" w:hAnsi="Arial" w:eastAsia="Arial" w:cs="Arial"/>
          <w:color w:val="000000" w:themeColor="text1" w:themeTint="FF" w:themeShade="FF"/>
          <w:sz w:val="22"/>
          <w:szCs w:val="22"/>
        </w:rPr>
        <w:t>For example, individuals with cardiovascular conditions may use wearable devices to monitor heart rate changes and activity levels. This information can support discussions with healthcare professionals and encourage early intervention when risks are identified. Wearable technology may also reduce unnecessary healthcare visits by supporting remote monitoring and self-management.</w:t>
      </w:r>
    </w:p>
    <w:p w:rsidR="00CF242E" w:rsidP="360425F4" w:rsidRDefault="00CF242E" w14:paraId="5C9B1D94" w14:textId="77777777">
      <w:pPr>
        <w:pStyle w:val="NormalWeb"/>
        <w:rPr>
          <w:rFonts w:ascii="Arial" w:hAnsi="Arial" w:eastAsia="Arial" w:cs="Arial"/>
          <w:color w:val="000000"/>
          <w:sz w:val="22"/>
          <w:szCs w:val="22"/>
        </w:rPr>
      </w:pPr>
      <w:r w:rsidRPr="360425F4" w:rsidR="00CF242E">
        <w:rPr>
          <w:rFonts w:ascii="Arial" w:hAnsi="Arial" w:eastAsia="Arial" w:cs="Arial"/>
          <w:color w:val="000000" w:themeColor="text1" w:themeTint="FF" w:themeShade="FF"/>
          <w:sz w:val="22"/>
          <w:szCs w:val="22"/>
        </w:rPr>
        <w:t>The</w:t>
      </w:r>
      <w:r w:rsidRPr="360425F4" w:rsidR="00CF242E">
        <w:rPr>
          <w:rStyle w:val="apple-converted-space"/>
          <w:rFonts w:ascii="Arial" w:hAnsi="Arial" w:eastAsia="Arial" w:cs="Arial"/>
          <w:color w:val="000000" w:themeColor="text1" w:themeTint="FF" w:themeShade="FF"/>
          <w:sz w:val="22"/>
          <w:szCs w:val="22"/>
        </w:rPr>
        <w:t> </w:t>
      </w:r>
      <w:r w:rsidRPr="360425F4" w:rsidR="00CF242E">
        <w:rPr>
          <w:rStyle w:val="Strong"/>
          <w:rFonts w:ascii="Arial" w:hAnsi="Arial" w:eastAsia="Arial" w:cs="Arial"/>
          <w:color w:val="000000" w:themeColor="text1" w:themeTint="FF" w:themeShade="FF"/>
          <w:sz w:val="22"/>
          <w:szCs w:val="22"/>
        </w:rPr>
        <w:t>Technology Acceptance Model</w:t>
      </w:r>
      <w:r w:rsidRPr="360425F4" w:rsidR="00CF242E">
        <w:rPr>
          <w:rStyle w:val="apple-converted-space"/>
          <w:rFonts w:ascii="Arial" w:hAnsi="Arial" w:eastAsia="Arial" w:cs="Arial"/>
          <w:color w:val="000000" w:themeColor="text1" w:themeTint="FF" w:themeShade="FF"/>
          <w:sz w:val="22"/>
          <w:szCs w:val="22"/>
        </w:rPr>
        <w:t> </w:t>
      </w:r>
      <w:r w:rsidRPr="360425F4" w:rsidR="00CF242E">
        <w:rPr>
          <w:rFonts w:ascii="Arial" w:hAnsi="Arial" w:eastAsia="Arial" w:cs="Arial"/>
          <w:color w:val="000000" w:themeColor="text1" w:themeTint="FF" w:themeShade="FF"/>
          <w:sz w:val="22"/>
          <w:szCs w:val="22"/>
        </w:rPr>
        <w:t>suggests that people are more likely to use digital technologies when they perceive them as useful and easy to use (Davis, 1989). Therefore, wearable health technologies are more likely to improve health outcomes when they are accessible, reliable, and designed around service-user needs.</w:t>
      </w:r>
    </w:p>
    <w:p w:rsidRPr="002A2CBC" w:rsidR="00CF242E" w:rsidP="00CF242E" w:rsidRDefault="00CF242E" w14:paraId="08DAC7CF" w14:textId="77777777">
      <w:pPr>
        <w:pStyle w:val="Heading2"/>
        <w:rPr>
          <w:rFonts w:ascii="Arial" w:hAnsi="Arial" w:cs="Arial"/>
          <w:color w:val="000000"/>
          <w:sz w:val="28"/>
          <w:szCs w:val="28"/>
        </w:rPr>
      </w:pPr>
      <w:r w:rsidRPr="002A2CBC">
        <w:rPr>
          <w:rStyle w:val="Strong"/>
          <w:rFonts w:ascii="Arial" w:hAnsi="Arial" w:cs="Arial"/>
          <w:b/>
          <w:bCs/>
          <w:color w:val="000000"/>
          <w:sz w:val="28"/>
          <w:szCs w:val="28"/>
        </w:rPr>
        <w:t>6.2 Electronic Health Records (EHRs)</w:t>
      </w:r>
    </w:p>
    <w:p w:rsidRPr="002A2CBC" w:rsidR="00CF242E" w:rsidP="00CF242E" w:rsidRDefault="00CF242E" w14:paraId="4C300C84" w14:textId="77777777">
      <w:pPr>
        <w:pStyle w:val="NormalWeb"/>
        <w:rPr>
          <w:rFonts w:ascii="Arial" w:hAnsi="Arial" w:cs="Arial"/>
          <w:color w:val="000000"/>
          <w:sz w:val="22"/>
          <w:szCs w:val="22"/>
        </w:rPr>
      </w:pPr>
      <w:r w:rsidRPr="002A2CBC">
        <w:rPr>
          <w:rFonts w:ascii="Arial" w:hAnsi="Arial" w:cs="Arial"/>
          <w:color w:val="000000"/>
          <w:sz w:val="22"/>
          <w:szCs w:val="22"/>
        </w:rPr>
        <w:t>Electronic Health Records (EHRs) improve communication and collaboration between healthcare professionals by allowing secure access to patient information across different care settings. Unlike paper records, electronic systems enable healthcare providers to access updated information quickly, improving continuity and coordination of care.</w:t>
      </w:r>
    </w:p>
    <w:p w:rsidRPr="002A2CBC" w:rsidR="00CF242E" w:rsidP="00CF242E" w:rsidRDefault="00CF242E" w14:paraId="6A5D0642" w14:textId="77777777">
      <w:pPr>
        <w:pStyle w:val="NormalWeb"/>
        <w:rPr>
          <w:rFonts w:ascii="Arial" w:hAnsi="Arial" w:cs="Arial"/>
          <w:color w:val="000000"/>
          <w:sz w:val="22"/>
          <w:szCs w:val="22"/>
        </w:rPr>
      </w:pPr>
      <w:r w:rsidRPr="002A2CBC">
        <w:rPr>
          <w:rFonts w:ascii="Arial" w:hAnsi="Arial" w:cs="Arial"/>
          <w:color w:val="000000"/>
          <w:sz w:val="22"/>
          <w:szCs w:val="22"/>
        </w:rPr>
        <w:t>For example, a patient receiving support from a general practitioner, hospital consultant, and community nurse can benefit from professionals being able to access the same relevant health information. This reduces duplication of assessments, improves medication safety, and supports better decision-making.</w:t>
      </w:r>
    </w:p>
    <w:p w:rsidRPr="002A2CBC" w:rsidR="00CF242E" w:rsidP="00CF242E" w:rsidRDefault="00CF242E" w14:paraId="0DC5F7CF" w14:textId="77777777">
      <w:pPr>
        <w:pStyle w:val="NormalWeb"/>
        <w:rPr>
          <w:rFonts w:ascii="Arial" w:hAnsi="Arial" w:cs="Arial"/>
          <w:color w:val="000000"/>
          <w:sz w:val="22"/>
          <w:szCs w:val="22"/>
        </w:rPr>
      </w:pPr>
      <w:r w:rsidRPr="002A2CBC">
        <w:rPr>
          <w:rFonts w:ascii="Arial" w:hAnsi="Arial" w:cs="Arial"/>
          <w:color w:val="000000"/>
          <w:sz w:val="22"/>
          <w:szCs w:val="22"/>
        </w:rPr>
        <w:t>EHRs can also reduce administrative pressures by improving information management and reducing time spent searching for patient records. This may indirectly support staff wellbeing by reducing some workplace pressures associated with healthcare documentation.</w:t>
      </w:r>
    </w:p>
    <w:p w:rsidRPr="002A2CBC" w:rsidR="00CF242E" w:rsidP="00CF242E" w:rsidRDefault="00CF242E" w14:paraId="7EC06DE7" w14:textId="77777777">
      <w:pPr>
        <w:pStyle w:val="NormalWeb"/>
        <w:rPr>
          <w:rFonts w:ascii="Arial" w:hAnsi="Arial" w:cs="Arial"/>
          <w:color w:val="000000"/>
          <w:sz w:val="22"/>
          <w:szCs w:val="22"/>
        </w:rPr>
      </w:pPr>
      <w:r w:rsidRPr="002A2CBC">
        <w:rPr>
          <w:rFonts w:ascii="Arial" w:hAnsi="Arial" w:cs="Arial"/>
          <w:color w:val="000000"/>
          <w:sz w:val="22"/>
          <w:szCs w:val="22"/>
        </w:rPr>
        <w:t>The Technology Acceptance Model highlights that healthcare professionals are more likely to adopt digital systems when they improve efficiency and support their work practices (Davis, 1989). Therefore, successful implementation of EHRs requires not only technology but also appropriate training and organisational support.</w:t>
      </w:r>
    </w:p>
    <w:p w:rsidR="00CF242E" w:rsidP="00CF242E" w:rsidRDefault="00CF242E" w14:paraId="37452F7A" w14:textId="70AEBE30">
      <w:pPr>
        <w:rPr>
          <w:color w:val="000000"/>
        </w:rPr>
      </w:pPr>
    </w:p>
    <w:p w:rsidRPr="002A2CBC" w:rsidR="00CF242E" w:rsidP="00CF242E" w:rsidRDefault="00CF242E" w14:paraId="743B3F32" w14:textId="77777777">
      <w:pPr>
        <w:pStyle w:val="Heading2"/>
        <w:rPr>
          <w:rFonts w:ascii="Arial" w:hAnsi="Arial" w:cs="Arial"/>
          <w:color w:val="000000"/>
          <w:sz w:val="28"/>
          <w:szCs w:val="28"/>
        </w:rPr>
      </w:pPr>
      <w:r w:rsidRPr="002A2CBC">
        <w:rPr>
          <w:rStyle w:val="Strong"/>
          <w:rFonts w:ascii="Arial" w:hAnsi="Arial" w:cs="Arial"/>
          <w:b/>
          <w:bCs/>
          <w:color w:val="000000"/>
          <w:sz w:val="28"/>
          <w:szCs w:val="28"/>
        </w:rPr>
        <w:lastRenderedPageBreak/>
        <w:t>6.3 Digital Technology for Preventative Care and Health Promotion</w:t>
      </w:r>
    </w:p>
    <w:p w:rsidRPr="002A2CBC" w:rsidR="00CF242E" w:rsidP="00CF242E" w:rsidRDefault="00CF242E" w14:paraId="1FF4663D" w14:textId="77777777">
      <w:pPr>
        <w:pStyle w:val="NormalWeb"/>
        <w:rPr>
          <w:rFonts w:ascii="Arial" w:hAnsi="Arial" w:cs="Arial"/>
          <w:color w:val="000000"/>
          <w:sz w:val="22"/>
          <w:szCs w:val="22"/>
        </w:rPr>
      </w:pPr>
      <w:r w:rsidRPr="002A2CBC">
        <w:rPr>
          <w:rFonts w:ascii="Arial" w:hAnsi="Arial" w:cs="Arial"/>
          <w:color w:val="000000"/>
          <w:sz w:val="22"/>
          <w:szCs w:val="22"/>
        </w:rPr>
        <w:t>Digital technology supports preventative care by encouraging healthier behaviours, improving health awareness, and enabling early identification of health risks. Mobile health applications, online health assessments, and digital monitoring tools can support individuals in managing lifestyle factors such as physical activity, diet, and smoking.</w:t>
      </w:r>
    </w:p>
    <w:p w:rsidRPr="002A2CBC" w:rsidR="00CF242E" w:rsidP="00CF242E" w:rsidRDefault="00CF242E" w14:paraId="7E02FC69" w14:textId="77777777">
      <w:pPr>
        <w:pStyle w:val="NormalWeb"/>
        <w:rPr>
          <w:rFonts w:ascii="Arial" w:hAnsi="Arial" w:cs="Arial"/>
          <w:color w:val="000000"/>
          <w:sz w:val="22"/>
          <w:szCs w:val="22"/>
        </w:rPr>
      </w:pPr>
      <w:r w:rsidRPr="002A2CBC">
        <w:rPr>
          <w:rFonts w:ascii="Arial" w:hAnsi="Arial" w:cs="Arial"/>
          <w:color w:val="000000"/>
          <w:sz w:val="22"/>
          <w:szCs w:val="22"/>
        </w:rPr>
        <w:t>For example, a person at risk of developing type 2 diabetes could use a health application to monitor exercise levels, weight changes, and dietary habits. Regular reminders and progress tracking may encourage healthier choices and reduce the risk of developing long-term complications.</w:t>
      </w:r>
    </w:p>
    <w:p w:rsidRPr="002A2CBC" w:rsidR="00CF242E" w:rsidP="00CF242E" w:rsidRDefault="00CF242E" w14:paraId="539A4892" w14:textId="77777777">
      <w:pPr>
        <w:pStyle w:val="NormalWeb"/>
        <w:rPr>
          <w:rFonts w:ascii="Arial" w:hAnsi="Arial" w:cs="Arial"/>
          <w:color w:val="000000"/>
          <w:sz w:val="22"/>
          <w:szCs w:val="22"/>
        </w:rPr>
      </w:pPr>
      <w:r w:rsidRPr="002A2CBC">
        <w:rPr>
          <w:rFonts w:ascii="Arial" w:hAnsi="Arial" w:cs="Arial"/>
          <w:color w:val="000000"/>
          <w:sz w:val="22"/>
          <w:szCs w:val="22"/>
        </w:rPr>
        <w:t>Digital health technologies also support public health promotion by making health information more accessible. However, digital inclusion must be considered because some individuals may experience barriers related to age, income, disability, or limited digital skills.</w:t>
      </w:r>
    </w:p>
    <w:p w:rsidRPr="002A2CBC" w:rsidR="00CF242E" w:rsidP="00CF242E" w:rsidRDefault="00CF242E" w14:paraId="60DEEFC4" w14:textId="77777777">
      <w:pPr>
        <w:pStyle w:val="NormalWeb"/>
        <w:rPr>
          <w:rFonts w:ascii="Arial" w:hAnsi="Arial" w:cs="Arial"/>
          <w:color w:val="000000"/>
          <w:sz w:val="22"/>
          <w:szCs w:val="22"/>
        </w:rPr>
      </w:pPr>
      <w:r w:rsidRPr="002A2CBC">
        <w:rPr>
          <w:rFonts w:ascii="Arial" w:hAnsi="Arial" w:cs="Arial"/>
          <w:color w:val="000000"/>
          <w:sz w:val="22"/>
          <w:szCs w:val="22"/>
        </w:rPr>
        <w:t>The</w:t>
      </w:r>
      <w:r w:rsidRPr="002A2CBC">
        <w:rPr>
          <w:rStyle w:val="apple-converted-space"/>
          <w:rFonts w:ascii="Arial" w:hAnsi="Arial" w:cs="Arial" w:eastAsiaTheme="majorEastAsia"/>
          <w:color w:val="000000"/>
          <w:sz w:val="22"/>
          <w:szCs w:val="22"/>
        </w:rPr>
        <w:t> </w:t>
      </w:r>
      <w:r w:rsidRPr="002A2CBC">
        <w:rPr>
          <w:rStyle w:val="Strong"/>
          <w:rFonts w:ascii="Arial" w:hAnsi="Arial" w:cs="Arial"/>
          <w:color w:val="000000"/>
          <w:sz w:val="22"/>
          <w:szCs w:val="22"/>
        </w:rPr>
        <w:t>Technology Acceptance Model</w:t>
      </w:r>
      <w:r w:rsidRPr="002A2CBC">
        <w:rPr>
          <w:rStyle w:val="apple-converted-space"/>
          <w:rFonts w:ascii="Arial" w:hAnsi="Arial" w:cs="Arial" w:eastAsiaTheme="majorEastAsia"/>
          <w:color w:val="000000"/>
          <w:sz w:val="22"/>
          <w:szCs w:val="22"/>
        </w:rPr>
        <w:t> </w:t>
      </w:r>
      <w:r w:rsidRPr="002A2CBC">
        <w:rPr>
          <w:rFonts w:ascii="Arial" w:hAnsi="Arial" w:cs="Arial"/>
          <w:color w:val="000000"/>
          <w:sz w:val="22"/>
          <w:szCs w:val="22"/>
        </w:rPr>
        <w:t>(Davis, 1989) explains that adoption of digital healthcare tools depends on whether individuals find them beneficial and easy to use. Therefore, healthcare organisations should ensure that digital solutions are designed to be inclusive and user-friendly.</w:t>
      </w:r>
    </w:p>
    <w:p w:rsidRPr="002A2CBC" w:rsidR="00CF242E" w:rsidP="00CF242E" w:rsidRDefault="00CF242E" w14:paraId="3482F1BB" w14:textId="29E07900">
      <w:pPr>
        <w:pStyle w:val="Heading1"/>
        <w:rPr>
          <w:rFonts w:ascii="Arial" w:hAnsi="Arial" w:cs="Arial"/>
          <w:color w:val="000000"/>
        </w:rPr>
      </w:pPr>
      <w:r w:rsidRPr="002A2CBC">
        <w:rPr>
          <w:rStyle w:val="Strong"/>
          <w:rFonts w:ascii="Arial" w:hAnsi="Arial" w:cs="Arial"/>
          <w:color w:val="000000"/>
        </w:rPr>
        <w:t xml:space="preserve">Task 7 – Understanding the NHS Leadership Framework </w:t>
      </w:r>
      <w:r w:rsidRPr="002A2CBC" w:rsidR="002A2CBC">
        <w:rPr>
          <w:rStyle w:val="Strong"/>
          <w:rFonts w:ascii="Arial" w:hAnsi="Arial" w:cs="Arial"/>
          <w:color w:val="000000"/>
        </w:rPr>
        <w:t xml:space="preserve"> </w:t>
      </w:r>
    </w:p>
    <w:p w:rsidRPr="002A2CBC" w:rsidR="00CF242E" w:rsidP="00CF242E" w:rsidRDefault="00CF242E" w14:paraId="1E8054DF" w14:textId="33693BEA">
      <w:pPr>
        <w:pStyle w:val="Heading2"/>
        <w:rPr>
          <w:rFonts w:ascii="Arial" w:hAnsi="Arial" w:cs="Arial"/>
          <w:color w:val="000000"/>
          <w:sz w:val="28"/>
          <w:szCs w:val="28"/>
        </w:rPr>
      </w:pPr>
      <w:r w:rsidRPr="002A2CBC">
        <w:rPr>
          <w:rStyle w:val="Strong"/>
          <w:rFonts w:ascii="Arial" w:hAnsi="Arial" w:cs="Arial"/>
          <w:b/>
          <w:bCs/>
          <w:color w:val="000000"/>
          <w:sz w:val="28"/>
          <w:szCs w:val="28"/>
        </w:rPr>
        <w:t xml:space="preserve">7.1 Summary of the NHS Leadership Framework </w:t>
      </w:r>
      <w:r w:rsidRPr="002A2CBC" w:rsidR="002A2CBC">
        <w:rPr>
          <w:rStyle w:val="Strong"/>
          <w:rFonts w:ascii="Arial" w:hAnsi="Arial" w:cs="Arial"/>
          <w:b/>
          <w:bCs/>
          <w:color w:val="000000"/>
          <w:sz w:val="28"/>
          <w:szCs w:val="28"/>
        </w:rPr>
        <w:t xml:space="preserve"> </w:t>
      </w:r>
    </w:p>
    <w:p w:rsidR="00CF242E" w:rsidP="00CF242E" w:rsidRDefault="00CF242E" w14:paraId="3C44C2DB" w14:textId="77777777">
      <w:pPr>
        <w:pStyle w:val="NormalWeb"/>
        <w:rPr>
          <w:color w:val="000000"/>
        </w:rPr>
      </w:pPr>
      <w:r>
        <w:rPr>
          <w:color w:val="000000"/>
        </w:rPr>
        <w:t>The NHS Leadership Framework provides guidance on the behaviours, skills, and values required for effective leadership within health and social care organisations. Developed by the NHS Leadership Academy, the framework supports leaders at all levels by encouraging behaviours that improve patient care, staff wellbeing, and organisational performance (NHS Leadership Academy, 2013).</w:t>
      </w:r>
    </w:p>
    <w:p w:rsidR="00CF242E" w:rsidP="00CF242E" w:rsidRDefault="00CF242E" w14:paraId="34F42F37" w14:textId="4C06BCBB">
      <w:pPr>
        <w:pStyle w:val="NormalWeb"/>
        <w:rPr>
          <w:color w:val="000000"/>
        </w:rPr>
      </w:pPr>
      <w:r w:rsidRPr="359C7476" w:rsidR="00CF242E">
        <w:rPr>
          <w:color w:val="000000" w:themeColor="text1" w:themeTint="FF" w:themeShade="FF"/>
        </w:rPr>
        <w:t xml:space="preserve">The framework </w:t>
      </w:r>
      <w:r w:rsidRPr="359C7476" w:rsidR="00CF242E">
        <w:rPr>
          <w:color w:val="000000" w:themeColor="text1" w:themeTint="FF" w:themeShade="FF"/>
        </w:rPr>
        <w:t>identifies</w:t>
      </w:r>
      <w:r w:rsidRPr="359C7476" w:rsidR="00CF242E">
        <w:rPr>
          <w:color w:val="000000" w:themeColor="text1" w:themeTint="FF" w:themeShade="FF"/>
        </w:rPr>
        <w:t xml:space="preserve"> nine key leadership behaviours, including </w:t>
      </w:r>
      <w:r w:rsidRPr="359C7476" w:rsidR="0C4805A4">
        <w:rPr>
          <w:color w:val="000000" w:themeColor="text1" w:themeTint="FF" w:themeShade="FF"/>
        </w:rPr>
        <w:t>inspiring, shared</w:t>
      </w:r>
      <w:r w:rsidRPr="359C7476" w:rsidR="00CF242E">
        <w:rPr>
          <w:color w:val="000000" w:themeColor="text1" w:themeTint="FF" w:themeShade="FF"/>
        </w:rPr>
        <w:t xml:space="preserve"> purpose, leading with care, evaluating information, connecting services, engaging the team, developing capability, influencing for results, and holding to account. These behaviours encourage leaders to create positive workplace cultures, support teamwork, and promote continuous improvement.</w:t>
      </w:r>
    </w:p>
    <w:p w:rsidR="00CF242E" w:rsidP="00CF242E" w:rsidRDefault="00CF242E" w14:paraId="16C41ACA" w14:textId="77777777">
      <w:pPr>
        <w:pStyle w:val="NormalWeb"/>
        <w:rPr>
          <w:color w:val="000000"/>
        </w:rPr>
      </w:pPr>
      <w:r>
        <w:rPr>
          <w:color w:val="000000"/>
        </w:rPr>
        <w:t>Effective leadership is particularly important in health and social care because leaders influence how organisations respond to challenges such as workforce pressures, service demand, and the need for innovation. By supporting staff involvement and evidence-based decision-making, leaders can create environments where creativity and improvement are encouraged.</w:t>
      </w:r>
    </w:p>
    <w:p w:rsidRPr="002A2CBC" w:rsidR="00CF242E" w:rsidP="00CF242E" w:rsidRDefault="00CF242E" w14:paraId="6748B127" w14:textId="6718982C">
      <w:pPr>
        <w:pStyle w:val="Heading2"/>
        <w:rPr>
          <w:rFonts w:ascii="Arial" w:hAnsi="Arial" w:cs="Arial"/>
          <w:color w:val="000000"/>
          <w:sz w:val="28"/>
          <w:szCs w:val="28"/>
        </w:rPr>
      </w:pPr>
      <w:r w:rsidRPr="002A2CBC">
        <w:rPr>
          <w:rStyle w:val="Strong"/>
          <w:rFonts w:ascii="Arial" w:hAnsi="Arial" w:cs="Arial"/>
          <w:b/>
          <w:bCs/>
          <w:color w:val="000000"/>
          <w:sz w:val="28"/>
          <w:szCs w:val="28"/>
        </w:rPr>
        <w:t>7.2</w:t>
      </w:r>
      <w:r w:rsidR="002A2CBC">
        <w:rPr>
          <w:rStyle w:val="Strong"/>
          <w:rFonts w:ascii="Arial" w:hAnsi="Arial" w:cs="Arial"/>
          <w:b/>
          <w:bCs/>
          <w:color w:val="000000"/>
          <w:sz w:val="28"/>
          <w:szCs w:val="28"/>
        </w:rPr>
        <w:t>-</w:t>
      </w:r>
      <w:r w:rsidRPr="002A2CBC">
        <w:rPr>
          <w:rStyle w:val="Strong"/>
          <w:rFonts w:ascii="Arial" w:hAnsi="Arial" w:cs="Arial"/>
          <w:b/>
          <w:bCs/>
          <w:color w:val="000000"/>
          <w:sz w:val="28"/>
          <w:szCs w:val="28"/>
        </w:rPr>
        <w:t xml:space="preserve"> Leadership Behaviour: Leading with Care </w:t>
      </w:r>
      <w:r w:rsidRPr="002A2CBC" w:rsidR="002A2CBC">
        <w:rPr>
          <w:rStyle w:val="Strong"/>
          <w:rFonts w:ascii="Arial" w:hAnsi="Arial" w:cs="Arial"/>
          <w:b/>
          <w:bCs/>
          <w:color w:val="000000"/>
          <w:sz w:val="28"/>
          <w:szCs w:val="28"/>
        </w:rPr>
        <w:t xml:space="preserve"> </w:t>
      </w:r>
    </w:p>
    <w:p w:rsidRPr="002A2CBC" w:rsidR="00CF242E" w:rsidP="00CF242E" w:rsidRDefault="00CF242E" w14:paraId="6AC11662" w14:textId="77777777">
      <w:pPr>
        <w:pStyle w:val="NormalWeb"/>
        <w:rPr>
          <w:rFonts w:ascii="Arial" w:hAnsi="Arial" w:cs="Arial"/>
          <w:color w:val="000000"/>
          <w:sz w:val="22"/>
          <w:szCs w:val="22"/>
        </w:rPr>
      </w:pPr>
      <w:r w:rsidRPr="002A2CBC">
        <w:rPr>
          <w:rFonts w:ascii="Arial" w:hAnsi="Arial" w:cs="Arial"/>
          <w:color w:val="000000"/>
          <w:sz w:val="22"/>
          <w:szCs w:val="22"/>
        </w:rPr>
        <w:t>Leading with care focuses on supporting staff wellbeing, demonstrating compassion, and creating a workplace culture where individuals feel valued and respected. Healthcare leaders can use this behaviour to reduce staff burnout by recognising pressures, encouraging open communication, and providing appropriate support.</w:t>
      </w:r>
    </w:p>
    <w:p w:rsidRPr="002A2CBC" w:rsidR="00CF242E" w:rsidP="00CF242E" w:rsidRDefault="00CF242E" w14:paraId="0C84990D" w14:textId="77777777">
      <w:pPr>
        <w:pStyle w:val="NormalWeb"/>
        <w:rPr>
          <w:rFonts w:ascii="Arial" w:hAnsi="Arial" w:cs="Arial"/>
          <w:color w:val="000000"/>
          <w:sz w:val="22"/>
          <w:szCs w:val="22"/>
        </w:rPr>
      </w:pPr>
      <w:r w:rsidRPr="002A2CBC">
        <w:rPr>
          <w:rFonts w:ascii="Arial" w:hAnsi="Arial" w:cs="Arial"/>
          <w:color w:val="000000"/>
          <w:sz w:val="22"/>
          <w:szCs w:val="22"/>
        </w:rPr>
        <w:lastRenderedPageBreak/>
        <w:t>For example, a ward manager could introduce regular wellbeing discussions and flexible working approaches to help staff manage workplace stress. When employees feel supported, they are more likely to engage with improvement activities and contribute creative ideas.</w:t>
      </w:r>
    </w:p>
    <w:p w:rsidRPr="002A2CBC" w:rsidR="00CF242E" w:rsidP="00CF242E" w:rsidRDefault="00CF242E" w14:paraId="55F04D54" w14:textId="77777777">
      <w:pPr>
        <w:pStyle w:val="NormalWeb"/>
        <w:rPr>
          <w:rFonts w:ascii="Arial" w:hAnsi="Arial" w:cs="Arial"/>
          <w:color w:val="000000"/>
          <w:sz w:val="22"/>
          <w:szCs w:val="22"/>
        </w:rPr>
      </w:pPr>
      <w:r w:rsidRPr="002A2CBC">
        <w:rPr>
          <w:rFonts w:ascii="Arial" w:hAnsi="Arial" w:cs="Arial"/>
          <w:color w:val="000000"/>
          <w:sz w:val="22"/>
          <w:szCs w:val="22"/>
        </w:rPr>
        <w:t>Transformational Leadership Theory suggests that effective leaders motivate staff by creating a shared vision, providing encouragement, and supporting development (Bass and Avolio, 1994). Therefore, leading with care can improve staff engagement, innovation, and quality of patient care.</w:t>
      </w:r>
    </w:p>
    <w:p w:rsidRPr="002A2CBC" w:rsidR="00CF242E" w:rsidP="00CF242E" w:rsidRDefault="00CF242E" w14:paraId="13C4C876" w14:textId="65D5E36B">
      <w:pPr>
        <w:pStyle w:val="Heading1"/>
        <w:rPr>
          <w:rFonts w:ascii="Arial" w:hAnsi="Arial" w:cs="Arial"/>
          <w:color w:val="000000"/>
          <w:sz w:val="28"/>
          <w:szCs w:val="28"/>
        </w:rPr>
      </w:pPr>
      <w:r w:rsidRPr="002A2CBC">
        <w:rPr>
          <w:rStyle w:val="Strong"/>
          <w:rFonts w:ascii="Arial" w:hAnsi="Arial" w:cs="Arial"/>
          <w:color w:val="000000"/>
          <w:sz w:val="28"/>
          <w:szCs w:val="28"/>
        </w:rPr>
        <w:t xml:space="preserve">Task 8 – Self-Reflection Journal Entry </w:t>
      </w:r>
      <w:r w:rsidRPr="002A2CBC" w:rsidR="002A2CBC">
        <w:rPr>
          <w:rStyle w:val="Strong"/>
          <w:rFonts w:ascii="Arial" w:hAnsi="Arial" w:cs="Arial"/>
          <w:color w:val="000000"/>
          <w:sz w:val="28"/>
          <w:szCs w:val="28"/>
        </w:rPr>
        <w:t xml:space="preserve"> </w:t>
      </w:r>
    </w:p>
    <w:p w:rsidRPr="002A2CBC" w:rsidR="00CF242E" w:rsidP="00CF242E" w:rsidRDefault="00CF242E" w14:paraId="7F4B0CBD" w14:textId="77777777">
      <w:pPr>
        <w:pStyle w:val="NormalWeb"/>
        <w:rPr>
          <w:rFonts w:ascii="Arial" w:hAnsi="Arial" w:cs="Arial"/>
          <w:color w:val="000000"/>
          <w:sz w:val="22"/>
          <w:szCs w:val="22"/>
        </w:rPr>
      </w:pPr>
      <w:r w:rsidRPr="002A2CBC">
        <w:rPr>
          <w:rFonts w:ascii="Arial" w:hAnsi="Arial" w:cs="Arial"/>
          <w:color w:val="000000"/>
          <w:sz w:val="22"/>
          <w:szCs w:val="22"/>
        </w:rPr>
        <w:t>Throughout this module, my understanding of creativity, innovation, and value creation within health and social care has developed significantly. Initially, I viewed creativity mainly as generating new ideas; however, I now understand that creativity is also a practical approach to solving complex healthcare challenges and improving existing services.</w:t>
      </w:r>
    </w:p>
    <w:p w:rsidRPr="002A2CBC" w:rsidR="00CF242E" w:rsidP="00CF242E" w:rsidRDefault="00CF242E" w14:paraId="7D349F80" w14:textId="77777777">
      <w:pPr>
        <w:pStyle w:val="NormalWeb"/>
        <w:rPr>
          <w:rFonts w:ascii="Arial" w:hAnsi="Arial" w:cs="Arial"/>
          <w:color w:val="000000"/>
          <w:sz w:val="22"/>
          <w:szCs w:val="22"/>
        </w:rPr>
      </w:pPr>
      <w:r w:rsidRPr="002A2CBC">
        <w:rPr>
          <w:rFonts w:ascii="Arial" w:hAnsi="Arial" w:cs="Arial"/>
          <w:color w:val="000000"/>
          <w:sz w:val="22"/>
          <w:szCs w:val="22"/>
        </w:rPr>
        <w:t>The activities exploring staff burnout, virtual wards, and digital healthcare technologies changed my perspective by showing how small improvements in leadership, communication, and technology can create meaningful value for service users and professionals. Using</w:t>
      </w:r>
      <w:r w:rsidRPr="002A2CBC">
        <w:rPr>
          <w:rStyle w:val="apple-converted-space"/>
          <w:rFonts w:ascii="Arial" w:hAnsi="Arial" w:cs="Arial" w:eastAsiaTheme="majorEastAsia"/>
          <w:color w:val="000000"/>
          <w:sz w:val="22"/>
          <w:szCs w:val="22"/>
        </w:rPr>
        <w:t> </w:t>
      </w:r>
      <w:r w:rsidRPr="002A2CBC">
        <w:rPr>
          <w:rStyle w:val="Strong"/>
          <w:rFonts w:ascii="Arial" w:hAnsi="Arial" w:cs="Arial"/>
          <w:color w:val="000000"/>
          <w:sz w:val="22"/>
          <w:szCs w:val="22"/>
        </w:rPr>
        <w:t>Gibbs’ Reflective Cycle (1988)</w:t>
      </w:r>
      <w:r w:rsidRPr="002A2CBC">
        <w:rPr>
          <w:rStyle w:val="apple-converted-space"/>
          <w:rFonts w:ascii="Arial" w:hAnsi="Arial" w:cs="Arial" w:eastAsiaTheme="majorEastAsia"/>
          <w:color w:val="000000"/>
          <w:sz w:val="22"/>
          <w:szCs w:val="22"/>
        </w:rPr>
        <w:t> </w:t>
      </w:r>
      <w:r w:rsidRPr="002A2CBC">
        <w:rPr>
          <w:rFonts w:ascii="Arial" w:hAnsi="Arial" w:cs="Arial"/>
          <w:color w:val="000000"/>
          <w:sz w:val="22"/>
          <w:szCs w:val="22"/>
        </w:rPr>
        <w:t>helped me evaluate my learning and consider how these concepts can influence my future practice.</w:t>
      </w:r>
    </w:p>
    <w:p w:rsidRPr="002A2CBC" w:rsidR="00CF242E" w:rsidP="00CF242E" w:rsidRDefault="00CF242E" w14:paraId="66D7E09E" w14:textId="77777777">
      <w:pPr>
        <w:pStyle w:val="NormalWeb"/>
        <w:rPr>
          <w:rFonts w:ascii="Arial" w:hAnsi="Arial" w:cs="Arial"/>
          <w:color w:val="000000"/>
          <w:sz w:val="22"/>
          <w:szCs w:val="22"/>
        </w:rPr>
      </w:pPr>
      <w:r w:rsidRPr="002A2CBC">
        <w:rPr>
          <w:rFonts w:ascii="Arial" w:hAnsi="Arial" w:cs="Arial"/>
          <w:color w:val="000000"/>
          <w:sz w:val="22"/>
          <w:szCs w:val="22"/>
        </w:rPr>
        <w:t>As a future health and social care professional, I will apply these principles by being open to new ideas, supporting teamwork, and recognising opportunities for improvement. I have learned that value creation is not only about reducing costs but also about improving experiences, safety, and outcomes for individuals receiving care.</w:t>
      </w:r>
    </w:p>
    <w:p w:rsidR="00CF242E" w:rsidP="00CF242E" w:rsidRDefault="00CF242E" w14:paraId="02D0F5A1" w14:textId="1EEDC984">
      <w:pPr>
        <w:rPr>
          <w:color w:val="000000"/>
        </w:rPr>
      </w:pPr>
    </w:p>
    <w:p w:rsidR="0026464A" w:rsidRDefault="00CF242E" w14:paraId="2CC24216" w14:textId="0AA014AA">
      <w:r>
        <w:t xml:space="preserve"> </w:t>
      </w:r>
    </w:p>
    <w:p w:rsidR="00CF242E" w:rsidRDefault="00CF242E" w14:paraId="42D06056" w14:textId="77777777"/>
    <w:p w:rsidR="00CF242E" w:rsidRDefault="00CF242E" w14:paraId="2F411F57" w14:textId="77777777"/>
    <w:p w:rsidR="00CF242E" w:rsidRDefault="00CF242E" w14:paraId="18E88459" w14:textId="77777777"/>
    <w:p w:rsidR="00CF242E" w:rsidRDefault="00CF242E" w14:paraId="08CC13E7" w14:textId="77777777"/>
    <w:p w:rsidR="00CF242E" w:rsidRDefault="00CF242E" w14:paraId="43406D95" w14:textId="77777777"/>
    <w:p w:rsidR="00CF242E" w:rsidRDefault="00CF242E" w14:paraId="6322CDD4" w14:textId="77777777"/>
    <w:p w:rsidR="00CF242E" w:rsidRDefault="00CF242E" w14:paraId="19068A3E" w14:textId="77777777"/>
    <w:p w:rsidR="00CF242E" w:rsidRDefault="00CF242E" w14:paraId="2A62BC64" w14:textId="77777777"/>
    <w:p w:rsidR="00CF242E" w:rsidRDefault="00CF242E" w14:paraId="04B8EF25" w14:textId="77777777"/>
    <w:p w:rsidR="00CF242E" w:rsidRDefault="00CF242E" w14:paraId="33974276" w14:textId="77777777"/>
    <w:p w:rsidR="00CF242E" w:rsidRDefault="00CF242E" w14:paraId="64E719B9" w14:textId="77777777"/>
    <w:p w:rsidR="00CF242E" w:rsidRDefault="00CF242E" w14:paraId="7F15088B" w14:textId="77777777"/>
    <w:p w:rsidR="00CF242E" w:rsidRDefault="00CF242E" w14:paraId="3F6F5224" w14:textId="77777777"/>
    <w:p w:rsidR="00CF242E" w:rsidRDefault="00CF242E" w14:paraId="514C58AC" w14:textId="77777777"/>
    <w:p w:rsidR="00CF242E" w:rsidRDefault="00CF242E" w14:paraId="0FAA843B" w14:textId="77777777"/>
    <w:p w:rsidR="00CF242E" w:rsidRDefault="00CF242E" w14:paraId="511F3EF4" w14:textId="77777777"/>
    <w:p w:rsidR="00CF242E" w:rsidRDefault="00CF242E" w14:paraId="573BE36C" w14:textId="77777777"/>
    <w:p w:rsidR="00CF242E" w:rsidRDefault="00CF242E" w14:paraId="56F85A47" w14:textId="77777777"/>
    <w:p w:rsidR="00CF242E" w:rsidRDefault="00CF242E" w14:paraId="3B470D85" w14:textId="77777777"/>
    <w:p w:rsidR="00CF242E" w:rsidRDefault="00CF242E" w14:paraId="066F68CF" w14:textId="77777777"/>
    <w:p w:rsidR="7B16BC5B" w:rsidP="7B16BC5B" w:rsidRDefault="7B16BC5B" w14:paraId="2375693B" w14:textId="02B96BAC">
      <w:pPr>
        <w:pStyle w:val="Heading1"/>
        <w:rPr>
          <w:rStyle w:val="Strong"/>
          <w:rFonts w:ascii="Arial" w:hAnsi="Arial" w:cs="Arial"/>
          <w:color w:val="000000" w:themeColor="text1" w:themeTint="FF" w:themeShade="FF"/>
        </w:rPr>
      </w:pPr>
    </w:p>
    <w:p w:rsidRPr="002A2CBC" w:rsidR="00CF242E" w:rsidP="00CF242E" w:rsidRDefault="00CF242E" w14:paraId="4E73F272" w14:textId="7F31C01A">
      <w:pPr>
        <w:pStyle w:val="Heading1"/>
        <w:rPr>
          <w:rFonts w:ascii="Arial" w:hAnsi="Arial" w:cs="Arial"/>
          <w:color w:val="000000"/>
        </w:rPr>
      </w:pPr>
      <w:r w:rsidRPr="002A2CBC">
        <w:rPr>
          <w:rStyle w:val="Strong"/>
          <w:rFonts w:ascii="Arial" w:hAnsi="Arial" w:cs="Arial"/>
          <w:color w:val="000000"/>
        </w:rPr>
        <w:lastRenderedPageBreak/>
        <w:t>Reference List (Harvard Style)</w:t>
      </w:r>
    </w:p>
    <w:p w:rsidRPr="002A2CBC" w:rsidR="00CF242E" w:rsidP="00CF242E" w:rsidRDefault="00CF242E" w14:paraId="5128D342" w14:textId="77777777">
      <w:pPr>
        <w:pStyle w:val="NormalWeb"/>
        <w:rPr>
          <w:rFonts w:ascii="Arial" w:hAnsi="Arial" w:cs="Arial"/>
          <w:color w:val="000000"/>
          <w:sz w:val="22"/>
          <w:szCs w:val="22"/>
        </w:rPr>
      </w:pPr>
      <w:r w:rsidRPr="002A2CBC">
        <w:rPr>
          <w:rFonts w:ascii="Arial" w:hAnsi="Arial" w:cs="Arial"/>
          <w:color w:val="000000"/>
          <w:sz w:val="22"/>
          <w:szCs w:val="22"/>
        </w:rPr>
        <w:t>Amabile, T.M. (1996)</w:t>
      </w:r>
      <w:r w:rsidRPr="002A2CBC">
        <w:rPr>
          <w:rStyle w:val="apple-converted-space"/>
          <w:rFonts w:ascii="Arial" w:hAnsi="Arial" w:cs="Arial" w:eastAsiaTheme="majorEastAsia"/>
          <w:color w:val="000000"/>
          <w:sz w:val="22"/>
          <w:szCs w:val="22"/>
        </w:rPr>
        <w:t> </w:t>
      </w:r>
      <w:r w:rsidRPr="002A2CBC">
        <w:rPr>
          <w:rStyle w:val="Emphasis"/>
          <w:rFonts w:ascii="Arial" w:hAnsi="Arial" w:cs="Arial"/>
          <w:color w:val="000000"/>
          <w:sz w:val="22"/>
          <w:szCs w:val="22"/>
        </w:rPr>
        <w:t>Creativity in Context: Update to the Social Psychology of Creativity</w:t>
      </w:r>
      <w:r w:rsidRPr="002A2CBC">
        <w:rPr>
          <w:rFonts w:ascii="Arial" w:hAnsi="Arial" w:cs="Arial"/>
          <w:color w:val="000000"/>
          <w:sz w:val="22"/>
          <w:szCs w:val="22"/>
        </w:rPr>
        <w:t>. Boulder, CO: Westview Press.</w:t>
      </w:r>
    </w:p>
    <w:p w:rsidRPr="002A2CBC" w:rsidR="00CF242E" w:rsidP="00CF242E" w:rsidRDefault="00CF242E" w14:paraId="263D6EA2" w14:textId="77777777">
      <w:pPr>
        <w:pStyle w:val="NormalWeb"/>
        <w:rPr>
          <w:rFonts w:ascii="Arial" w:hAnsi="Arial" w:cs="Arial"/>
          <w:color w:val="000000"/>
          <w:sz w:val="22"/>
          <w:szCs w:val="22"/>
        </w:rPr>
      </w:pPr>
      <w:r w:rsidRPr="002A2CBC">
        <w:rPr>
          <w:rFonts w:ascii="Arial" w:hAnsi="Arial" w:cs="Arial"/>
          <w:color w:val="000000"/>
          <w:sz w:val="22"/>
          <w:szCs w:val="22"/>
        </w:rPr>
        <w:t>Bass, B.M. and Avolio, B.J. (1994)</w:t>
      </w:r>
      <w:r w:rsidRPr="002A2CBC">
        <w:rPr>
          <w:rStyle w:val="apple-converted-space"/>
          <w:rFonts w:ascii="Arial" w:hAnsi="Arial" w:cs="Arial" w:eastAsiaTheme="majorEastAsia"/>
          <w:color w:val="000000"/>
          <w:sz w:val="22"/>
          <w:szCs w:val="22"/>
        </w:rPr>
        <w:t> </w:t>
      </w:r>
      <w:r w:rsidRPr="002A2CBC">
        <w:rPr>
          <w:rStyle w:val="Emphasis"/>
          <w:rFonts w:ascii="Arial" w:hAnsi="Arial" w:cs="Arial"/>
          <w:color w:val="000000"/>
          <w:sz w:val="22"/>
          <w:szCs w:val="22"/>
        </w:rPr>
        <w:t>Improving Organizational Effectiveness Through Transformational Leadership</w:t>
      </w:r>
      <w:r w:rsidRPr="002A2CBC">
        <w:rPr>
          <w:rFonts w:ascii="Arial" w:hAnsi="Arial" w:cs="Arial"/>
          <w:color w:val="000000"/>
          <w:sz w:val="22"/>
          <w:szCs w:val="22"/>
        </w:rPr>
        <w:t>. Thousand Oaks, CA: Sage Publications.</w:t>
      </w:r>
    </w:p>
    <w:p w:rsidRPr="002A2CBC" w:rsidR="00CF242E" w:rsidP="00CF242E" w:rsidRDefault="00CF242E" w14:paraId="1DCA06A9" w14:textId="77777777">
      <w:pPr>
        <w:pStyle w:val="NormalWeb"/>
        <w:rPr>
          <w:rFonts w:ascii="Arial" w:hAnsi="Arial" w:cs="Arial"/>
          <w:color w:val="000000"/>
          <w:sz w:val="22"/>
          <w:szCs w:val="22"/>
        </w:rPr>
      </w:pPr>
      <w:r w:rsidRPr="002A2CBC">
        <w:rPr>
          <w:rFonts w:ascii="Arial" w:hAnsi="Arial" w:cs="Arial"/>
          <w:color w:val="000000"/>
          <w:sz w:val="22"/>
          <w:szCs w:val="22"/>
        </w:rPr>
        <w:t>Burnes, B. (2017)</w:t>
      </w:r>
      <w:r w:rsidRPr="002A2CBC">
        <w:rPr>
          <w:rStyle w:val="apple-converted-space"/>
          <w:rFonts w:ascii="Arial" w:hAnsi="Arial" w:cs="Arial" w:eastAsiaTheme="majorEastAsia"/>
          <w:color w:val="000000"/>
          <w:sz w:val="22"/>
          <w:szCs w:val="22"/>
        </w:rPr>
        <w:t> </w:t>
      </w:r>
      <w:r w:rsidRPr="002A2CBC">
        <w:rPr>
          <w:rStyle w:val="Emphasis"/>
          <w:rFonts w:ascii="Arial" w:hAnsi="Arial" w:cs="Arial"/>
          <w:color w:val="000000"/>
          <w:sz w:val="22"/>
          <w:szCs w:val="22"/>
        </w:rPr>
        <w:t>Managing Change</w:t>
      </w:r>
      <w:r w:rsidRPr="002A2CBC">
        <w:rPr>
          <w:rFonts w:ascii="Arial" w:hAnsi="Arial" w:cs="Arial"/>
          <w:color w:val="000000"/>
          <w:sz w:val="22"/>
          <w:szCs w:val="22"/>
        </w:rPr>
        <w:t xml:space="preserve">. 7th </w:t>
      </w:r>
      <w:proofErr w:type="spellStart"/>
      <w:r w:rsidRPr="002A2CBC">
        <w:rPr>
          <w:rFonts w:ascii="Arial" w:hAnsi="Arial" w:cs="Arial"/>
          <w:color w:val="000000"/>
          <w:sz w:val="22"/>
          <w:szCs w:val="22"/>
        </w:rPr>
        <w:t>edn</w:t>
      </w:r>
      <w:proofErr w:type="spellEnd"/>
      <w:r w:rsidRPr="002A2CBC">
        <w:rPr>
          <w:rFonts w:ascii="Arial" w:hAnsi="Arial" w:cs="Arial"/>
          <w:color w:val="000000"/>
          <w:sz w:val="22"/>
          <w:szCs w:val="22"/>
        </w:rPr>
        <w:t>. Harlow: Pearson.</w:t>
      </w:r>
    </w:p>
    <w:p w:rsidRPr="002A2CBC" w:rsidR="00CF242E" w:rsidP="00CF242E" w:rsidRDefault="00CF242E" w14:paraId="6A6E31A5" w14:textId="77777777">
      <w:pPr>
        <w:pStyle w:val="NormalWeb"/>
        <w:rPr>
          <w:rFonts w:ascii="Arial" w:hAnsi="Arial" w:cs="Arial"/>
          <w:color w:val="000000"/>
          <w:sz w:val="22"/>
          <w:szCs w:val="22"/>
        </w:rPr>
      </w:pPr>
      <w:proofErr w:type="spellStart"/>
      <w:r w:rsidRPr="002A2CBC">
        <w:rPr>
          <w:rFonts w:ascii="Arial" w:hAnsi="Arial" w:cs="Arial"/>
          <w:color w:val="000000"/>
          <w:sz w:val="22"/>
          <w:szCs w:val="22"/>
        </w:rPr>
        <w:t>Cropley</w:t>
      </w:r>
      <w:proofErr w:type="spellEnd"/>
      <w:r w:rsidRPr="002A2CBC">
        <w:rPr>
          <w:rFonts w:ascii="Arial" w:hAnsi="Arial" w:cs="Arial"/>
          <w:color w:val="000000"/>
          <w:sz w:val="22"/>
          <w:szCs w:val="22"/>
        </w:rPr>
        <w:t>, A. (2006) ‘In praise of convergent thinking’,</w:t>
      </w:r>
      <w:r w:rsidRPr="002A2CBC">
        <w:rPr>
          <w:rStyle w:val="apple-converted-space"/>
          <w:rFonts w:ascii="Arial" w:hAnsi="Arial" w:cs="Arial" w:eastAsiaTheme="majorEastAsia"/>
          <w:color w:val="000000"/>
          <w:sz w:val="22"/>
          <w:szCs w:val="22"/>
        </w:rPr>
        <w:t> </w:t>
      </w:r>
      <w:r w:rsidRPr="002A2CBC">
        <w:rPr>
          <w:rStyle w:val="Emphasis"/>
          <w:rFonts w:ascii="Arial" w:hAnsi="Arial" w:cs="Arial"/>
          <w:color w:val="000000"/>
          <w:sz w:val="22"/>
          <w:szCs w:val="22"/>
        </w:rPr>
        <w:t>Creativity Research Journal</w:t>
      </w:r>
      <w:r w:rsidRPr="002A2CBC">
        <w:rPr>
          <w:rFonts w:ascii="Arial" w:hAnsi="Arial" w:cs="Arial"/>
          <w:color w:val="000000"/>
          <w:sz w:val="22"/>
          <w:szCs w:val="22"/>
        </w:rPr>
        <w:t>, 18(3), pp.391–404.</w:t>
      </w:r>
    </w:p>
    <w:p w:rsidRPr="002A2CBC" w:rsidR="00CF242E" w:rsidP="00CF242E" w:rsidRDefault="00CF242E" w14:paraId="2073863F" w14:textId="77777777">
      <w:pPr>
        <w:pStyle w:val="NormalWeb"/>
        <w:rPr>
          <w:rFonts w:ascii="Arial" w:hAnsi="Arial" w:cs="Arial"/>
          <w:color w:val="000000"/>
          <w:sz w:val="22"/>
          <w:szCs w:val="22"/>
        </w:rPr>
      </w:pPr>
      <w:proofErr w:type="spellStart"/>
      <w:r w:rsidRPr="002A2CBC">
        <w:rPr>
          <w:rFonts w:ascii="Arial" w:hAnsi="Arial" w:cs="Arial"/>
          <w:color w:val="000000"/>
          <w:sz w:val="22"/>
          <w:szCs w:val="22"/>
        </w:rPr>
        <w:t>Dall’Ora</w:t>
      </w:r>
      <w:proofErr w:type="spellEnd"/>
      <w:r w:rsidRPr="002A2CBC">
        <w:rPr>
          <w:rFonts w:ascii="Arial" w:hAnsi="Arial" w:cs="Arial"/>
          <w:color w:val="000000"/>
          <w:sz w:val="22"/>
          <w:szCs w:val="22"/>
        </w:rPr>
        <w:t xml:space="preserve">, C., Ball, J., </w:t>
      </w:r>
      <w:proofErr w:type="spellStart"/>
      <w:r w:rsidRPr="002A2CBC">
        <w:rPr>
          <w:rFonts w:ascii="Arial" w:hAnsi="Arial" w:cs="Arial"/>
          <w:color w:val="000000"/>
          <w:sz w:val="22"/>
          <w:szCs w:val="22"/>
        </w:rPr>
        <w:t>Reinius</w:t>
      </w:r>
      <w:proofErr w:type="spellEnd"/>
      <w:r w:rsidRPr="002A2CBC">
        <w:rPr>
          <w:rFonts w:ascii="Arial" w:hAnsi="Arial" w:cs="Arial"/>
          <w:color w:val="000000"/>
          <w:sz w:val="22"/>
          <w:szCs w:val="22"/>
        </w:rPr>
        <w:t>, M. and Griffiths, P. (2020) ‘Burnout in nursing: a theoretical review’,</w:t>
      </w:r>
      <w:r w:rsidRPr="002A2CBC">
        <w:rPr>
          <w:rStyle w:val="apple-converted-space"/>
          <w:rFonts w:ascii="Arial" w:hAnsi="Arial" w:cs="Arial" w:eastAsiaTheme="majorEastAsia"/>
          <w:color w:val="000000"/>
          <w:sz w:val="22"/>
          <w:szCs w:val="22"/>
        </w:rPr>
        <w:t> </w:t>
      </w:r>
      <w:r w:rsidRPr="002A2CBC">
        <w:rPr>
          <w:rStyle w:val="Emphasis"/>
          <w:rFonts w:ascii="Arial" w:hAnsi="Arial" w:cs="Arial"/>
          <w:color w:val="000000"/>
          <w:sz w:val="22"/>
          <w:szCs w:val="22"/>
        </w:rPr>
        <w:t>Human Resources for Health</w:t>
      </w:r>
      <w:r w:rsidRPr="002A2CBC">
        <w:rPr>
          <w:rFonts w:ascii="Arial" w:hAnsi="Arial" w:cs="Arial"/>
          <w:color w:val="000000"/>
          <w:sz w:val="22"/>
          <w:szCs w:val="22"/>
        </w:rPr>
        <w:t>, 18, Article 41.</w:t>
      </w:r>
    </w:p>
    <w:p w:rsidRPr="002A2CBC" w:rsidR="00CF242E" w:rsidP="00CF242E" w:rsidRDefault="00CF242E" w14:paraId="0AF1E9AB" w14:textId="77777777">
      <w:pPr>
        <w:pStyle w:val="NormalWeb"/>
        <w:rPr>
          <w:rFonts w:ascii="Arial" w:hAnsi="Arial" w:cs="Arial"/>
          <w:color w:val="000000"/>
          <w:sz w:val="22"/>
          <w:szCs w:val="22"/>
        </w:rPr>
      </w:pPr>
      <w:r w:rsidRPr="002A2CBC">
        <w:rPr>
          <w:rFonts w:ascii="Arial" w:hAnsi="Arial" w:cs="Arial"/>
          <w:color w:val="000000"/>
          <w:sz w:val="22"/>
          <w:szCs w:val="22"/>
        </w:rPr>
        <w:t>Davis, F.D. (1989) ‘Perceived usefulness, perceived ease of use, and user acceptance of information technology’,</w:t>
      </w:r>
      <w:r w:rsidRPr="002A2CBC">
        <w:rPr>
          <w:rStyle w:val="apple-converted-space"/>
          <w:rFonts w:ascii="Arial" w:hAnsi="Arial" w:cs="Arial" w:eastAsiaTheme="majorEastAsia"/>
          <w:color w:val="000000"/>
          <w:sz w:val="22"/>
          <w:szCs w:val="22"/>
        </w:rPr>
        <w:t> </w:t>
      </w:r>
      <w:r w:rsidRPr="002A2CBC">
        <w:rPr>
          <w:rStyle w:val="Emphasis"/>
          <w:rFonts w:ascii="Arial" w:hAnsi="Arial" w:cs="Arial"/>
          <w:color w:val="000000"/>
          <w:sz w:val="22"/>
          <w:szCs w:val="22"/>
        </w:rPr>
        <w:t>MIS Quarterly</w:t>
      </w:r>
      <w:r w:rsidRPr="002A2CBC">
        <w:rPr>
          <w:rFonts w:ascii="Arial" w:hAnsi="Arial" w:cs="Arial"/>
          <w:color w:val="000000"/>
          <w:sz w:val="22"/>
          <w:szCs w:val="22"/>
        </w:rPr>
        <w:t>, 13(3), pp.319–340.</w:t>
      </w:r>
    </w:p>
    <w:p w:rsidRPr="002A2CBC" w:rsidR="00CF242E" w:rsidP="00CF242E" w:rsidRDefault="00CF242E" w14:paraId="7D9E033C" w14:textId="77777777">
      <w:pPr>
        <w:pStyle w:val="NormalWeb"/>
        <w:rPr>
          <w:rFonts w:ascii="Arial" w:hAnsi="Arial" w:cs="Arial"/>
          <w:color w:val="000000"/>
          <w:sz w:val="22"/>
          <w:szCs w:val="22"/>
        </w:rPr>
      </w:pPr>
      <w:r w:rsidRPr="002A2CBC">
        <w:rPr>
          <w:rFonts w:ascii="Arial" w:hAnsi="Arial" w:cs="Arial"/>
          <w:color w:val="000000"/>
          <w:sz w:val="22"/>
          <w:szCs w:val="22"/>
        </w:rPr>
        <w:t>Gibbs, G. (1988)</w:t>
      </w:r>
      <w:r w:rsidRPr="002A2CBC">
        <w:rPr>
          <w:rStyle w:val="apple-converted-space"/>
          <w:rFonts w:ascii="Arial" w:hAnsi="Arial" w:cs="Arial" w:eastAsiaTheme="majorEastAsia"/>
          <w:color w:val="000000"/>
          <w:sz w:val="22"/>
          <w:szCs w:val="22"/>
        </w:rPr>
        <w:t> </w:t>
      </w:r>
      <w:r w:rsidRPr="002A2CBC">
        <w:rPr>
          <w:rStyle w:val="Emphasis"/>
          <w:rFonts w:ascii="Arial" w:hAnsi="Arial" w:cs="Arial"/>
          <w:color w:val="000000"/>
          <w:sz w:val="22"/>
          <w:szCs w:val="22"/>
        </w:rPr>
        <w:t>Learning by Doing: A Guide to Teaching and Learning Methods</w:t>
      </w:r>
      <w:r w:rsidRPr="002A2CBC">
        <w:rPr>
          <w:rFonts w:ascii="Arial" w:hAnsi="Arial" w:cs="Arial"/>
          <w:color w:val="000000"/>
          <w:sz w:val="22"/>
          <w:szCs w:val="22"/>
        </w:rPr>
        <w:t>. Oxford: Oxford Polytechnic.</w:t>
      </w:r>
    </w:p>
    <w:p w:rsidRPr="002A2CBC" w:rsidR="00CF242E" w:rsidP="00CF242E" w:rsidRDefault="00CF242E" w14:paraId="31EF04E4" w14:textId="77777777">
      <w:pPr>
        <w:pStyle w:val="NormalWeb"/>
        <w:rPr>
          <w:rFonts w:ascii="Arial" w:hAnsi="Arial" w:cs="Arial"/>
          <w:color w:val="000000"/>
          <w:sz w:val="22"/>
          <w:szCs w:val="22"/>
        </w:rPr>
      </w:pPr>
      <w:r w:rsidRPr="002A2CBC">
        <w:rPr>
          <w:rFonts w:ascii="Arial" w:hAnsi="Arial" w:cs="Arial"/>
          <w:color w:val="000000"/>
          <w:sz w:val="22"/>
          <w:szCs w:val="22"/>
        </w:rPr>
        <w:t>Lewin, K. (1951)</w:t>
      </w:r>
      <w:r w:rsidRPr="002A2CBC">
        <w:rPr>
          <w:rStyle w:val="apple-converted-space"/>
          <w:rFonts w:ascii="Arial" w:hAnsi="Arial" w:cs="Arial" w:eastAsiaTheme="majorEastAsia"/>
          <w:color w:val="000000"/>
          <w:sz w:val="22"/>
          <w:szCs w:val="22"/>
        </w:rPr>
        <w:t> </w:t>
      </w:r>
      <w:r w:rsidRPr="002A2CBC">
        <w:rPr>
          <w:rStyle w:val="Emphasis"/>
          <w:rFonts w:ascii="Arial" w:hAnsi="Arial" w:cs="Arial"/>
          <w:color w:val="000000"/>
          <w:sz w:val="22"/>
          <w:szCs w:val="22"/>
        </w:rPr>
        <w:t>Field Theory in Social Science: Selected Theoretical Papers</w:t>
      </w:r>
      <w:r w:rsidRPr="002A2CBC">
        <w:rPr>
          <w:rFonts w:ascii="Arial" w:hAnsi="Arial" w:cs="Arial"/>
          <w:color w:val="000000"/>
          <w:sz w:val="22"/>
          <w:szCs w:val="22"/>
        </w:rPr>
        <w:t>. New York: Harper &amp; Row.</w:t>
      </w:r>
    </w:p>
    <w:p w:rsidRPr="002A2CBC" w:rsidR="00CF242E" w:rsidP="00CF242E" w:rsidRDefault="00CF242E" w14:paraId="399B6E7A" w14:textId="77777777">
      <w:pPr>
        <w:pStyle w:val="NormalWeb"/>
        <w:rPr>
          <w:rFonts w:ascii="Arial" w:hAnsi="Arial" w:cs="Arial"/>
          <w:color w:val="000000"/>
          <w:sz w:val="22"/>
          <w:szCs w:val="22"/>
        </w:rPr>
      </w:pPr>
      <w:r w:rsidRPr="002A2CBC">
        <w:rPr>
          <w:rFonts w:ascii="Arial" w:hAnsi="Arial" w:cs="Arial"/>
          <w:color w:val="000000"/>
          <w:sz w:val="22"/>
          <w:szCs w:val="22"/>
        </w:rPr>
        <w:t>Maslach, C. and Leiter, M.P. (2016) ‘Understanding the burnout experience: Recent research and its implications for psychiatry’,</w:t>
      </w:r>
      <w:r w:rsidRPr="002A2CBC">
        <w:rPr>
          <w:rStyle w:val="apple-converted-space"/>
          <w:rFonts w:ascii="Arial" w:hAnsi="Arial" w:cs="Arial" w:eastAsiaTheme="majorEastAsia"/>
          <w:color w:val="000000"/>
          <w:sz w:val="22"/>
          <w:szCs w:val="22"/>
        </w:rPr>
        <w:t> </w:t>
      </w:r>
      <w:r w:rsidRPr="002A2CBC">
        <w:rPr>
          <w:rStyle w:val="Emphasis"/>
          <w:rFonts w:ascii="Arial" w:hAnsi="Arial" w:cs="Arial"/>
          <w:color w:val="000000"/>
          <w:sz w:val="22"/>
          <w:szCs w:val="22"/>
        </w:rPr>
        <w:t>World Psychiatry</w:t>
      </w:r>
      <w:r w:rsidRPr="002A2CBC">
        <w:rPr>
          <w:rFonts w:ascii="Arial" w:hAnsi="Arial" w:cs="Arial"/>
          <w:color w:val="000000"/>
          <w:sz w:val="22"/>
          <w:szCs w:val="22"/>
        </w:rPr>
        <w:t>, 15(2), pp.103–111.</w:t>
      </w:r>
    </w:p>
    <w:p w:rsidRPr="002A2CBC" w:rsidR="00CF242E" w:rsidP="00CF242E" w:rsidRDefault="00CF242E" w14:paraId="1AEA1B62" w14:textId="77777777">
      <w:pPr>
        <w:pStyle w:val="NormalWeb"/>
        <w:rPr>
          <w:rFonts w:ascii="Arial" w:hAnsi="Arial" w:cs="Arial"/>
          <w:color w:val="000000"/>
          <w:sz w:val="22"/>
          <w:szCs w:val="22"/>
        </w:rPr>
      </w:pPr>
      <w:r w:rsidRPr="002A2CBC">
        <w:rPr>
          <w:rFonts w:ascii="Arial" w:hAnsi="Arial" w:cs="Arial"/>
          <w:color w:val="000000"/>
          <w:sz w:val="22"/>
          <w:szCs w:val="22"/>
        </w:rPr>
        <w:t>Meadows, D.H. (2008)</w:t>
      </w:r>
      <w:r w:rsidRPr="002A2CBC">
        <w:rPr>
          <w:rStyle w:val="apple-converted-space"/>
          <w:rFonts w:ascii="Arial" w:hAnsi="Arial" w:cs="Arial" w:eastAsiaTheme="majorEastAsia"/>
          <w:color w:val="000000"/>
          <w:sz w:val="22"/>
          <w:szCs w:val="22"/>
        </w:rPr>
        <w:t> </w:t>
      </w:r>
      <w:r w:rsidRPr="002A2CBC">
        <w:rPr>
          <w:rStyle w:val="Emphasis"/>
          <w:rFonts w:ascii="Arial" w:hAnsi="Arial" w:cs="Arial"/>
          <w:color w:val="000000"/>
          <w:sz w:val="22"/>
          <w:szCs w:val="22"/>
        </w:rPr>
        <w:t>Thinking in Systems: A Primer</w:t>
      </w:r>
      <w:r w:rsidRPr="002A2CBC">
        <w:rPr>
          <w:rFonts w:ascii="Arial" w:hAnsi="Arial" w:cs="Arial"/>
          <w:color w:val="000000"/>
          <w:sz w:val="22"/>
          <w:szCs w:val="22"/>
        </w:rPr>
        <w:t>. White River Junction, VT: Chelsea Green Publishing.</w:t>
      </w:r>
    </w:p>
    <w:p w:rsidRPr="002A2CBC" w:rsidR="00CF242E" w:rsidP="00CF242E" w:rsidRDefault="00CF242E" w14:paraId="22294902" w14:textId="77777777">
      <w:pPr>
        <w:pStyle w:val="NormalWeb"/>
        <w:rPr>
          <w:rFonts w:ascii="Arial" w:hAnsi="Arial" w:cs="Arial"/>
          <w:color w:val="000000"/>
          <w:sz w:val="22"/>
          <w:szCs w:val="22"/>
        </w:rPr>
      </w:pPr>
      <w:r w:rsidRPr="002A2CBC">
        <w:rPr>
          <w:rFonts w:ascii="Arial" w:hAnsi="Arial" w:cs="Arial"/>
          <w:color w:val="000000"/>
          <w:sz w:val="22"/>
          <w:szCs w:val="22"/>
        </w:rPr>
        <w:t>NHS England (2024a)</w:t>
      </w:r>
      <w:r w:rsidRPr="002A2CBC">
        <w:rPr>
          <w:rStyle w:val="apple-converted-space"/>
          <w:rFonts w:ascii="Arial" w:hAnsi="Arial" w:cs="Arial" w:eastAsiaTheme="majorEastAsia"/>
          <w:color w:val="000000"/>
          <w:sz w:val="22"/>
          <w:szCs w:val="22"/>
        </w:rPr>
        <w:t> </w:t>
      </w:r>
      <w:r w:rsidRPr="002A2CBC">
        <w:rPr>
          <w:rStyle w:val="Emphasis"/>
          <w:rFonts w:ascii="Arial" w:hAnsi="Arial" w:cs="Arial"/>
          <w:color w:val="000000"/>
          <w:sz w:val="22"/>
          <w:szCs w:val="22"/>
        </w:rPr>
        <w:t>Virtual wards</w:t>
      </w:r>
      <w:r w:rsidRPr="002A2CBC">
        <w:rPr>
          <w:rFonts w:ascii="Arial" w:hAnsi="Arial" w:cs="Arial"/>
          <w:color w:val="000000"/>
          <w:sz w:val="22"/>
          <w:szCs w:val="22"/>
        </w:rPr>
        <w:t>. Available at:</w:t>
      </w:r>
      <w:r w:rsidRPr="002A2CBC">
        <w:rPr>
          <w:rStyle w:val="apple-converted-space"/>
          <w:rFonts w:ascii="Arial" w:hAnsi="Arial" w:cs="Arial" w:eastAsiaTheme="majorEastAsia"/>
          <w:color w:val="000000"/>
          <w:sz w:val="22"/>
          <w:szCs w:val="22"/>
        </w:rPr>
        <w:t> </w:t>
      </w:r>
      <w:hyperlink w:tgtFrame="_new" w:history="1" r:id="rId7">
        <w:r w:rsidRPr="002A2CBC">
          <w:rPr>
            <w:rStyle w:val="Hyperlink"/>
            <w:rFonts w:ascii="Arial" w:hAnsi="Arial" w:cs="Arial"/>
            <w:sz w:val="22"/>
            <w:szCs w:val="22"/>
          </w:rPr>
          <w:t>https://www.england.nhs.uk/virtual-wards/</w:t>
        </w:r>
      </w:hyperlink>
      <w:r w:rsidRPr="002A2CBC">
        <w:rPr>
          <w:rStyle w:val="apple-converted-space"/>
          <w:rFonts w:ascii="Arial" w:hAnsi="Arial" w:cs="Arial" w:eastAsiaTheme="majorEastAsia"/>
          <w:color w:val="000000"/>
          <w:sz w:val="22"/>
          <w:szCs w:val="22"/>
        </w:rPr>
        <w:t> </w:t>
      </w:r>
      <w:r w:rsidRPr="002A2CBC">
        <w:rPr>
          <w:rFonts w:ascii="Arial" w:hAnsi="Arial" w:cs="Arial"/>
          <w:color w:val="000000"/>
          <w:sz w:val="22"/>
          <w:szCs w:val="22"/>
        </w:rPr>
        <w:t>(Accessed: 19 June 2026).</w:t>
      </w:r>
    </w:p>
    <w:p w:rsidRPr="002A2CBC" w:rsidR="00CF242E" w:rsidP="00CF242E" w:rsidRDefault="00CF242E" w14:paraId="24E2935E" w14:textId="77777777">
      <w:pPr>
        <w:pStyle w:val="NormalWeb"/>
        <w:rPr>
          <w:rFonts w:ascii="Arial" w:hAnsi="Arial" w:cs="Arial"/>
          <w:color w:val="000000"/>
          <w:sz w:val="22"/>
          <w:szCs w:val="22"/>
        </w:rPr>
      </w:pPr>
      <w:r w:rsidRPr="002A2CBC">
        <w:rPr>
          <w:rFonts w:ascii="Arial" w:hAnsi="Arial" w:cs="Arial"/>
          <w:color w:val="000000"/>
          <w:sz w:val="22"/>
          <w:szCs w:val="22"/>
        </w:rPr>
        <w:t>NHS England (2024b)</w:t>
      </w:r>
      <w:r w:rsidRPr="002A2CBC">
        <w:rPr>
          <w:rStyle w:val="apple-converted-space"/>
          <w:rFonts w:ascii="Arial" w:hAnsi="Arial" w:cs="Arial" w:eastAsiaTheme="majorEastAsia"/>
          <w:color w:val="000000"/>
          <w:sz w:val="22"/>
          <w:szCs w:val="22"/>
        </w:rPr>
        <w:t> </w:t>
      </w:r>
      <w:r w:rsidRPr="002A2CBC">
        <w:rPr>
          <w:rStyle w:val="Emphasis"/>
          <w:rFonts w:ascii="Arial" w:hAnsi="Arial" w:cs="Arial"/>
          <w:color w:val="000000"/>
          <w:sz w:val="22"/>
          <w:szCs w:val="22"/>
        </w:rPr>
        <w:t>Virtual wards operational framework</w:t>
      </w:r>
      <w:r w:rsidRPr="002A2CBC">
        <w:rPr>
          <w:rFonts w:ascii="Arial" w:hAnsi="Arial" w:cs="Arial"/>
          <w:color w:val="000000"/>
          <w:sz w:val="22"/>
          <w:szCs w:val="22"/>
        </w:rPr>
        <w:t>. Available at:</w:t>
      </w:r>
      <w:r w:rsidRPr="002A2CBC">
        <w:rPr>
          <w:rStyle w:val="apple-converted-space"/>
          <w:rFonts w:ascii="Arial" w:hAnsi="Arial" w:cs="Arial" w:eastAsiaTheme="majorEastAsia"/>
          <w:color w:val="000000"/>
          <w:sz w:val="22"/>
          <w:szCs w:val="22"/>
        </w:rPr>
        <w:t> </w:t>
      </w:r>
      <w:hyperlink w:tgtFrame="_new" w:history="1" r:id="rId8">
        <w:r w:rsidRPr="002A2CBC">
          <w:rPr>
            <w:rStyle w:val="Hyperlink"/>
            <w:rFonts w:ascii="Arial" w:hAnsi="Arial" w:cs="Arial"/>
            <w:sz w:val="22"/>
            <w:szCs w:val="22"/>
          </w:rPr>
          <w:t>https://www.england.nhs.uk/</w:t>
        </w:r>
      </w:hyperlink>
      <w:r w:rsidRPr="002A2CBC">
        <w:rPr>
          <w:rStyle w:val="apple-converted-space"/>
          <w:rFonts w:ascii="Arial" w:hAnsi="Arial" w:cs="Arial" w:eastAsiaTheme="majorEastAsia"/>
          <w:color w:val="000000"/>
          <w:sz w:val="22"/>
          <w:szCs w:val="22"/>
        </w:rPr>
        <w:t> </w:t>
      </w:r>
      <w:r w:rsidRPr="002A2CBC">
        <w:rPr>
          <w:rFonts w:ascii="Arial" w:hAnsi="Arial" w:cs="Arial"/>
          <w:color w:val="000000"/>
          <w:sz w:val="22"/>
          <w:szCs w:val="22"/>
        </w:rPr>
        <w:t>(Accessed: 19 June 2026).</w:t>
      </w:r>
    </w:p>
    <w:p w:rsidRPr="002A2CBC" w:rsidR="00CF242E" w:rsidP="00CF242E" w:rsidRDefault="00CF242E" w14:paraId="233C351F" w14:textId="77777777">
      <w:pPr>
        <w:pStyle w:val="NormalWeb"/>
        <w:rPr>
          <w:rFonts w:ascii="Arial" w:hAnsi="Arial" w:cs="Arial"/>
          <w:color w:val="000000"/>
          <w:sz w:val="22"/>
          <w:szCs w:val="22"/>
        </w:rPr>
      </w:pPr>
      <w:r w:rsidRPr="002A2CBC">
        <w:rPr>
          <w:rFonts w:ascii="Arial" w:hAnsi="Arial" w:cs="Arial"/>
          <w:color w:val="000000"/>
          <w:sz w:val="22"/>
          <w:szCs w:val="22"/>
        </w:rPr>
        <w:t>NHS Leadership Academy (2013)</w:t>
      </w:r>
      <w:r w:rsidRPr="002A2CBC">
        <w:rPr>
          <w:rStyle w:val="apple-converted-space"/>
          <w:rFonts w:ascii="Arial" w:hAnsi="Arial" w:cs="Arial" w:eastAsiaTheme="majorEastAsia"/>
          <w:color w:val="000000"/>
          <w:sz w:val="22"/>
          <w:szCs w:val="22"/>
        </w:rPr>
        <w:t> </w:t>
      </w:r>
      <w:r w:rsidRPr="002A2CBC">
        <w:rPr>
          <w:rStyle w:val="Emphasis"/>
          <w:rFonts w:ascii="Arial" w:hAnsi="Arial" w:cs="Arial"/>
          <w:color w:val="000000"/>
          <w:sz w:val="22"/>
          <w:szCs w:val="22"/>
        </w:rPr>
        <w:t>Healthcare Leadership Model: The Nine Dimensions of Leadership Behaviour</w:t>
      </w:r>
      <w:r w:rsidRPr="002A2CBC">
        <w:rPr>
          <w:rFonts w:ascii="Arial" w:hAnsi="Arial" w:cs="Arial"/>
          <w:color w:val="000000"/>
          <w:sz w:val="22"/>
          <w:szCs w:val="22"/>
        </w:rPr>
        <w:t>. London: NHS Leadership Academy.</w:t>
      </w:r>
    </w:p>
    <w:p w:rsidRPr="002A2CBC" w:rsidR="00CF242E" w:rsidP="00CF242E" w:rsidRDefault="00CF242E" w14:paraId="57CEB409" w14:textId="77777777">
      <w:pPr>
        <w:pStyle w:val="NormalWeb"/>
        <w:rPr>
          <w:rFonts w:ascii="Arial" w:hAnsi="Arial" w:cs="Arial"/>
          <w:color w:val="000000"/>
          <w:sz w:val="22"/>
          <w:szCs w:val="22"/>
        </w:rPr>
      </w:pPr>
      <w:r w:rsidRPr="002A2CBC">
        <w:rPr>
          <w:rFonts w:ascii="Arial" w:hAnsi="Arial" w:cs="Arial"/>
          <w:color w:val="000000"/>
          <w:sz w:val="22"/>
          <w:szCs w:val="22"/>
        </w:rPr>
        <w:t>Porter, M.E. (2010) ‘What is value in health care?’,</w:t>
      </w:r>
      <w:r w:rsidRPr="002A2CBC">
        <w:rPr>
          <w:rStyle w:val="apple-converted-space"/>
          <w:rFonts w:ascii="Arial" w:hAnsi="Arial" w:cs="Arial" w:eastAsiaTheme="majorEastAsia"/>
          <w:color w:val="000000"/>
          <w:sz w:val="22"/>
          <w:szCs w:val="22"/>
        </w:rPr>
        <w:t> </w:t>
      </w:r>
      <w:r w:rsidRPr="002A2CBC">
        <w:rPr>
          <w:rStyle w:val="Emphasis"/>
          <w:rFonts w:ascii="Arial" w:hAnsi="Arial" w:cs="Arial"/>
          <w:color w:val="000000"/>
          <w:sz w:val="22"/>
          <w:szCs w:val="22"/>
        </w:rPr>
        <w:t>New England Journal of Medicine</w:t>
      </w:r>
      <w:r w:rsidRPr="002A2CBC">
        <w:rPr>
          <w:rFonts w:ascii="Arial" w:hAnsi="Arial" w:cs="Arial"/>
          <w:color w:val="000000"/>
          <w:sz w:val="22"/>
          <w:szCs w:val="22"/>
        </w:rPr>
        <w:t>, 363(26), pp.2477–2481.</w:t>
      </w:r>
    </w:p>
    <w:p w:rsidRPr="002A2CBC" w:rsidR="00CF242E" w:rsidP="002A2CBC" w:rsidRDefault="00CF242E" w14:paraId="6BB9B57A" w14:textId="02F34EC8">
      <w:pPr>
        <w:pStyle w:val="NormalWeb"/>
        <w:rPr>
          <w:rFonts w:ascii="Arial" w:hAnsi="Arial" w:cs="Arial"/>
          <w:color w:val="000000"/>
          <w:sz w:val="22"/>
          <w:szCs w:val="22"/>
        </w:rPr>
      </w:pPr>
      <w:r w:rsidRPr="002A2CBC">
        <w:rPr>
          <w:rFonts w:ascii="Arial" w:hAnsi="Arial" w:cs="Arial"/>
          <w:color w:val="000000"/>
          <w:sz w:val="22"/>
          <w:szCs w:val="22"/>
        </w:rPr>
        <w:t>Rogers, E.M. (2003)</w:t>
      </w:r>
      <w:r w:rsidRPr="002A2CBC">
        <w:rPr>
          <w:rStyle w:val="apple-converted-space"/>
          <w:rFonts w:ascii="Arial" w:hAnsi="Arial" w:cs="Arial" w:eastAsiaTheme="majorEastAsia"/>
          <w:color w:val="000000"/>
          <w:sz w:val="22"/>
          <w:szCs w:val="22"/>
        </w:rPr>
        <w:t> </w:t>
      </w:r>
      <w:r w:rsidRPr="002A2CBC">
        <w:rPr>
          <w:rStyle w:val="Emphasis"/>
          <w:rFonts w:ascii="Arial" w:hAnsi="Arial" w:cs="Arial"/>
          <w:color w:val="000000"/>
          <w:sz w:val="22"/>
          <w:szCs w:val="22"/>
        </w:rPr>
        <w:t>Diffusion of Innovations</w:t>
      </w:r>
      <w:r w:rsidRPr="002A2CBC">
        <w:rPr>
          <w:rFonts w:ascii="Arial" w:hAnsi="Arial" w:cs="Arial"/>
          <w:color w:val="000000"/>
          <w:sz w:val="22"/>
          <w:szCs w:val="22"/>
        </w:rPr>
        <w:t xml:space="preserve">. 5th </w:t>
      </w:r>
      <w:proofErr w:type="spellStart"/>
      <w:r w:rsidRPr="002A2CBC">
        <w:rPr>
          <w:rFonts w:ascii="Arial" w:hAnsi="Arial" w:cs="Arial"/>
          <w:color w:val="000000"/>
          <w:sz w:val="22"/>
          <w:szCs w:val="22"/>
        </w:rPr>
        <w:t>edn</w:t>
      </w:r>
      <w:proofErr w:type="spellEnd"/>
      <w:r w:rsidRPr="002A2CBC">
        <w:rPr>
          <w:rFonts w:ascii="Arial" w:hAnsi="Arial" w:cs="Arial"/>
          <w:color w:val="000000"/>
          <w:sz w:val="22"/>
          <w:szCs w:val="22"/>
        </w:rPr>
        <w:t>. New York: Free Press.</w:t>
      </w:r>
    </w:p>
    <w:sectPr w:rsidRPr="002A2CBC" w:rsidR="00CF242E">
      <w:footerReference w:type="even" r:id="rId9"/>
      <w:footerReference w:type="default" r:id="rId10"/>
      <w:pgSz w:w="11906" w:h="16838" w:orient="portrait"/>
      <w:pgMar w:top="1440" w:right="1440" w:bottom="1440" w:left="1440" w:header="708" w:footer="708" w:gutter="0"/>
      <w:cols w:space="708"/>
      <w:docGrid w:linePitch="360"/>
      <w:headerReference w:type="default" r:id="Rd5baeed862f449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951C2" w:rsidP="002A2CBC" w:rsidRDefault="008951C2" w14:paraId="77B62B13" w14:textId="77777777">
      <w:r>
        <w:separator/>
      </w:r>
    </w:p>
  </w:endnote>
  <w:endnote w:type="continuationSeparator" w:id="0">
    <w:p w:rsidR="008951C2" w:rsidP="002A2CBC" w:rsidRDefault="008951C2" w14:paraId="59AD22B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5253253"/>
      <w:docPartObj>
        <w:docPartGallery w:val="Page Numbers (Bottom of Page)"/>
        <w:docPartUnique/>
      </w:docPartObj>
    </w:sdtPr>
    <w:sdtContent>
      <w:p w:rsidR="002A2CBC" w:rsidP="0084737C" w:rsidRDefault="002A2CBC" w14:paraId="5CE54F1E" w14:textId="31F7EB68">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EndPr>
      <w:rPr>
        <w:rStyle w:val="PageNumber"/>
      </w:rPr>
    </w:sdtEndPr>
  </w:sdt>
  <w:p w:rsidR="002A2CBC" w:rsidP="002A2CBC" w:rsidRDefault="002A2CBC" w14:paraId="5BF83A66"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57ADC628" w:rsidP="57ADC628" w:rsidRDefault="57ADC628" w14:paraId="647B05FF" w14:textId="0CB8A27E">
    <w:pPr>
      <w:pStyle w:val="Footer"/>
      <w:jc w:val="right"/>
    </w:pPr>
    <w:r>
      <w:fldChar w:fldCharType="begin"/>
    </w:r>
    <w:r>
      <w:instrText xml:space="preserve">PAGE</w:instrText>
    </w:r>
    <w:r>
      <w:fldChar w:fldCharType="separate"/>
    </w:r>
    <w:r>
      <w:fldChar w:fldCharType="end"/>
    </w:r>
  </w:p>
  <w:sdt>
    <w:sdtPr>
      <w:rPr>
        <w:rStyle w:val="PageNumber"/>
      </w:rPr>
      <w:id w:val="1980960078"/>
      <w:docPartObj>
        <w:docPartGallery w:val="Page Numbers (Bottom of Page)"/>
        <w:docPartUnique/>
      </w:docPartObj>
    </w:sdtPr>
    <w:sdtContent>
      <w:p w:rsidR="002A2CBC" w:rsidP="57ADC628" w:rsidRDefault="002A2CBC" w14:paraId="72FE9A46" w14:textId="7D0176C1">
        <w:pPr>
          <w:pStyle w:val="Footer"/>
          <w:framePr w:wrap="none" w:hAnchor="margin" w:vAnchor="text" w:xAlign="right" w:y="1"/>
          <w:rPr>
            <w:rStyle w:val="PageNumber"/>
            <w:noProof/>
          </w:rPr>
        </w:pPr>
      </w:p>
    </w:sdtContent>
    <w:sdtEndPr>
      <w:rPr>
        <w:rStyle w:val="PageNumber"/>
      </w:rPr>
    </w:sdtEndPr>
  </w:sdt>
  <w:p w:rsidR="002A2CBC" w:rsidP="002A2CBC" w:rsidRDefault="002A2CBC" w14:paraId="3686F8AB"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951C2" w:rsidP="002A2CBC" w:rsidRDefault="008951C2" w14:paraId="40C36AE3" w14:textId="77777777">
      <w:r>
        <w:separator/>
      </w:r>
    </w:p>
  </w:footnote>
  <w:footnote w:type="continuationSeparator" w:id="0">
    <w:p w:rsidR="008951C2" w:rsidP="002A2CBC" w:rsidRDefault="008951C2" w14:paraId="23C38D85" w14:textId="77777777">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7ADC628" w:rsidTr="57ADC628" w14:paraId="6078A05B">
      <w:trPr>
        <w:trHeight w:val="300"/>
      </w:trPr>
      <w:tc>
        <w:tcPr>
          <w:tcW w:w="3005" w:type="dxa"/>
          <w:tcMar/>
        </w:tcPr>
        <w:p w:rsidR="57ADC628" w:rsidP="57ADC628" w:rsidRDefault="57ADC628" w14:paraId="7B944BCD" w14:textId="305A3A58">
          <w:pPr>
            <w:pStyle w:val="Header"/>
            <w:bidi w:val="0"/>
            <w:ind w:left="-115"/>
            <w:jc w:val="left"/>
          </w:pPr>
        </w:p>
      </w:tc>
      <w:tc>
        <w:tcPr>
          <w:tcW w:w="3005" w:type="dxa"/>
          <w:tcMar/>
        </w:tcPr>
        <w:p w:rsidR="57ADC628" w:rsidP="57ADC628" w:rsidRDefault="57ADC628" w14:paraId="1AC73742" w14:textId="34279E4A">
          <w:pPr>
            <w:pStyle w:val="Header"/>
            <w:bidi w:val="0"/>
            <w:jc w:val="center"/>
          </w:pPr>
        </w:p>
      </w:tc>
      <w:tc>
        <w:tcPr>
          <w:tcW w:w="3005" w:type="dxa"/>
          <w:tcMar/>
        </w:tcPr>
        <w:p w:rsidR="57ADC628" w:rsidP="57ADC628" w:rsidRDefault="57ADC628" w14:paraId="296778E4" w14:textId="1FDB7FB4">
          <w:pPr>
            <w:pStyle w:val="Header"/>
            <w:bidi w:val="0"/>
            <w:ind w:right="-115"/>
            <w:jc w:val="right"/>
          </w:pPr>
        </w:p>
      </w:tc>
    </w:tr>
  </w:tbl>
  <w:p w:rsidR="57ADC628" w:rsidP="57ADC628" w:rsidRDefault="57ADC628" w14:paraId="5DBE72DB" w14:textId="7BB5991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64A"/>
    <w:rsid w:val="00211C4A"/>
    <w:rsid w:val="0026464A"/>
    <w:rsid w:val="002A2CBC"/>
    <w:rsid w:val="00394879"/>
    <w:rsid w:val="00655EC8"/>
    <w:rsid w:val="00833F1E"/>
    <w:rsid w:val="008951C2"/>
    <w:rsid w:val="00A95CA8"/>
    <w:rsid w:val="00B762C2"/>
    <w:rsid w:val="00C27F8A"/>
    <w:rsid w:val="00C41E44"/>
    <w:rsid w:val="00CF242E"/>
    <w:rsid w:val="00F52385"/>
    <w:rsid w:val="0C4805A4"/>
    <w:rsid w:val="0DE4F1D6"/>
    <w:rsid w:val="11B6278B"/>
    <w:rsid w:val="359C7476"/>
    <w:rsid w:val="360425F4"/>
    <w:rsid w:val="3EE6E611"/>
    <w:rsid w:val="57ADC628"/>
    <w:rsid w:val="5D67A193"/>
    <w:rsid w:val="63582327"/>
    <w:rsid w:val="7B16B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A5C02B"/>
  <w15:chartTrackingRefBased/>
  <w15:docId w15:val="{14B8B039-52F1-7144-84F6-9218F5E7C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6464A"/>
    <w:pPr>
      <w:keepNext/>
      <w:keepLines/>
      <w:spacing w:before="24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link w:val="Heading2Char"/>
    <w:uiPriority w:val="9"/>
    <w:qFormat/>
    <w:rsid w:val="0026464A"/>
    <w:pPr>
      <w:spacing w:before="100" w:beforeAutospacing="1" w:after="100" w:afterAutospacing="1"/>
      <w:outlineLvl w:val="1"/>
    </w:pPr>
    <w:rPr>
      <w:rFonts w:ascii="Times New Roman" w:hAnsi="Times New Roman" w:eastAsia="Times New Roman" w:cs="Times New Roman"/>
      <w:b/>
      <w:bCs/>
      <w:sz w:val="36"/>
      <w:szCs w:val="36"/>
      <w:lang w:eastAsia="en-GB"/>
    </w:rPr>
  </w:style>
  <w:style w:type="paragraph" w:styleId="Heading3">
    <w:name w:val="heading 3"/>
    <w:basedOn w:val="Normal"/>
    <w:link w:val="Heading3Char"/>
    <w:uiPriority w:val="9"/>
    <w:qFormat/>
    <w:rsid w:val="0026464A"/>
    <w:pPr>
      <w:spacing w:before="100" w:beforeAutospacing="1" w:after="100" w:afterAutospacing="1"/>
      <w:outlineLvl w:val="2"/>
    </w:pPr>
    <w:rPr>
      <w:rFonts w:ascii="Times New Roman" w:hAnsi="Times New Roman" w:eastAsia="Times New Roman" w:cs="Times New Roman"/>
      <w:b/>
      <w:bCs/>
      <w:sz w:val="27"/>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26464A"/>
    <w:rPr>
      <w:rFonts w:ascii="Times New Roman" w:hAnsi="Times New Roman" w:eastAsia="Times New Roman" w:cs="Times New Roman"/>
      <w:b/>
      <w:bCs/>
      <w:sz w:val="36"/>
      <w:szCs w:val="36"/>
      <w:lang w:eastAsia="en-GB"/>
    </w:rPr>
  </w:style>
  <w:style w:type="character" w:styleId="Heading3Char" w:customStyle="1">
    <w:name w:val="Heading 3 Char"/>
    <w:basedOn w:val="DefaultParagraphFont"/>
    <w:link w:val="Heading3"/>
    <w:uiPriority w:val="9"/>
    <w:rsid w:val="0026464A"/>
    <w:rPr>
      <w:rFonts w:ascii="Times New Roman" w:hAnsi="Times New Roman" w:eastAsia="Times New Roman" w:cs="Times New Roman"/>
      <w:b/>
      <w:bCs/>
      <w:sz w:val="27"/>
      <w:szCs w:val="27"/>
      <w:lang w:eastAsia="en-GB"/>
    </w:rPr>
  </w:style>
  <w:style w:type="character" w:styleId="Strong">
    <w:name w:val="Strong"/>
    <w:basedOn w:val="DefaultParagraphFont"/>
    <w:uiPriority w:val="22"/>
    <w:qFormat/>
    <w:rsid w:val="0026464A"/>
    <w:rPr>
      <w:b/>
      <w:bCs/>
    </w:rPr>
  </w:style>
  <w:style w:type="paragraph" w:styleId="NormalWeb">
    <w:name w:val="Normal (Web)"/>
    <w:basedOn w:val="Normal"/>
    <w:uiPriority w:val="99"/>
    <w:unhideWhenUsed/>
    <w:rsid w:val="0026464A"/>
    <w:pPr>
      <w:spacing w:before="100" w:beforeAutospacing="1" w:after="100" w:afterAutospacing="1"/>
    </w:pPr>
    <w:rPr>
      <w:rFonts w:ascii="Times New Roman" w:hAnsi="Times New Roman" w:eastAsia="Times New Roman" w:cs="Times New Roman"/>
      <w:lang w:eastAsia="en-GB"/>
    </w:rPr>
  </w:style>
  <w:style w:type="character" w:styleId="apple-converted-space" w:customStyle="1">
    <w:name w:val="apple-converted-space"/>
    <w:basedOn w:val="DefaultParagraphFont"/>
    <w:rsid w:val="0026464A"/>
  </w:style>
  <w:style w:type="character" w:styleId="Heading1Char" w:customStyle="1">
    <w:name w:val="Heading 1 Char"/>
    <w:basedOn w:val="DefaultParagraphFont"/>
    <w:link w:val="Heading1"/>
    <w:uiPriority w:val="9"/>
    <w:rsid w:val="0026464A"/>
    <w:rPr>
      <w:rFonts w:asciiTheme="majorHAnsi" w:hAnsiTheme="majorHAnsi" w:eastAsiaTheme="majorEastAsia" w:cstheme="majorBidi"/>
      <w:color w:val="2F5496" w:themeColor="accent1" w:themeShade="BF"/>
      <w:sz w:val="32"/>
      <w:szCs w:val="32"/>
    </w:rPr>
  </w:style>
  <w:style w:type="paragraph" w:styleId="HTMLPreformatted">
    <w:name w:val="HTML Preformatted"/>
    <w:basedOn w:val="Normal"/>
    <w:link w:val="HTMLPreformattedChar"/>
    <w:uiPriority w:val="99"/>
    <w:semiHidden/>
    <w:unhideWhenUsed/>
    <w:rsid w:val="0026464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eastAsia="Times New Roman" w:cs="Courier New"/>
      <w:sz w:val="20"/>
      <w:szCs w:val="20"/>
      <w:lang w:eastAsia="en-GB"/>
    </w:rPr>
  </w:style>
  <w:style w:type="character" w:styleId="HTMLPreformattedChar" w:customStyle="1">
    <w:name w:val="HTML Preformatted Char"/>
    <w:basedOn w:val="DefaultParagraphFont"/>
    <w:link w:val="HTMLPreformatted"/>
    <w:uiPriority w:val="99"/>
    <w:semiHidden/>
    <w:rsid w:val="0026464A"/>
    <w:rPr>
      <w:rFonts w:ascii="Courier New" w:hAnsi="Courier New" w:eastAsia="Times New Roman" w:cs="Courier New"/>
      <w:sz w:val="20"/>
      <w:szCs w:val="20"/>
      <w:lang w:eastAsia="en-GB"/>
    </w:rPr>
  </w:style>
  <w:style w:type="character" w:styleId="HTMLCode">
    <w:name w:val="HTML Code"/>
    <w:basedOn w:val="DefaultParagraphFont"/>
    <w:uiPriority w:val="99"/>
    <w:semiHidden/>
    <w:unhideWhenUsed/>
    <w:rsid w:val="0026464A"/>
    <w:rPr>
      <w:rFonts w:ascii="Courier New" w:hAnsi="Courier New" w:eastAsia="Times New Roman" w:cs="Courier New"/>
      <w:sz w:val="20"/>
      <w:szCs w:val="20"/>
    </w:rPr>
  </w:style>
  <w:style w:type="character" w:styleId="Emphasis">
    <w:name w:val="Emphasis"/>
    <w:basedOn w:val="DefaultParagraphFont"/>
    <w:uiPriority w:val="20"/>
    <w:qFormat/>
    <w:rsid w:val="00CF242E"/>
    <w:rPr>
      <w:i/>
      <w:iCs/>
    </w:rPr>
  </w:style>
  <w:style w:type="character" w:styleId="Hyperlink">
    <w:name w:val="Hyperlink"/>
    <w:basedOn w:val="DefaultParagraphFont"/>
    <w:uiPriority w:val="99"/>
    <w:semiHidden/>
    <w:unhideWhenUsed/>
    <w:rsid w:val="00CF242E"/>
    <w:rPr>
      <w:color w:val="0000FF"/>
      <w:u w:val="single"/>
    </w:rPr>
  </w:style>
  <w:style w:type="paragraph" w:styleId="NoSpacing">
    <w:name w:val="No Spacing"/>
    <w:link w:val="NoSpacingChar"/>
    <w:uiPriority w:val="1"/>
    <w:qFormat/>
    <w:rsid w:val="002A2CBC"/>
    <w:rPr>
      <w:rFonts w:eastAsiaTheme="minorEastAsia"/>
      <w:sz w:val="22"/>
      <w:szCs w:val="22"/>
      <w:lang w:val="en-US" w:eastAsia="zh-CN"/>
    </w:rPr>
  </w:style>
  <w:style w:type="character" w:styleId="NoSpacingChar" w:customStyle="1">
    <w:name w:val="No Spacing Char"/>
    <w:basedOn w:val="DefaultParagraphFont"/>
    <w:link w:val="NoSpacing"/>
    <w:uiPriority w:val="1"/>
    <w:rsid w:val="002A2CBC"/>
    <w:rPr>
      <w:rFonts w:eastAsiaTheme="minorEastAsia"/>
      <w:sz w:val="22"/>
      <w:szCs w:val="22"/>
      <w:lang w:val="en-US" w:eastAsia="zh-CN"/>
    </w:rPr>
  </w:style>
  <w:style w:type="paragraph" w:styleId="Footer">
    <w:name w:val="footer"/>
    <w:basedOn w:val="Normal"/>
    <w:link w:val="FooterChar"/>
    <w:uiPriority w:val="99"/>
    <w:unhideWhenUsed/>
    <w:rsid w:val="002A2CBC"/>
    <w:pPr>
      <w:tabs>
        <w:tab w:val="center" w:pos="4513"/>
        <w:tab w:val="right" w:pos="9026"/>
      </w:tabs>
    </w:pPr>
  </w:style>
  <w:style w:type="character" w:styleId="FooterChar" w:customStyle="1">
    <w:name w:val="Footer Char"/>
    <w:basedOn w:val="DefaultParagraphFont"/>
    <w:link w:val="Footer"/>
    <w:uiPriority w:val="99"/>
    <w:rsid w:val="002A2CBC"/>
  </w:style>
  <w:style w:type="character" w:styleId="PageNumber">
    <w:name w:val="page number"/>
    <w:basedOn w:val="DefaultParagraphFont"/>
    <w:uiPriority w:val="99"/>
    <w:semiHidden/>
    <w:unhideWhenUsed/>
    <w:rsid w:val="002A2CBC"/>
  </w:style>
  <w:style w:type="paragraph" w:styleId="Header">
    <w:uiPriority w:val="99"/>
    <w:name w:val="header"/>
    <w:basedOn w:val="Normal"/>
    <w:unhideWhenUsed/>
    <w:rsid w:val="57ADC62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418461">
      <w:bodyDiv w:val="1"/>
      <w:marLeft w:val="0"/>
      <w:marRight w:val="0"/>
      <w:marTop w:val="0"/>
      <w:marBottom w:val="0"/>
      <w:divBdr>
        <w:top w:val="none" w:sz="0" w:space="0" w:color="auto"/>
        <w:left w:val="none" w:sz="0" w:space="0" w:color="auto"/>
        <w:bottom w:val="none" w:sz="0" w:space="0" w:color="auto"/>
        <w:right w:val="none" w:sz="0" w:space="0" w:color="auto"/>
      </w:divBdr>
    </w:div>
    <w:div w:id="1299723440">
      <w:bodyDiv w:val="1"/>
      <w:marLeft w:val="0"/>
      <w:marRight w:val="0"/>
      <w:marTop w:val="0"/>
      <w:marBottom w:val="0"/>
      <w:divBdr>
        <w:top w:val="none" w:sz="0" w:space="0" w:color="auto"/>
        <w:left w:val="none" w:sz="0" w:space="0" w:color="auto"/>
        <w:bottom w:val="none" w:sz="0" w:space="0" w:color="auto"/>
        <w:right w:val="none" w:sz="0" w:space="0" w:color="auto"/>
      </w:divBdr>
      <w:divsChild>
        <w:div w:id="315912145">
          <w:marLeft w:val="0"/>
          <w:marRight w:val="0"/>
          <w:marTop w:val="0"/>
          <w:marBottom w:val="0"/>
          <w:divBdr>
            <w:top w:val="none" w:sz="0" w:space="0" w:color="auto"/>
            <w:left w:val="none" w:sz="0" w:space="0" w:color="auto"/>
            <w:bottom w:val="none" w:sz="0" w:space="0" w:color="auto"/>
            <w:right w:val="none" w:sz="0" w:space="0" w:color="auto"/>
          </w:divBdr>
          <w:divsChild>
            <w:div w:id="1863667091">
              <w:marLeft w:val="0"/>
              <w:marRight w:val="0"/>
              <w:marTop w:val="0"/>
              <w:marBottom w:val="0"/>
              <w:divBdr>
                <w:top w:val="none" w:sz="0" w:space="0" w:color="auto"/>
                <w:left w:val="none" w:sz="0" w:space="0" w:color="auto"/>
                <w:bottom w:val="none" w:sz="0" w:space="0" w:color="auto"/>
                <w:right w:val="none" w:sz="0" w:space="0" w:color="auto"/>
              </w:divBdr>
              <w:divsChild>
                <w:div w:id="1448500186">
                  <w:marLeft w:val="0"/>
                  <w:marRight w:val="0"/>
                  <w:marTop w:val="0"/>
                  <w:marBottom w:val="0"/>
                  <w:divBdr>
                    <w:top w:val="none" w:sz="0" w:space="0" w:color="auto"/>
                    <w:left w:val="none" w:sz="0" w:space="0" w:color="auto"/>
                    <w:bottom w:val="none" w:sz="0" w:space="0" w:color="auto"/>
                    <w:right w:val="none" w:sz="0" w:space="0" w:color="auto"/>
                  </w:divBdr>
                  <w:divsChild>
                    <w:div w:id="2002078944">
                      <w:marLeft w:val="0"/>
                      <w:marRight w:val="0"/>
                      <w:marTop w:val="0"/>
                      <w:marBottom w:val="0"/>
                      <w:divBdr>
                        <w:top w:val="none" w:sz="0" w:space="0" w:color="auto"/>
                        <w:left w:val="none" w:sz="0" w:space="0" w:color="auto"/>
                        <w:bottom w:val="none" w:sz="0" w:space="0" w:color="auto"/>
                        <w:right w:val="none" w:sz="0" w:space="0" w:color="auto"/>
                      </w:divBdr>
                      <w:divsChild>
                        <w:div w:id="1359771786">
                          <w:marLeft w:val="0"/>
                          <w:marRight w:val="0"/>
                          <w:marTop w:val="0"/>
                          <w:marBottom w:val="0"/>
                          <w:divBdr>
                            <w:top w:val="none" w:sz="0" w:space="0" w:color="auto"/>
                            <w:left w:val="none" w:sz="0" w:space="0" w:color="auto"/>
                            <w:bottom w:val="none" w:sz="0" w:space="0" w:color="auto"/>
                            <w:right w:val="none" w:sz="0" w:space="0" w:color="auto"/>
                          </w:divBdr>
                          <w:divsChild>
                            <w:div w:id="1033311072">
                              <w:marLeft w:val="0"/>
                              <w:marRight w:val="0"/>
                              <w:marTop w:val="0"/>
                              <w:marBottom w:val="0"/>
                              <w:divBdr>
                                <w:top w:val="none" w:sz="0" w:space="0" w:color="auto"/>
                                <w:left w:val="none" w:sz="0" w:space="0" w:color="auto"/>
                                <w:bottom w:val="none" w:sz="0" w:space="0" w:color="auto"/>
                                <w:right w:val="none" w:sz="0" w:space="0" w:color="auto"/>
                              </w:divBdr>
                              <w:divsChild>
                                <w:div w:id="959382480">
                                  <w:marLeft w:val="0"/>
                                  <w:marRight w:val="0"/>
                                  <w:marTop w:val="0"/>
                                  <w:marBottom w:val="0"/>
                                  <w:divBdr>
                                    <w:top w:val="none" w:sz="0" w:space="0" w:color="auto"/>
                                    <w:left w:val="none" w:sz="0" w:space="0" w:color="auto"/>
                                    <w:bottom w:val="none" w:sz="0" w:space="0" w:color="auto"/>
                                    <w:right w:val="none" w:sz="0" w:space="0" w:color="auto"/>
                                  </w:divBdr>
                                  <w:divsChild>
                                    <w:div w:id="1053961808">
                                      <w:marLeft w:val="0"/>
                                      <w:marRight w:val="0"/>
                                      <w:marTop w:val="0"/>
                                      <w:marBottom w:val="0"/>
                                      <w:divBdr>
                                        <w:top w:val="none" w:sz="0" w:space="0" w:color="auto"/>
                                        <w:left w:val="none" w:sz="0" w:space="0" w:color="auto"/>
                                        <w:bottom w:val="none" w:sz="0" w:space="0" w:color="auto"/>
                                        <w:right w:val="none" w:sz="0" w:space="0" w:color="auto"/>
                                      </w:divBdr>
                                      <w:divsChild>
                                        <w:div w:id="1955012925">
                                          <w:marLeft w:val="0"/>
                                          <w:marRight w:val="0"/>
                                          <w:marTop w:val="0"/>
                                          <w:marBottom w:val="0"/>
                                          <w:divBdr>
                                            <w:top w:val="none" w:sz="0" w:space="0" w:color="auto"/>
                                            <w:left w:val="none" w:sz="0" w:space="0" w:color="auto"/>
                                            <w:bottom w:val="none" w:sz="0" w:space="0" w:color="auto"/>
                                            <w:right w:val="none" w:sz="0" w:space="0" w:color="auto"/>
                                          </w:divBdr>
                                          <w:divsChild>
                                            <w:div w:id="507674416">
                                              <w:marLeft w:val="0"/>
                                              <w:marRight w:val="0"/>
                                              <w:marTop w:val="0"/>
                                              <w:marBottom w:val="0"/>
                                              <w:divBdr>
                                                <w:top w:val="none" w:sz="0" w:space="0" w:color="auto"/>
                                                <w:left w:val="none" w:sz="0" w:space="0" w:color="auto"/>
                                                <w:bottom w:val="none" w:sz="0" w:space="0" w:color="auto"/>
                                                <w:right w:val="none" w:sz="0" w:space="0" w:color="auto"/>
                                              </w:divBdr>
                                              <w:divsChild>
                                                <w:div w:id="1453328649">
                                                  <w:marLeft w:val="0"/>
                                                  <w:marRight w:val="0"/>
                                                  <w:marTop w:val="0"/>
                                                  <w:marBottom w:val="0"/>
                                                  <w:divBdr>
                                                    <w:top w:val="none" w:sz="0" w:space="0" w:color="auto"/>
                                                    <w:left w:val="none" w:sz="0" w:space="0" w:color="auto"/>
                                                    <w:bottom w:val="none" w:sz="0" w:space="0" w:color="auto"/>
                                                    <w:right w:val="none" w:sz="0" w:space="0" w:color="auto"/>
                                                  </w:divBdr>
                                                  <w:divsChild>
                                                    <w:div w:id="1496919449">
                                                      <w:marLeft w:val="0"/>
                                                      <w:marRight w:val="0"/>
                                                      <w:marTop w:val="0"/>
                                                      <w:marBottom w:val="0"/>
                                                      <w:divBdr>
                                                        <w:top w:val="none" w:sz="0" w:space="0" w:color="auto"/>
                                                        <w:left w:val="none" w:sz="0" w:space="0" w:color="auto"/>
                                                        <w:bottom w:val="none" w:sz="0" w:space="0" w:color="auto"/>
                                                        <w:right w:val="none" w:sz="0" w:space="0" w:color="auto"/>
                                                      </w:divBdr>
                                                      <w:divsChild>
                                                        <w:div w:id="201237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32955015">
      <w:bodyDiv w:val="1"/>
      <w:marLeft w:val="0"/>
      <w:marRight w:val="0"/>
      <w:marTop w:val="0"/>
      <w:marBottom w:val="0"/>
      <w:divBdr>
        <w:top w:val="none" w:sz="0" w:space="0" w:color="auto"/>
        <w:left w:val="none" w:sz="0" w:space="0" w:color="auto"/>
        <w:bottom w:val="none" w:sz="0" w:space="0" w:color="auto"/>
        <w:right w:val="none" w:sz="0" w:space="0" w:color="auto"/>
      </w:divBdr>
      <w:divsChild>
        <w:div w:id="461073742">
          <w:marLeft w:val="0"/>
          <w:marRight w:val="0"/>
          <w:marTop w:val="0"/>
          <w:marBottom w:val="0"/>
          <w:divBdr>
            <w:top w:val="none" w:sz="0" w:space="0" w:color="auto"/>
            <w:left w:val="none" w:sz="0" w:space="0" w:color="auto"/>
            <w:bottom w:val="none" w:sz="0" w:space="0" w:color="auto"/>
            <w:right w:val="none" w:sz="0" w:space="0" w:color="auto"/>
          </w:divBdr>
          <w:divsChild>
            <w:div w:id="1172795174">
              <w:marLeft w:val="0"/>
              <w:marRight w:val="0"/>
              <w:marTop w:val="0"/>
              <w:marBottom w:val="0"/>
              <w:divBdr>
                <w:top w:val="none" w:sz="0" w:space="0" w:color="auto"/>
                <w:left w:val="none" w:sz="0" w:space="0" w:color="auto"/>
                <w:bottom w:val="none" w:sz="0" w:space="0" w:color="auto"/>
                <w:right w:val="none" w:sz="0" w:space="0" w:color="auto"/>
              </w:divBdr>
              <w:divsChild>
                <w:div w:id="833649571">
                  <w:marLeft w:val="0"/>
                  <w:marRight w:val="0"/>
                  <w:marTop w:val="0"/>
                  <w:marBottom w:val="0"/>
                  <w:divBdr>
                    <w:top w:val="none" w:sz="0" w:space="0" w:color="auto"/>
                    <w:left w:val="none" w:sz="0" w:space="0" w:color="auto"/>
                    <w:bottom w:val="none" w:sz="0" w:space="0" w:color="auto"/>
                    <w:right w:val="none" w:sz="0" w:space="0" w:color="auto"/>
                  </w:divBdr>
                  <w:divsChild>
                    <w:div w:id="1804733325">
                      <w:marLeft w:val="0"/>
                      <w:marRight w:val="0"/>
                      <w:marTop w:val="0"/>
                      <w:marBottom w:val="0"/>
                      <w:divBdr>
                        <w:top w:val="none" w:sz="0" w:space="0" w:color="auto"/>
                        <w:left w:val="none" w:sz="0" w:space="0" w:color="auto"/>
                        <w:bottom w:val="none" w:sz="0" w:space="0" w:color="auto"/>
                        <w:right w:val="none" w:sz="0" w:space="0" w:color="auto"/>
                      </w:divBdr>
                      <w:divsChild>
                        <w:div w:id="1256132608">
                          <w:marLeft w:val="0"/>
                          <w:marRight w:val="0"/>
                          <w:marTop w:val="0"/>
                          <w:marBottom w:val="0"/>
                          <w:divBdr>
                            <w:top w:val="none" w:sz="0" w:space="0" w:color="auto"/>
                            <w:left w:val="none" w:sz="0" w:space="0" w:color="auto"/>
                            <w:bottom w:val="none" w:sz="0" w:space="0" w:color="auto"/>
                            <w:right w:val="none" w:sz="0" w:space="0" w:color="auto"/>
                          </w:divBdr>
                          <w:divsChild>
                            <w:div w:id="1945727056">
                              <w:marLeft w:val="0"/>
                              <w:marRight w:val="0"/>
                              <w:marTop w:val="0"/>
                              <w:marBottom w:val="0"/>
                              <w:divBdr>
                                <w:top w:val="none" w:sz="0" w:space="0" w:color="auto"/>
                                <w:left w:val="none" w:sz="0" w:space="0" w:color="auto"/>
                                <w:bottom w:val="none" w:sz="0" w:space="0" w:color="auto"/>
                                <w:right w:val="none" w:sz="0" w:space="0" w:color="auto"/>
                              </w:divBdr>
                              <w:divsChild>
                                <w:div w:id="928731001">
                                  <w:marLeft w:val="0"/>
                                  <w:marRight w:val="0"/>
                                  <w:marTop w:val="0"/>
                                  <w:marBottom w:val="0"/>
                                  <w:divBdr>
                                    <w:top w:val="none" w:sz="0" w:space="0" w:color="auto"/>
                                    <w:left w:val="none" w:sz="0" w:space="0" w:color="auto"/>
                                    <w:bottom w:val="none" w:sz="0" w:space="0" w:color="auto"/>
                                    <w:right w:val="none" w:sz="0" w:space="0" w:color="auto"/>
                                  </w:divBdr>
                                  <w:divsChild>
                                    <w:div w:id="1173033166">
                                      <w:marLeft w:val="0"/>
                                      <w:marRight w:val="0"/>
                                      <w:marTop w:val="0"/>
                                      <w:marBottom w:val="0"/>
                                      <w:divBdr>
                                        <w:top w:val="none" w:sz="0" w:space="0" w:color="auto"/>
                                        <w:left w:val="none" w:sz="0" w:space="0" w:color="auto"/>
                                        <w:bottom w:val="none" w:sz="0" w:space="0" w:color="auto"/>
                                        <w:right w:val="none" w:sz="0" w:space="0" w:color="auto"/>
                                      </w:divBdr>
                                      <w:divsChild>
                                        <w:div w:id="1311406344">
                                          <w:marLeft w:val="0"/>
                                          <w:marRight w:val="0"/>
                                          <w:marTop w:val="0"/>
                                          <w:marBottom w:val="0"/>
                                          <w:divBdr>
                                            <w:top w:val="none" w:sz="0" w:space="0" w:color="auto"/>
                                            <w:left w:val="none" w:sz="0" w:space="0" w:color="auto"/>
                                            <w:bottom w:val="none" w:sz="0" w:space="0" w:color="auto"/>
                                            <w:right w:val="none" w:sz="0" w:space="0" w:color="auto"/>
                                          </w:divBdr>
                                          <w:divsChild>
                                            <w:div w:id="2753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04422692">
          <w:marLeft w:val="0"/>
          <w:marRight w:val="0"/>
          <w:marTop w:val="0"/>
          <w:marBottom w:val="0"/>
          <w:divBdr>
            <w:top w:val="none" w:sz="0" w:space="0" w:color="auto"/>
            <w:left w:val="none" w:sz="0" w:space="0" w:color="auto"/>
            <w:bottom w:val="none" w:sz="0" w:space="0" w:color="auto"/>
            <w:right w:val="none" w:sz="0" w:space="0" w:color="auto"/>
          </w:divBdr>
          <w:divsChild>
            <w:div w:id="238177810">
              <w:marLeft w:val="0"/>
              <w:marRight w:val="0"/>
              <w:marTop w:val="0"/>
              <w:marBottom w:val="0"/>
              <w:divBdr>
                <w:top w:val="none" w:sz="0" w:space="0" w:color="auto"/>
                <w:left w:val="none" w:sz="0" w:space="0" w:color="auto"/>
                <w:bottom w:val="none" w:sz="0" w:space="0" w:color="auto"/>
                <w:right w:val="none" w:sz="0" w:space="0" w:color="auto"/>
              </w:divBdr>
              <w:divsChild>
                <w:div w:id="1375544002">
                  <w:marLeft w:val="0"/>
                  <w:marRight w:val="0"/>
                  <w:marTop w:val="0"/>
                  <w:marBottom w:val="0"/>
                  <w:divBdr>
                    <w:top w:val="none" w:sz="0" w:space="0" w:color="auto"/>
                    <w:left w:val="none" w:sz="0" w:space="0" w:color="auto"/>
                    <w:bottom w:val="none" w:sz="0" w:space="0" w:color="auto"/>
                    <w:right w:val="none" w:sz="0" w:space="0" w:color="auto"/>
                  </w:divBdr>
                  <w:divsChild>
                    <w:div w:id="1764690963">
                      <w:marLeft w:val="0"/>
                      <w:marRight w:val="0"/>
                      <w:marTop w:val="0"/>
                      <w:marBottom w:val="0"/>
                      <w:divBdr>
                        <w:top w:val="none" w:sz="0" w:space="0" w:color="auto"/>
                        <w:left w:val="none" w:sz="0" w:space="0" w:color="auto"/>
                        <w:bottom w:val="none" w:sz="0" w:space="0" w:color="auto"/>
                        <w:right w:val="none" w:sz="0" w:space="0" w:color="auto"/>
                      </w:divBdr>
                      <w:divsChild>
                        <w:div w:id="1186015181">
                          <w:marLeft w:val="0"/>
                          <w:marRight w:val="0"/>
                          <w:marTop w:val="0"/>
                          <w:marBottom w:val="0"/>
                          <w:divBdr>
                            <w:top w:val="none" w:sz="0" w:space="0" w:color="auto"/>
                            <w:left w:val="none" w:sz="0" w:space="0" w:color="auto"/>
                            <w:bottom w:val="none" w:sz="0" w:space="0" w:color="auto"/>
                            <w:right w:val="none" w:sz="0" w:space="0" w:color="auto"/>
                          </w:divBdr>
                          <w:divsChild>
                            <w:div w:id="2061438638">
                              <w:marLeft w:val="0"/>
                              <w:marRight w:val="0"/>
                              <w:marTop w:val="0"/>
                              <w:marBottom w:val="0"/>
                              <w:divBdr>
                                <w:top w:val="none" w:sz="0" w:space="0" w:color="auto"/>
                                <w:left w:val="none" w:sz="0" w:space="0" w:color="auto"/>
                                <w:bottom w:val="none" w:sz="0" w:space="0" w:color="auto"/>
                                <w:right w:val="none" w:sz="0" w:space="0" w:color="auto"/>
                              </w:divBdr>
                              <w:divsChild>
                                <w:div w:id="1601334650">
                                  <w:marLeft w:val="0"/>
                                  <w:marRight w:val="0"/>
                                  <w:marTop w:val="0"/>
                                  <w:marBottom w:val="0"/>
                                  <w:divBdr>
                                    <w:top w:val="none" w:sz="0" w:space="0" w:color="auto"/>
                                    <w:left w:val="none" w:sz="0" w:space="0" w:color="auto"/>
                                    <w:bottom w:val="none" w:sz="0" w:space="0" w:color="auto"/>
                                    <w:right w:val="none" w:sz="0" w:space="0" w:color="auto"/>
                                  </w:divBdr>
                                  <w:divsChild>
                                    <w:div w:id="274752872">
                                      <w:marLeft w:val="0"/>
                                      <w:marRight w:val="0"/>
                                      <w:marTop w:val="0"/>
                                      <w:marBottom w:val="0"/>
                                      <w:divBdr>
                                        <w:top w:val="none" w:sz="0" w:space="0" w:color="auto"/>
                                        <w:left w:val="none" w:sz="0" w:space="0" w:color="auto"/>
                                        <w:bottom w:val="none" w:sz="0" w:space="0" w:color="auto"/>
                                        <w:right w:val="none" w:sz="0" w:space="0" w:color="auto"/>
                                      </w:divBdr>
                                      <w:divsChild>
                                        <w:div w:id="1735622245">
                                          <w:marLeft w:val="0"/>
                                          <w:marRight w:val="0"/>
                                          <w:marTop w:val="0"/>
                                          <w:marBottom w:val="0"/>
                                          <w:divBdr>
                                            <w:top w:val="none" w:sz="0" w:space="0" w:color="auto"/>
                                            <w:left w:val="none" w:sz="0" w:space="0" w:color="auto"/>
                                            <w:bottom w:val="none" w:sz="0" w:space="0" w:color="auto"/>
                                            <w:right w:val="none" w:sz="0" w:space="0" w:color="auto"/>
                                          </w:divBdr>
                                          <w:divsChild>
                                            <w:div w:id="933322591">
                                              <w:marLeft w:val="0"/>
                                              <w:marRight w:val="0"/>
                                              <w:marTop w:val="0"/>
                                              <w:marBottom w:val="0"/>
                                              <w:divBdr>
                                                <w:top w:val="none" w:sz="0" w:space="0" w:color="auto"/>
                                                <w:left w:val="none" w:sz="0" w:space="0" w:color="auto"/>
                                                <w:bottom w:val="none" w:sz="0" w:space="0" w:color="auto"/>
                                                <w:right w:val="none" w:sz="0" w:space="0" w:color="auto"/>
                                              </w:divBdr>
                                              <w:divsChild>
                                                <w:div w:id="96410490">
                                                  <w:marLeft w:val="0"/>
                                                  <w:marRight w:val="0"/>
                                                  <w:marTop w:val="0"/>
                                                  <w:marBottom w:val="0"/>
                                                  <w:divBdr>
                                                    <w:top w:val="none" w:sz="0" w:space="0" w:color="auto"/>
                                                    <w:left w:val="none" w:sz="0" w:space="0" w:color="auto"/>
                                                    <w:bottom w:val="none" w:sz="0" w:space="0" w:color="auto"/>
                                                    <w:right w:val="none" w:sz="0" w:space="0" w:color="auto"/>
                                                  </w:divBdr>
                                                  <w:divsChild>
                                                    <w:div w:id="2122726971">
                                                      <w:marLeft w:val="0"/>
                                                      <w:marRight w:val="0"/>
                                                      <w:marTop w:val="0"/>
                                                      <w:marBottom w:val="0"/>
                                                      <w:divBdr>
                                                        <w:top w:val="none" w:sz="0" w:space="0" w:color="auto"/>
                                                        <w:left w:val="none" w:sz="0" w:space="0" w:color="auto"/>
                                                        <w:bottom w:val="none" w:sz="0" w:space="0" w:color="auto"/>
                                                        <w:right w:val="none" w:sz="0" w:space="0" w:color="auto"/>
                                                      </w:divBdr>
                                                      <w:divsChild>
                                                        <w:div w:id="390731928">
                                                          <w:marLeft w:val="0"/>
                                                          <w:marRight w:val="0"/>
                                                          <w:marTop w:val="0"/>
                                                          <w:marBottom w:val="0"/>
                                                          <w:divBdr>
                                                            <w:top w:val="none" w:sz="0" w:space="0" w:color="auto"/>
                                                            <w:left w:val="none" w:sz="0" w:space="0" w:color="auto"/>
                                                            <w:bottom w:val="none" w:sz="0" w:space="0" w:color="auto"/>
                                                            <w:right w:val="none" w:sz="0" w:space="0" w:color="auto"/>
                                                          </w:divBdr>
                                                          <w:divsChild>
                                                            <w:div w:id="2007249257">
                                                              <w:marLeft w:val="0"/>
                                                              <w:marRight w:val="0"/>
                                                              <w:marTop w:val="0"/>
                                                              <w:marBottom w:val="0"/>
                                                              <w:divBdr>
                                                                <w:top w:val="none" w:sz="0" w:space="0" w:color="auto"/>
                                                                <w:left w:val="none" w:sz="0" w:space="0" w:color="auto"/>
                                                                <w:bottom w:val="none" w:sz="0" w:space="0" w:color="auto"/>
                                                                <w:right w:val="none" w:sz="0" w:space="0" w:color="auto"/>
                                                              </w:divBdr>
                                                              <w:divsChild>
                                                                <w:div w:id="1798142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567494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england.nhs.uk/" TargetMode="External" Id="rId8" /><Relationship Type="http://schemas.openxmlformats.org/officeDocument/2006/relationships/webSettings" Target="webSettings.xml" Id="rId3" /><Relationship Type="http://schemas.openxmlformats.org/officeDocument/2006/relationships/hyperlink" Target="https://www.england.nhs.uk/virtual-wards/" TargetMode="External" Id="rId7" /><Relationship Type="http://schemas.openxmlformats.org/officeDocument/2006/relationships/theme" Target="theme/theme1.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jpeg" Id="rId6" /><Relationship Type="http://schemas.openxmlformats.org/officeDocument/2006/relationships/fontTable" Target="fontTable.xml" Id="rId11" /><Relationship Type="http://schemas.openxmlformats.org/officeDocument/2006/relationships/endnotes" Target="endnotes.xml" Id="rId5" /><Relationship Type="http://schemas.openxmlformats.org/officeDocument/2006/relationships/footer" Target="footer2.xml" Id="rId10" /><Relationship Type="http://schemas.openxmlformats.org/officeDocument/2006/relationships/footnotes" Target="footnotes.xml" Id="rId4" /><Relationship Type="http://schemas.openxmlformats.org/officeDocument/2006/relationships/footer" Target="footer1.xml" Id="rId9" /><Relationship Type="http://schemas.openxmlformats.org/officeDocument/2006/relationships/header" Target="header.xml" Id="Rd5baeed862f4493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jannat ferdaus</dc:creator>
  <keywords/>
  <dc:description/>
  <lastModifiedBy>Sima Pervin (2428548)</lastModifiedBy>
  <revision>7</revision>
  <dcterms:created xsi:type="dcterms:W3CDTF">2026-06-27T19:14:00.0000000Z</dcterms:created>
  <dcterms:modified xsi:type="dcterms:W3CDTF">2026-07-25T10:36:46.2452791Z</dcterms:modified>
</coreProperties>
</file>