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CFA96" w14:textId="77777777" w:rsidR="0066263B" w:rsidRDefault="0066263B" w:rsidP="0066263B">
      <w:pPr>
        <w:pStyle w:val="ListParagraph"/>
        <w:ind w:left="107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IFRS 13 </w:t>
      </w:r>
      <w:r w:rsidRPr="006C0CBE">
        <w:rPr>
          <w:rFonts w:ascii="Arial" w:hAnsi="Arial" w:cs="Arial"/>
          <w:i/>
          <w:sz w:val="24"/>
          <w:szCs w:val="24"/>
        </w:rPr>
        <w:t>Fair value measurement</w:t>
      </w:r>
      <w:r>
        <w:rPr>
          <w:rFonts w:ascii="Arial" w:hAnsi="Arial" w:cs="Arial"/>
          <w:sz w:val="24"/>
          <w:szCs w:val="24"/>
        </w:rPr>
        <w:t xml:space="preserve"> applies. Relevant points would include:</w:t>
      </w:r>
    </w:p>
    <w:p w14:paraId="59C5F986" w14:textId="77777777" w:rsidR="0066263B" w:rsidRDefault="0066263B" w:rsidP="0066263B">
      <w:pPr>
        <w:pStyle w:val="ListParagraph"/>
        <w:numPr>
          <w:ilvl w:val="0"/>
          <w:numId w:val="1"/>
        </w:numPr>
        <w:ind w:left="1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Fair value is the exit price in the principal market. The principal market represents the market with the highest volume of transactions and to which an entity has access.</w:t>
      </w:r>
    </w:p>
    <w:p w14:paraId="1B0269E4" w14:textId="77777777" w:rsidR="0066263B" w:rsidRDefault="0066263B" w:rsidP="0066263B">
      <w:pPr>
        <w:pStyle w:val="ListParagraph"/>
        <w:numPr>
          <w:ilvl w:val="0"/>
          <w:numId w:val="1"/>
        </w:numPr>
        <w:ind w:left="1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does not represent the market in which an entity has the highest volume of transactions</w:t>
      </w:r>
    </w:p>
    <w:p w14:paraId="46A50BFF" w14:textId="77777777" w:rsidR="0066263B" w:rsidRDefault="0066263B" w:rsidP="0066263B">
      <w:pPr>
        <w:pStyle w:val="ListParagraph"/>
        <w:numPr>
          <w:ilvl w:val="0"/>
          <w:numId w:val="1"/>
        </w:numPr>
        <w:ind w:left="1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this case the principal market would be Asia rather than Europe</w:t>
      </w:r>
    </w:p>
    <w:p w14:paraId="44CA0A02" w14:textId="130C5E7A" w:rsidR="0066263B" w:rsidRDefault="0066263B" w:rsidP="0066263B">
      <w:pPr>
        <w:pStyle w:val="ListParagraph"/>
        <w:numPr>
          <w:ilvl w:val="0"/>
          <w:numId w:val="1"/>
        </w:numPr>
        <w:ind w:left="1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there were no principal market, it would be assumed that a transaction would take place in the most advantageous market</w:t>
      </w:r>
    </w:p>
    <w:p w14:paraId="5C912385" w14:textId="77777777" w:rsidR="000546E1" w:rsidRDefault="000546E1" w:rsidP="000546E1">
      <w:pPr>
        <w:pStyle w:val="ListParagraph"/>
        <w:ind w:left="1437"/>
        <w:rPr>
          <w:rFonts w:ascii="Arial" w:hAnsi="Arial" w:cs="Arial"/>
          <w:sz w:val="24"/>
          <w:szCs w:val="24"/>
        </w:rPr>
      </w:pPr>
    </w:p>
    <w:p w14:paraId="15EEB670" w14:textId="5210C7A4" w:rsidR="0066263B" w:rsidRPr="00C464DD" w:rsidRDefault="0066263B" w:rsidP="0066263B">
      <w:pPr>
        <w:pStyle w:val="ListParagraph"/>
        <w:numPr>
          <w:ilvl w:val="0"/>
          <w:numId w:val="1"/>
        </w:numPr>
        <w:ind w:left="1134"/>
        <w:rPr>
          <w:rFonts w:ascii="Arial" w:hAnsi="Arial" w:cs="Arial"/>
          <w:sz w:val="24"/>
          <w:szCs w:val="24"/>
        </w:rPr>
      </w:pPr>
      <w:r w:rsidRPr="00C464DD">
        <w:rPr>
          <w:rFonts w:ascii="Arial" w:hAnsi="Arial" w:cs="Arial"/>
          <w:sz w:val="24"/>
          <w:szCs w:val="24"/>
        </w:rPr>
        <w:t>IFRS</w:t>
      </w:r>
      <w:r w:rsidR="00F939FB">
        <w:rPr>
          <w:rFonts w:ascii="Arial" w:hAnsi="Arial" w:cs="Arial"/>
          <w:sz w:val="24"/>
          <w:szCs w:val="24"/>
        </w:rPr>
        <w:t xml:space="preserve"> 13</w:t>
      </w:r>
      <w:r w:rsidRPr="00C464DD">
        <w:rPr>
          <w:rFonts w:ascii="Arial" w:hAnsi="Arial" w:cs="Arial"/>
          <w:sz w:val="24"/>
          <w:szCs w:val="24"/>
        </w:rPr>
        <w:t xml:space="preserve"> stipulates that the price used to measure value should not be adjusted to </w:t>
      </w:r>
      <w:proofErr w:type="gramStart"/>
      <w:r w:rsidRPr="00C464DD">
        <w:rPr>
          <w:rFonts w:ascii="Arial" w:hAnsi="Arial" w:cs="Arial"/>
          <w:sz w:val="24"/>
          <w:szCs w:val="24"/>
        </w:rPr>
        <w:t>take into account</w:t>
      </w:r>
      <w:proofErr w:type="gramEnd"/>
      <w:r w:rsidRPr="00C464DD">
        <w:rPr>
          <w:rFonts w:ascii="Arial" w:hAnsi="Arial" w:cs="Arial"/>
          <w:sz w:val="24"/>
          <w:szCs w:val="24"/>
        </w:rPr>
        <w:t xml:space="preserve"> transaction costs, as these are not deemed to be characteristic of the asset itself. Transportation costs should, however, be </w:t>
      </w:r>
      <w:proofErr w:type="gramStart"/>
      <w:r w:rsidRPr="00C464DD">
        <w:rPr>
          <w:rFonts w:ascii="Arial" w:hAnsi="Arial" w:cs="Arial"/>
          <w:sz w:val="24"/>
          <w:szCs w:val="24"/>
        </w:rPr>
        <w:t>taken into account</w:t>
      </w:r>
      <w:proofErr w:type="gramEnd"/>
      <w:r w:rsidRPr="00C464DD">
        <w:rPr>
          <w:rFonts w:ascii="Arial" w:hAnsi="Arial" w:cs="Arial"/>
          <w:sz w:val="24"/>
          <w:szCs w:val="24"/>
        </w:rPr>
        <w:t>.</w:t>
      </w:r>
      <w:r w:rsidR="00087401">
        <w:rPr>
          <w:rFonts w:ascii="Arial" w:hAnsi="Arial" w:cs="Arial"/>
          <w:sz w:val="24"/>
          <w:szCs w:val="24"/>
        </w:rPr>
        <w:t xml:space="preserve"> </w:t>
      </w:r>
      <w:r w:rsidRPr="00C464DD">
        <w:rPr>
          <w:rFonts w:ascii="Arial" w:hAnsi="Arial" w:cs="Arial"/>
          <w:sz w:val="24"/>
          <w:szCs w:val="24"/>
        </w:rPr>
        <w:t xml:space="preserve">Albion should use the selling price for the Asia market as its starting point </w:t>
      </w:r>
      <w:proofErr w:type="gramStart"/>
      <w:r w:rsidRPr="00C464DD">
        <w:rPr>
          <w:rFonts w:ascii="Arial" w:hAnsi="Arial" w:cs="Arial"/>
          <w:sz w:val="24"/>
          <w:szCs w:val="24"/>
        </w:rPr>
        <w:t>i.e.</w:t>
      </w:r>
      <w:proofErr w:type="gramEnd"/>
      <w:r w:rsidRPr="00C464DD">
        <w:rPr>
          <w:rFonts w:ascii="Arial" w:hAnsi="Arial" w:cs="Arial"/>
          <w:sz w:val="24"/>
          <w:szCs w:val="24"/>
        </w:rPr>
        <w:t xml:space="preserve"> £26,000. Transportation but not transaction costs should be deducted giving a net selling price of £24,800 per c</w:t>
      </w:r>
      <w:r w:rsidR="00351A5E">
        <w:rPr>
          <w:rFonts w:ascii="Arial" w:hAnsi="Arial" w:cs="Arial"/>
          <w:sz w:val="24"/>
          <w:szCs w:val="24"/>
        </w:rPr>
        <w:t>ontainer</w:t>
      </w:r>
      <w:r w:rsidRPr="00C464DD">
        <w:rPr>
          <w:rFonts w:ascii="Arial" w:hAnsi="Arial" w:cs="Arial"/>
          <w:sz w:val="24"/>
          <w:szCs w:val="24"/>
        </w:rPr>
        <w:t xml:space="preserve">. The fair value should, therefore, equate to £99,200,000 (£24,800*4,000). </w:t>
      </w:r>
    </w:p>
    <w:p w14:paraId="5C1190BC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C07D32"/>
    <w:multiLevelType w:val="hybridMultilevel"/>
    <w:tmpl w:val="9B3E0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63B"/>
    <w:rsid w:val="000546E1"/>
    <w:rsid w:val="00087401"/>
    <w:rsid w:val="00334406"/>
    <w:rsid w:val="00351A5E"/>
    <w:rsid w:val="005F1E19"/>
    <w:rsid w:val="0066263B"/>
    <w:rsid w:val="009A6A88"/>
    <w:rsid w:val="00F9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BD94F"/>
  <w15:chartTrackingRefBased/>
  <w15:docId w15:val="{062FACBF-9959-4C90-80E1-D0D3B0B2F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263B"/>
    <w:pPr>
      <w:spacing w:after="200" w:line="276" w:lineRule="auto"/>
      <w:ind w:left="720"/>
      <w:contextualSpacing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6</cp:revision>
  <dcterms:created xsi:type="dcterms:W3CDTF">2021-03-10T12:40:00Z</dcterms:created>
  <dcterms:modified xsi:type="dcterms:W3CDTF">2021-05-20T10:14:00Z</dcterms:modified>
</cp:coreProperties>
</file>