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Default Extension="fntdata" ContentType="application/x-fontdata"/>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istParagraph"/>
        <w:widowControl/>
        <w:numPr>
          <w:ilvl w:val="0"/>
          <w:numId w:val="0"/>
        </w:numPr>
        <w:bidi w:val="0"/>
        <w:spacing w:lineRule="auto" w:line="360"/>
        <w:ind w:hanging="0" w:left="720"/>
        <w:jc w:val="both"/>
        <w:rPr>
          <w:rFonts w:ascii="Arial" w:hAnsi="Arial"/>
          <w:b/>
          <w:bCs/>
          <w:sz w:val="22"/>
          <w:szCs w:val="22"/>
        </w:rPr>
      </w:pPr>
      <w:r>
        <w:rPr>
          <w:rFonts w:ascii="Arial" w:hAnsi="Arial"/>
          <w:b/>
          <w:bCs/>
          <w:sz w:val="22"/>
          <w:szCs w:val="22"/>
        </w:rPr>
        <w:t xml:space="preserve">                                               </w:t>
      </w:r>
    </w:p>
    <w:p>
      <w:pPr>
        <w:pStyle w:val="ListParagraph"/>
        <w:widowControl/>
        <w:numPr>
          <w:ilvl w:val="0"/>
          <w:numId w:val="0"/>
        </w:numPr>
        <w:bidi w:val="0"/>
        <w:spacing w:lineRule="auto" w:line="360"/>
        <w:ind w:hanging="0" w:left="720"/>
        <w:jc w:val="both"/>
        <w:rPr>
          <w:rFonts w:ascii="Arial" w:hAnsi="Arial"/>
          <w:b/>
          <w:bCs/>
          <w:sz w:val="22"/>
          <w:szCs w:val="22"/>
        </w:rPr>
      </w:pPr>
      <w:r>
        <w:rPr>
          <w:rFonts w:ascii="Arial" w:hAnsi="Arial"/>
          <w:b/>
          <w:bCs/>
          <w:sz w:val="22"/>
          <w:szCs w:val="22"/>
        </w:rPr>
      </w:r>
    </w:p>
    <w:p>
      <w:pPr>
        <w:pStyle w:val="ListParagraph"/>
        <w:widowControl/>
        <w:numPr>
          <w:ilvl w:val="0"/>
          <w:numId w:val="0"/>
        </w:numPr>
        <w:bidi w:val="0"/>
        <w:spacing w:lineRule="auto" w:line="360"/>
        <w:ind w:hanging="0" w:left="720"/>
        <w:jc w:val="both"/>
        <w:rPr>
          <w:rFonts w:ascii="Arial" w:hAnsi="Arial"/>
          <w:b/>
          <w:bCs/>
          <w:sz w:val="22"/>
          <w:szCs w:val="22"/>
        </w:rPr>
      </w:pPr>
      <w:r>
        <w:rPr>
          <w:rFonts w:ascii="Arial" w:hAnsi="Arial"/>
          <w:b/>
          <w:bCs/>
          <w:sz w:val="22"/>
          <w:szCs w:val="22"/>
        </w:rPr>
        <w:t xml:space="preserve">                                                </w:t>
      </w:r>
      <w:r>
        <w:rPr>
          <w:rFonts w:ascii="Arial" w:hAnsi="Arial"/>
          <w:b/>
          <w:bCs/>
          <w:sz w:val="22"/>
          <w:szCs w:val="22"/>
        </w:rPr>
        <w:t>Level 6</w:t>
      </w:r>
    </w:p>
    <w:p>
      <w:pPr>
        <w:pStyle w:val="ListParagraph"/>
        <w:widowControl/>
        <w:bidi w:val="0"/>
        <w:spacing w:lineRule="auto" w:line="360"/>
        <w:jc w:val="both"/>
        <w:rPr>
          <w:rFonts w:ascii="Arial" w:hAnsi="Arial"/>
          <w:b/>
          <w:bCs/>
          <w:sz w:val="22"/>
          <w:szCs w:val="22"/>
        </w:rPr>
      </w:pPr>
      <w:r>
        <w:rPr>
          <w:rFonts w:ascii="Arial" w:hAnsi="Arial"/>
          <w:b/>
          <w:bCs/>
          <w:sz w:val="22"/>
          <w:szCs w:val="22"/>
        </w:rPr>
      </w:r>
    </w:p>
    <w:p>
      <w:pPr>
        <w:pStyle w:val="ListParagraph"/>
        <w:widowControl/>
        <w:bidi w:val="0"/>
        <w:spacing w:lineRule="auto" w:line="360"/>
        <w:jc w:val="both"/>
        <w:rPr>
          <w:rFonts w:ascii="Arial" w:hAnsi="Arial"/>
          <w:b/>
          <w:bCs/>
          <w:sz w:val="22"/>
          <w:szCs w:val="22"/>
        </w:rPr>
      </w:pPr>
      <w:r>
        <w:rPr>
          <w:rFonts w:ascii="Arial" w:hAnsi="Arial"/>
          <w:b/>
          <w:bCs/>
          <w:sz w:val="22"/>
          <w:szCs w:val="22"/>
        </w:rPr>
      </w:r>
    </w:p>
    <w:p>
      <w:pPr>
        <w:pStyle w:val="ListParagraph"/>
        <w:widowControl/>
        <w:bidi w:val="0"/>
        <w:spacing w:lineRule="auto" w:line="360"/>
        <w:jc w:val="both"/>
        <w:rPr>
          <w:rFonts w:ascii="Arial" w:hAnsi="Arial"/>
          <w:b/>
          <w:bCs/>
          <w:sz w:val="22"/>
          <w:szCs w:val="22"/>
        </w:rPr>
      </w:pPr>
      <w:r>
        <w:rPr>
          <w:rFonts w:ascii="Arial" w:hAnsi="Arial"/>
          <w:b/>
          <w:bCs/>
          <w:sz w:val="22"/>
          <w:szCs w:val="22"/>
        </w:rPr>
      </w:r>
    </w:p>
    <w:p>
      <w:pPr>
        <w:pStyle w:val="ListParagraph"/>
        <w:widowControl/>
        <w:numPr>
          <w:ilvl w:val="0"/>
          <w:numId w:val="0"/>
        </w:numPr>
        <w:bidi w:val="0"/>
        <w:spacing w:lineRule="auto" w:line="360"/>
        <w:ind w:hanging="0" w:left="720"/>
        <w:jc w:val="both"/>
        <w:rPr>
          <w:rFonts w:ascii="Arial" w:hAnsi="Arial"/>
          <w:b/>
          <w:bCs/>
          <w:sz w:val="22"/>
          <w:szCs w:val="22"/>
        </w:rPr>
      </w:pPr>
      <w:r>
        <w:rPr>
          <w:rFonts w:ascii="Arial" w:hAnsi="Arial"/>
          <w:b/>
          <w:bCs/>
          <w:sz w:val="22"/>
          <w:szCs w:val="22"/>
        </w:rPr>
        <w:t xml:space="preserve">        </w:t>
      </w:r>
      <w:r>
        <w:rPr>
          <w:rFonts w:ascii="Arial" w:hAnsi="Arial"/>
          <w:b/>
          <w:bCs/>
          <w:sz w:val="22"/>
          <w:szCs w:val="22"/>
        </w:rPr>
        <w:t>Contemporary  Themes in the Hotel and Hospitality Sector</w:t>
      </w:r>
    </w:p>
    <w:p>
      <w:pPr>
        <w:pStyle w:val="ListParagraph"/>
        <w:widowControl/>
        <w:numPr>
          <w:ilvl w:val="0"/>
          <w:numId w:val="0"/>
        </w:numPr>
        <w:bidi w:val="0"/>
        <w:spacing w:lineRule="auto" w:line="360"/>
        <w:ind w:hanging="0" w:left="720"/>
        <w:jc w:val="both"/>
        <w:rPr>
          <w:rFonts w:ascii="Arial" w:hAnsi="Arial"/>
          <w:b/>
          <w:bCs/>
          <w:sz w:val="22"/>
          <w:szCs w:val="22"/>
        </w:rPr>
      </w:pPr>
      <w:r>
        <w:rPr>
          <w:rFonts w:ascii="Arial" w:hAnsi="Arial"/>
          <w:b/>
          <w:bCs/>
          <w:sz w:val="22"/>
          <w:szCs w:val="22"/>
        </w:rPr>
        <w:t xml:space="preserve"> </w:t>
      </w:r>
    </w:p>
    <w:p>
      <w:pPr>
        <w:pStyle w:val="ListParagraph"/>
        <w:widowControl/>
        <w:numPr>
          <w:ilvl w:val="0"/>
          <w:numId w:val="0"/>
        </w:numPr>
        <w:bidi w:val="0"/>
        <w:spacing w:lineRule="auto" w:line="360"/>
        <w:ind w:hanging="0" w:left="720"/>
        <w:jc w:val="both"/>
        <w:rPr>
          <w:rFonts w:ascii="Arial" w:hAnsi="Arial"/>
          <w:b/>
          <w:bCs/>
          <w:sz w:val="22"/>
          <w:szCs w:val="22"/>
        </w:rPr>
      </w:pPr>
      <w:r>
        <w:rPr>
          <w:rFonts w:ascii="Arial" w:hAnsi="Arial"/>
          <w:b/>
          <w:bCs/>
          <w:sz w:val="22"/>
          <w:szCs w:val="22"/>
        </w:rPr>
        <w:t xml:space="preserve">                                            </w:t>
      </w:r>
      <w:r>
        <w:rPr>
          <w:rFonts w:ascii="Arial" w:hAnsi="Arial"/>
          <w:b/>
          <w:bCs/>
          <w:sz w:val="22"/>
          <w:szCs w:val="22"/>
        </w:rPr>
        <w:t>BMIH6001</w:t>
      </w:r>
    </w:p>
    <w:p>
      <w:pPr>
        <w:pStyle w:val="ListParagraph"/>
        <w:widowControl/>
        <w:bidi w:val="0"/>
        <w:spacing w:lineRule="auto" w:line="360"/>
        <w:jc w:val="both"/>
        <w:rPr>
          <w:rFonts w:ascii="Arial" w:hAnsi="Arial"/>
          <w:b/>
          <w:bCs/>
          <w:sz w:val="22"/>
          <w:szCs w:val="22"/>
        </w:rPr>
      </w:pPr>
      <w:r>
        <w:rPr>
          <w:rFonts w:ascii="Arial" w:hAnsi="Arial"/>
          <w:b/>
          <w:bCs/>
          <w:sz w:val="22"/>
          <w:szCs w:val="22"/>
        </w:rPr>
      </w:r>
    </w:p>
    <w:p>
      <w:pPr>
        <w:pStyle w:val="ListParagraph"/>
        <w:widowControl/>
        <w:bidi w:val="0"/>
        <w:spacing w:lineRule="auto" w:line="360"/>
        <w:jc w:val="both"/>
        <w:rPr>
          <w:rFonts w:ascii="Arial" w:hAnsi="Arial"/>
          <w:b/>
          <w:bCs/>
          <w:sz w:val="22"/>
          <w:szCs w:val="22"/>
        </w:rPr>
      </w:pPr>
      <w:r>
        <w:rPr>
          <w:rFonts w:ascii="Arial" w:hAnsi="Arial"/>
          <w:b/>
          <w:bCs/>
          <w:sz w:val="22"/>
          <w:szCs w:val="22"/>
        </w:rPr>
      </w:r>
    </w:p>
    <w:p>
      <w:pPr>
        <w:pStyle w:val="ListParagraph"/>
        <w:widowControl/>
        <w:bidi w:val="0"/>
        <w:spacing w:lineRule="auto" w:line="360"/>
        <w:jc w:val="both"/>
        <w:rPr>
          <w:rFonts w:ascii="Arial" w:hAnsi="Arial"/>
          <w:b/>
          <w:bCs/>
          <w:sz w:val="22"/>
          <w:szCs w:val="22"/>
        </w:rPr>
      </w:pPr>
      <w:r>
        <w:rPr>
          <w:rFonts w:ascii="Arial" w:hAnsi="Arial"/>
          <w:b/>
          <w:bCs/>
          <w:sz w:val="22"/>
          <w:szCs w:val="22"/>
        </w:rPr>
      </w:r>
    </w:p>
    <w:p>
      <w:pPr>
        <w:pStyle w:val="ListParagraph"/>
        <w:widowControl/>
        <w:bidi w:val="0"/>
        <w:spacing w:lineRule="auto" w:line="360"/>
        <w:jc w:val="both"/>
        <w:rPr>
          <w:rFonts w:ascii="Arial" w:hAnsi="Arial"/>
          <w:b/>
          <w:bCs/>
          <w:sz w:val="22"/>
          <w:szCs w:val="22"/>
        </w:rPr>
      </w:pPr>
      <w:r>
        <w:rPr>
          <w:rFonts w:ascii="Arial" w:hAnsi="Arial"/>
          <w:b/>
          <w:bCs/>
          <w:sz w:val="22"/>
          <w:szCs w:val="22"/>
        </w:rPr>
        <w:t xml:space="preserve">                  </w:t>
      </w:r>
      <w:r>
        <w:rPr>
          <w:rFonts w:ascii="Arial" w:hAnsi="Arial"/>
          <w:b/>
          <w:bCs/>
          <w:sz w:val="22"/>
          <w:szCs w:val="22"/>
        </w:rPr>
        <w:t>Artificial Intelligence and human collaboration</w:t>
      </w:r>
    </w:p>
    <w:p>
      <w:pPr>
        <w:pStyle w:val="ListParagraph"/>
        <w:widowControl/>
        <w:bidi w:val="0"/>
        <w:spacing w:lineRule="auto" w:line="360"/>
        <w:jc w:val="both"/>
        <w:rPr>
          <w:rFonts w:ascii="Arial" w:hAnsi="Arial"/>
          <w:b/>
          <w:bCs/>
          <w:sz w:val="22"/>
          <w:szCs w:val="22"/>
        </w:rPr>
      </w:pPr>
      <w:r>
        <w:rPr>
          <w:rFonts w:ascii="Arial" w:hAnsi="Arial"/>
          <w:b/>
          <w:bCs/>
          <w:sz w:val="22"/>
          <w:szCs w:val="22"/>
        </w:rPr>
      </w:r>
    </w:p>
    <w:p>
      <w:pPr>
        <w:pStyle w:val="ListParagraph"/>
        <w:widowControl/>
        <w:bidi w:val="0"/>
        <w:spacing w:lineRule="auto" w:line="360"/>
        <w:jc w:val="both"/>
        <w:rPr>
          <w:rFonts w:ascii="Arial" w:hAnsi="Arial"/>
          <w:b/>
          <w:bCs/>
          <w:sz w:val="22"/>
          <w:szCs w:val="22"/>
        </w:rPr>
      </w:pPr>
      <w:r>
        <w:rPr>
          <w:rFonts w:ascii="Arial" w:hAnsi="Arial"/>
          <w:b/>
          <w:bCs/>
          <w:sz w:val="22"/>
          <w:szCs w:val="22"/>
        </w:rPr>
      </w:r>
    </w:p>
    <w:p>
      <w:pPr>
        <w:pStyle w:val="ListParagraph"/>
        <w:widowControl/>
        <w:bidi w:val="0"/>
        <w:spacing w:lineRule="auto" w:line="360"/>
        <w:jc w:val="both"/>
        <w:rPr>
          <w:rFonts w:ascii="Arial" w:hAnsi="Arial"/>
          <w:b/>
          <w:bCs/>
          <w:sz w:val="22"/>
          <w:szCs w:val="22"/>
        </w:rPr>
      </w:pPr>
      <w:r>
        <w:rPr>
          <w:rFonts w:ascii="Arial" w:hAnsi="Arial"/>
          <w:b/>
          <w:bCs/>
          <w:sz w:val="22"/>
          <w:szCs w:val="22"/>
        </w:rPr>
      </w:r>
    </w:p>
    <w:p>
      <w:pPr>
        <w:pStyle w:val="ListParagraph"/>
        <w:widowControl/>
        <w:bidi w:val="0"/>
        <w:spacing w:lineRule="auto" w:line="360"/>
        <w:jc w:val="both"/>
        <w:rPr>
          <w:rFonts w:ascii="Arial" w:hAnsi="Arial"/>
          <w:b/>
          <w:bCs/>
          <w:sz w:val="22"/>
          <w:szCs w:val="22"/>
        </w:rPr>
      </w:pPr>
      <w:r>
        <w:rPr>
          <w:rFonts w:ascii="Arial" w:hAnsi="Arial"/>
          <w:b/>
          <w:bCs/>
          <w:sz w:val="22"/>
          <w:szCs w:val="22"/>
        </w:rPr>
      </w:r>
    </w:p>
    <w:p>
      <w:pPr>
        <w:pStyle w:val="ListParagraph"/>
        <w:widowControl/>
        <w:bidi w:val="0"/>
        <w:spacing w:lineRule="auto" w:line="360"/>
        <w:jc w:val="both"/>
        <w:rPr>
          <w:rFonts w:ascii="Arial" w:hAnsi="Arial"/>
          <w:b/>
          <w:bCs/>
          <w:sz w:val="22"/>
          <w:szCs w:val="22"/>
        </w:rPr>
      </w:pPr>
      <w:r>
        <w:rPr>
          <w:rFonts w:ascii="Arial" w:hAnsi="Arial"/>
          <w:b/>
          <w:bCs/>
          <w:sz w:val="22"/>
          <w:szCs w:val="22"/>
        </w:rPr>
      </w:r>
    </w:p>
    <w:p>
      <w:pPr>
        <w:pStyle w:val="ListParagraph"/>
        <w:widowControl/>
        <w:bidi w:val="0"/>
        <w:spacing w:lineRule="auto" w:line="360"/>
        <w:ind w:hanging="0" w:left="0"/>
        <w:jc w:val="both"/>
        <w:rPr>
          <w:rFonts w:ascii="Arial" w:hAnsi="Arial"/>
          <w:b/>
          <w:bCs/>
          <w:sz w:val="22"/>
          <w:szCs w:val="22"/>
        </w:rPr>
      </w:pPr>
      <w:r>
        <w:rPr>
          <w:rFonts w:ascii="Arial" w:hAnsi="Arial"/>
          <w:b/>
          <w:bCs/>
          <w:sz w:val="22"/>
          <w:szCs w:val="22"/>
        </w:rPr>
        <w:t xml:space="preserve">                                                                                               </w:t>
      </w:r>
      <w:r>
        <w:rPr>
          <w:rFonts w:ascii="Arial" w:hAnsi="Arial"/>
          <w:b/>
          <w:bCs/>
          <w:sz w:val="22"/>
          <w:szCs w:val="22"/>
        </w:rPr>
        <w:t xml:space="preserve">Lecturer​: Chris Wilkin   </w:t>
      </w:r>
    </w:p>
    <w:p>
      <w:pPr>
        <w:pStyle w:val="ListParagraph"/>
        <w:widowControl/>
        <w:bidi w:val="0"/>
        <w:spacing w:lineRule="auto" w:line="360"/>
        <w:jc w:val="both"/>
        <w:rPr>
          <w:rFonts w:ascii="Arial" w:hAnsi="Arial"/>
          <w:b/>
          <w:bCs/>
          <w:sz w:val="22"/>
          <w:szCs w:val="22"/>
        </w:rPr>
      </w:pPr>
      <w:r>
        <w:rPr>
          <w:rFonts w:ascii="Arial" w:hAnsi="Arial"/>
          <w:b/>
          <w:bCs/>
          <w:sz w:val="22"/>
          <w:szCs w:val="22"/>
        </w:rPr>
        <w:t xml:space="preserve">         </w:t>
      </w:r>
    </w:p>
    <w:p>
      <w:pPr>
        <w:pStyle w:val="ListParagraph"/>
        <w:widowControl/>
        <w:bidi w:val="0"/>
        <w:spacing w:lineRule="auto" w:line="360"/>
        <w:jc w:val="both"/>
        <w:rPr>
          <w:rFonts w:ascii="Arial" w:hAnsi="Arial"/>
          <w:b/>
          <w:bCs/>
          <w:sz w:val="22"/>
          <w:szCs w:val="22"/>
        </w:rPr>
      </w:pPr>
      <w:r>
        <w:rPr>
          <w:rFonts w:ascii="Arial" w:hAnsi="Arial"/>
          <w:b/>
          <w:bCs/>
          <w:sz w:val="22"/>
          <w:szCs w:val="22"/>
        </w:rPr>
      </w:r>
    </w:p>
    <w:p>
      <w:pPr>
        <w:pStyle w:val="ListParagraph"/>
        <w:widowControl/>
        <w:bidi w:val="0"/>
        <w:spacing w:lineRule="auto" w:line="360"/>
        <w:jc w:val="both"/>
        <w:rPr>
          <w:rFonts w:ascii="Arial" w:hAnsi="Arial"/>
          <w:b/>
          <w:bCs/>
          <w:sz w:val="22"/>
          <w:szCs w:val="22"/>
        </w:rPr>
      </w:pPr>
      <w:r>
        <w:rPr>
          <w:rFonts w:ascii="Arial" w:hAnsi="Arial"/>
          <w:b/>
          <w:bCs/>
          <w:sz w:val="22"/>
          <w:szCs w:val="22"/>
        </w:rPr>
      </w:r>
    </w:p>
    <w:p>
      <w:pPr>
        <w:pStyle w:val="ListParagraph"/>
        <w:widowControl/>
        <w:bidi w:val="0"/>
        <w:spacing w:lineRule="auto" w:line="360"/>
        <w:jc w:val="both"/>
        <w:rPr>
          <w:rFonts w:ascii="Arial" w:hAnsi="Arial"/>
          <w:b/>
          <w:bCs/>
          <w:sz w:val="22"/>
          <w:szCs w:val="22"/>
        </w:rPr>
      </w:pPr>
      <w:r>
        <w:rPr>
          <w:rFonts w:ascii="Arial" w:hAnsi="Arial"/>
          <w:b/>
          <w:bCs/>
          <w:sz w:val="22"/>
          <w:szCs w:val="22"/>
        </w:rPr>
      </w:r>
    </w:p>
    <w:p>
      <w:pPr>
        <w:pStyle w:val="ListParagraph"/>
        <w:widowControl/>
        <w:bidi w:val="0"/>
        <w:spacing w:lineRule="auto" w:line="360"/>
        <w:jc w:val="both"/>
        <w:rPr>
          <w:rFonts w:ascii="Arial" w:hAnsi="Arial"/>
          <w:b/>
          <w:bCs/>
          <w:sz w:val="22"/>
          <w:szCs w:val="22"/>
        </w:rPr>
      </w:pPr>
      <w:r>
        <w:rPr>
          <w:rFonts w:ascii="Arial" w:hAnsi="Arial"/>
          <w:b/>
          <w:bCs/>
          <w:sz w:val="22"/>
          <w:szCs w:val="22"/>
        </w:rPr>
        <w:t xml:space="preserve">                                                                        </w:t>
      </w:r>
    </w:p>
    <w:p>
      <w:pPr>
        <w:pStyle w:val="ListParagraph"/>
        <w:widowControl/>
        <w:bidi w:val="0"/>
        <w:spacing w:lineRule="auto" w:line="360"/>
        <w:ind w:hanging="0" w:left="0"/>
        <w:jc w:val="both"/>
        <w:rPr>
          <w:rFonts w:ascii="Arial" w:hAnsi="Arial"/>
          <w:b/>
          <w:bCs/>
          <w:sz w:val="22"/>
          <w:szCs w:val="22"/>
        </w:rPr>
      </w:pPr>
      <w:r>
        <w:rPr>
          <w:rFonts w:ascii="Arial" w:hAnsi="Arial"/>
          <w:b/>
          <w:bCs/>
          <w:sz w:val="22"/>
          <w:szCs w:val="22"/>
        </w:rPr>
        <w:t xml:space="preserve">                                     </w:t>
      </w:r>
    </w:p>
    <w:p>
      <w:pPr>
        <w:pStyle w:val="ListParagraph"/>
        <w:widowControl/>
        <w:bidi w:val="0"/>
        <w:spacing w:lineRule="auto" w:line="360"/>
        <w:ind w:hanging="0" w:left="0"/>
        <w:jc w:val="both"/>
        <w:rPr>
          <w:rFonts w:ascii="Arial" w:hAnsi="Arial"/>
          <w:b/>
          <w:bCs/>
          <w:sz w:val="22"/>
          <w:szCs w:val="22"/>
        </w:rPr>
      </w:pPr>
      <w:r>
        <w:rPr>
          <w:rFonts w:ascii="Arial" w:hAnsi="Arial"/>
          <w:b/>
          <w:bCs/>
          <w:sz w:val="22"/>
          <w:szCs w:val="22"/>
        </w:rPr>
      </w:r>
    </w:p>
    <w:p>
      <w:pPr>
        <w:pStyle w:val="ListParagraph"/>
        <w:widowControl/>
        <w:bidi w:val="0"/>
        <w:spacing w:lineRule="auto" w:line="360"/>
        <w:ind w:hanging="0" w:left="0"/>
        <w:jc w:val="both"/>
        <w:rPr>
          <w:rFonts w:ascii="Arial" w:hAnsi="Arial"/>
          <w:b/>
          <w:bCs/>
          <w:sz w:val="22"/>
          <w:szCs w:val="22"/>
        </w:rPr>
      </w:pPr>
      <w:r>
        <w:rPr>
          <w:rFonts w:ascii="Arial" w:hAnsi="Arial"/>
          <w:b/>
          <w:bCs/>
          <w:sz w:val="22"/>
          <w:szCs w:val="22"/>
        </w:rPr>
        <w:t xml:space="preserve">                                      </w:t>
      </w:r>
      <w:r>
        <w:rPr>
          <w:rFonts w:ascii="Arial" w:hAnsi="Arial"/>
          <w:b/>
          <w:bCs/>
          <w:sz w:val="22"/>
          <w:szCs w:val="22"/>
        </w:rPr>
        <w:t>Student name: Lucian Mihaita Stefan</w:t>
      </w:r>
    </w:p>
    <w:p>
      <w:pPr>
        <w:pStyle w:val="ListParagraph"/>
        <w:widowControl/>
        <w:bidi w:val="0"/>
        <w:spacing w:lineRule="auto" w:line="360"/>
        <w:jc w:val="both"/>
        <w:rPr>
          <w:rFonts w:ascii="Arial" w:hAnsi="Arial"/>
          <w:b/>
          <w:bCs/>
          <w:sz w:val="22"/>
          <w:szCs w:val="22"/>
        </w:rPr>
      </w:pPr>
      <w:r>
        <w:rPr>
          <w:rFonts w:ascii="Arial" w:hAnsi="Arial"/>
          <w:b/>
          <w:bCs/>
          <w:sz w:val="22"/>
          <w:szCs w:val="22"/>
        </w:rPr>
        <w:t xml:space="preserve">                                                     </w:t>
      </w:r>
      <w:r>
        <w:rPr>
          <w:rFonts w:ascii="Arial" w:hAnsi="Arial"/>
          <w:b/>
          <w:bCs/>
          <w:sz w:val="22"/>
          <w:szCs w:val="22"/>
        </w:rPr>
        <w:t>2234126</w:t>
      </w:r>
    </w:p>
    <w:p>
      <w:pPr>
        <w:pStyle w:val="ListParagraph"/>
        <w:widowControl/>
        <w:bidi w:val="0"/>
        <w:spacing w:lineRule="auto" w:line="360"/>
        <w:jc w:val="both"/>
        <w:rPr>
          <w:rFonts w:ascii="Arial" w:hAnsi="Arial"/>
          <w:b/>
          <w:bCs/>
          <w:sz w:val="22"/>
          <w:szCs w:val="22"/>
        </w:rPr>
      </w:pPr>
      <w:r>
        <w:rPr>
          <w:rFonts w:ascii="Arial" w:hAnsi="Arial"/>
          <w:b/>
          <w:bCs/>
          <w:sz w:val="22"/>
          <w:szCs w:val="22"/>
        </w:rPr>
      </w:r>
    </w:p>
    <w:p>
      <w:pPr>
        <w:pStyle w:val="ListParagraph"/>
        <w:widowControl/>
        <w:bidi w:val="0"/>
        <w:spacing w:lineRule="auto" w:line="360"/>
        <w:jc w:val="both"/>
        <w:rPr>
          <w:rFonts w:ascii="Arial" w:hAnsi="Arial"/>
          <w:sz w:val="22"/>
          <w:szCs w:val="22"/>
        </w:rPr>
      </w:pPr>
      <w:r>
        <w:rPr>
          <w:rFonts w:ascii="Arial" w:hAnsi="Arial"/>
          <w:sz w:val="22"/>
          <w:szCs w:val="22"/>
        </w:rPr>
      </w:r>
    </w:p>
    <w:p>
      <w:pPr>
        <w:pStyle w:val="ListParagraph"/>
        <w:widowControl/>
        <w:bidi w:val="0"/>
        <w:spacing w:lineRule="auto" w:line="360"/>
        <w:jc w:val="both"/>
        <w:rPr>
          <w:rFonts w:ascii="Arial" w:hAnsi="Arial"/>
          <w:sz w:val="22"/>
          <w:szCs w:val="22"/>
        </w:rPr>
      </w:pPr>
      <w:r>
        <w:rPr>
          <w:rFonts w:ascii="Arial" w:hAnsi="Arial"/>
          <w:sz w:val="22"/>
          <w:szCs w:val="22"/>
        </w:rPr>
      </w:r>
    </w:p>
    <w:p>
      <w:pPr>
        <w:pStyle w:val="ListParagraph"/>
        <w:widowControl/>
        <w:bidi w:val="0"/>
        <w:spacing w:lineRule="auto" w:line="360"/>
        <w:jc w:val="both"/>
        <w:rPr>
          <w:rFonts w:ascii="Arial" w:hAnsi="Arial"/>
          <w:sz w:val="22"/>
          <w:szCs w:val="22"/>
        </w:rPr>
      </w:pPr>
      <w:r>
        <w:rPr>
          <w:rFonts w:ascii="Arial" w:hAnsi="Arial"/>
          <w:sz w:val="22"/>
          <w:szCs w:val="22"/>
        </w:rPr>
      </w:r>
    </w:p>
    <w:p>
      <w:pPr>
        <w:pStyle w:val="ListParagraph"/>
        <w:widowControl/>
        <w:bidi w:val="0"/>
        <w:spacing w:lineRule="auto" w:line="360"/>
        <w:jc w:val="both"/>
        <w:rPr>
          <w:rFonts w:ascii="Arial" w:hAnsi="Arial"/>
          <w:sz w:val="22"/>
          <w:szCs w:val="22"/>
        </w:rPr>
      </w:pPr>
      <w:r>
        <w:rPr>
          <w:rFonts w:ascii="Arial" w:hAnsi="Arial"/>
          <w:sz w:val="22"/>
          <w:szCs w:val="22"/>
        </w:rPr>
      </w:r>
    </w:p>
    <w:p>
      <w:pPr>
        <w:pStyle w:val="ListParagraph"/>
        <w:widowControl/>
        <w:bidi w:val="0"/>
        <w:spacing w:lineRule="auto" w:line="360"/>
        <w:jc w:val="both"/>
        <w:rPr>
          <w:rFonts w:ascii="Arial" w:hAnsi="Arial"/>
          <w:sz w:val="22"/>
          <w:szCs w:val="22"/>
        </w:rPr>
      </w:pPr>
      <w:r>
        <w:rPr>
          <w:rFonts w:ascii="Arial" w:hAnsi="Arial"/>
          <w:sz w:val="22"/>
          <w:szCs w:val="22"/>
        </w:rPr>
      </w:r>
    </w:p>
    <w:p>
      <w:pPr>
        <w:pStyle w:val="ListParagraph"/>
        <w:widowControl/>
        <w:bidi w:val="0"/>
        <w:spacing w:lineRule="auto" w:line="360"/>
        <w:jc w:val="both"/>
        <w:rPr>
          <w:rFonts w:ascii="Arial" w:hAnsi="Arial"/>
          <w:sz w:val="22"/>
          <w:szCs w:val="22"/>
        </w:rPr>
      </w:pPr>
      <w:r>
        <w:rPr>
          <w:rFonts w:ascii="Arial" w:hAnsi="Arial"/>
          <w:sz w:val="22"/>
          <w:szCs w:val="22"/>
        </w:rPr>
      </w:r>
    </w:p>
    <w:p>
      <w:pPr>
        <w:pStyle w:val="ListParagraph"/>
        <w:widowControl/>
        <w:bidi w:val="0"/>
        <w:spacing w:lineRule="auto" w:line="360"/>
        <w:jc w:val="both"/>
        <w:rPr>
          <w:rFonts w:ascii="Arial" w:hAnsi="Arial"/>
          <w:sz w:val="22"/>
          <w:szCs w:val="22"/>
        </w:rPr>
      </w:pPr>
      <w:r>
        <w:rPr>
          <w:rFonts w:ascii="Arial" w:hAnsi="Arial"/>
          <w:sz w:val="22"/>
          <w:szCs w:val="22"/>
        </w:rPr>
      </w:r>
    </w:p>
    <w:p>
      <w:pPr>
        <w:pStyle w:val="ListParagraph"/>
        <w:widowControl/>
        <w:bidi w:val="0"/>
        <w:spacing w:lineRule="auto" w:line="360"/>
        <w:jc w:val="both"/>
        <w:rPr>
          <w:rFonts w:ascii="Arial" w:hAnsi="Arial"/>
          <w:sz w:val="22"/>
          <w:szCs w:val="22"/>
        </w:rPr>
      </w:pPr>
      <w:r>
        <w:rPr>
          <w:rFonts w:ascii="Arial" w:hAnsi="Arial"/>
          <w:sz w:val="22"/>
          <w:szCs w:val="22"/>
        </w:rPr>
      </w:r>
    </w:p>
    <w:p>
      <w:pPr>
        <w:pStyle w:val="ListParagraph"/>
        <w:spacing w:lineRule="auto" w:line="360"/>
        <w:ind w:hanging="360" w:left="720" w:right="0"/>
        <w:jc w:val="left"/>
        <w:rPr/>
      </w:pPr>
      <w:r>
        <w:rPr>
          <w:b/>
        </w:rPr>
        <w:t>Abstract</w:t>
      </w:r>
    </w:p>
    <w:p>
      <w:pPr>
        <w:pStyle w:val="Normal"/>
        <w:spacing w:lineRule="auto" w:line="360"/>
        <w:ind w:hanging="0" w:left="0" w:right="0"/>
        <w:jc w:val="both"/>
        <w:rPr>
          <w:lang w:val="en-GB"/>
        </w:rPr>
      </w:pPr>
      <w:r>
        <w:rPr/>
        <w:t>Hotels are digitising fast, and artificial intelligence now informs how reservations, arrivals, communication, pricing, and sustainability are managed. The research over recent years shows clear efficiency gains, yet adoption remains uneven among both guests and employees. Evidence points to a hybrid model in which automation handles the routine while people remain visible for reassurance, discretion, and emotional repair. Privacy, training, and explainability continue to emerge as the main pressure points for trust. The principle is simple. Design does the heavy lifting. This paper synthesises academic and industry sources from 2020–2025 and argues that performance depends less on the technology itself and more on the structure around it how escalation routes are planned, how staff are prepared, and how everyday workflow supports the exchange between digital speed and human care (Oracle Hospitality and Skift, 2025; KPMG, 2025; Iberostar Group, 2023; Peng et al., 2022).</w:t>
      </w:r>
    </w:p>
    <w:p>
      <w:pPr>
        <w:pStyle w:val="ListParagraph"/>
        <w:numPr>
          <w:ilvl w:val="0"/>
          <w:numId w:val="0"/>
        </w:numPr>
        <w:spacing w:lineRule="auto" w:line="360"/>
        <w:ind w:hanging="0" w:left="0" w:right="0"/>
        <w:jc w:val="left"/>
        <w:rPr>
          <w:lang w:val="en-GB"/>
        </w:rPr>
      </w:pPr>
      <w:r>
        <w:rPr>
          <w:b/>
        </w:rPr>
        <w:t xml:space="preserve">                              </w:t>
      </w:r>
    </w:p>
    <w:p>
      <w:pPr>
        <w:pStyle w:val="ListParagraph"/>
        <w:numPr>
          <w:ilvl w:val="0"/>
          <w:numId w:val="0"/>
        </w:numPr>
        <w:spacing w:lineRule="auto" w:line="360"/>
        <w:ind w:hanging="0" w:left="0" w:right="0"/>
        <w:jc w:val="left"/>
        <w:rPr>
          <w:lang w:val="en-GB"/>
        </w:rPr>
      </w:pPr>
      <w:r>
        <w:rPr>
          <w:b/>
        </w:rPr>
        <w:t xml:space="preserve">      </w:t>
      </w:r>
      <w:r>
        <w:rPr>
          <w:b/>
        </w:rPr>
        <w:t>Introduction</w:t>
      </w:r>
    </w:p>
    <w:p>
      <w:pPr>
        <w:pStyle w:val="Normal"/>
        <w:spacing w:lineRule="auto" w:line="360"/>
        <w:ind w:hanging="0" w:left="0" w:right="0"/>
        <w:jc w:val="both"/>
        <w:rPr>
          <w:lang w:val="en-GB"/>
        </w:rPr>
      </w:pPr>
      <w:r>
        <w:rPr/>
        <w:t>The hospitality sector is moving through one of its fastest digital shifts. Artificial intelligence now books rooms, speeds arrivals, and anticipates guest preferences before a question is even asked. Efficiency explains part of the change, yet social habits have evolved as well. More than half of global travellers prefer contactless procedures and mobile keys, which has made automation feel like a standard rather than a luxury (Oracle Hospitality and Skift, 2025). Still, the same sources point to something more enduring: guests continue to expect flexibility and a person nearby when plans slip, as they inevitably do. People still look for a face. Many managers reading these findings would probably recognise this situation. Queues may move faster, yet that brief loss of human eye contact often changes the atmosphere of arrival (Oracle Hospitality and Skift, 2025; Peng et al., 2022).</w:t>
      </w:r>
    </w:p>
    <w:p>
      <w:pPr>
        <w:pStyle w:val="Normal"/>
        <w:spacing w:lineRule="auto" w:line="360"/>
        <w:ind w:hanging="0" w:left="0" w:right="0"/>
        <w:jc w:val="both"/>
        <w:rPr>
          <w:lang w:val="en-GB"/>
        </w:rPr>
      </w:pPr>
      <w:r>
        <w:rPr/>
        <w:t>The pattern is not consistent across markets or generations. Older guests have become more digitally confident, yet many still seek staff presence when a decision feels uncertain or emotional (McKinsey and Company, 2024). At busy hours such as early morning, when kiosks stall and queues form reassurance often matters as much as speed. When technology appears risky or demanding to use, intention to adopt declines, particularly among seniors (Min et al., 2024). The question therefore returns to design: how can hotels combine the efficiency of automation with the warmth that defines genuine hospitality? This paper examines that balance through existing research on AI–human collaboration in hotel operations.</w:t>
      </w:r>
    </w:p>
    <w:p>
      <w:pPr>
        <w:pStyle w:val="Normal"/>
        <w:spacing w:lineRule="auto" w:line="360"/>
        <w:ind w:hanging="0" w:left="0" w:right="0"/>
        <w:jc w:val="both"/>
        <w:rPr>
          <w:lang w:val="en-GB"/>
        </w:rPr>
      </w:pPr>
      <w:r>
        <w:rPr>
          <w:lang w:val="en-GB"/>
        </w:rPr>
      </w:r>
    </w:p>
    <w:p>
      <w:pPr>
        <w:pStyle w:val="Normal"/>
        <w:spacing w:lineRule="auto" w:line="360"/>
        <w:ind w:hanging="0" w:left="0" w:right="0"/>
        <w:jc w:val="both"/>
        <w:rPr>
          <w:lang w:val="en-GB"/>
        </w:rPr>
      </w:pPr>
      <w:r>
        <w:rPr>
          <w:b/>
        </w:rPr>
        <w:t xml:space="preserve"> </w:t>
      </w:r>
      <w:r>
        <w:rPr>
          <w:b/>
        </w:rPr>
        <w:t>Literature Review</w:t>
      </w:r>
    </w:p>
    <w:p>
      <w:pPr>
        <w:pStyle w:val="Normal"/>
        <w:spacing w:lineRule="auto" w:line="360"/>
        <w:ind w:hanging="0" w:left="0" w:right="0"/>
        <w:jc w:val="both"/>
        <w:rPr>
          <w:lang w:val="en-GB"/>
        </w:rPr>
      </w:pPr>
      <w:r>
        <w:rPr>
          <w:b/>
        </w:rPr>
        <w:t>Guest Expectations and Digital Adoption</w:t>
      </w:r>
    </w:p>
    <w:p>
      <w:pPr>
        <w:pStyle w:val="Normal"/>
        <w:spacing w:lineRule="auto" w:line="360"/>
        <w:ind w:hanging="0" w:left="0" w:right="0"/>
        <w:jc w:val="both"/>
        <w:rPr>
          <w:lang w:val="en-GB"/>
        </w:rPr>
      </w:pPr>
      <w:r>
        <w:rPr/>
        <w:t>Convenience has come to define the flow of many hotel stays. Studies report that guests now favour faster arrivals, self-service access, and integrated payment tools. Contactless processes did not fade after the pandemic; they became routine (Oracle Hospitality and Skift, 2025). Yet moments of disruption still reveal the human side. Families travelling with children, or elderly guests unfamiliar with new systems, tend to look for empathy and visible help when things go wrong (McKinsey and Company, 2024). In practice, a front-desk employee can observe this gap immediately. The system works, but guests still pause before using it. That hesitation reflects comfort and trust more than technical skill (Hong and Slevitch, 2018; McKinsey and Company, 2024). Age and confidence remain central to acceptance. Willingness to use kiosks declines when usability seems low or perceived effort rises (Hong and Slevitch, 2018). Ratings drop further when a guest cannot easily move from an automated to a human channel. A closed system feels weak (Mandić et al., 2023). The operational rule is direct: design for choice, not compulsion. Choice lowers friction. Ensuring that emotional reassurance sits beside efficiency keeps the experience coherent rather than divided between machine and person (Kandampully and Solnet, 2020).</w:t>
      </w:r>
    </w:p>
    <w:p>
      <w:pPr>
        <w:pStyle w:val="Normal"/>
        <w:spacing w:lineRule="auto" w:line="360"/>
        <w:ind w:hanging="0" w:left="0" w:right="0"/>
        <w:jc w:val="both"/>
        <w:rPr>
          <w:lang w:val="en-GB"/>
        </w:rPr>
      </w:pPr>
      <w:r>
        <w:rPr>
          <w:b/>
        </w:rPr>
        <w:t>AI, Perceived Warmth, and Service Recovery</w:t>
      </w:r>
    </w:p>
    <w:p>
      <w:pPr>
        <w:pStyle w:val="Normal"/>
        <w:spacing w:lineRule="auto" w:line="360"/>
        <w:ind w:hanging="0" w:left="0" w:right="0"/>
        <w:jc w:val="both"/>
        <w:rPr>
          <w:lang w:val="en-GB"/>
        </w:rPr>
      </w:pPr>
      <w:r>
        <w:rPr/>
        <w:t xml:space="preserve">Hotels often rely on artificial intelligence to make service delivery more predictable. Yet this pursuit of precision sometimes removes the small irregularities that make interactions feel human. Several studies show that even when automated systems solve the problem correctly, guests still sense a missing tone of care (Peng et al., 2022). </w:t>
      </w:r>
    </w:p>
    <w:p>
      <w:pPr>
        <w:pStyle w:val="Normal"/>
        <w:spacing w:lineRule="auto" w:line="360"/>
        <w:ind w:hanging="0" w:left="0" w:right="0"/>
        <w:jc w:val="both"/>
        <w:rPr>
          <w:lang w:val="en-GB"/>
        </w:rPr>
      </w:pPr>
      <w:r>
        <w:rPr>
          <w:lang w:val="en-GB"/>
        </w:rPr>
      </w:r>
    </w:p>
    <w:p>
      <w:pPr>
        <w:pStyle w:val="Normal"/>
        <w:spacing w:lineRule="auto" w:line="360"/>
        <w:ind w:hanging="0" w:left="0" w:right="0"/>
        <w:jc w:val="both"/>
        <w:rPr>
          <w:lang w:val="en-GB"/>
        </w:rPr>
      </w:pPr>
      <w:r>
        <w:rPr/>
        <w:t>Satisfaction depends not only on outcome but on warmth, on the impression that someone noticed and adjusted. Al-Hyari et al. (2023) compared human-centred and technology-centred innovation and found that improvements based on empathy produced stronger satisfaction. The implication is not that AI lacks value, but that it struggles to express attention.</w:t>
      </w:r>
    </w:p>
    <w:p>
      <w:pPr>
        <w:pStyle w:val="Normal"/>
        <w:spacing w:lineRule="auto" w:line="360"/>
        <w:ind w:hanging="0" w:left="0" w:right="0"/>
        <w:jc w:val="both"/>
        <w:rPr>
          <w:lang w:val="en-GB"/>
        </w:rPr>
      </w:pPr>
      <w:r>
        <w:rPr/>
        <w:t>Even so, technology can be built to communicate understanding. Friendly language, soft pacing, and transparent escalation routes can alter perception. Employees observing these exchanges often describe the same reaction. The process succeeds technically, yet the tone feels thinner, as if empathy has been reduced (Peng et al., 2022; Al-Hyari et al., 2023). Guests respond differently when they know a person will intervene if needed. Ngo et al. (2025) found that chatbots perceived as trustworthy helped guests forgive minor errors because the system felt supervised. Dutta (2024) noted a similar distinction: when mistakes stem from guests themselves, automated replies are accepted; when responsibility lies with the hotel, people want a human voice. The difference may sound subtle, but it defines credibility. Once escalation stalls or loops repeat, irritation grows fast (Ozuem et al., 2024). In the end, the lesson is practical. Automation works best when it fixes factual or procedural issues, while emotional or moral decisions still require human presence. Escalation must stay visible, not hidden behind menus or delays.</w:t>
      </w:r>
    </w:p>
    <w:p>
      <w:pPr>
        <w:pStyle w:val="Normal"/>
        <w:spacing w:lineRule="auto" w:line="360"/>
        <w:ind w:hanging="0" w:left="0" w:right="0"/>
        <w:jc w:val="both"/>
        <w:rPr>
          <w:lang w:val="en-GB"/>
        </w:rPr>
      </w:pPr>
      <w:r>
        <w:rPr>
          <w:b/>
        </w:rPr>
        <w:t>Revenue Uplift and Operational Efficiency</w:t>
      </w:r>
    </w:p>
    <w:p>
      <w:pPr>
        <w:pStyle w:val="Normal"/>
        <w:spacing w:lineRule="auto" w:line="360"/>
        <w:ind w:hanging="0" w:left="0" w:right="0"/>
        <w:jc w:val="both"/>
        <w:rPr>
          <w:lang w:val="en-GB"/>
        </w:rPr>
      </w:pPr>
      <w:r>
        <w:rPr/>
        <w:t>Commercial gains from automation are increasingly visible. Guests who use self-check-in are almost three times more likely to purchase upgrades, producing approximately 70 per cent higher upsell revenue (Mews, 2024). Similar reports of RevPAR improvement through predictive pricing and personalisation circulate widely, though the magnitude varies by context. Smaller properties operate under different constraints. Automation yields value only when data quality, staff competence, and process discipline are present. Otherwise, projects stall and benefits erode (Ivanov et al., 2025). Many hotels still overestimate short-term gains and underestimate the work required for implementation, which weakens results (Bulchand-Gidumal et al., 2024). Foundations first. Readiness determines return.</w:t>
      </w:r>
    </w:p>
    <w:p>
      <w:pPr>
        <w:pStyle w:val="Normal"/>
        <w:spacing w:lineRule="auto" w:line="360"/>
        <w:ind w:hanging="0" w:left="0" w:right="0"/>
        <w:jc w:val="both"/>
        <w:rPr>
          <w:lang w:val="en-GB"/>
        </w:rPr>
      </w:pPr>
      <w:r>
        <w:rPr>
          <w:lang w:val="en-GB"/>
        </w:rPr>
      </w:r>
    </w:p>
    <w:p>
      <w:pPr>
        <w:pStyle w:val="Normal"/>
        <w:spacing w:lineRule="auto" w:line="360"/>
        <w:ind w:hanging="0" w:left="0" w:right="0"/>
        <w:jc w:val="both"/>
        <w:rPr>
          <w:lang w:val="en-GB"/>
        </w:rPr>
      </w:pPr>
      <w:r>
        <w:rPr>
          <w:lang w:val="en-GB"/>
        </w:rPr>
      </w:r>
    </w:p>
    <w:p>
      <w:pPr>
        <w:pStyle w:val="Normal"/>
        <w:spacing w:lineRule="auto" w:line="360"/>
        <w:ind w:hanging="0" w:left="0" w:right="0"/>
        <w:jc w:val="both"/>
        <w:rPr>
          <w:lang w:val="en-GB"/>
        </w:rPr>
      </w:pPr>
      <w:r>
        <w:rPr>
          <w:b/>
        </w:rPr>
        <w:t>Workforce, Human Factors, and Change</w:t>
      </w:r>
    </w:p>
    <w:p>
      <w:pPr>
        <w:pStyle w:val="Normal"/>
        <w:spacing w:lineRule="auto" w:line="360"/>
        <w:ind w:hanging="0" w:left="0" w:right="0"/>
        <w:jc w:val="both"/>
        <w:rPr>
          <w:lang w:val="en-GB"/>
        </w:rPr>
      </w:pPr>
      <w:r>
        <w:rPr/>
        <w:t>Each new system reshapes daily work. Early reactions among staff often include anxiety fear of replacement or surveillance. Over time, some recognise that automation can remove repetitive tasks and allow more meaningful contact (Pericleous et al., 2025). The transition, however, remains uneven. Motivation rises when employees perceive AI as a collaborator rather than a threat (Wang and Hou, 2025). Yet global evidence shows preparation remains thin. Fewer than half of employees receive formal AI training, while many adopt tools informally without guidance (KPMG, 2025). Uncertainty and enthusiasm often coexist. Jobs and Skills Australia (2025) suggests that AI will transform most roles rather than eliminate them but warns that without structured learning, benefits will stay inconsistent. Confidence is taught. Communication and training therefore form the real infrastructure of digital transformation.</w:t>
      </w:r>
    </w:p>
    <w:p>
      <w:pPr>
        <w:pStyle w:val="Normal"/>
        <w:spacing w:lineRule="auto" w:line="360"/>
        <w:ind w:hanging="0" w:left="0" w:right="0"/>
        <w:jc w:val="both"/>
        <w:rPr>
          <w:lang w:val="en-GB"/>
        </w:rPr>
      </w:pPr>
      <w:r>
        <w:rPr>
          <w:b/>
        </w:rPr>
        <w:t>Personalisation, Privacy, and Trust</w:t>
      </w:r>
    </w:p>
    <w:p>
      <w:pPr>
        <w:pStyle w:val="Normal"/>
        <w:spacing w:lineRule="auto" w:line="360"/>
        <w:ind w:hanging="0" w:left="0" w:right="0"/>
        <w:jc w:val="both"/>
        <w:rPr>
          <w:lang w:val="en-GB"/>
        </w:rPr>
      </w:pPr>
      <w:r>
        <w:rPr/>
        <w:t>Personalisation works only when guests feel in control. Studies show that satisfaction and return intention depend on responsible data management and visible safeguards (Wüst and Bremser, 2025). Transparency and explicit consent create that sense of safety, allowing guests to see how information is used (Asthana et al., 2024). Yet the line between helpful and intrusive is thin. Excessive targeting triggers the “creepiness effect,” reducing engagement (Weber and Wendel, 2025). Clarity earns permission. In practice, guests accept tailored offers when they can easily decline them, and when staff remain available to explain how systems learn or store preferences. The control must stay visible.</w:t>
      </w:r>
    </w:p>
    <w:p>
      <w:pPr>
        <w:pStyle w:val="Normal"/>
        <w:spacing w:lineRule="auto" w:line="360"/>
        <w:ind w:hanging="0" w:left="0" w:right="0"/>
        <w:jc w:val="both"/>
        <w:rPr>
          <w:lang w:val="en-GB"/>
        </w:rPr>
      </w:pPr>
      <w:r>
        <w:rPr>
          <w:b/>
        </w:rPr>
        <w:t>Sustainability and Operational Resilience</w:t>
      </w:r>
    </w:p>
    <w:p>
      <w:pPr>
        <w:pStyle w:val="Normal"/>
        <w:spacing w:lineRule="auto" w:line="360"/>
        <w:ind w:hanging="0" w:left="0" w:right="0"/>
        <w:jc w:val="both"/>
        <w:rPr>
          <w:lang w:val="en-GB"/>
        </w:rPr>
      </w:pPr>
      <w:r>
        <w:rPr/>
        <w:t>Artificial intelligence supports environmental goals when integrated into daily routines. A computer-vision programme monitoring kitchen waste reduced food waste by roughly 28 per cent across participating hotels (Iberostar Group, 2023). Yet many pilots fade once initial costs meet delayed savings, and potential value never compounds (Reuters, 2024). Measurement must meet habit. Environmental AI should be treated as an operational function, not a marketing campaign, ensuring that results persist beyond the project phase.</w:t>
      </w:r>
    </w:p>
    <w:p>
      <w:pPr>
        <w:pStyle w:val="Normal"/>
        <w:spacing w:lineRule="auto" w:line="360"/>
        <w:ind w:hanging="0" w:left="0" w:right="0"/>
        <w:jc w:val="both"/>
        <w:rPr>
          <w:lang w:val="en-GB"/>
        </w:rPr>
      </w:pPr>
      <w:r>
        <w:rPr>
          <w:lang w:val="en-GB"/>
        </w:rPr>
      </w:r>
    </w:p>
    <w:p>
      <w:pPr>
        <w:pStyle w:val="Normal"/>
        <w:spacing w:lineRule="auto" w:line="360"/>
        <w:ind w:hanging="0" w:left="0" w:right="0"/>
        <w:jc w:val="both"/>
        <w:rPr>
          <w:lang w:val="en-GB"/>
        </w:rPr>
      </w:pPr>
      <w:r>
        <w:rPr>
          <w:b/>
        </w:rPr>
        <w:t>Synthesis and Research Gaps</w:t>
      </w:r>
    </w:p>
    <w:p>
      <w:pPr>
        <w:pStyle w:val="Normal"/>
        <w:spacing w:lineRule="auto" w:line="360"/>
        <w:ind w:hanging="0" w:left="0" w:right="0"/>
        <w:jc w:val="both"/>
        <w:rPr>
          <w:lang w:val="en-GB"/>
        </w:rPr>
      </w:pPr>
      <w:r>
        <w:rPr/>
        <w:t>Across studies, the same pattern repeats: automation provides speed and consistency, while people deliver empathy and trust. Hybrid systems perform best when transitions between the two are smooth and deliberate (Oracle Hospitality and Skift, 2025; Peng et al., 2022). Yet research remains concentrated in large, urban, or luxury settings, leaving smaller and regional hotels under-represented. Longitudinal evidence is scarce, limiting understanding of how attitudes evolve. Time reveals adoption. Continued observation will clarify how AI–human collaboration matures within everyday hospitality.</w:t>
      </w:r>
    </w:p>
    <w:p>
      <w:pPr>
        <w:pStyle w:val="Normal"/>
        <w:spacing w:lineRule="auto" w:line="360"/>
        <w:ind w:hanging="0" w:left="0" w:right="0"/>
        <w:jc w:val="both"/>
        <w:rPr>
          <w:lang w:val="en-GB"/>
        </w:rPr>
      </w:pPr>
      <w:r>
        <w:rPr>
          <w:lang w:val="en-GB"/>
        </w:rPr>
      </w:r>
    </w:p>
    <w:p>
      <w:pPr>
        <w:pStyle w:val="ListParagraph"/>
        <w:numPr>
          <w:ilvl w:val="0"/>
          <w:numId w:val="0"/>
        </w:numPr>
        <w:spacing w:lineRule="auto" w:line="360"/>
        <w:ind w:hanging="0" w:left="0" w:right="0"/>
        <w:jc w:val="both"/>
        <w:rPr>
          <w:lang w:val="en-GB"/>
        </w:rPr>
      </w:pPr>
      <w:r>
        <w:rPr>
          <w:b/>
        </w:rPr>
        <w:t>Method</w:t>
      </w:r>
    </w:p>
    <w:p>
      <w:pPr>
        <w:pStyle w:val="Normal"/>
        <w:spacing w:lineRule="auto" w:line="360"/>
        <w:ind w:hanging="0" w:left="0" w:right="0"/>
        <w:jc w:val="both"/>
        <w:rPr>
          <w:lang w:val="en-GB"/>
        </w:rPr>
      </w:pPr>
      <w:r>
        <w:rPr/>
        <w:t xml:space="preserve">A qualitative synthesis of secondary sources was undertaken to examine how AI–human collaboration influences hotel performance and experience. The review covered 2020–2025 and included peer-reviewed work from </w:t>
      </w:r>
      <w:r>
        <w:rPr>
          <w:i/>
        </w:rPr>
        <w:t>Current Issues in Tourism</w:t>
      </w:r>
      <w:r>
        <w:rPr/>
        <w:t xml:space="preserve">, </w:t>
      </w:r>
      <w:r>
        <w:rPr>
          <w:i/>
        </w:rPr>
        <w:t>Tourism Management</w:t>
      </w:r>
      <w:r>
        <w:rPr/>
        <w:t xml:space="preserve">, and the </w:t>
      </w:r>
      <w:r>
        <w:rPr>
          <w:i/>
        </w:rPr>
        <w:t>Journal of Business Research</w:t>
      </w:r>
      <w:r>
        <w:rPr/>
        <w:t>, alongside industry reports from Oracle Hospitality, McKinsey, KPMG, and Mews. Sources were grouped under three lenses: guest experience, employee impact, and organisational outcome. The analysis was thematic, comparing recurring ideas and tensions to identify practical patterns. Contradictions were also noted for instance, enthusiasm in surveys against hesitation at the front line. Ethical integrity was preserved through full acknowledgment of authors and transparent use of material. The aim is coherence. The purpose was to build an integrated picture of how technology and human service coexist in real operations (Oracle Hospitality and Skift, 2025; KPMG, 2025; Mews, 2024).</w:t>
      </w:r>
    </w:p>
    <w:p>
      <w:pPr>
        <w:pStyle w:val="Normal"/>
        <w:spacing w:lineRule="auto" w:line="360"/>
        <w:ind w:hanging="0" w:left="0" w:right="0"/>
        <w:jc w:val="both"/>
        <w:rPr>
          <w:lang w:val="en-GB"/>
        </w:rPr>
      </w:pPr>
      <w:r>
        <w:rPr>
          <w:b/>
        </w:rPr>
        <w:t>Theme Impact Analysis</w:t>
      </w:r>
    </w:p>
    <w:p>
      <w:pPr>
        <w:pStyle w:val="Normal"/>
        <w:spacing w:lineRule="auto" w:line="360"/>
        <w:ind w:hanging="0" w:left="0" w:right="0"/>
        <w:jc w:val="both"/>
        <w:rPr>
          <w:lang w:val="en-GB"/>
        </w:rPr>
      </w:pPr>
      <w:r>
        <w:rPr>
          <w:b/>
        </w:rPr>
        <w:t>Impact on Guest Experience</w:t>
      </w:r>
    </w:p>
    <w:p>
      <w:pPr>
        <w:pStyle w:val="Normal"/>
        <w:spacing w:lineRule="auto" w:line="360"/>
        <w:ind w:hanging="0" w:left="0" w:right="0"/>
        <w:jc w:val="both"/>
        <w:rPr>
          <w:lang w:val="en-GB"/>
        </w:rPr>
      </w:pPr>
      <w:r>
        <w:rPr/>
        <w:t xml:space="preserve">Automation has simplified most journeys. Guests now move through their stay with less friction, using self-check-in, mobile keys, and brief digital messaging instead of extended desk interaction (Oracle Hospitality and Skift, 2025; Kumar et al., 2025). </w:t>
      </w:r>
    </w:p>
    <w:p>
      <w:pPr>
        <w:pStyle w:val="Normal"/>
        <w:spacing w:lineRule="auto" w:line="360"/>
        <w:ind w:hanging="0" w:left="0" w:right="0"/>
        <w:jc w:val="both"/>
        <w:rPr>
          <w:lang w:val="en-GB"/>
        </w:rPr>
      </w:pPr>
      <w:r>
        <w:rPr/>
        <w:t>Removing queues and paperwork consistently improves ratings because irritation tends to accumulate in these small delays (Mews, 2024).</w:t>
      </w:r>
    </w:p>
    <w:p>
      <w:pPr>
        <w:pStyle w:val="Normal"/>
        <w:spacing w:lineRule="auto" w:line="360"/>
        <w:ind w:hanging="0" w:left="0" w:right="0"/>
        <w:jc w:val="both"/>
        <w:rPr>
          <w:lang w:val="en-GB"/>
        </w:rPr>
      </w:pPr>
      <w:r>
        <w:rPr/>
        <w:t xml:space="preserve"> </w:t>
      </w:r>
      <w:r>
        <w:rPr/>
        <w:t>Yet when staff vanish entirely, service loses tone. Peng et al. (2022) found that even perfect transactions feel colder once the human voice disappears. Many older or first-time travellers still prefer to see someone present for reassurance rather than luxury (McKinsey and Company, 2024). A short greeting after a long journey restores orientation. Presence steadies pace. Even minor gestures still shape the overall memory of a stay. A brief greeting or a few words of reassurance after self-check-in often reintroduce warmth that automation cannot supply (Peng et al., 2022; Kandampully and Solnet, 2020).</w:t>
      </w:r>
    </w:p>
    <w:p>
      <w:pPr>
        <w:pStyle w:val="Normal"/>
        <w:spacing w:lineRule="auto" w:line="360"/>
        <w:ind w:hanging="0" w:left="0" w:right="0"/>
        <w:jc w:val="both"/>
        <w:rPr>
          <w:lang w:val="en-GB"/>
        </w:rPr>
      </w:pPr>
      <w:r>
        <w:rPr>
          <w:b/>
        </w:rPr>
        <w:t>Service Recovery and Reputation Management</w:t>
      </w:r>
    </w:p>
    <w:p>
      <w:pPr>
        <w:pStyle w:val="Normal"/>
        <w:spacing w:lineRule="auto" w:line="360"/>
        <w:ind w:hanging="0" w:left="0" w:right="0"/>
        <w:jc w:val="both"/>
        <w:rPr>
          <w:lang w:val="en-GB"/>
        </w:rPr>
      </w:pPr>
      <w:r>
        <w:rPr/>
        <w:t>Response speed defines the first moment of recovery. Automated tools log complaints within seconds and propose minor compensations. For simple issues delayed housekeeping, unstable Wi-Fi this works effectively (Fan et al., 2024). However, once emotion enters the exchange, scripted replies frustrate guests, and trust deteriorates (Ozuem et al., 2024). Dutta (2024) observed that AI replies are acceptable when the guest is at fault, but genuine errors by the hotel require a human response. The evidence supports a two-step rhythm: initial automation for triage, followed by staff for sensitive cases. When this bridge is absent, reviews often describe the experience as cold, even if the issue was solved quickly (Hao et al., 2025). Speed is not the whole story.</w:t>
      </w:r>
    </w:p>
    <w:p>
      <w:pPr>
        <w:pStyle w:val="Normal"/>
        <w:spacing w:lineRule="auto" w:line="360"/>
        <w:ind w:hanging="0" w:left="0" w:right="0"/>
        <w:jc w:val="both"/>
        <w:rPr>
          <w:lang w:val="en-GB"/>
        </w:rPr>
      </w:pPr>
      <w:r>
        <w:rPr>
          <w:b/>
        </w:rPr>
        <w:t>Operational and Organisational Outcomes</w:t>
      </w:r>
    </w:p>
    <w:p>
      <w:pPr>
        <w:pStyle w:val="Normal"/>
        <w:spacing w:lineRule="auto" w:line="360"/>
        <w:ind w:hanging="0" w:left="0" w:right="0"/>
        <w:jc w:val="both"/>
        <w:rPr>
          <w:lang w:val="en-GB"/>
        </w:rPr>
      </w:pPr>
      <w:r>
        <w:rPr/>
        <w:t xml:space="preserve">Predictive analytics guide staffing levels, maintenance schedules, and pricing strategies, often improving margins when data are reliable (Anubala, 2023). Sustainability tools, such as computer vision in kitchens, have cut food waste by around 28 per cent in pilot programmes (Iberostar Group, 2023). These figures sound neat, but each depends on steady training and follow-up. Many projects lose momentum when staff are not fully prepared or when expectations of quick return clash with slow learning curves (Bulchand-Gidumal et al., 2024). KPMG (2025) reports that less than half of hotel employees receive structured AI instruction, which fragments results. Culture becomes the deciding variable. When workers treat AI as assistance rather than surveillance, cooperation increases (Wang and Hou, 2025). </w:t>
      </w:r>
    </w:p>
    <w:p>
      <w:pPr>
        <w:pStyle w:val="Normal"/>
        <w:spacing w:lineRule="auto" w:line="360"/>
        <w:ind w:hanging="0" w:left="0" w:right="0"/>
        <w:jc w:val="both"/>
        <w:rPr>
          <w:lang w:val="en-GB"/>
        </w:rPr>
      </w:pPr>
      <w:r>
        <w:rPr/>
        <w:t>Adoption grows in places where people feel involved in the system’s purpose rather than managed by it. Adoption is a culture decision.</w:t>
      </w:r>
    </w:p>
    <w:p>
      <w:pPr>
        <w:pStyle w:val="Normal"/>
        <w:spacing w:lineRule="auto" w:line="360"/>
        <w:ind w:hanging="0" w:left="0" w:right="0"/>
        <w:jc w:val="both"/>
        <w:rPr>
          <w:lang w:val="en-GB"/>
        </w:rPr>
      </w:pPr>
      <w:r>
        <w:rPr>
          <w:b/>
        </w:rPr>
        <w:t>Ethical and Privacy Implications</w:t>
      </w:r>
    </w:p>
    <w:p>
      <w:pPr>
        <w:pStyle w:val="Normal"/>
        <w:spacing w:lineRule="auto" w:line="360"/>
        <w:ind w:hanging="0" w:left="0" w:right="0"/>
        <w:jc w:val="both"/>
        <w:rPr>
          <w:lang w:val="en-GB"/>
        </w:rPr>
      </w:pPr>
      <w:r>
        <w:rPr/>
        <w:t>Every personalisation tool depends on data, and trust depends on how that data are explained. Guests appreciate transparency: when they know what information is collected, they feel safer using it (Wüst and Bremser, 2025). When explanations are hidden, curiosity turns to suspicion. Weber and Wendel (2025) describe the “creepiness effect,” where accuracy becomes discomfort. Asthana et al. (2024) emphasise that plain-language consent screens can prevent this reversal. Employees face the same problem from the other side. When monitoring algorithms remain opaque, anxiety rises. Jobs and Skills Australia (2025) and KPMG (2025) both note that explainable systems preserve morale because they make power visible. Transparency is service for guests and for staff alike.</w:t>
      </w:r>
    </w:p>
    <w:p>
      <w:pPr>
        <w:pStyle w:val="Normal"/>
        <w:spacing w:lineRule="auto" w:line="360"/>
        <w:ind w:hanging="0" w:left="0" w:right="0"/>
        <w:jc w:val="both"/>
        <w:rPr>
          <w:b/>
          <w:lang w:val="en-GB"/>
        </w:rPr>
      </w:pPr>
      <w:r>
        <w:rPr>
          <w:b/>
          <w:lang w:val="en-GB"/>
        </w:rPr>
      </w:r>
    </w:p>
    <w:p>
      <w:pPr>
        <w:pStyle w:val="Normal"/>
        <w:spacing w:lineRule="auto" w:line="360"/>
        <w:ind w:hanging="0" w:left="0" w:right="0"/>
        <w:jc w:val="both"/>
        <w:rPr>
          <w:lang w:val="en-GB"/>
        </w:rPr>
      </w:pPr>
      <w:r>
        <w:rPr>
          <w:b/>
        </w:rPr>
        <w:t>Broader Industry Implications</w:t>
      </w:r>
    </w:p>
    <w:p>
      <w:pPr>
        <w:pStyle w:val="Normal"/>
        <w:spacing w:lineRule="auto" w:line="360"/>
        <w:ind w:hanging="0" w:left="0" w:right="0"/>
        <w:jc w:val="both"/>
        <w:rPr>
          <w:lang w:val="en-GB"/>
        </w:rPr>
      </w:pPr>
      <w:r>
        <w:rPr/>
        <w:t>Across research and practice, the guidance is consistent: AI and human interaction must complement each other through deliberate handoffs (Kumar et al., 2025; Peng et al., 2022). Excess automation breeds disconnection; excessive manual work slows pace and weakens margins. Effective strategy designs the bridge, training staff and specifying where human discretion adds meaning (McKinsey and Company, 2024). A simple example is a front-desk employee stepping in when a kiosk halts during a night shift. Design the bridge.</w:t>
      </w:r>
    </w:p>
    <w:p>
      <w:pPr>
        <w:pStyle w:val="Normal"/>
        <w:spacing w:lineRule="auto" w:line="360"/>
        <w:ind w:hanging="0" w:left="0" w:right="0"/>
        <w:jc w:val="both"/>
        <w:rPr>
          <w:lang w:val="en-GB"/>
        </w:rPr>
      </w:pPr>
      <w:r>
        <w:rPr>
          <w:lang w:val="en-GB"/>
        </w:rPr>
      </w:r>
    </w:p>
    <w:p>
      <w:pPr>
        <w:pStyle w:val="Normal"/>
        <w:spacing w:lineRule="auto" w:line="360"/>
        <w:ind w:hanging="0" w:left="0" w:right="0"/>
        <w:jc w:val="both"/>
        <w:rPr>
          <w:b/>
          <w:lang w:val="en-GB"/>
        </w:rPr>
      </w:pPr>
      <w:r>
        <w:rPr>
          <w:b/>
        </w:rPr>
        <w:t xml:space="preserve"> </w:t>
      </w:r>
      <w:r>
        <w:rPr>
          <w:b/>
        </w:rPr>
        <w:t>Theme Discussion</w:t>
      </w:r>
    </w:p>
    <w:p>
      <w:pPr>
        <w:pStyle w:val="Normal"/>
        <w:spacing w:lineRule="auto" w:line="360"/>
        <w:ind w:hanging="0" w:left="0" w:right="0"/>
        <w:jc w:val="both"/>
        <w:rPr>
          <w:lang w:val="en-GB"/>
        </w:rPr>
      </w:pPr>
      <w:r>
        <w:rPr/>
        <w:t xml:space="preserve">Reading across the studies, one pattern becomes hard to ignore. Artificial intelligence has solved countless procedural problems in hotels but has not yet solved the human one: how to maintain meaning when contact thins. Technology smooths the surface of service but can also flatten its depth. In many accounts, staff describe a quiet unease, the sense that their work has become accurate yet strangely distant. Some of it helps; some of it hides fatigue. </w:t>
      </w:r>
    </w:p>
    <w:p>
      <w:pPr>
        <w:pStyle w:val="Normal"/>
        <w:spacing w:lineRule="auto" w:line="360"/>
        <w:ind w:hanging="0" w:left="0" w:right="0"/>
        <w:jc w:val="both"/>
        <w:rPr>
          <w:lang w:val="en-GB"/>
        </w:rPr>
      </w:pPr>
      <w:r>
        <w:rPr/>
        <w:t>Anyone who has handled a peak-hour check-in will recognise this feeling; the task is completed perfectly, but something in it feels slightly hollow (Pericleous et al., 2025; Wang and Hou, 2025).</w:t>
      </w:r>
    </w:p>
    <w:p>
      <w:pPr>
        <w:pStyle w:val="Normal"/>
        <w:spacing w:lineRule="auto" w:line="360"/>
        <w:ind w:hanging="0" w:left="0" w:right="0"/>
        <w:jc w:val="both"/>
        <w:rPr>
          <w:lang w:val="en-GB"/>
        </w:rPr>
      </w:pPr>
      <w:r>
        <w:rPr/>
        <w:t>The industry’s challenge is to treat automation as a rhythm, not a replacement. Data predict behaviour, but they do not understand intent. A message can be answered, but reassurance needs tone and timing. The gap between these two levels is where hospitality still lives. Guests rarely judge a stay only by efficiency; they remember whether anyone seemed to notice them. You can almost sense the tension between systems built to anticipate and people trained to respond.</w:t>
      </w:r>
    </w:p>
    <w:p>
      <w:pPr>
        <w:pStyle w:val="Normal"/>
        <w:spacing w:lineRule="auto" w:line="360"/>
        <w:ind w:hanging="0" w:left="0" w:right="0"/>
        <w:jc w:val="both"/>
        <w:rPr>
          <w:lang w:val="en-GB"/>
        </w:rPr>
      </w:pPr>
      <w:r>
        <w:rPr/>
        <w:t>Ethical concerns mirror this emotional gap. Algorithms now decide what offers appear, who gets upgrades, even which shifts staff are assigned. Yet the logic behind those choices often stays invisible. When people do not understand how decisions are made, trust decays. In everyday work, that loss of confidence begins quietly: a hesitation before trusting the system’s choice, a pause before accepting its fairness (KPMG, 2025; Jobs and Skills Australia, 2025; Asthana et al., 2024). Asthana et al. (2024) and Weber and Wendel (2025) both note that transparency rebuilds equality, a reminder that fairness is not an add-on but the structure itself. Managers who explain how systems think make them safer to use.</w:t>
      </w:r>
    </w:p>
    <w:p>
      <w:pPr>
        <w:pStyle w:val="Normal"/>
        <w:spacing w:lineRule="auto" w:line="360"/>
        <w:ind w:hanging="0" w:left="0" w:right="0"/>
        <w:jc w:val="both"/>
        <w:rPr>
          <w:lang w:val="en-GB"/>
        </w:rPr>
      </w:pPr>
      <w:r>
        <w:rPr/>
        <w:t xml:space="preserve">Leadership, then, becomes an act of translation. The best managers do not defend technology or resist it; they interpret it for others. They admit when systems fail and invite employees to discuss it. Over time, that openness turns automation into a shared craft rather than an imposed process. The future of AI in hospitality may depend less on the next innovation than on how calmly people learn to share the space with it. </w:t>
      </w:r>
    </w:p>
    <w:p>
      <w:pPr>
        <w:pStyle w:val="Normal"/>
        <w:spacing w:lineRule="auto" w:line="360"/>
        <w:ind w:hanging="0" w:left="0" w:right="0"/>
        <w:jc w:val="both"/>
        <w:rPr>
          <w:lang w:val="en-GB"/>
        </w:rPr>
      </w:pPr>
      <w:r>
        <w:rPr/>
        <w:t>Reading across these studies and industry analyses, it becomes evident that progress depends less on novelty and more on rhythm (Oracle Hospitality and Skift, 2025). Each system must leave enough space for human judgment, discretion, and care to operate naturally (Peng et al., 2022; McKinsey and Company, 2024).</w:t>
      </w:r>
    </w:p>
    <w:p>
      <w:pPr>
        <w:pStyle w:val="Normal"/>
        <w:spacing w:lineRule="auto" w:line="360"/>
        <w:ind w:hanging="0" w:left="0" w:right="0"/>
        <w:jc w:val="both"/>
        <w:rPr>
          <w:lang w:val="en-GB"/>
        </w:rPr>
      </w:pPr>
      <w:r>
        <w:rPr>
          <w:b/>
        </w:rPr>
        <w:t>Conclusion</w:t>
      </w:r>
    </w:p>
    <w:p>
      <w:pPr>
        <w:pStyle w:val="Normal"/>
        <w:spacing w:lineRule="auto" w:line="360"/>
        <w:ind w:hanging="0" w:left="0" w:right="0"/>
        <w:jc w:val="both"/>
        <w:rPr>
          <w:lang w:val="en-GB"/>
        </w:rPr>
      </w:pPr>
      <w:r>
        <w:rPr/>
        <w:t>Artificial intelligence now supports much of hotel work, improving efficiency, personalisation, and in some cases sustainability. Yet empathy, judgment, and the sense of being cared for remain uniquely human strengths. The evidence shows that satisfaction, staff confidence, and loyalty peak where automation carries the routine and people manage nuance. Balance is the work. The future of hospitality lies in that measured coexistence fast where speed helps, human where meaning matters.</w:t>
      </w:r>
    </w:p>
    <w:p>
      <w:pPr>
        <w:pStyle w:val="Normal"/>
        <w:spacing w:lineRule="auto" w:line="360"/>
        <w:ind w:hanging="0" w:left="0" w:right="0"/>
        <w:jc w:val="both"/>
        <w:rPr>
          <w:lang w:val="en-GB"/>
        </w:rPr>
      </w:pPr>
      <w:r>
        <w:rPr>
          <w:b/>
        </w:rPr>
        <w:t>Recommendations</w:t>
      </w:r>
    </w:p>
    <w:p>
      <w:pPr>
        <w:pStyle w:val="ListParagraph"/>
        <w:numPr>
          <w:ilvl w:val="0"/>
          <w:numId w:val="2"/>
        </w:numPr>
        <w:spacing w:lineRule="auto" w:line="360"/>
        <w:ind w:hanging="360" w:left="720" w:right="0"/>
        <w:jc w:val="both"/>
        <w:rPr>
          <w:lang w:val="en-GB"/>
        </w:rPr>
      </w:pPr>
      <w:r>
        <w:rPr>
          <w:b/>
        </w:rPr>
        <w:t>Strategic Integration</w:t>
      </w:r>
    </w:p>
    <w:p>
      <w:pPr>
        <w:pStyle w:val="Normal"/>
        <w:spacing w:lineRule="auto" w:line="360"/>
        <w:ind w:hanging="0" w:left="0" w:right="0"/>
        <w:jc w:val="both"/>
        <w:rPr>
          <w:lang w:val="en-GB"/>
        </w:rPr>
      </w:pPr>
      <w:r>
        <w:rPr/>
        <w:t>AI should be integrated to assist rather than replace. It performs best when it removes friction in areas such as check-in, messaging, or billing, while maintaining an immediate route to a person when needed. Guests value autonomy, but trust depends on knowing that help is close (Oracle Hospitality and Skift, 2025). Regular review of automated features ensures that efficiency does not erode warmth. Ownership builds trust.</w:t>
      </w:r>
    </w:p>
    <w:p>
      <w:pPr>
        <w:pStyle w:val="ListParagraph"/>
        <w:numPr>
          <w:ilvl w:val="0"/>
          <w:numId w:val="2"/>
        </w:numPr>
        <w:spacing w:lineRule="auto" w:line="360"/>
        <w:ind w:hanging="360" w:left="720" w:right="0"/>
        <w:jc w:val="both"/>
        <w:rPr>
          <w:lang w:val="en-GB"/>
        </w:rPr>
      </w:pPr>
      <w:r>
        <w:rPr>
          <w:b/>
        </w:rPr>
        <w:t>Workforce Development and Change Management</w:t>
      </w:r>
    </w:p>
    <w:p>
      <w:pPr>
        <w:pStyle w:val="Normal"/>
        <w:spacing w:lineRule="auto" w:line="360"/>
        <w:ind w:hanging="0" w:left="0" w:right="0"/>
        <w:jc w:val="both"/>
        <w:rPr>
          <w:lang w:val="en-GB"/>
        </w:rPr>
      </w:pPr>
      <w:r>
        <w:rPr/>
        <w:t>Formal AI training remains patchy. Roughly half of hospitality employees learn by imitation rather than instruction (KPMG, 2025). Continuous learning (short refreshers, peer guidance, transparent explanation of algorithmic choices) improves confidence. When staff perceive AI as support rather than surveillance, motivation grows (Wang and Hou, 2025). Confidence is taught and sustained through repetition.</w:t>
      </w:r>
    </w:p>
    <w:p>
      <w:pPr>
        <w:pStyle w:val="ListParagraph"/>
        <w:numPr>
          <w:ilvl w:val="0"/>
          <w:numId w:val="2"/>
        </w:numPr>
        <w:spacing w:lineRule="auto" w:line="360"/>
        <w:ind w:hanging="360" w:left="720" w:right="0"/>
        <w:jc w:val="both"/>
        <w:rPr>
          <w:lang w:val="en-GB"/>
        </w:rPr>
      </w:pPr>
      <w:r>
        <w:rPr>
          <w:b/>
        </w:rPr>
        <w:t>Ethical and Data Governance Frameworks</w:t>
      </w:r>
    </w:p>
    <w:p>
      <w:pPr>
        <w:pStyle w:val="Normal"/>
        <w:spacing w:lineRule="auto" w:line="360"/>
        <w:ind w:hanging="0" w:left="0" w:right="0"/>
        <w:jc w:val="both"/>
        <w:rPr>
          <w:lang w:val="en-GB"/>
        </w:rPr>
      </w:pPr>
      <w:r>
        <w:rPr/>
        <w:t>Privacy policy must move closer to front-line experience. Clear consent and accessible settings prevent anxiety. Guests and employees both want to know how decisions are made (Asthana et al., 2024; Jobs and Skills Australia, 2025). Weber and Wendel (2025) warn that excessive personalisation feels intrusive. Explainable AI, systems that can justify their reasoning, keeps trust intact. Transparency is service.</w:t>
      </w:r>
    </w:p>
    <w:p>
      <w:pPr>
        <w:pStyle w:val="ListParagraph"/>
        <w:numPr>
          <w:ilvl w:val="0"/>
          <w:numId w:val="2"/>
        </w:numPr>
        <w:spacing w:lineRule="auto" w:line="360"/>
        <w:ind w:hanging="360" w:left="720" w:right="0"/>
        <w:jc w:val="both"/>
        <w:rPr>
          <w:lang w:val="en-GB"/>
        </w:rPr>
      </w:pPr>
      <w:r>
        <w:rPr>
          <w:lang w:val="en-GB"/>
        </w:rPr>
      </w:r>
    </w:p>
    <w:p>
      <w:pPr>
        <w:pStyle w:val="ListParagraph"/>
        <w:numPr>
          <w:ilvl w:val="0"/>
          <w:numId w:val="2"/>
        </w:numPr>
        <w:spacing w:lineRule="auto" w:line="360"/>
        <w:ind w:hanging="360" w:left="720" w:right="0"/>
        <w:jc w:val="both"/>
        <w:rPr>
          <w:lang w:val="en-GB"/>
        </w:rPr>
      </w:pPr>
      <w:r>
        <w:rPr>
          <w:b/>
        </w:rPr>
        <w:t>Future-Oriented Sustainability and Innovation</w:t>
      </w:r>
    </w:p>
    <w:p>
      <w:pPr>
        <w:pStyle w:val="Normal"/>
        <w:spacing w:lineRule="auto" w:line="360"/>
        <w:ind w:hanging="0" w:left="0" w:right="0"/>
        <w:jc w:val="both"/>
        <w:rPr>
          <w:b/>
          <w:lang w:val="en-GB"/>
        </w:rPr>
      </w:pPr>
      <w:r>
        <w:rPr/>
        <w:t>AI can turn environmental commitment into measurable habit. The Iberostar–Winnow programme cut food waste by 28 per cent through consistent tracking (Iberostar Group, 2023). Yet enthusiasm fades when savings take time or costs rise (Reuters, 2024). Long-term accountability within operations prevents this decline. Persistence outweighs novelty. Measurement must meet habit.</w:t>
        <w:br/>
      </w:r>
    </w:p>
    <w:p>
      <w:pPr>
        <w:pStyle w:val="Normal"/>
        <w:spacing w:lineRule="auto" w:line="360"/>
        <w:ind w:hanging="0" w:left="0" w:right="0"/>
        <w:jc w:val="both"/>
        <w:rPr>
          <w:b/>
          <w:lang w:val="en-GB"/>
        </w:rPr>
      </w:pPr>
      <w:r>
        <w:rPr/>
      </w:r>
    </w:p>
    <w:p>
      <w:pPr>
        <w:pStyle w:val="Normal"/>
        <w:spacing w:lineRule="auto" w:line="360"/>
        <w:ind w:hanging="0" w:left="0" w:right="0"/>
        <w:jc w:val="both"/>
        <w:rPr>
          <w:b/>
          <w:lang w:val="en-GB"/>
        </w:rPr>
      </w:pPr>
      <w:r>
        <w:rPr>
          <w:b/>
        </w:rPr>
        <w:t xml:space="preserve">References </w:t>
      </w:r>
    </w:p>
    <w:p>
      <w:pPr>
        <w:pStyle w:val="Normal"/>
        <w:spacing w:lineRule="auto" w:line="360"/>
        <w:ind w:hanging="0" w:left="0" w:right="0"/>
        <w:jc w:val="both"/>
        <w:rPr>
          <w:lang w:val="en-GB"/>
        </w:rPr>
      </w:pPr>
      <w:r>
        <w:rPr/>
        <w:t>Al-Hyari, H., Al-Smadi, H. and Weshah, S., 2023. THE IMPACT OF ARTIFICIAL INTELLIGENCE (AI) ON GUEST SATISFACTION IN HOTEL MANAGEMENT: AN EMPIRICAL STUDY OF LUXURY HOTELS. </w:t>
      </w:r>
      <w:r>
        <w:rPr>
          <w:i/>
        </w:rPr>
        <w:t>GeoJournal of Tourism and Geosites</w:t>
      </w:r>
      <w:r>
        <w:rPr/>
        <w:t xml:space="preserve">. </w:t>
      </w:r>
      <w:hyperlink r:id="rId2">
        <w:r>
          <w:rPr>
            <w:rStyle w:val="Hyperlink"/>
            <w:lang w:val="ar-SA" w:eastAsia="en-US" w:bidi="ar-SA"/>
          </w:rPr>
          <w:t>https://doi.org/10.30892/gtg.482spl15-1081</w:t>
        </w:r>
      </w:hyperlink>
      <w:r>
        <w:rPr/>
        <w:t>.   (Accessed: 14 October 2025).</w:t>
      </w:r>
    </w:p>
    <w:p>
      <w:pPr>
        <w:pStyle w:val="Normal"/>
        <w:spacing w:lineRule="auto" w:line="360"/>
        <w:ind w:hanging="0" w:left="0" w:right="0"/>
        <w:jc w:val="both"/>
        <w:rPr>
          <w:lang w:val="en-GB"/>
        </w:rPr>
      </w:pPr>
      <w:r>
        <w:rPr/>
        <w:t>Anubala, R., 2023. The future of hospitality: Predictive analytics in hotel management. </w:t>
      </w:r>
      <w:r>
        <w:rPr>
          <w:i/>
        </w:rPr>
        <w:t>International Journal for Multidimensional Research Perspectives</w:t>
      </w:r>
      <w:r>
        <w:rPr/>
        <w:t>, </w:t>
      </w:r>
      <w:r>
        <w:rPr>
          <w:i/>
        </w:rPr>
        <w:t>1</w:t>
      </w:r>
      <w:r>
        <w:rPr/>
        <w:t xml:space="preserve">(3), pp.38-58. </w:t>
      </w:r>
      <w:hyperlink r:id="rId3">
        <w:r>
          <w:rPr>
            <w:rStyle w:val="Hyperlink"/>
            <w:lang w:val="ar-SA" w:eastAsia="en-US" w:bidi="ar-SA"/>
          </w:rPr>
          <w:t>https://www.researchgate.net</w:t>
        </w:r>
      </w:hyperlink>
      <w:r>
        <w:rPr/>
        <w:t xml:space="preserve">  (Accessed: 16 October 2025).</w:t>
      </w:r>
    </w:p>
    <w:p>
      <w:pPr>
        <w:pStyle w:val="Normal"/>
        <w:spacing w:lineRule="auto" w:line="360"/>
        <w:ind w:hanging="0" w:left="0" w:right="0"/>
        <w:jc w:val="both"/>
        <w:rPr>
          <w:lang w:val="en-GB"/>
        </w:rPr>
      </w:pPr>
      <w:r>
        <w:rPr/>
        <w:t>Asthana, S., Im, J., Chen, Z. and Banovic, N., 2024, May. " I know even if you don't tell me": Understanding Users' Privacy Preferences Regarding AI-based Inferences of Sensitive Information for Personalization. In </w:t>
      </w:r>
      <w:r>
        <w:rPr>
          <w:i/>
        </w:rPr>
        <w:t>Proceedings of the 2024 CHI Conference on Human Factors in Computing Systems</w:t>
      </w:r>
      <w:r>
        <w:rPr/>
        <w:t xml:space="preserve"> (pp. 1-21). Available at: </w:t>
      </w:r>
      <w:hyperlink r:id="rId4">
        <w:r>
          <w:rPr>
            <w:rStyle w:val="Hyperlink"/>
            <w:lang w:val="ar-SA" w:eastAsia="en-US" w:bidi="ar-SA"/>
          </w:rPr>
          <w:t>https://imjane.net/papers/chi2024-personalization-and-inference.pdf</w:t>
        </w:r>
      </w:hyperlink>
      <w:r>
        <w:rPr/>
        <w:t xml:space="preserve">   (Accessed: 14 October 2025).</w:t>
      </w:r>
    </w:p>
    <w:p>
      <w:pPr>
        <w:pStyle w:val="Normal"/>
        <w:spacing w:lineRule="auto" w:line="360"/>
        <w:ind w:hanging="0" w:left="0" w:right="0"/>
        <w:jc w:val="both"/>
        <w:rPr>
          <w:lang w:val="en-GB"/>
        </w:rPr>
      </w:pPr>
      <w:r>
        <w:rPr/>
        <w:t>Bulchand-Gidumal, J., William Secin, E., O’Connor, P. and Buhalis, D., 2024. Artificial intelligence’s impact on hospitality and tourism marketing: exploring key themes and addressing challenges. </w:t>
      </w:r>
      <w:r>
        <w:rPr>
          <w:i/>
        </w:rPr>
        <w:t>Current Issues in Tourism</w:t>
      </w:r>
      <w:r>
        <w:rPr/>
        <w:t>, </w:t>
      </w:r>
      <w:r>
        <w:rPr>
          <w:i/>
        </w:rPr>
        <w:t>27</w:t>
      </w:r>
      <w:r>
        <w:rPr/>
        <w:t xml:space="preserve">(14), pp.2345-2362. </w:t>
      </w:r>
      <w:hyperlink r:id="rId5">
        <w:r>
          <w:rPr>
            <w:rStyle w:val="Hyperlink"/>
            <w:lang w:val="ar-SA" w:eastAsia="en-US" w:bidi="ar-SA"/>
          </w:rPr>
          <w:t>https://doi.org/10.1080/13683500.2023.2229480</w:t>
        </w:r>
      </w:hyperlink>
      <w:r>
        <w:rPr/>
        <w:t xml:space="preserve">   (Accessed: 17 October 2025).</w:t>
      </w:r>
    </w:p>
    <w:p>
      <w:pPr>
        <w:pStyle w:val="Normal"/>
        <w:spacing w:lineRule="auto" w:line="360"/>
        <w:ind w:hanging="0" w:left="0" w:right="0"/>
        <w:jc w:val="both"/>
        <w:rPr>
          <w:lang w:val="en-GB"/>
        </w:rPr>
      </w:pPr>
      <w:r>
        <w:rPr/>
        <w:t>Dutta, S., 2024. Chatbot Effectiveness in Enhancing Guest Communication: Insights from Secondary Data. </w:t>
      </w:r>
      <w:r>
        <w:rPr>
          <w:i/>
        </w:rPr>
        <w:t>Tuijin Jishu/Journal of Propulsion Technology</w:t>
      </w:r>
      <w:r>
        <w:rPr/>
        <w:t>. Available at: </w:t>
      </w:r>
      <w:hyperlink r:id="rId6" w:tgtFrame="_blank">
        <w:r>
          <w:rPr>
            <w:rStyle w:val="Hyperlink"/>
            <w:lang w:val="ar-SA" w:eastAsia="en-US" w:bidi="ar-SA"/>
          </w:rPr>
          <w:t>https://doi.org/10.52783/tjjpt.v45.i04.8497</w:t>
        </w:r>
      </w:hyperlink>
      <w:r>
        <w:rPr/>
        <w:t xml:space="preserve">. </w:t>
      </w:r>
    </w:p>
    <w:p>
      <w:pPr>
        <w:pStyle w:val="Normal"/>
        <w:spacing w:lineRule="auto" w:line="360"/>
        <w:ind w:hanging="0" w:left="0" w:right="0"/>
        <w:jc w:val="both"/>
        <w:rPr>
          <w:lang w:val="en-GB"/>
        </w:rPr>
      </w:pPr>
      <w:r>
        <w:rPr/>
        <w:t>Fan, H., Han, B. and Wang, W., 2024. Aligning (in) congruent chatbot–employee empathic responses with service-recovery contexts for customer retention. </w:t>
      </w:r>
      <w:r>
        <w:rPr>
          <w:i/>
        </w:rPr>
        <w:t>Journal of Travel Research</w:t>
      </w:r>
      <w:r>
        <w:rPr/>
        <w:t>, </w:t>
      </w:r>
      <w:r>
        <w:rPr>
          <w:i/>
        </w:rPr>
        <w:t>63</w:t>
      </w:r>
      <w:r>
        <w:rPr/>
        <w:t xml:space="preserve">(8), pp.1870-1893. </w:t>
      </w:r>
      <w:hyperlink r:id="rId7">
        <w:r>
          <w:rPr>
            <w:rStyle w:val="Hyperlink"/>
            <w:lang w:val="ar-SA" w:eastAsia="en-US" w:bidi="ar-SA"/>
          </w:rPr>
          <w:t>https://doi.org/10.1177/00472875231201505</w:t>
        </w:r>
      </w:hyperlink>
      <w:r>
        <w:rPr/>
        <w:t xml:space="preserve">   (Accessed: 15 October 2025).</w:t>
      </w:r>
    </w:p>
    <w:p>
      <w:pPr>
        <w:pStyle w:val="Normal"/>
        <w:spacing w:lineRule="auto" w:line="360"/>
        <w:ind w:hanging="0" w:left="0" w:right="0"/>
        <w:jc w:val="both"/>
        <w:rPr>
          <w:lang w:val="en-GB"/>
        </w:rPr>
      </w:pPr>
      <w:r>
        <w:rPr/>
        <w:t>Hao, X., Dong, D., Zhang, Y. and Demir, E., 2025. When customers know it’s AI: Experimental comparison of human and LLM-Based Communication in service recovery. </w:t>
      </w:r>
      <w:r>
        <w:rPr>
          <w:i/>
        </w:rPr>
        <w:t>Journal of Marketing</w:t>
      </w:r>
      <w:r>
        <w:rPr>
          <w:i/>
          <w:color w:val="FFFFFF"/>
        </w:rPr>
        <w:t>.</w:t>
      </w:r>
      <w:r>
        <w:rPr>
          <w:i/>
        </w:rPr>
        <w:t>Communications</w:t>
      </w:r>
      <w:r>
        <w:rPr/>
        <w:t>,</w:t>
      </w:r>
      <w:r>
        <w:rPr>
          <w:color w:val="FFFFFF"/>
        </w:rPr>
        <w:t>.</w:t>
      </w:r>
      <w:r>
        <w:rPr/>
        <w:t>pp.1-28.</w:t>
      </w:r>
      <w:r>
        <w:rPr>
          <w:color w:val="FFFFFF"/>
        </w:rPr>
        <w:t>.</w:t>
      </w:r>
      <w:r>
        <w:rPr/>
        <w:t>Available</w:t>
      </w:r>
      <w:r>
        <w:rPr>
          <w:color w:val="FFFFFF"/>
        </w:rPr>
        <w:t>.</w:t>
      </w:r>
      <w:r>
        <w:rPr/>
        <w:t xml:space="preserve">at: </w:t>
      </w:r>
      <w:hyperlink r:id="rId8">
        <w:r>
          <w:rPr>
            <w:rStyle w:val="Hyperlink"/>
            <w:lang w:val="ar-SA" w:eastAsia="en-US" w:bidi="ar-SA"/>
          </w:rPr>
          <w:t>https://doi.org/10.1080/13527266.2025.2540376</w:t>
        </w:r>
      </w:hyperlink>
      <w:r>
        <w:rPr/>
        <w:t xml:space="preserve"> </w:t>
      </w:r>
    </w:p>
    <w:p>
      <w:pPr>
        <w:pStyle w:val="Normal"/>
        <w:spacing w:lineRule="auto" w:line="360"/>
        <w:ind w:hanging="0" w:left="0" w:right="0"/>
        <w:jc w:val="both"/>
        <w:rPr>
          <w:lang w:val="en-GB"/>
        </w:rPr>
      </w:pPr>
      <w:r>
        <w:rPr/>
        <w:t>Hong, C. and Slevitch, L., 2018. Determinants of customer satisfaction and willingness to use self-service kiosks in the hotel industry. </w:t>
      </w:r>
      <w:r>
        <w:rPr>
          <w:i/>
        </w:rPr>
        <w:t>Journal of Tourism and Hospitality</w:t>
      </w:r>
      <w:r>
        <w:rPr/>
        <w:t>, </w:t>
      </w:r>
      <w:r>
        <w:rPr>
          <w:i/>
        </w:rPr>
        <w:t>7</w:t>
      </w:r>
      <w:r>
        <w:rPr/>
        <w:t xml:space="preserve">(5), pp.1-7. </w:t>
      </w:r>
      <w:hyperlink r:id="rId9">
        <w:r>
          <w:rPr>
            <w:rStyle w:val="Hyperlink"/>
            <w:lang w:val="ar-SA" w:eastAsia="en-US" w:bidi="ar-SA"/>
          </w:rPr>
          <w:t>https://www.academia.edu/download/72867681/2167-0269.pdf</w:t>
        </w:r>
      </w:hyperlink>
      <w:r>
        <w:rPr/>
        <w:t xml:space="preserve">   (Accessed: 15 October 2025).</w:t>
      </w:r>
    </w:p>
    <w:p>
      <w:pPr>
        <w:pStyle w:val="Normal"/>
        <w:spacing w:lineRule="auto" w:line="360"/>
        <w:ind w:hanging="0" w:left="0" w:right="0"/>
        <w:jc w:val="both"/>
        <w:rPr>
          <w:lang w:val="en-GB"/>
        </w:rPr>
      </w:pPr>
      <w:r>
        <w:rPr/>
        <w:t xml:space="preserve">Iberostar Group (2023) </w:t>
      </w:r>
      <w:r>
        <w:rPr>
          <w:i/>
        </w:rPr>
        <w:t>Sustainability Report: Reducing Food Waste through AI in Partnership with</w:t>
      </w:r>
      <w:r>
        <w:rPr>
          <w:i/>
          <w:color w:val="FFFFFF"/>
        </w:rPr>
        <w:t>.</w:t>
      </w:r>
      <w:r>
        <w:rPr>
          <w:i/>
        </w:rPr>
        <w:t>Winnow</w:t>
      </w:r>
      <w:r>
        <w:rPr/>
        <w:t>.</w:t>
      </w:r>
      <w:r>
        <w:rPr>
          <w:color w:val="FFFFFF"/>
        </w:rPr>
        <w:t>.</w:t>
      </w:r>
      <w:r>
        <w:rPr/>
        <w:t>Iberostar</w:t>
      </w:r>
      <w:r>
        <w:rPr>
          <w:color w:val="FFFFFF"/>
        </w:rPr>
        <w:t>.</w:t>
      </w:r>
      <w:r>
        <w:rPr/>
        <w:t>Hotels</w:t>
      </w:r>
      <w:r>
        <w:rPr>
          <w:color w:val="FFFFFF"/>
        </w:rPr>
        <w:t>.</w:t>
      </w:r>
      <w:r>
        <w:rPr/>
        <w:t>and</w:t>
      </w:r>
      <w:r>
        <w:rPr>
          <w:color w:val="FFFFFF"/>
        </w:rPr>
        <w:t>.</w:t>
      </w:r>
      <w:r>
        <w:rPr/>
        <w:t>Resorts.</w:t>
      </w:r>
      <w:r>
        <w:rPr>
          <w:color w:val="FFFFFF"/>
        </w:rPr>
        <w:t>.</w:t>
      </w:r>
      <w:r>
        <w:rPr/>
        <w:t>Available</w:t>
      </w:r>
      <w:r>
        <w:rPr>
          <w:color w:val="FFFFFF"/>
        </w:rPr>
        <w:t>.</w:t>
      </w:r>
      <w:r>
        <w:rPr/>
        <w:t xml:space="preserve">at: </w:t>
      </w:r>
      <w:hyperlink r:id="rId10">
        <w:r>
          <w:rPr>
            <w:rStyle w:val="Hyperlink"/>
            <w:lang w:val="ar-SA" w:eastAsia="en-US" w:bidi="ar-SA"/>
          </w:rPr>
          <w:t>https://www.iberostar.com/en/corporate-sustainability</w:t>
        </w:r>
      </w:hyperlink>
      <w:r>
        <w:rPr/>
        <w:t xml:space="preserve">  (Accessed: 17 October 2025).</w:t>
      </w:r>
    </w:p>
    <w:p>
      <w:pPr>
        <w:pStyle w:val="Normal"/>
        <w:spacing w:lineRule="auto" w:line="360"/>
        <w:ind w:hanging="0" w:left="0" w:right="0"/>
        <w:jc w:val="both"/>
        <w:rPr>
          <w:lang w:val="en-GB"/>
        </w:rPr>
      </w:pPr>
      <w:r>
        <w:rPr/>
        <w:t>Ivanov, S., Seyitoğlu, F. and Webster, C., 2025. The economics of service robots in hospitality companies. </w:t>
      </w:r>
      <w:r>
        <w:rPr>
          <w:i/>
        </w:rPr>
        <w:t>Tourism</w:t>
      </w:r>
      <w:r>
        <w:rPr>
          <w:i/>
          <w:color w:val="FFFFFF"/>
        </w:rPr>
        <w:t>.</w:t>
      </w:r>
      <w:r>
        <w:rPr>
          <w:i/>
        </w:rPr>
        <w:t>Economics</w:t>
      </w:r>
      <w:r>
        <w:rPr/>
        <w:t>,</w:t>
      </w:r>
      <w:r>
        <w:rPr>
          <w:color w:val="FFFFFF"/>
        </w:rPr>
        <w:t>.</w:t>
      </w:r>
      <w:r>
        <w:rPr/>
        <w:t xml:space="preserve">p.13548166251362622. </w:t>
      </w:r>
      <w:hyperlink r:id="rId11">
        <w:r>
          <w:rPr>
            <w:rStyle w:val="Hyperlink"/>
            <w:lang w:val="ar-SA" w:eastAsia="en-US" w:bidi="ar-SA"/>
          </w:rPr>
          <w:t>https://doi.org/10.1177/13548166251362622</w:t>
        </w:r>
      </w:hyperlink>
      <w:r>
        <w:rPr/>
        <w:t xml:space="preserve"> </w:t>
      </w:r>
    </w:p>
    <w:p>
      <w:pPr>
        <w:pStyle w:val="Normal"/>
        <w:spacing w:lineRule="auto" w:line="360"/>
        <w:ind w:hanging="0" w:left="0" w:right="0"/>
        <w:jc w:val="both"/>
        <w:rPr>
          <w:lang w:val="en-GB"/>
        </w:rPr>
      </w:pPr>
      <w:r>
        <w:rPr/>
        <w:t xml:space="preserve">Jobs and Skills Australia, 2025. </w:t>
      </w:r>
      <w:r>
        <w:rPr>
          <w:i/>
        </w:rPr>
        <w:t>Our Gen AI Transition. Implications for Work and Skills. Final Overarching Report.</w:t>
      </w:r>
      <w:r>
        <w:rPr/>
        <w:t xml:space="preserve"> Available at: </w:t>
      </w:r>
      <w:hyperlink r:id="rId12">
        <w:r>
          <w:rPr>
            <w:rStyle w:val="Hyperlink"/>
            <w:lang w:val="ar-SA" w:eastAsia="en-US" w:bidi="ar-SA"/>
          </w:rPr>
          <w:t>https://www.jobsandskills.gov.au/download/19803/our-gen-ai-transition-implications-work-and-skills/3364/our-gen-ai-transition/pdf</w:t>
        </w:r>
      </w:hyperlink>
      <w:r>
        <w:rPr/>
        <w:t xml:space="preserve">  (Accessed: 17 October 2025).</w:t>
      </w:r>
    </w:p>
    <w:p>
      <w:pPr>
        <w:pStyle w:val="Normal"/>
        <w:spacing w:lineRule="auto" w:line="360"/>
        <w:ind w:hanging="0" w:left="0" w:right="0"/>
        <w:jc w:val="both"/>
        <w:rPr>
          <w:lang w:val="en-GB"/>
        </w:rPr>
      </w:pPr>
      <w:r>
        <w:rPr/>
        <w:t>Kandampully, J. and Solnet, D., 2020. Competitive advantage through service in hospitality and tourism: A perspective article. </w:t>
      </w:r>
      <w:r>
        <w:rPr>
          <w:i/>
        </w:rPr>
        <w:t>Tourism Review</w:t>
      </w:r>
      <w:r>
        <w:rPr/>
        <w:t>, </w:t>
      </w:r>
      <w:r>
        <w:rPr>
          <w:i/>
        </w:rPr>
        <w:t>75</w:t>
      </w:r>
      <w:r>
        <w:rPr/>
        <w:t xml:space="preserve">(1), pp.247-251. </w:t>
      </w:r>
      <w:hyperlink r:id="rId13">
        <w:r>
          <w:rPr>
            <w:rStyle w:val="Hyperlink"/>
            <w:lang w:val="ar-SA" w:eastAsia="en-US" w:bidi="ar-SA"/>
          </w:rPr>
          <w:t>https://doi.org/10.1108/TR-05-2019-0175</w:t>
        </w:r>
      </w:hyperlink>
      <w:r>
        <w:rPr/>
        <w:t xml:space="preserve"> </w:t>
      </w:r>
    </w:p>
    <w:p>
      <w:pPr>
        <w:pStyle w:val="Normal"/>
        <w:spacing w:lineRule="auto" w:line="360"/>
        <w:ind w:hanging="0" w:left="0" w:right="0"/>
        <w:jc w:val="both"/>
        <w:rPr>
          <w:lang w:val="en-GB"/>
        </w:rPr>
      </w:pPr>
      <w:r>
        <w:rPr/>
        <w:t xml:space="preserve">KPMG, 2025. </w:t>
      </w:r>
      <w:r>
        <w:rPr>
          <w:b w:val="false"/>
          <w:bCs w:val="false"/>
          <w:i/>
        </w:rPr>
        <w:t>Global study reveals trust of AI remains a critical challenge reflecting tension between</w:t>
      </w:r>
      <w:r>
        <w:rPr>
          <w:b w:val="false"/>
          <w:bCs w:val="false"/>
          <w:i/>
          <w:color w:val="FFFFFF"/>
        </w:rPr>
        <w:t>.</w:t>
      </w:r>
      <w:r>
        <w:rPr>
          <w:b w:val="false"/>
          <w:bCs w:val="false"/>
          <w:i/>
        </w:rPr>
        <w:t>benefits</w:t>
      </w:r>
      <w:r>
        <w:rPr>
          <w:b w:val="false"/>
          <w:bCs w:val="false"/>
          <w:i/>
          <w:color w:val="FFFFFF"/>
        </w:rPr>
        <w:t>.</w:t>
      </w:r>
      <w:r>
        <w:rPr>
          <w:b w:val="false"/>
          <w:bCs w:val="false"/>
          <w:i/>
        </w:rPr>
        <w:t>and</w:t>
      </w:r>
      <w:r>
        <w:rPr>
          <w:b w:val="false"/>
          <w:bCs w:val="false"/>
          <w:i/>
          <w:color w:val="FFFFFF"/>
        </w:rPr>
        <w:t>.</w:t>
      </w:r>
      <w:r>
        <w:rPr>
          <w:b w:val="false"/>
          <w:bCs w:val="false"/>
          <w:i/>
        </w:rPr>
        <w:t>risks.</w:t>
      </w:r>
      <w:r>
        <w:rPr>
          <w:b w:val="false"/>
          <w:bCs w:val="false"/>
          <w:i/>
          <w:color w:val="FFFFFF"/>
        </w:rPr>
        <w:t>.</w:t>
      </w:r>
      <w:r>
        <w:rPr/>
        <w:t>Available</w:t>
      </w:r>
      <w:r>
        <w:rPr>
          <w:color w:val="FFFFFF"/>
        </w:rPr>
        <w:t>.</w:t>
      </w:r>
      <w:r>
        <w:rPr/>
        <w:t xml:space="preserve">at: </w:t>
      </w:r>
      <w:hyperlink r:id="rId14">
        <w:r>
          <w:rPr>
            <w:rStyle w:val="Hyperlink"/>
            <w:lang w:val="ar-SA" w:eastAsia="en-US" w:bidi="ar-SA"/>
          </w:rPr>
          <w:t>https://kpmg.com/xx/en/media/press-releases/2025/04/trust-of-ai-remains-a-critical-challenge.html</w:t>
        </w:r>
      </w:hyperlink>
      <w:r>
        <w:rPr/>
        <w:t xml:space="preserve">   (Accessed: 17 October 2025).</w:t>
      </w:r>
    </w:p>
    <w:p>
      <w:pPr>
        <w:pStyle w:val="Normal"/>
        <w:spacing w:lineRule="auto" w:line="360"/>
        <w:ind w:hanging="0" w:left="0" w:right="0"/>
        <w:jc w:val="both"/>
        <w:rPr>
          <w:lang w:val="en-GB"/>
        </w:rPr>
      </w:pPr>
      <w:r>
        <w:rPr/>
        <w:t xml:space="preserve">Kumar, M., Ranjan, M. and Rocha, C., 2025. Automation in Hotel Front Office: Evaluating the Effects of AI and Self Check-in Systems on Operational Efficiency. Available at: </w:t>
      </w:r>
      <w:hyperlink r:id="rId15">
        <w:r>
          <w:rPr>
            <w:rStyle w:val="Hyperlink"/>
            <w:lang w:val="ar-SA" w:eastAsia="en-US" w:bidi="ar-SA"/>
          </w:rPr>
          <w:t>https://doi.org/10.61877/ijmrp.v3i2.242</w:t>
        </w:r>
      </w:hyperlink>
      <w:r>
        <w:rPr/>
        <w:t xml:space="preserve"> </w:t>
      </w:r>
    </w:p>
    <w:p>
      <w:pPr>
        <w:pStyle w:val="Normal"/>
        <w:spacing w:lineRule="auto" w:line="360"/>
        <w:ind w:hanging="0" w:left="0" w:right="0"/>
        <w:jc w:val="both"/>
        <w:rPr>
          <w:lang w:val="en-GB"/>
        </w:rPr>
      </w:pPr>
      <w:r>
        <w:rPr/>
        <w:t>Mandić, D., Panić, A. and Šain, M.Č., 2023, December. Automated service delivery in hotels: balancing efficiency and human interaction for optimal guest satisfaction. In </w:t>
      </w:r>
      <w:r>
        <w:rPr>
          <w:i/>
        </w:rPr>
        <w:t>International Scientific Conference on Economy, Management and Information Technologies</w:t>
      </w:r>
      <w:r>
        <w:rPr/>
        <w:t xml:space="preserve"> (Vol. 1, No. 1, pp. 167-174). Available at: </w:t>
      </w:r>
      <w:hyperlink r:id="rId16">
        <w:r>
          <w:rPr>
            <w:rStyle w:val="Hyperlink"/>
            <w:lang w:val="ar-SA" w:eastAsia="en-US" w:bidi="ar-SA"/>
          </w:rPr>
          <w:t>https://doi.org/10.46793/icemit23.137m</w:t>
        </w:r>
      </w:hyperlink>
      <w:r>
        <w:rPr/>
        <w:t xml:space="preserve">  (Accessed: 15 October 2025).</w:t>
      </w:r>
    </w:p>
    <w:p>
      <w:pPr>
        <w:pStyle w:val="Normal"/>
        <w:spacing w:lineRule="auto" w:line="360"/>
        <w:ind w:hanging="0" w:left="0" w:right="0"/>
        <w:jc w:val="both"/>
        <w:rPr>
          <w:lang w:val="en-GB"/>
        </w:rPr>
      </w:pPr>
      <w:r>
        <w:rPr/>
        <w:t xml:space="preserve">McKinsey and Company, 2024. </w:t>
      </w:r>
      <w:r>
        <w:rPr>
          <w:i/>
        </w:rPr>
        <w:t xml:space="preserve">The way we travel now. </w:t>
      </w:r>
      <w:r>
        <w:rPr/>
        <w:t xml:space="preserve"> Available at: </w:t>
      </w:r>
      <w:hyperlink r:id="rId17">
        <w:r>
          <w:rPr>
            <w:rStyle w:val="Hyperlink"/>
            <w:lang w:val="ar-SA" w:eastAsia="en-US" w:bidi="ar-SA"/>
          </w:rPr>
          <w:t>https://www.mckinsey.com/industries/travel/our-insights/the-way-we-travel-now</w:t>
        </w:r>
      </w:hyperlink>
      <w:r>
        <w:rPr/>
        <w:t xml:space="preserve">  (Accessed: 16 October 2025).</w:t>
      </w:r>
    </w:p>
    <w:p>
      <w:pPr>
        <w:pStyle w:val="Normal"/>
        <w:spacing w:lineRule="auto" w:line="360"/>
        <w:ind w:hanging="0" w:left="0" w:right="0"/>
        <w:jc w:val="both"/>
        <w:rPr>
          <w:i/>
          <w:i/>
          <w:lang w:val="en-GB"/>
        </w:rPr>
      </w:pPr>
      <w:r>
        <w:rPr/>
        <w:t xml:space="preserve">Mews, 2024. </w:t>
      </w:r>
      <w:r>
        <w:rPr>
          <w:i/>
        </w:rPr>
        <w:t xml:space="preserve">From lines to loyalty: what guests really want in their hotel check-in experience. </w:t>
      </w:r>
      <w:r>
        <w:rPr/>
        <w:t xml:space="preserve">Available at: </w:t>
      </w:r>
      <w:hyperlink r:id="rId18">
        <w:r>
          <w:rPr>
            <w:rStyle w:val="Hyperlink"/>
            <w:lang w:val="ar-SA" w:eastAsia="en-US" w:bidi="ar-SA"/>
          </w:rPr>
          <w:t>https://www.mews.com/en/blog/hotel-check-in-experience</w:t>
        </w:r>
      </w:hyperlink>
      <w:r>
        <w:rPr/>
        <w:t xml:space="preserve">  (Accessed: 14 October 2025).</w:t>
      </w:r>
    </w:p>
    <w:p>
      <w:pPr>
        <w:pStyle w:val="Normal"/>
        <w:spacing w:lineRule="auto" w:line="360"/>
        <w:ind w:hanging="0" w:left="0" w:right="0"/>
        <w:jc w:val="both"/>
        <w:rPr>
          <w:lang w:val="en-GB"/>
        </w:rPr>
      </w:pPr>
      <w:r>
        <w:rPr/>
        <w:t>Min, T.H., Chew, L.M. and Yeng, O.L., 2024, June. Factors Influencing the Behavioral Intention of Elderly Toward Self-Ordering Kiosks. In </w:t>
      </w:r>
      <w:r>
        <w:rPr>
          <w:i/>
        </w:rPr>
        <w:t>2024 21st International Joint Conference on Computer Science and Software Engineering (JCSSE)</w:t>
      </w:r>
      <w:r>
        <w:rPr/>
        <w:t xml:space="preserve"> (pp. 383-389). IEEE. </w:t>
      </w:r>
      <w:hyperlink r:id="rId19">
        <w:r>
          <w:rPr>
            <w:rStyle w:val="Hyperlink"/>
            <w:lang w:val="ar-SA" w:eastAsia="en-US" w:bidi="ar-SA"/>
          </w:rPr>
          <w:t>https://www.researchgate.net/profile/Leow-Chew</w:t>
        </w:r>
      </w:hyperlink>
      <w:r>
        <w:rPr/>
        <w:t xml:space="preserve"> </w:t>
      </w:r>
    </w:p>
    <w:p>
      <w:pPr>
        <w:pStyle w:val="Normal"/>
        <w:spacing w:lineRule="auto" w:line="360"/>
        <w:ind w:hanging="0" w:left="0" w:right="0"/>
        <w:jc w:val="both"/>
        <w:rPr>
          <w:lang w:val="en-GB"/>
        </w:rPr>
      </w:pPr>
      <w:r>
        <w:rPr/>
        <w:t>Ngo, T.T.A., Phan, T.Y.N., Nguyen, T.K., Le, N.B.T., Nguyen, N.T.A. and Le, T.T.D., 2025. Understanding continuance intention toward the use of AI chatbots in customer service among generation Z in Vietnam. </w:t>
      </w:r>
      <w:r>
        <w:rPr>
          <w:i/>
        </w:rPr>
        <w:t>Acta Psychologica</w:t>
      </w:r>
      <w:r>
        <w:rPr/>
        <w:t>, </w:t>
      </w:r>
      <w:r>
        <w:rPr>
          <w:i/>
        </w:rPr>
        <w:t>259</w:t>
      </w:r>
      <w:r>
        <w:rPr/>
        <w:t xml:space="preserve">, p.105468. </w:t>
      </w:r>
      <w:hyperlink r:id="rId20">
        <w:r>
          <w:rPr>
            <w:rStyle w:val="Hyperlink"/>
            <w:lang w:val="ar-SA" w:eastAsia="en-US" w:bidi="ar-SA"/>
          </w:rPr>
          <w:t>https://doi.org/10.1016/j.actpsy.2025.105468</w:t>
        </w:r>
      </w:hyperlink>
      <w:r>
        <w:rPr/>
        <w:t xml:space="preserve"> </w:t>
      </w:r>
    </w:p>
    <w:p>
      <w:pPr>
        <w:pStyle w:val="Normal"/>
        <w:spacing w:lineRule="auto" w:line="360"/>
        <w:ind w:hanging="0" w:left="0" w:right="0"/>
        <w:jc w:val="both"/>
        <w:rPr>
          <w:lang w:val="en-GB"/>
        </w:rPr>
      </w:pPr>
      <w:r>
        <w:rPr/>
        <w:t xml:space="preserve">Oracle Hospitality and Skift, 2025. </w:t>
      </w:r>
      <w:r>
        <w:rPr>
          <w:i/>
        </w:rPr>
        <w:t>Hospitality in 2025: Automated, Intuitive, and More Personal</w:t>
      </w:r>
      <w:r>
        <w:rPr/>
        <w:t>.</w:t>
      </w:r>
      <w:r>
        <w:rPr>
          <w:color w:val="FFFFFF"/>
        </w:rPr>
        <w:t>.</w:t>
      </w:r>
      <w:r>
        <w:rPr/>
        <w:t>Oracle</w:t>
      </w:r>
      <w:r>
        <w:rPr>
          <w:color w:val="FFFFFF"/>
        </w:rPr>
        <w:t>.</w:t>
      </w:r>
      <w:r>
        <w:rPr/>
        <w:t>Corporation.</w:t>
      </w:r>
      <w:r>
        <w:rPr>
          <w:color w:val="FFFFFF"/>
        </w:rPr>
        <w:t>.</w:t>
      </w:r>
      <w:r>
        <w:rPr/>
        <w:t>Available</w:t>
      </w:r>
      <w:r>
        <w:rPr>
          <w:color w:val="FFFFFF"/>
        </w:rPr>
        <w:t>.</w:t>
      </w:r>
      <w:r>
        <w:rPr/>
        <w:t xml:space="preserve">at: </w:t>
      </w:r>
      <w:hyperlink r:id="rId21">
        <w:r>
          <w:rPr>
            <w:rStyle w:val="Hyperlink"/>
            <w:lang w:val="ar-SA" w:eastAsia="en-US" w:bidi="ar-SA"/>
          </w:rPr>
          <w:t>https://www.oracle.com/a/ocom/docs/industries/hospitality/hospitality-industry-trends-for-2025.pdf</w:t>
        </w:r>
      </w:hyperlink>
      <w:r>
        <w:rPr/>
        <w:t xml:space="preserve"> (Accessed: 17 October 2025).</w:t>
      </w:r>
    </w:p>
    <w:p>
      <w:pPr>
        <w:pStyle w:val="Normal"/>
        <w:spacing w:lineRule="auto" w:line="360"/>
        <w:ind w:hanging="0" w:left="0" w:right="0"/>
        <w:jc w:val="both"/>
        <w:rPr>
          <w:lang w:val="en-GB"/>
        </w:rPr>
      </w:pPr>
      <w:r>
        <w:rPr/>
        <w:t>Ozuem, W., Ranfagni, S., Willis, M., Salvietti, G. and Howell, K., 2024. Exploring the relationship between chatbots, service failure recovery and customer loyalty: A frustration–aggression perspective. </w:t>
      </w:r>
      <w:r>
        <w:rPr>
          <w:i/>
        </w:rPr>
        <w:t>Psychology and Marketing</w:t>
      </w:r>
      <w:r>
        <w:rPr/>
        <w:t>, </w:t>
      </w:r>
      <w:r>
        <w:rPr>
          <w:i/>
        </w:rPr>
        <w:t>41</w:t>
      </w:r>
      <w:r>
        <w:rPr/>
        <w:t xml:space="preserve">(10), pp.2253-2273. Available at: </w:t>
      </w:r>
      <w:hyperlink r:id="rId22">
        <w:r>
          <w:rPr>
            <w:rStyle w:val="Hyperlink"/>
            <w:lang w:val="ar-SA" w:eastAsia="en-US" w:bidi="ar-SA"/>
          </w:rPr>
          <w:t>https://doi.org/10.1002/mar.22051</w:t>
        </w:r>
      </w:hyperlink>
      <w:r>
        <w:rPr/>
        <w:t xml:space="preserve"> (Accessed: 17 October 2025).</w:t>
      </w:r>
    </w:p>
    <w:p>
      <w:pPr>
        <w:pStyle w:val="Normal"/>
        <w:spacing w:lineRule="auto" w:line="360"/>
        <w:ind w:hanging="0" w:left="0" w:right="0"/>
        <w:jc w:val="both"/>
        <w:rPr>
          <w:lang w:val="en-GB"/>
        </w:rPr>
      </w:pPr>
      <w:r>
        <w:rPr/>
        <w:t>Peng, C., van Doorn, J., Eggers, F. and Wieringa, J.E., 2022. The effect of required warmth on consumer acceptance of artificial intelligence in service: The moderating role of AI-human collaboration. </w:t>
      </w:r>
      <w:r>
        <w:rPr>
          <w:i/>
        </w:rPr>
        <w:t>International Journal of Information Management</w:t>
      </w:r>
      <w:r>
        <w:rPr/>
        <w:t>, </w:t>
      </w:r>
      <w:r>
        <w:rPr>
          <w:i/>
        </w:rPr>
        <w:t>66</w:t>
      </w:r>
      <w:r>
        <w:rPr/>
        <w:t xml:space="preserve">, p.102533. Available at: </w:t>
      </w:r>
      <w:hyperlink r:id="rId23">
        <w:r>
          <w:rPr>
            <w:rStyle w:val="Hyperlink"/>
            <w:lang w:val="ar-SA" w:eastAsia="en-US" w:bidi="ar-SA"/>
          </w:rPr>
          <w:t>https://doi.org/10.1016/j.ijinfomgt.2022.102533</w:t>
        </w:r>
      </w:hyperlink>
      <w:r>
        <w:rPr/>
        <w:t xml:space="preserve">  (Accessed: 16 October 2025).</w:t>
      </w:r>
    </w:p>
    <w:p>
      <w:pPr>
        <w:pStyle w:val="Normal"/>
        <w:spacing w:lineRule="auto" w:line="360"/>
        <w:ind w:hanging="0" w:left="0" w:right="0"/>
        <w:jc w:val="both"/>
        <w:rPr>
          <w:lang w:val="en-GB"/>
        </w:rPr>
      </w:pPr>
      <w:r>
        <w:rPr/>
        <w:t>Pericleous, K., Liasidou, S. and Dyankov, T., 2025. AI and hotel employees' coexistence: a helpful tool or a threat to job loss?. </w:t>
      </w:r>
      <w:r>
        <w:rPr>
          <w:i/>
        </w:rPr>
        <w:t>Worldwide Hospitality and Tourism Themes</w:t>
      </w:r>
      <w:r>
        <w:rPr/>
        <w:t>, </w:t>
      </w:r>
      <w:r>
        <w:rPr>
          <w:i/>
        </w:rPr>
        <w:t>17</w:t>
      </w:r>
      <w:r>
        <w:rPr/>
        <w:t xml:space="preserve">(1), pp.132-143. </w:t>
      </w:r>
      <w:hyperlink r:id="rId24">
        <w:r>
          <w:rPr>
            <w:rStyle w:val="Hyperlink"/>
            <w:lang w:val="ar-SA" w:eastAsia="en-US" w:bidi="ar-SA"/>
          </w:rPr>
          <w:t>https://doi.org/10.1108/WHATT-01-2025-0001</w:t>
        </w:r>
      </w:hyperlink>
      <w:r>
        <w:rPr/>
        <w:t xml:space="preserve">  (Accessed: 15 October 2025).</w:t>
      </w:r>
    </w:p>
    <w:p>
      <w:pPr>
        <w:pStyle w:val="Normal"/>
        <w:spacing w:lineRule="auto" w:line="360"/>
        <w:ind w:hanging="0" w:left="0" w:right="0"/>
        <w:jc w:val="both"/>
        <w:rPr>
          <w:i/>
          <w:i/>
          <w:lang w:val="en-GB"/>
        </w:rPr>
      </w:pPr>
      <w:r>
        <w:rPr/>
        <w:t xml:space="preserve">Reuters, 2024. </w:t>
      </w:r>
      <w:r>
        <w:rPr>
          <w:i/>
        </w:rPr>
        <w:t xml:space="preserve">How travel is getting smart, and more sustainable, with AI. </w:t>
      </w:r>
      <w:r>
        <w:rPr/>
        <w:t xml:space="preserve"> Available at: </w:t>
      </w:r>
      <w:hyperlink r:id="rId25">
        <w:r>
          <w:rPr>
            <w:rStyle w:val="Hyperlink"/>
            <w:lang w:val="ar-SA" w:eastAsia="en-US" w:bidi="ar-SA"/>
          </w:rPr>
          <w:t>https://www.reuters.com/hospitality-ai-sustainability</w:t>
        </w:r>
      </w:hyperlink>
      <w:r>
        <w:rPr/>
        <w:t xml:space="preserve">  (Accessed: 15 October 2025).</w:t>
      </w:r>
    </w:p>
    <w:p>
      <w:pPr>
        <w:pStyle w:val="Normal"/>
        <w:spacing w:lineRule="auto" w:line="360"/>
        <w:ind w:hanging="0" w:left="0" w:right="0"/>
        <w:jc w:val="both"/>
        <w:rPr>
          <w:lang w:val="en-GB"/>
        </w:rPr>
      </w:pPr>
      <w:r>
        <w:rPr/>
        <w:t>Wang, P. and Hou, Y., 2025. The Effects of Hotel Employees’ Attitude Toward the Use of AI on Customer Orientation: The Role of Usage Attitudes and Proactive Personality. </w:t>
      </w:r>
      <w:r>
        <w:rPr>
          <w:i/>
        </w:rPr>
        <w:t>Behavioral Sciences</w:t>
      </w:r>
      <w:r>
        <w:rPr/>
        <w:t>, </w:t>
      </w:r>
      <w:r>
        <w:rPr>
          <w:i/>
        </w:rPr>
        <w:t>15</w:t>
      </w:r>
      <w:r>
        <w:rPr/>
        <w:t xml:space="preserve">(2), p.127. Available at: </w:t>
      </w:r>
      <w:hyperlink r:id="rId26">
        <w:r>
          <w:rPr>
            <w:rStyle w:val="Hyperlink"/>
            <w:lang w:val="ar-SA" w:eastAsia="en-US" w:bidi="ar-SA"/>
          </w:rPr>
          <w:t>https://doi.org/10.3390/bs15020127</w:t>
        </w:r>
      </w:hyperlink>
      <w:r>
        <w:rPr/>
        <w:t xml:space="preserve">   (Accessed: 17 October 2025).</w:t>
      </w:r>
    </w:p>
    <w:p>
      <w:pPr>
        <w:pStyle w:val="Normal"/>
        <w:spacing w:lineRule="auto" w:line="360"/>
        <w:ind w:hanging="0" w:left="0" w:right="0"/>
        <w:jc w:val="both"/>
        <w:rPr>
          <w:lang w:val="de-DE"/>
        </w:rPr>
      </w:pPr>
      <w:r>
        <w:rPr/>
        <w:t>Weber, C. and Wendel, R., 2025. Too Close for Comfort?: A qualitative study of consumers' attitudes towards electronic eavesdropping and perceived conversation related advertisements.</w:t>
      </w:r>
      <w:r>
        <w:rPr>
          <w:color w:val="FFFFFF"/>
        </w:rPr>
        <w:t>.</w:t>
      </w:r>
      <w:r>
        <w:rPr/>
        <w:t>Available</w:t>
      </w:r>
      <w:r>
        <w:rPr>
          <w:color w:val="FFFFFF"/>
        </w:rPr>
        <w:t>.</w:t>
      </w:r>
      <w:r>
        <w:rPr/>
        <w:t>at:</w:t>
      </w:r>
      <w:hyperlink r:id="rId27">
        <w:r>
          <w:rPr>
            <w:rStyle w:val="Hyperlink"/>
            <w:lang w:val="ar-SA" w:eastAsia="en-US" w:bidi="ar-SA"/>
          </w:rPr>
          <w:t>https://www.diva-portal.org/smash/get/diva2:1971717/FULLTEXT02</w:t>
        </w:r>
      </w:hyperlink>
      <w:r>
        <w:rPr/>
        <w:t xml:space="preserve">  (Accessed: 17 October 2025).</w:t>
      </w:r>
    </w:p>
    <w:p>
      <w:pPr>
        <w:pStyle w:val="Normal"/>
        <w:spacing w:lineRule="auto" w:line="360"/>
        <w:ind w:hanging="0" w:left="0" w:right="0"/>
        <w:jc w:val="both"/>
        <w:rPr>
          <w:lang w:val="en-GB"/>
        </w:rPr>
      </w:pPr>
      <w:r>
        <w:rPr/>
        <w:t>Wüst, K. and Bremser, K., 2025. Artificial Intelligence in Tourism Through Chatbot Support in the Booking Process—An Experimental Investigation. </w:t>
      </w:r>
      <w:r>
        <w:rPr>
          <w:i/>
        </w:rPr>
        <w:t>Tourism and Hospitality</w:t>
      </w:r>
      <w:r>
        <w:rPr/>
        <w:t>, </w:t>
      </w:r>
      <w:r>
        <w:rPr>
          <w:i/>
        </w:rPr>
        <w:t>6</w:t>
      </w:r>
      <w:r>
        <w:rPr/>
        <w:t xml:space="preserve">(1), p.36. Available at: </w:t>
      </w:r>
      <w:hyperlink r:id="rId28">
        <w:r>
          <w:rPr>
            <w:rStyle w:val="Hyperlink"/>
            <w:lang w:val="ar-SA" w:eastAsia="en-US" w:bidi="ar-SA"/>
          </w:rPr>
          <w:t>https://doi.org/10.3390/tourhosp6010036</w:t>
        </w:r>
      </w:hyperlink>
      <w:r>
        <w:rPr/>
        <w:t xml:space="preserve">  (Accessed: 15 October 2025).</w:t>
      </w:r>
    </w:p>
    <w:p>
      <w:pPr>
        <w:pStyle w:val="Normal"/>
        <w:spacing w:lineRule="auto" w:line="360"/>
        <w:ind w:hanging="0" w:left="0" w:right="0"/>
        <w:jc w:val="both"/>
        <w:rPr>
          <w:lang w:val="en-GB"/>
        </w:rPr>
      </w:pPr>
      <w:r>
        <w:rPr>
          <w:lang w:val="en-GB"/>
        </w:rPr>
      </w:r>
    </w:p>
    <w:p>
      <w:pPr>
        <w:pStyle w:val="Normal"/>
        <w:spacing w:lineRule="auto" w:line="360"/>
        <w:ind w:hanging="0" w:left="0" w:right="0"/>
        <w:jc w:val="both"/>
        <w:rPr>
          <w:lang w:val="en-GB"/>
        </w:rPr>
      </w:pPr>
      <w:r>
        <w:rPr>
          <w:lang w:val="en-GB"/>
        </w:rPr>
      </w:r>
    </w:p>
    <w:p>
      <w:pPr>
        <w:pStyle w:val="Normal"/>
        <w:spacing w:lineRule="auto" w:line="360"/>
        <w:ind w:hanging="0" w:left="0" w:right="0"/>
        <w:jc w:val="both"/>
        <w:rPr>
          <w:lang w:val="en-GB"/>
        </w:rPr>
      </w:pPr>
      <w:r>
        <w:rPr>
          <w:lang w:val="en-GB"/>
        </w:rPr>
      </w:r>
    </w:p>
    <w:p>
      <w:pPr>
        <w:pStyle w:val="Normal"/>
        <w:widowControl/>
        <w:bidi w:val="0"/>
        <w:spacing w:lineRule="auto" w:line="360"/>
        <w:jc w:val="both"/>
        <w:rPr>
          <w:rFonts w:ascii="Arial" w:hAnsi="Arial"/>
          <w:b/>
          <w:bCs/>
          <w:sz w:val="22"/>
          <w:szCs w:val="22"/>
        </w:rPr>
      </w:pPr>
      <w:r>
        <w:rPr>
          <w:rFonts w:ascii="Arial" w:hAnsi="Arial"/>
          <w:b/>
          <w:bCs/>
          <w:sz w:val="22"/>
          <w:szCs w:val="22"/>
        </w:rPr>
      </w:r>
    </w:p>
    <w:p>
      <w:pPr>
        <w:pStyle w:val="Normal"/>
        <w:rPr>
          <w:rFonts w:ascii="Arial" w:hAnsi="Arial"/>
          <w:sz w:val="22"/>
          <w:szCs w:val="22"/>
          <w:lang w:val="ro-RO"/>
        </w:rPr>
      </w:pPr>
      <w:r>
        <w:rPr>
          <w:rFonts w:ascii="Arial" w:hAnsi="Arial"/>
          <w:sz w:val="22"/>
          <w:szCs w:val="22"/>
          <w:lang w:val="ro-RO"/>
        </w:rPr>
      </w:r>
    </w:p>
    <w:p>
      <w:pPr>
        <w:pStyle w:val="Normal"/>
        <w:rPr>
          <w:rFonts w:ascii="Arial" w:hAnsi="Arial"/>
          <w:sz w:val="22"/>
          <w:szCs w:val="22"/>
          <w:lang w:val="ro-RO"/>
        </w:rPr>
      </w:pPr>
      <w:r>
        <w:rPr>
          <w:rFonts w:ascii="Arial" w:hAnsi="Arial"/>
          <w:sz w:val="22"/>
          <w:szCs w:val="22"/>
          <w:lang w:val="ro-RO"/>
        </w:rPr>
      </w:r>
    </w:p>
    <w:p>
      <w:pPr>
        <w:pStyle w:val="Normal"/>
        <w:rPr>
          <w:rFonts w:ascii="Arial" w:hAnsi="Arial"/>
          <w:sz w:val="22"/>
          <w:szCs w:val="22"/>
          <w:lang w:val="ro-RO"/>
        </w:rPr>
      </w:pPr>
      <w:r>
        <w:rPr>
          <w:rFonts w:ascii="Arial" w:hAnsi="Arial"/>
          <w:sz w:val="22"/>
          <w:szCs w:val="22"/>
          <w:lang w:val="ro-RO"/>
        </w:rPr>
      </w:r>
    </w:p>
    <w:p>
      <w:pPr>
        <w:pStyle w:val="Normal"/>
        <w:rPr>
          <w:rFonts w:ascii="Arial" w:hAnsi="Arial"/>
          <w:sz w:val="22"/>
          <w:szCs w:val="22"/>
          <w:lang w:val="ro-RO"/>
        </w:rPr>
      </w:pPr>
      <w:r>
        <w:rPr>
          <w:rFonts w:ascii="Arial" w:hAnsi="Arial"/>
          <w:sz w:val="22"/>
          <w:szCs w:val="22"/>
          <w:lang w:val="ro-RO"/>
        </w:rPr>
      </w:r>
    </w:p>
    <w:p>
      <w:pPr>
        <w:pStyle w:val="Normal"/>
        <w:rPr>
          <w:rFonts w:ascii="Arial" w:hAnsi="Arial"/>
          <w:sz w:val="22"/>
          <w:szCs w:val="22"/>
          <w:lang w:val="ro-RO"/>
        </w:rPr>
      </w:pPr>
      <w:r>
        <w:rPr>
          <w:rFonts w:ascii="Arial" w:hAnsi="Arial"/>
          <w:sz w:val="22"/>
          <w:szCs w:val="22"/>
          <w:lang w:val="ro-RO"/>
        </w:rPr>
      </w:r>
    </w:p>
    <w:p>
      <w:pPr>
        <w:pStyle w:val="Normal"/>
        <w:rPr>
          <w:rFonts w:ascii="Arial" w:hAnsi="Arial"/>
          <w:sz w:val="22"/>
          <w:szCs w:val="22"/>
          <w:lang w:val="ro-RO"/>
        </w:rPr>
      </w:pPr>
      <w:r>
        <w:rPr>
          <w:rFonts w:ascii="Arial" w:hAnsi="Arial"/>
          <w:sz w:val="22"/>
          <w:szCs w:val="22"/>
          <w:lang w:val="ro-RO"/>
        </w:rPr>
      </w:r>
    </w:p>
    <w:p>
      <w:pPr>
        <w:pStyle w:val="Normal"/>
        <w:rPr>
          <w:rFonts w:ascii="Arial" w:hAnsi="Arial"/>
          <w:sz w:val="22"/>
          <w:szCs w:val="22"/>
          <w:lang w:val="ro-RO"/>
        </w:rPr>
      </w:pPr>
      <w:r>
        <w:rPr>
          <w:rFonts w:ascii="Arial" w:hAnsi="Arial"/>
          <w:sz w:val="22"/>
          <w:szCs w:val="22"/>
          <w:lang w:val="ro-RO"/>
        </w:rPr>
      </w:r>
    </w:p>
    <w:p>
      <w:pPr>
        <w:pStyle w:val="Normal"/>
        <w:rPr>
          <w:rFonts w:ascii="Arial" w:hAnsi="Arial"/>
          <w:sz w:val="22"/>
          <w:szCs w:val="22"/>
          <w:lang w:val="ro-RO"/>
        </w:rPr>
      </w:pPr>
      <w:r>
        <w:rPr>
          <w:rFonts w:ascii="Arial" w:hAnsi="Arial"/>
          <w:sz w:val="22"/>
          <w:szCs w:val="22"/>
          <w:lang w:val="ro-RO"/>
        </w:rPr>
      </w:r>
    </w:p>
    <w:p>
      <w:pPr>
        <w:pStyle w:val="Normal"/>
        <w:rPr>
          <w:rFonts w:ascii="Arial" w:hAnsi="Arial"/>
          <w:sz w:val="22"/>
          <w:szCs w:val="22"/>
          <w:lang w:val="ro-RO"/>
        </w:rPr>
      </w:pPr>
      <w:r>
        <w:rPr>
          <w:rFonts w:ascii="Arial" w:hAnsi="Arial"/>
          <w:sz w:val="22"/>
          <w:szCs w:val="22"/>
          <w:lang w:val="ro-RO"/>
        </w:rPr>
      </w:r>
    </w:p>
    <w:p>
      <w:pPr>
        <w:pStyle w:val="Normal"/>
        <w:rPr>
          <w:rFonts w:ascii="Arial" w:hAnsi="Arial"/>
          <w:sz w:val="22"/>
          <w:szCs w:val="22"/>
          <w:lang w:val="ro-RO"/>
        </w:rPr>
      </w:pPr>
      <w:r>
        <w:rPr>
          <w:rFonts w:ascii="Arial" w:hAnsi="Arial"/>
          <w:sz w:val="22"/>
          <w:szCs w:val="22"/>
          <w:lang w:val="ro-RO"/>
        </w:rPr>
      </w:r>
    </w:p>
    <w:p>
      <w:pPr>
        <w:pStyle w:val="Normal"/>
        <w:rPr>
          <w:rFonts w:ascii="Arial" w:hAnsi="Arial"/>
          <w:sz w:val="22"/>
          <w:szCs w:val="22"/>
          <w:lang w:val="ro-RO"/>
        </w:rPr>
      </w:pPr>
      <w:r>
        <w:rPr>
          <w:rFonts w:ascii="Arial" w:hAnsi="Arial"/>
          <w:sz w:val="22"/>
          <w:szCs w:val="22"/>
          <w:lang w:val="ro-RO"/>
        </w:rPr>
      </w:r>
    </w:p>
    <w:p>
      <w:pPr>
        <w:pStyle w:val="Normal"/>
        <w:rPr>
          <w:rFonts w:ascii="Arial" w:hAnsi="Arial"/>
          <w:sz w:val="22"/>
          <w:szCs w:val="22"/>
          <w:lang w:val="ro-RO"/>
        </w:rPr>
      </w:pPr>
      <w:r>
        <w:rPr>
          <w:rFonts w:ascii="Arial" w:hAnsi="Arial"/>
          <w:sz w:val="22"/>
          <w:szCs w:val="22"/>
          <w:lang w:val="ro-RO"/>
        </w:rPr>
      </w:r>
    </w:p>
    <w:p>
      <w:pPr>
        <w:pStyle w:val="Normal"/>
        <w:rPr>
          <w:rFonts w:ascii="Arial" w:hAnsi="Arial"/>
          <w:sz w:val="22"/>
          <w:szCs w:val="22"/>
          <w:lang w:val="ro-RO"/>
        </w:rPr>
      </w:pPr>
      <w:r>
        <w:rPr>
          <w:rFonts w:ascii="Arial" w:hAnsi="Arial"/>
          <w:sz w:val="22"/>
          <w:szCs w:val="22"/>
          <w:lang w:val="ro-RO"/>
        </w:rPr>
        <w:t xml:space="preserve">I acknowledge the use of Microsoft Copilot on 15/10/2025 to proofreading. </w:t>
      </w:r>
    </w:p>
    <w:p>
      <w:pPr>
        <w:pStyle w:val="Normal"/>
        <w:rPr>
          <w:rFonts w:ascii="Arial" w:hAnsi="Arial"/>
          <w:sz w:val="22"/>
          <w:szCs w:val="22"/>
          <w:lang w:val="ro-RO"/>
        </w:rPr>
      </w:pPr>
      <w:r>
        <w:rPr>
          <w:rFonts w:ascii="Arial" w:hAnsi="Arial"/>
          <w:sz w:val="22"/>
          <w:szCs w:val="22"/>
          <w:lang w:val="ro-RO"/>
        </w:rPr>
        <w:t>I confirm that I have not presented any AI generated text as my own work.</w:t>
      </w:r>
    </w:p>
    <w:p>
      <w:pPr>
        <w:pStyle w:val="Normal"/>
        <w:spacing w:before="0" w:after="160"/>
        <w:rPr>
          <w:rFonts w:ascii="Arial" w:hAnsi="Arial"/>
          <w:sz w:val="22"/>
          <w:szCs w:val="22"/>
          <w:lang w:val="ro-RO"/>
        </w:rPr>
      </w:pPr>
      <w:r>
        <w:rPr>
          <w:rFonts w:ascii="Arial" w:hAnsi="Arial"/>
          <w:sz w:val="22"/>
          <w:szCs w:val="22"/>
          <w:lang w:val="ro-RO"/>
        </w:rPr>
        <w:t>I confirm have copies of my drafts, notes and other resources I used before and after the use of AI tools wich I may be asked to provide în evidence.</w:t>
      </w:r>
    </w:p>
    <w:sectPr>
      <w:type w:val="nextPage"/>
      <w:pgSz w:w="11906" w:h="16838"/>
      <w:pgMar w:left="1440" w:right="1440" w:gutter="0" w:header="0" w:top="1440" w:footer="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Liberation Sans">
    <w:altName w:val="Arial"/>
    <w:charset w:val="ee"/>
    <w:family w:val="swiss"/>
    <w:pitch w:val="variable"/>
  </w:font>
  <w:font w:name="Arial">
    <w:charset w:val="ee"/>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defaultTabStop w:val="720"/>
  <w:autoHyphenation w:val="true"/>
  <w:hyphenationZone w:val="0"/>
  <w:compat>
    <w:doNotExpandShiftReturn/>
    <w:doNotBreakWrappedTables/>
    <w:ulTrailSpace/>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lang w:val="ro-RO" w:eastAsia="zh-CN" w:bidi="hi-IN"/>
      </w:rPr>
    </w:rPrDefault>
    <w:pPrDefault>
      <w:pPr>
        <w:suppressAutoHyphens w:val="true"/>
      </w:pPr>
    </w:pPrDefault>
  </w:docDefaults>
  <w:latentStyles w:defLockedState="0" w:defUIPriority="99" w:defSemiHidden="1" w:defUnhideWhenUsed="1" w:defQFormat="0" w:count="260">
    <w:lsdException w:name="Normal" w:uiPriority="0" w:semiHidden="0" w:unhideWhenUsed="0" w:qFormat="1"/>
    <w:lsdException w:name="heading 1" w:uiPriority="0"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semiHidden="0" w:unhideWhenUsed="0"/>
    <w:lsdException w:name="index 2" w:uiPriority="0" w:semiHidden="0" w:unhideWhenUsed="0"/>
    <w:lsdException w:name="index 3" w:uiPriority="0" w:semiHidden="0" w:unhideWhenUsed="0"/>
    <w:lsdException w:name="index 4" w:uiPriority="0" w:semiHidden="0" w:unhideWhenUsed="0"/>
    <w:lsdException w:name="index 5" w:uiPriority="0" w:semiHidden="0" w:unhideWhenUsed="0"/>
    <w:lsdException w:name="index 6" w:uiPriority="0" w:semiHidden="0" w:unhideWhenUsed="0"/>
    <w:lsdException w:name="index 7" w:uiPriority="0" w:semiHidden="0" w:unhideWhenUsed="0"/>
    <w:lsdException w:name="index 8" w:uiPriority="0" w:semiHidden="0" w:unhideWhenUsed="0"/>
    <w:lsdException w:name="index 9" w:uiPriority="0" w:semiHidden="0" w:unhideWhenUsed="0"/>
    <w:lsdException w:name="toc 1" w:uiPriority="0" w:semiHidden="0" w:unhideWhenUsed="0"/>
    <w:lsdException w:name="toc 2" w:uiPriority="0" w:semiHidden="0" w:unhideWhenUsed="0"/>
    <w:lsdException w:name="toc 3" w:uiPriority="0" w:semiHidden="0" w:unhideWhenUsed="0"/>
    <w:lsdException w:name="toc 4" w:uiPriority="0" w:semiHidden="0" w:unhideWhenUsed="0"/>
    <w:lsdException w:name="toc 5" w:uiPriority="0" w:semiHidden="0" w:unhideWhenUsed="0"/>
    <w:lsdException w:name="toc 6" w:uiPriority="0" w:semiHidden="0" w:unhideWhenUsed="0"/>
    <w:lsdException w:name="toc 7" w:uiPriority="0" w:semiHidden="0" w:unhideWhenUsed="0"/>
    <w:lsdException w:name="toc 8" w:uiPriority="0" w:semiHidden="0" w:unhideWhenUsed="0"/>
    <w:lsdException w:name="toc 9" w:uiPriority="0" w:semiHidden="0" w:unhideWhenUsed="0"/>
    <w:lsdException w:name="Normal Indent" w:uiPriority="0" w:semiHidden="0" w:unhideWhenUsed="0"/>
    <w:lsdException w:name="footnote text" w:uiPriority="0" w:semiHidden="0" w:unhideWhenUsed="0"/>
    <w:lsdException w:name="annotation text" w:uiPriority="0" w:semiHidden="0" w:unhideWhenUsed="0"/>
    <w:lsdException w:name="header" w:uiPriority="0" w:semiHidden="0" w:unhideWhenUsed="0"/>
    <w:lsdException w:name="footer" w:uiPriority="0" w:semiHidden="0" w:unhideWhenUsed="0"/>
    <w:lsdException w:name="index heading" w:uiPriority="0" w:semiHidden="0" w:unhideWhenUsed="0"/>
    <w:lsdException w:name="caption" w:uiPriority="0" w:qFormat="1"/>
    <w:lsdException w:name="table of figures" w:uiPriority="0" w:semiHidden="0" w:unhideWhenUsed="0"/>
    <w:lsdException w:name="envelope address" w:uiPriority="0" w:semiHidden="0" w:unhideWhenUsed="0"/>
    <w:lsdException w:name="envelope return" w:uiPriority="0" w:semiHidden="0" w:unhideWhenUsed="0"/>
    <w:lsdException w:name="footnote reference" w:uiPriority="0" w:semiHidden="0" w:unhideWhenUsed="0"/>
    <w:lsdException w:name="annotation reference" w:uiPriority="0" w:semiHidden="0" w:unhideWhenUsed="0"/>
    <w:lsdException w:name="line number" w:uiPriority="0" w:semiHidden="0" w:unhideWhenUsed="0"/>
    <w:lsdException w:name="page number" w:uiPriority="0" w:semiHidden="0" w:unhideWhenUsed="0"/>
    <w:lsdException w:name="endnote reference" w:uiPriority="0" w:semiHidden="0" w:unhideWhenUsed="0"/>
    <w:lsdException w:name="endnote text" w:uiPriority="0" w:semiHidden="0" w:unhideWhenUsed="0"/>
    <w:lsdException w:name="table of authorities" w:uiPriority="0" w:semiHidden="0" w:unhideWhenUsed="0"/>
    <w:lsdException w:name="macro" w:uiPriority="0" w:semiHidden="0" w:unhideWhenUsed="0"/>
    <w:lsdException w:name="toa heading" w:uiPriority="0" w:semiHidden="0" w:unhideWhenUsed="0"/>
    <w:lsdException w:name="List" w:uiPriority="0" w:semiHidden="0" w:unhideWhenUsed="0"/>
    <w:lsdException w:name="List Bullet" w:uiPriority="0" w:semiHidden="0" w:unhideWhenUsed="0"/>
    <w:lsdException w:name="List Number" w:uiPriority="0" w:semiHidden="0" w:unhideWhenUsed="0"/>
    <w:lsdException w:name="List 2" w:uiPriority="0" w:semiHidden="0" w:unhideWhenUsed="0"/>
    <w:lsdException w:name="List 3" w:uiPriority="0" w:semiHidden="0" w:unhideWhenUsed="0"/>
    <w:lsdException w:name="List 4" w:uiPriority="0" w:semiHidden="0" w:unhideWhenUsed="0"/>
    <w:lsdException w:name="List 5" w:uiPriority="0" w:semiHidden="0" w:unhideWhenUsed="0"/>
    <w:lsdException w:name="List Bullet 2" w:uiPriority="0" w:semiHidden="0" w:unhideWhenUsed="0"/>
    <w:lsdException w:name="List Bullet 3" w:uiPriority="0" w:semiHidden="0" w:unhideWhenUsed="0"/>
    <w:lsdException w:name="List Bullet 4" w:uiPriority="0" w:semiHidden="0" w:unhideWhenUsed="0"/>
    <w:lsdException w:name="List Bullet 5" w:uiPriority="0" w:semiHidden="0" w:unhideWhenUsed="0"/>
    <w:lsdException w:name="List Number 2" w:uiPriority="0" w:semiHidden="0" w:unhideWhenUsed="0"/>
    <w:lsdException w:name="List Number 3" w:uiPriority="0" w:semiHidden="0" w:unhideWhenUsed="0"/>
    <w:lsdException w:name="List Number 4" w:uiPriority="0" w:semiHidden="0" w:unhideWhenUsed="0"/>
    <w:lsdException w:name="List Number 5" w:uiPriority="0" w:semiHidden="0" w:unhideWhenUsed="0"/>
    <w:lsdException w:name="Title" w:uiPriority="0" w:semiHidden="0" w:unhideWhenUsed="0" w:qFormat="1"/>
    <w:lsdException w:name="Closing" w:uiPriority="0" w:semiHidden="0" w:unhideWhenUsed="0"/>
    <w:lsdException w:name="Signature" w:uiPriority="0" w:semiHidden="0" w:unhideWhenUsed="0"/>
    <w:lsdException w:name="Default Paragraph Font" w:uiPriority="0" w:unhideWhenUsed="0"/>
    <w:lsdException w:name="Body Text" w:uiPriority="0" w:semiHidden="0" w:unhideWhenUsed="0"/>
    <w:lsdException w:name="Body Text Indent" w:uiPriority="0" w:semiHidden="0" w:unhideWhenUsed="0"/>
    <w:lsdException w:name="List Continue" w:uiPriority="0" w:semiHidden="0" w:unhideWhenUsed="0"/>
    <w:lsdException w:name="List Continue 2" w:uiPriority="0" w:semiHidden="0" w:unhideWhenUsed="0"/>
    <w:lsdException w:name="List Continue 3" w:uiPriority="0" w:semiHidden="0" w:unhideWhenUsed="0"/>
    <w:lsdException w:name="List Continue 4" w:uiPriority="0" w:semiHidden="0" w:unhideWhenUsed="0"/>
    <w:lsdException w:name="List Continue 5" w:uiPriority="0" w:semiHidden="0" w:unhideWhenUsed="0"/>
    <w:lsdException w:name="Message Header" w:uiPriority="0" w:semiHidden="0" w:unhideWhenUsed="0"/>
    <w:lsdException w:name="Subtitle" w:uiPriority="0" w:semiHidden="0" w:unhideWhenUsed="0" w:qFormat="1"/>
    <w:lsdException w:name="Salutation" w:uiPriority="0" w:semiHidden="0" w:unhideWhenUsed="0"/>
    <w:lsdException w:name="Date" w:uiPriority="0" w:semiHidden="0" w:unhideWhenUsed="0"/>
    <w:lsdException w:name="Body Text First Indent" w:uiPriority="0" w:semiHidden="0" w:unhideWhenUsed="0"/>
    <w:lsdException w:name="Body Text First Indent 2" w:uiPriority="0" w:semiHidden="0" w:unhideWhenUsed="0"/>
    <w:lsdException w:name="Note Heading" w:uiPriority="0" w:semiHidden="0" w:unhideWhenUsed="0"/>
    <w:lsdException w:name="Body Text 2" w:uiPriority="0" w:semiHidden="0" w:unhideWhenUsed="0"/>
    <w:lsdException w:name="Body Text 3" w:uiPriority="0" w:semiHidden="0" w:unhideWhenUsed="0"/>
    <w:lsdException w:name="Body Text Indent 2" w:uiPriority="0" w:semiHidden="0" w:unhideWhenUsed="0"/>
    <w:lsdException w:name="Body Text Indent 3" w:uiPriority="0" w:semiHidden="0" w:unhideWhenUsed="0"/>
    <w:lsdException w:name="Block Text" w:uiPriority="0" w:semiHidden="0" w:unhideWhenUsed="0"/>
    <w:lsdException w:name="Hyperlink" w:uiPriority="99" w:semiHidden="0" w:qFormat="1"/>
    <w:lsdException w:name="FollowedHyperlink" w:uiPriority="0" w:semiHidden="0" w:unhideWhenUsed="0"/>
    <w:lsdException w:name="Strong" w:uiPriority="0" w:semiHidden="0" w:unhideWhenUsed="0" w:qFormat="1"/>
    <w:lsdException w:name="Emphasis" w:uiPriority="0" w:semiHidden="0" w:unhideWhenUsed="0" w:qFormat="1"/>
    <w:lsdException w:name="Document Map" w:uiPriority="0" w:semiHidden="0" w:unhideWhenUsed="0"/>
    <w:lsdException w:name="Plain Text" w:uiPriority="0" w:semiHidden="0" w:unhideWhenUsed="0"/>
    <w:lsdException w:name="E-mail Signature" w:uiPriority="0" w:semiHidden="0" w:unhideWhenUsed="0"/>
    <w:lsdException w:name="Normal (Web)" w:uiPriority="0" w:semiHidden="0" w:unhideWhenUsed="0"/>
    <w:lsdException w:name="HTML Acronym" w:uiPriority="0" w:semiHidden="0" w:unhideWhenUsed="0"/>
    <w:lsdException w:name="HTML Address" w:uiPriority="0" w:semiHidden="0" w:unhideWhenUsed="0"/>
    <w:lsdException w:name="HTML Cite" w:uiPriority="0" w:semiHidden="0" w:unhideWhenUsed="0"/>
    <w:lsdException w:name="HTML Code" w:uiPriority="0" w:semiHidden="0" w:unhideWhenUsed="0"/>
    <w:lsdException w:name="HTML Definition" w:uiPriority="0" w:semiHidden="0" w:unhideWhenUsed="0"/>
    <w:lsdException w:name="HTML Keyboard" w:uiPriority="0" w:semiHidden="0" w:unhideWhenUsed="0"/>
    <w:lsdException w:name="HTML Preformatted" w:uiPriority="0" w:semiHidden="0" w:unhideWhenUsed="0"/>
    <w:lsdException w:name="HTML Sample" w:uiPriority="0" w:semiHidden="0" w:unhideWhenUsed="0"/>
    <w:lsdException w:name="HTML Typewriter" w:uiPriority="0" w:semiHidden="0" w:unhideWhenUsed="0"/>
    <w:lsdException w:name="HTML Variable" w:uiPriority="0" w:semiHidden="0" w:unhideWhenUsed="0"/>
    <w:lsdException w:name="Normal Table" w:uiPriority="0" w:unhideWhenUsed="0"/>
    <w:lsdException w:name="annotation subject" w:uiPriority="0" w:semiHidden="0" w:unhideWhenUsed="0"/>
    <w:lsdException w:name="Table Simple 1" w:uiPriority="0" w:semiHidden="0" w:unhideWhenUsed="0"/>
    <w:lsdException w:name="Table Simple 2" w:uiPriority="0" w:semiHidden="0" w:unhideWhenUsed="0"/>
    <w:lsdException w:name="Table Simple 3" w:uiPriority="0" w:semiHidden="0" w:unhideWhenUsed="0"/>
    <w:lsdException w:name="Table Classic 1" w:uiPriority="0" w:semiHidden="0" w:unhideWhenUsed="0"/>
    <w:lsdException w:name="Table Classic 2" w:uiPriority="0" w:semiHidden="0" w:unhideWhenUsed="0"/>
    <w:lsdException w:name="Table Classic 3" w:uiPriority="0" w:semiHidden="0" w:unhideWhenUsed="0"/>
    <w:lsdException w:name="Table Classic 4" w:uiPriority="0" w:semiHidden="0" w:unhideWhenUsed="0"/>
    <w:lsdException w:name="Table Colorful 1" w:uiPriority="0" w:semiHidden="0" w:unhideWhenUsed="0"/>
    <w:lsdException w:name="Table Colorful 2" w:uiPriority="0" w:semiHidden="0" w:unhideWhenUsed="0"/>
    <w:lsdException w:name="Table Colorful 3" w:uiPriority="0" w:semiHidden="0" w:unhideWhenUsed="0"/>
    <w:lsdException w:name="Table Columns 1" w:uiPriority="0" w:semiHidden="0" w:unhideWhenUsed="0"/>
    <w:lsdException w:name="Table Columns 2" w:uiPriority="0" w:semiHidden="0" w:unhideWhenUsed="0"/>
    <w:lsdException w:name="Table Columns 3" w:uiPriority="0" w:semiHidden="0" w:unhideWhenUsed="0"/>
    <w:lsdException w:name="Table Columns 4" w:uiPriority="0" w:semiHidden="0" w:unhideWhenUsed="0"/>
    <w:lsdException w:name="Table Columns 5" w:uiPriority="0" w:semiHidden="0" w:unhideWhenUsed="0"/>
    <w:lsdException w:name="Table Grid 1" w:uiPriority="0" w:semiHidden="0" w:unhideWhenUsed="0"/>
    <w:lsdException w:name="Table Grid 2" w:uiPriority="0" w:semiHidden="0" w:unhideWhenUsed="0"/>
    <w:lsdException w:name="Table Grid 3" w:uiPriority="0" w:semiHidden="0" w:unhideWhenUsed="0"/>
    <w:lsdException w:name="Table Grid 4" w:uiPriority="0" w:semiHidden="0" w:unhideWhenUsed="0"/>
    <w:lsdException w:name="Table Grid 5" w:uiPriority="0" w:semiHidden="0" w:unhideWhenUsed="0"/>
    <w:lsdException w:name="Table Grid 6" w:uiPriority="0" w:semiHidden="0" w:unhideWhenUsed="0"/>
    <w:lsdException w:name="Table Grid 7" w:uiPriority="0" w:semiHidden="0" w:unhideWhenUsed="0"/>
    <w:lsdException w:name="Table Grid 8" w:uiPriority="0" w:semiHidden="0" w:unhideWhenUsed="0"/>
    <w:lsdException w:name="Table List 1" w:uiPriority="0" w:semiHidden="0" w:unhideWhenUsed="0"/>
    <w:lsdException w:name="Table List 2" w:uiPriority="0" w:semiHidden="0" w:unhideWhenUsed="0"/>
    <w:lsdException w:name="Table List 3" w:uiPriority="0" w:semiHidden="0" w:unhideWhenUsed="0"/>
    <w:lsdException w:name="Table List 4" w:uiPriority="0" w:semiHidden="0" w:unhideWhenUsed="0"/>
    <w:lsdException w:name="Table List 5" w:uiPriority="0" w:semiHidden="0" w:unhideWhenUsed="0"/>
    <w:lsdException w:name="Table List 6" w:uiPriority="0" w:semiHidden="0" w:unhideWhenUsed="0"/>
    <w:lsdException w:name="Table List 7" w:uiPriority="0" w:semiHidden="0" w:unhideWhenUsed="0"/>
    <w:lsdException w:name="Table List 8" w:uiPriority="0" w:semiHidden="0" w:unhideWhenUsed="0"/>
    <w:lsdException w:name="Table 3D effects 1" w:uiPriority="0" w:semiHidden="0" w:unhideWhenUsed="0"/>
    <w:lsdException w:name="Table 3D effects 2" w:uiPriority="0" w:semiHidden="0" w:unhideWhenUsed="0"/>
    <w:lsdException w:name="Table 3D effects 3" w:uiPriority="0" w:semiHidden="0" w:unhideWhenUsed="0"/>
    <w:lsdException w:name="Table Contemporary" w:uiPriority="0" w:semiHidden="0" w:unhideWhenUsed="0"/>
    <w:lsdException w:name="Table Elegant" w:uiPriority="0" w:semiHidden="0" w:unhideWhenUsed="0"/>
    <w:lsdException w:name="Table Professional" w:uiPriority="0" w:semiHidden="0" w:unhideWhenUsed="0"/>
    <w:lsdException w:name="Table Subtle 1" w:uiPriority="0" w:semiHidden="0" w:unhideWhenUsed="0"/>
    <w:lsdException w:name="Table Subtle 2" w:uiPriority="0" w:semiHidden="0" w:unhideWhenUsed="0"/>
    <w:lsdException w:name="Table Web 1" w:uiPriority="0" w:semiHidden="0" w:unhideWhenUsed="0"/>
    <w:lsdException w:name="Table Web 2" w:uiPriority="0" w:semiHidden="0" w:unhideWhenUsed="0"/>
    <w:lsdException w:name="Table Web 3" w:uiPriority="0" w:semiHidden="0" w:unhideWhenUsed="0"/>
    <w:lsdException w:name="Balloon Text" w:uiPriority="0" w:semiHidden="0" w:unhideWhenUsed="0"/>
    <w:lsdException w:name="Table Grid" w:uiPriority="0" w:semiHidden="0" w:unhideWhenUsed="0"/>
    <w:lsdException w:name="Table Theme" w:uiPriority="0" w:semiHidden="0" w:unhideWhenUsed="0"/>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List Paragraph" w:uiPriority="34"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atentStyles>
  <w:style w:type="paragraph" w:styleId="Normal" w:default="1">
    <w:name w:val="Normal"/>
    <w:uiPriority w:val="0"/>
    <w:qFormat/>
    <w:pPr>
      <w:widowControl/>
      <w:suppressAutoHyphens w:val="true"/>
      <w:bidi w:val="0"/>
      <w:spacing w:lineRule="auto" w:line="278" w:before="0" w:after="160"/>
      <w:jc w:val="left"/>
    </w:pPr>
    <w:rPr>
      <w:rFonts w:ascii="Calibri" w:hAnsi="Calibri" w:eastAsia="Calibri" w:cs="" w:asciiTheme="minorHAnsi" w:cstheme="minorBidi" w:eastAsiaTheme="minorHAnsi" w:hAnsiTheme="minorHAnsi"/>
      <w:color w:val="auto"/>
      <w:kern w:val="2"/>
      <w:sz w:val="24"/>
      <w:szCs w:val="24"/>
      <w:lang w:val="en-GB" w:eastAsia="en-US" w:bidi="ar-SA"/>
      <w14:ligatures w14:val="standardContextual"/>
    </w:rPr>
  </w:style>
  <w:style w:type="character" w:styleId="DefaultParagraphFont" w:default="1">
    <w:name w:val="Default Paragraph Font"/>
    <w:uiPriority w:val="0"/>
    <w:semiHidden/>
    <w:qFormat/>
    <w:rPr/>
  </w:style>
  <w:style w:type="character" w:styleId="Hyperlink">
    <w:name w:val="Hyperlink"/>
    <w:basedOn w:val="DefaultParagraphFont"/>
    <w:uiPriority w:val="99"/>
    <w:unhideWhenUsed/>
    <w:qFormat/>
    <w:rPr>
      <w:color w:themeColor="hyperlink" w:val="0563C1"/>
      <w:u w:val="single"/>
    </w:rPr>
  </w:style>
  <w:style w:type="paragraph" w:styleId="Titlu">
    <w:name w:val="Titlu"/>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Titluuser">
    <w:name w:val="Titlu (user)"/>
    <w:basedOn w:val="Normal"/>
    <w:next w:val="BodyText"/>
    <w:qFormat/>
    <w:pPr>
      <w:keepNext w:val="true"/>
      <w:spacing w:before="240" w:after="120"/>
    </w:pPr>
    <w:rPr>
      <w:rFonts w:ascii="Liberation Sans" w:hAnsi="Liberation Sans" w:eastAsia="Microsoft YaHei" w:cs="Arial"/>
      <w:sz w:val="28"/>
      <w:szCs w:val="28"/>
    </w:rPr>
  </w:style>
  <w:style w:type="paragraph" w:styleId="NormalWeb">
    <w:name w:val="Normal (Web)"/>
    <w:basedOn w:val="Normal"/>
    <w:uiPriority w:val="0"/>
    <w:qFormat/>
    <w:pPr/>
    <w:rPr>
      <w:sz w:val="24"/>
      <w:szCs w:val="24"/>
    </w:rPr>
  </w:style>
  <w:style w:type="paragraph" w:styleId="ListParagraph">
    <w:name w:val="List Paragraph"/>
    <w:basedOn w:val="Normal"/>
    <w:uiPriority w:val="34"/>
    <w:qFormat/>
    <w:pPr>
      <w:spacing w:before="0" w:after="160"/>
      <w:ind w:left="720"/>
      <w:contextualSpacing/>
    </w:pPr>
    <w:rPr/>
  </w:style>
  <w:style w:type="table" w:default="1" w:styleId="3">
    <w:name w:val="Normal Table"/>
    <w:uiPriority w:val="0"/>
    <w:semiHidden/>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doi.org/10.30892/gtg.482spl15-1081" TargetMode="External"/><Relationship Id="rId3" Type="http://schemas.openxmlformats.org/officeDocument/2006/relationships/hyperlink" Target="https://www.researchgate.net/profile/Chandigarh-Philosophers/publication/379411928_The_Future_of_Hospitality_Predictive_Analytics_in_Hotel_Management/links/6607a9dc10ca867987271303/The-Future-of-Hospitality-Predictive-Analytics-in-Hotel-Management.pdf" TargetMode="External"/><Relationship Id="rId4" Type="http://schemas.openxmlformats.org/officeDocument/2006/relationships/hyperlink" Target="https://imjane.net/papers/chi2024-personalization-and-inference.pdf" TargetMode="External"/><Relationship Id="rId5" Type="http://schemas.openxmlformats.org/officeDocument/2006/relationships/hyperlink" Target="https://doi.org/10.1080/13683500.2023.2229480" TargetMode="External"/><Relationship Id="rId6" Type="http://schemas.openxmlformats.org/officeDocument/2006/relationships/hyperlink" Target="https://doi.org/10.52783/tjjpt.v45.i04.8497" TargetMode="External"/><Relationship Id="rId7" Type="http://schemas.openxmlformats.org/officeDocument/2006/relationships/hyperlink" Target="https://doi.org/10.1177/00472875231201505" TargetMode="External"/><Relationship Id="rId8" Type="http://schemas.openxmlformats.org/officeDocument/2006/relationships/hyperlink" Target="https://doi.org/10.1080/13527266.2025.2540376" TargetMode="External"/><Relationship Id="rId9" Type="http://schemas.openxmlformats.org/officeDocument/2006/relationships/hyperlink" Target="https://www.academia.edu/download/72867681/2167-0269.pdf" TargetMode="External"/><Relationship Id="rId10" Type="http://schemas.openxmlformats.org/officeDocument/2006/relationships/hyperlink" Target="https://www.iberostar.com/en/corporate-sustainability" TargetMode="External"/><Relationship Id="rId11" Type="http://schemas.openxmlformats.org/officeDocument/2006/relationships/hyperlink" Target="https://doi.org/10.1177/13548166251362622" TargetMode="External"/><Relationship Id="rId12" Type="http://schemas.openxmlformats.org/officeDocument/2006/relationships/hyperlink" Target="https://www.jobsandskills.gov.au/download/19803/our-gen-ai-transition-implications-work-and-skills/3364/our-gen-ai-transition/pdf" TargetMode="External"/><Relationship Id="rId13" Type="http://schemas.openxmlformats.org/officeDocument/2006/relationships/hyperlink" Target="https://doi.org/10.1108/TR-05-2019-0175" TargetMode="External"/><Relationship Id="rId14" Type="http://schemas.openxmlformats.org/officeDocument/2006/relationships/hyperlink" Target="https://kpmg.com/xx/en/media/press-releases/2025/04/trust-of-ai-remains-a-critical-challenge.html" TargetMode="External"/><Relationship Id="rId15" Type="http://schemas.openxmlformats.org/officeDocument/2006/relationships/hyperlink" Target="https://doi.org/10.61877/ijmrp.v3i2.242" TargetMode="External"/><Relationship Id="rId16" Type="http://schemas.openxmlformats.org/officeDocument/2006/relationships/hyperlink" Target="https://doi.org/10.46793/icemit23.137m" TargetMode="External"/><Relationship Id="rId17" Type="http://schemas.openxmlformats.org/officeDocument/2006/relationships/hyperlink" Target="https://www.mckinsey.com/industries/travel/our-insights/the-way-we-travel-now" TargetMode="External"/><Relationship Id="rId18" Type="http://schemas.openxmlformats.org/officeDocument/2006/relationships/hyperlink" Target="https://www.mews.com/en/blog/hotel-check-in-experience" TargetMode="External"/><Relationship Id="rId19" Type="http://schemas.openxmlformats.org/officeDocument/2006/relationships/hyperlink" Target="https://www.researchgate.net/profile/Leow-Chew/publication/382838837_Factors_Influencing_the_Behavioral_Intention_of_Elderly_Toward_Self-Ordering_Kiosks/links/67c1624396e7fb48b9d25420/Factors-Influencing-the-Behavioral-Intention-of-Elderly-Toward-Self-Ordering-Kiosks.pdf" TargetMode="External"/><Relationship Id="rId20" Type="http://schemas.openxmlformats.org/officeDocument/2006/relationships/hyperlink" Target="https://doi.org/10.1016/j.actpsy.2025.105468" TargetMode="External"/><Relationship Id="rId21" Type="http://schemas.openxmlformats.org/officeDocument/2006/relationships/hyperlink" Target="https://www.oracle.com/a/ocom/docs/industries/hospitality/hospitality-industry-trends-for-2025.pdf" TargetMode="External"/><Relationship Id="rId22" Type="http://schemas.openxmlformats.org/officeDocument/2006/relationships/hyperlink" Target="https://doi.org/10.1002/mar.22051" TargetMode="External"/><Relationship Id="rId23" Type="http://schemas.openxmlformats.org/officeDocument/2006/relationships/hyperlink" Target="https://doi.org/10.1016/j.ijinfomgt.2022.102533" TargetMode="External"/><Relationship Id="rId24" Type="http://schemas.openxmlformats.org/officeDocument/2006/relationships/hyperlink" Target="https://doi.org/10.1108/WHATT-01-2025-0001" TargetMode="External"/><Relationship Id="rId25" Type="http://schemas.openxmlformats.org/officeDocument/2006/relationships/hyperlink" Target="https://www.reuters.com/hospitality-ai-sustainability" TargetMode="External"/><Relationship Id="rId26" Type="http://schemas.openxmlformats.org/officeDocument/2006/relationships/hyperlink" Target="https://doi.org/10.3390/bs15020127" TargetMode="External"/><Relationship Id="rId27" Type="http://schemas.openxmlformats.org/officeDocument/2006/relationships/hyperlink" Target="https://www.diva-portal.org/smash/get/diva2:1971717/FULLTEXT02" TargetMode="External"/><Relationship Id="rId28" Type="http://schemas.openxmlformats.org/officeDocument/2006/relationships/hyperlink" Target="https://doi.org/10.3390/tourhosp6010036" TargetMode="External"/><Relationship Id="rId29" Type="http://schemas.openxmlformats.org/officeDocument/2006/relationships/numbering" Target="numbering.xml"/><Relationship Id="rId30" Type="http://schemas.openxmlformats.org/officeDocument/2006/relationships/fontTable" Target="fontTable.xml"/><Relationship Id="rId31" Type="http://schemas.openxmlformats.org/officeDocument/2006/relationships/settings" Target="settings.xml"/><Relationship Id="rId32"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主题">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307</TotalTime>
  <Application>LibreOffice/25.8.2.2$Windows_X86_64 LibreOffice_project/d401f2107ccab8f924a8e2df40f573aab7605b6f</Application>
  <AppVersion>15.0000</AppVersion>
  <Pages>15</Pages>
  <Words>3754</Words>
  <Characters>23561</Characters>
  <CharactersWithSpaces>27782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2025-02-05T10:19:00Z</dcterms:created>
  <dc:creator>HP Probook 650 G2</dc:creator>
  <dc:description/>
  <dc:language>ro-RO</dc:language>
  <cp:lastModifiedBy/>
  <dcterms:modified xsi:type="dcterms:W3CDTF">2025-10-30T16:43:56Z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CC73810256D446EB8719154E204A0C89_13</vt:lpwstr>
  </property>
  <property fmtid="{D5CDD505-2E9C-101B-9397-08002B2CF9AE}" pid="3" name="KSOProductBuildVer">
    <vt:lpwstr>1033-12.2.0.22549</vt:lpwstr>
  </property>
</Properties>
</file>