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9B001" w14:textId="77777777" w:rsidR="00302417" w:rsidRPr="00544145" w:rsidRDefault="00302417" w:rsidP="00923944">
      <w:pPr>
        <w:jc w:val="center"/>
        <w:rPr>
          <w:rFonts w:ascii="Times New Roman" w:hAnsi="Times New Roman" w:cs="Times New Roman"/>
          <w:u w:val="single"/>
          <w:lang w:val="el-GR"/>
        </w:rPr>
      </w:pPr>
      <w:r w:rsidRPr="00544145">
        <w:rPr>
          <w:rFonts w:ascii="Times New Roman" w:hAnsi="Times New Roman" w:cs="Times New Roman"/>
          <w:u w:val="single"/>
          <w:lang w:val="el-GR"/>
        </w:rPr>
        <w:t>ΥΠΕΡ ΤΟΥ ΕΡΑΤΟΣΘΕΝΟΥΕ ΦΟΝΟΥ ΑΠΟΛΟΤΙΑ</w:t>
      </w:r>
    </w:p>
    <w:p w14:paraId="4C6213B8" w14:textId="77777777" w:rsidR="00302417" w:rsidRPr="00544145" w:rsidRDefault="00302417" w:rsidP="00544145">
      <w:pPr>
        <w:jc w:val="center"/>
        <w:rPr>
          <w:rFonts w:ascii="Times New Roman" w:hAnsi="Times New Roman" w:cs="Times New Roman"/>
          <w:sz w:val="20"/>
          <w:u w:val="single"/>
          <w:lang w:val="el-GR"/>
        </w:rPr>
      </w:pPr>
      <w:bookmarkStart w:id="0" w:name="_GoBack"/>
      <w:r w:rsidRPr="00544145">
        <w:rPr>
          <w:rFonts w:ascii="Times New Roman" w:hAnsi="Times New Roman" w:cs="Times New Roman"/>
          <w:sz w:val="20"/>
          <w:u w:val="single"/>
          <w:lang w:val="el-GR"/>
        </w:rPr>
        <w:t>32-33</w:t>
      </w:r>
    </w:p>
    <w:bookmarkEnd w:id="0"/>
    <w:p w14:paraId="147F39A4" w14:textId="358CFED4" w:rsidR="00D02711" w:rsidRPr="00D02711" w:rsidRDefault="00D02711" w:rsidP="00D86748">
      <w:pPr>
        <w:jc w:val="center"/>
        <w:rPr>
          <w:lang w:val="el-GR"/>
        </w:rPr>
      </w:pPr>
      <w:r w:rsidRPr="00D02711">
        <w:rPr>
          <w:lang w:val="el-GR"/>
        </w:rPr>
        <w:t>ἀκούετε, ἄνδρες, ὅτι κελεύει, ἐάν τις ἄνθρωπονἐλεύθερον ἢ παῖδα αἰσχύνῃ βίᾳ, διπλῆν τὴν βλάβηνὀφείλειν: ἐὰν δὲ γυναῖκα, ἐφ᾽ αἷσπερ ἀποκτείνεινἔξεστιν, ἐν τοῖς αὐτοῖς ἐνέχεσθαι: οὕτως, ὦ ἄνδρες, τοὺς βιαζομένους ἐλάττονος ζημίας ἀξίους ἡγήσατοεἶναι ἢ τοὺς πείθοντας: τῶν μὲν γὰρ θάνατονκατέγνω, τοῖς δὲ διπλῆν ἐποίησε τὴν βλάβην, ἡγούμενος τ</w:t>
      </w:r>
      <w:r w:rsidRPr="00D02711">
        <w:t>o</w:t>
      </w:r>
      <w:r w:rsidRPr="00D02711">
        <w:rPr>
          <w:lang w:val="el-GR"/>
        </w:rPr>
        <w:t>ὺς μὲν διαπραττομένους βίᾳ ὑπὸ τῶν βιασθέντων μισεῖσθαι, τοὺς δὲ πείσαντας οὕτως αὐτῶν τὰς ψυχὰς διαφθείρειν, ὥστ᾽ οἰκειοτέρας αὑτοῖς ποιεῖν τὰςἀλλοτρίας γυναῖκας ἢ τοῖς ἀνδράσι, καὶ πᾶσαν ἐπ᾽ἐκείνοις τὴν οἰκίαν γεγονέναι, καὶ τοὺς παῖδαςἀδήλους εἶναι ὁποτέρων τυγχάνουσιν ὄντες, τῶνἀνδρῶν ἢ τῶν μοιχῶν.</w:t>
      </w:r>
      <w:r>
        <w:rPr>
          <w:rStyle w:val="FootnoteReference"/>
          <w:lang w:val="el-GR"/>
        </w:rPr>
        <w:footnoteReference w:id="1"/>
      </w:r>
    </w:p>
    <w:p w14:paraId="063F79C0" w14:textId="2BFEBB0B" w:rsidR="00802AAF" w:rsidRPr="00D86748" w:rsidRDefault="00302417" w:rsidP="00D86748">
      <w:pPr>
        <w:jc w:val="center"/>
        <w:rPr>
          <w:rFonts w:ascii="Times New Roman" w:hAnsi="Times New Roman" w:cs="Times New Roman"/>
          <w:color w:val="000000"/>
          <w:szCs w:val="24"/>
        </w:rPr>
      </w:pPr>
      <w:r w:rsidRPr="00D86748">
        <w:rPr>
          <w:rFonts w:ascii="Times New Roman" w:hAnsi="Times New Roman" w:cs="Times New Roman"/>
          <w:color w:val="000000"/>
          <w:szCs w:val="24"/>
        </w:rPr>
        <w:t>You hear, g</w:t>
      </w:r>
      <w:r w:rsidR="00A80548" w:rsidRPr="00D86748">
        <w:rPr>
          <w:rFonts w:ascii="Times New Roman" w:hAnsi="Times New Roman" w:cs="Times New Roman"/>
          <w:color w:val="000000"/>
          <w:szCs w:val="24"/>
        </w:rPr>
        <w:t>entlemen, how it orders that, if</w:t>
      </w:r>
      <w:r w:rsidRPr="00D86748">
        <w:rPr>
          <w:rFonts w:ascii="Times New Roman" w:hAnsi="Times New Roman" w:cs="Times New Roman"/>
          <w:color w:val="000000"/>
          <w:szCs w:val="24"/>
        </w:rPr>
        <w:t xml:space="preserve"> a man should forcibly shame a free born man or boy, he is liable to pay double damages. </w:t>
      </w:r>
      <w:proofErr w:type="gramStart"/>
      <w:r w:rsidRPr="00D86748">
        <w:rPr>
          <w:rFonts w:ascii="Times New Roman" w:hAnsi="Times New Roman" w:cs="Times New Roman"/>
          <w:color w:val="000000"/>
          <w:szCs w:val="24"/>
        </w:rPr>
        <w:t>However</w:t>
      </w:r>
      <w:proofErr w:type="gramEnd"/>
      <w:r w:rsidRPr="00D86748">
        <w:rPr>
          <w:rFonts w:ascii="Times New Roman" w:hAnsi="Times New Roman" w:cs="Times New Roman"/>
          <w:color w:val="000000"/>
          <w:szCs w:val="24"/>
        </w:rPr>
        <w:t xml:space="preserve"> if he likewise shames a woman, in the case that by category it is permitted to put him to death</w:t>
      </w:r>
      <w:r w:rsidR="00802AAF" w:rsidRPr="00D86748">
        <w:rPr>
          <w:rFonts w:ascii="Times New Roman" w:hAnsi="Times New Roman" w:cs="Times New Roman"/>
          <w:color w:val="000000"/>
          <w:szCs w:val="24"/>
        </w:rPr>
        <w:t xml:space="preserve">, he is subject to the self-same penalty. Therefore, gentlemen, the law considers that those who use force are deserving of a smaller penalty than those who use persuasion. For the latter, it condemned to death but the former [only] double the damages. [Due to the fact that] those who achieve their ends through force are hated by those upon whom force has been used, but those who employed persuasion corrupted their victim’s soul. </w:t>
      </w:r>
      <w:proofErr w:type="gramStart"/>
      <w:r w:rsidR="00802AAF" w:rsidRPr="00D86748">
        <w:rPr>
          <w:rFonts w:ascii="Times New Roman" w:hAnsi="Times New Roman" w:cs="Times New Roman"/>
          <w:color w:val="000000"/>
          <w:szCs w:val="24"/>
        </w:rPr>
        <w:t>Consequently</w:t>
      </w:r>
      <w:proofErr w:type="gramEnd"/>
      <w:r w:rsidR="00802AAF" w:rsidRPr="00D86748">
        <w:rPr>
          <w:rFonts w:ascii="Times New Roman" w:hAnsi="Times New Roman" w:cs="Times New Roman"/>
          <w:color w:val="000000"/>
          <w:szCs w:val="24"/>
        </w:rPr>
        <w:t xml:space="preserve"> making the wives more attached to themselves than their husbands, and having gotten the whole house to become under their control, it is thus unclear to whom the children belong, the husband or the seducer.</w:t>
      </w:r>
    </w:p>
    <w:p w14:paraId="7EFA6B08" w14:textId="1F08E690" w:rsidR="00F02302" w:rsidRDefault="009B20FE" w:rsidP="00D86748">
      <w:pPr>
        <w:jc w:val="both"/>
        <w:rPr>
          <w:rFonts w:ascii="Times New Roman" w:hAnsi="Times New Roman" w:cs="Times New Roman"/>
          <w:color w:val="000000"/>
          <w:sz w:val="24"/>
          <w:szCs w:val="24"/>
        </w:rPr>
      </w:pPr>
      <w:r>
        <w:rPr>
          <w:rFonts w:ascii="Times New Roman" w:hAnsi="Times New Roman" w:cs="Times New Roman"/>
          <w:color w:val="000000"/>
          <w:sz w:val="24"/>
          <w:szCs w:val="24"/>
        </w:rPr>
        <w:t>The section above translated (32-33) is focused on arguing the legality of Euphiletus’ actions. It is situated around the centre of the speech but more towards the close, it being a short speech of only 50 sections, and is prefaced by the reading out of a law</w:t>
      </w:r>
      <w:r w:rsidR="00F02302">
        <w:rPr>
          <w:rFonts w:ascii="Times New Roman" w:hAnsi="Times New Roman" w:cs="Times New Roman"/>
          <w:color w:val="000000"/>
          <w:sz w:val="24"/>
          <w:szCs w:val="24"/>
        </w:rPr>
        <w:t>.</w:t>
      </w:r>
    </w:p>
    <w:p w14:paraId="57AA6420" w14:textId="6C1E4D4B" w:rsidR="00D86748" w:rsidRDefault="00F02302" w:rsidP="00D86748">
      <w:pPr>
        <w:jc w:val="both"/>
        <w:rPr>
          <w:rFonts w:ascii="Times New Roman" w:hAnsi="Times New Roman" w:cs="Times New Roman"/>
          <w:color w:val="000000"/>
          <w:sz w:val="24"/>
          <w:szCs w:val="24"/>
        </w:rPr>
      </w:pPr>
      <w:r>
        <w:rPr>
          <w:rFonts w:ascii="Times New Roman" w:hAnsi="Times New Roman" w:cs="Times New Roman"/>
          <w:b/>
          <w:color w:val="000000"/>
          <w:sz w:val="24"/>
          <w:szCs w:val="24"/>
          <w:lang w:val="el-GR"/>
        </w:rPr>
        <w:t>κελεύει</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The verb is 3</w:t>
      </w:r>
      <w:r w:rsidRPr="00F02302">
        <w:rPr>
          <w:rFonts w:ascii="Times New Roman" w:hAnsi="Times New Roman" w:cs="Times New Roman"/>
          <w:color w:val="000000"/>
          <w:sz w:val="24"/>
          <w:szCs w:val="24"/>
          <w:vertAlign w:val="superscript"/>
        </w:rPr>
        <w:t>rd</w:t>
      </w:r>
      <w:r>
        <w:rPr>
          <w:rFonts w:ascii="Times New Roman" w:hAnsi="Times New Roman" w:cs="Times New Roman"/>
          <w:color w:val="000000"/>
          <w:sz w:val="24"/>
          <w:szCs w:val="24"/>
        </w:rPr>
        <w:t xml:space="preserve"> person singular active present, therefore it is subject to the </w:t>
      </w:r>
      <w:r>
        <w:rPr>
          <w:rFonts w:ascii="Times New Roman" w:hAnsi="Times New Roman" w:cs="Times New Roman"/>
          <w:color w:val="000000"/>
          <w:sz w:val="24"/>
          <w:szCs w:val="24"/>
          <w:lang w:val="el-GR"/>
        </w:rPr>
        <w:t>νομος</w:t>
      </w:r>
      <w:r>
        <w:rPr>
          <w:rFonts w:ascii="Times New Roman" w:hAnsi="Times New Roman" w:cs="Times New Roman"/>
          <w:color w:val="000000"/>
          <w:sz w:val="24"/>
          <w:szCs w:val="24"/>
        </w:rPr>
        <w:t>- “it [the law] orders.</w:t>
      </w:r>
    </w:p>
    <w:p w14:paraId="2ACE4C56" w14:textId="53028C78" w:rsidR="007A63F8" w:rsidRDefault="00F02302" w:rsidP="00D86748">
      <w:pPr>
        <w:jc w:val="both"/>
        <w:rPr>
          <w:rFonts w:ascii="Times New Roman" w:hAnsi="Times New Roman" w:cs="Times New Roman"/>
          <w:color w:val="000000"/>
          <w:sz w:val="24"/>
          <w:szCs w:val="24"/>
        </w:rPr>
      </w:pPr>
      <w:bookmarkStart w:id="1" w:name="_Hlk7703157"/>
      <w:r w:rsidRPr="00F02302">
        <w:rPr>
          <w:rFonts w:ascii="Times New Roman" w:hAnsi="Times New Roman" w:cs="Times New Roman"/>
          <w:b/>
          <w:color w:val="000000"/>
          <w:sz w:val="24"/>
          <w:szCs w:val="24"/>
          <w:lang w:val="el-GR"/>
        </w:rPr>
        <w:t>ἐάν</w:t>
      </w:r>
      <w:bookmarkEnd w:id="1"/>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xml:space="preserve">the </w:t>
      </w:r>
      <w:proofErr w:type="spellStart"/>
      <w:r w:rsidRPr="00F02302">
        <w:rPr>
          <w:rFonts w:ascii="Times New Roman" w:hAnsi="Times New Roman" w:cs="Times New Roman"/>
          <w:color w:val="000000"/>
          <w:sz w:val="24"/>
          <w:szCs w:val="24"/>
        </w:rPr>
        <w:t>ἐάν</w:t>
      </w:r>
      <w:proofErr w:type="spellEnd"/>
      <w:r>
        <w:rPr>
          <w:rFonts w:ascii="Times New Roman" w:hAnsi="Times New Roman" w:cs="Times New Roman"/>
          <w:color w:val="000000"/>
          <w:sz w:val="24"/>
          <w:szCs w:val="24"/>
        </w:rPr>
        <w:t xml:space="preserve"> clauses (</w:t>
      </w:r>
      <w:r>
        <w:rPr>
          <w:rFonts w:ascii="Times New Roman" w:hAnsi="Times New Roman" w:cs="Times New Roman"/>
          <w:color w:val="000000"/>
          <w:sz w:val="24"/>
          <w:szCs w:val="24"/>
          <w:lang w:val="el-GR"/>
        </w:rPr>
        <w:t>εἰ</w:t>
      </w:r>
      <w:r w:rsidRPr="00F02302">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ἂν</w:t>
      </w:r>
      <w:r>
        <w:rPr>
          <w:rFonts w:ascii="Times New Roman" w:hAnsi="Times New Roman" w:cs="Times New Roman"/>
          <w:color w:val="000000"/>
          <w:sz w:val="24"/>
          <w:szCs w:val="24"/>
        </w:rPr>
        <w:t>) are either used to express a prospective condition or a general condition.</w:t>
      </w:r>
      <w:r w:rsidR="007A63F8">
        <w:rPr>
          <w:rStyle w:val="FootnoteReference"/>
          <w:rFonts w:ascii="Times New Roman" w:hAnsi="Times New Roman" w:cs="Times New Roman"/>
          <w:color w:val="000000"/>
          <w:sz w:val="24"/>
          <w:szCs w:val="24"/>
        </w:rPr>
        <w:footnoteReference w:id="2"/>
      </w:r>
      <w:r w:rsidR="007A63F8">
        <w:rPr>
          <w:rFonts w:ascii="Times New Roman" w:hAnsi="Times New Roman" w:cs="Times New Roman"/>
          <w:color w:val="000000"/>
          <w:sz w:val="24"/>
          <w:szCs w:val="24"/>
        </w:rPr>
        <w:t xml:space="preserve"> Lysias here is about to express a general condition as in the following clause he does not use the subjunctive with the future indicative which would indicate a prospective condition. </w:t>
      </w:r>
    </w:p>
    <w:p w14:paraId="44ACAF70" w14:textId="3442E488" w:rsidR="00F02302" w:rsidRDefault="007A63F8" w:rsidP="00D86748">
      <w:pPr>
        <w:jc w:val="both"/>
        <w:rPr>
          <w:rFonts w:ascii="Times New Roman" w:hAnsi="Times New Roman" w:cs="Times New Roman"/>
          <w:color w:val="000000"/>
          <w:sz w:val="24"/>
          <w:szCs w:val="24"/>
        </w:rPr>
      </w:pPr>
      <w:r>
        <w:rPr>
          <w:rFonts w:ascii="Times New Roman" w:hAnsi="Times New Roman" w:cs="Times New Roman"/>
          <w:b/>
          <w:color w:val="000000"/>
          <w:sz w:val="24"/>
          <w:szCs w:val="24"/>
          <w:lang w:val="el-GR"/>
        </w:rPr>
        <w:t>ἐάν</w:t>
      </w:r>
      <w:r w:rsidRPr="007A63F8">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τις</w:t>
      </w:r>
      <w:r w:rsidR="005717D3" w:rsidRPr="005717D3">
        <w:rPr>
          <w:rFonts w:ascii="Times New Roman" w:hAnsi="Times New Roman" w:cs="Times New Roman"/>
          <w:b/>
          <w:color w:val="000000"/>
          <w:sz w:val="24"/>
          <w:szCs w:val="24"/>
        </w:rPr>
        <w:t>...</w:t>
      </w:r>
      <w:r w:rsidRPr="007A63F8">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βίᾳ</w:t>
      </w:r>
      <w:r>
        <w:rPr>
          <w:rFonts w:ascii="Times New Roman" w:hAnsi="Times New Roman" w:cs="Times New Roman"/>
          <w:b/>
          <w:color w:val="000000"/>
          <w:sz w:val="24"/>
          <w:szCs w:val="24"/>
        </w:rPr>
        <w:t>:</w:t>
      </w:r>
      <w:r w:rsidRPr="007A63F8">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Thus this clause is translates to ‘if anyone rapes’ with the general condition</w:t>
      </w:r>
      <w:r w:rsidR="005717D3">
        <w:rPr>
          <w:rFonts w:ascii="Times New Roman" w:hAnsi="Times New Roman" w:cs="Times New Roman"/>
          <w:color w:val="000000"/>
          <w:sz w:val="24"/>
          <w:szCs w:val="24"/>
        </w:rPr>
        <w:t xml:space="preserve"> to which we anticipate the result, ‘they are liable to..’</w:t>
      </w:r>
      <w:r>
        <w:rPr>
          <w:rFonts w:ascii="Times New Roman" w:hAnsi="Times New Roman" w:cs="Times New Roman"/>
          <w:color w:val="000000"/>
          <w:sz w:val="24"/>
          <w:szCs w:val="24"/>
        </w:rPr>
        <w:t xml:space="preserve">. </w:t>
      </w:r>
      <w:r w:rsidR="005717D3">
        <w:rPr>
          <w:rFonts w:ascii="Times New Roman" w:hAnsi="Times New Roman" w:cs="Times New Roman"/>
          <w:color w:val="000000"/>
          <w:sz w:val="24"/>
          <w:szCs w:val="24"/>
        </w:rPr>
        <w:t xml:space="preserve">According to Edwards the use of this verb may imply that the law </w:t>
      </w:r>
      <w:r w:rsidR="00B660CB">
        <w:rPr>
          <w:rFonts w:ascii="Times New Roman" w:hAnsi="Times New Roman" w:cs="Times New Roman"/>
          <w:color w:val="000000"/>
          <w:sz w:val="24"/>
          <w:szCs w:val="24"/>
        </w:rPr>
        <w:t xml:space="preserve">read out before the beginning of 32 </w:t>
      </w:r>
      <w:r w:rsidR="005717D3">
        <w:rPr>
          <w:rFonts w:ascii="Times New Roman" w:hAnsi="Times New Roman" w:cs="Times New Roman"/>
          <w:color w:val="000000"/>
          <w:sz w:val="24"/>
          <w:szCs w:val="24"/>
        </w:rPr>
        <w:t xml:space="preserve">was a </w:t>
      </w:r>
      <w:r w:rsidR="005717D3">
        <w:rPr>
          <w:rFonts w:ascii="Times New Roman" w:hAnsi="Times New Roman" w:cs="Times New Roman"/>
          <w:color w:val="000000"/>
          <w:sz w:val="24"/>
          <w:szCs w:val="24"/>
          <w:lang w:val="el-GR"/>
        </w:rPr>
        <w:t>δί</w:t>
      </w:r>
      <w:r w:rsidR="00B660CB">
        <w:rPr>
          <w:rFonts w:ascii="Times New Roman" w:hAnsi="Times New Roman" w:cs="Times New Roman"/>
          <w:color w:val="000000"/>
          <w:sz w:val="24"/>
          <w:szCs w:val="24"/>
          <w:lang w:val="el-GR"/>
        </w:rPr>
        <w:t>κη</w:t>
      </w:r>
      <w:r w:rsidR="00B660CB" w:rsidRPr="00B660CB">
        <w:rPr>
          <w:rFonts w:ascii="Times New Roman" w:hAnsi="Times New Roman" w:cs="Times New Roman"/>
          <w:color w:val="000000"/>
          <w:sz w:val="24"/>
          <w:szCs w:val="24"/>
        </w:rPr>
        <w:t xml:space="preserve"> </w:t>
      </w:r>
      <w:r w:rsidR="00B660CB">
        <w:rPr>
          <w:rFonts w:ascii="Times New Roman" w:hAnsi="Times New Roman" w:cs="Times New Roman"/>
          <w:color w:val="000000"/>
          <w:sz w:val="24"/>
          <w:szCs w:val="24"/>
          <w:lang w:val="el-GR"/>
        </w:rPr>
        <w:t>βιαίων</w:t>
      </w:r>
      <w:r w:rsidR="00B660CB">
        <w:rPr>
          <w:rStyle w:val="FootnoteReference"/>
          <w:rFonts w:ascii="Times New Roman" w:hAnsi="Times New Roman" w:cs="Times New Roman"/>
          <w:color w:val="000000"/>
          <w:sz w:val="24"/>
          <w:szCs w:val="24"/>
          <w:lang w:val="el-GR"/>
        </w:rPr>
        <w:footnoteReference w:id="3"/>
      </w:r>
      <w:r w:rsidR="00B660CB" w:rsidRPr="00B660CB">
        <w:rPr>
          <w:rFonts w:ascii="Times New Roman" w:hAnsi="Times New Roman" w:cs="Times New Roman"/>
          <w:color w:val="000000"/>
          <w:sz w:val="24"/>
          <w:szCs w:val="24"/>
        </w:rPr>
        <w:t>.</w:t>
      </w:r>
      <w:r w:rsidR="00F02302">
        <w:rPr>
          <w:rFonts w:ascii="Times New Roman" w:hAnsi="Times New Roman" w:cs="Times New Roman"/>
          <w:color w:val="000000"/>
          <w:sz w:val="24"/>
          <w:szCs w:val="24"/>
        </w:rPr>
        <w:t xml:space="preserve"> </w:t>
      </w:r>
    </w:p>
    <w:p w14:paraId="25D2EDB2" w14:textId="6D7985EB" w:rsidR="005717D3" w:rsidRPr="005717D3" w:rsidRDefault="005717D3" w:rsidP="00D86748">
      <w:pPr>
        <w:jc w:val="both"/>
        <w:rPr>
          <w:rFonts w:ascii="Times New Roman" w:hAnsi="Times New Roman" w:cs="Times New Roman"/>
          <w:color w:val="000000"/>
          <w:sz w:val="24"/>
          <w:szCs w:val="24"/>
        </w:rPr>
      </w:pPr>
      <w:r>
        <w:rPr>
          <w:rFonts w:ascii="Times New Roman" w:hAnsi="Times New Roman" w:cs="Times New Roman"/>
          <w:b/>
          <w:color w:val="000000"/>
          <w:sz w:val="24"/>
          <w:szCs w:val="24"/>
          <w:lang w:val="el-GR"/>
        </w:rPr>
        <w:t>ἂνθρωπον</w:t>
      </w:r>
      <w:r>
        <w:rPr>
          <w:rFonts w:ascii="Times New Roman" w:hAnsi="Times New Roman" w:cs="Times New Roman"/>
          <w:b/>
          <w:color w:val="000000"/>
          <w:sz w:val="24"/>
          <w:szCs w:val="24"/>
        </w:rPr>
        <w:t>…</w:t>
      </w:r>
      <w:bookmarkStart w:id="2" w:name="_Hlk7704274"/>
      <w:r>
        <w:rPr>
          <w:rFonts w:ascii="Times New Roman" w:hAnsi="Times New Roman" w:cs="Times New Roman"/>
          <w:b/>
          <w:color w:val="000000"/>
          <w:sz w:val="24"/>
          <w:szCs w:val="24"/>
          <w:lang w:val="el-GR"/>
        </w:rPr>
        <w:t>παῖδα</w:t>
      </w:r>
      <w:bookmarkEnd w:id="2"/>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“a free born man or boy”</w:t>
      </w:r>
      <w:r w:rsidR="00887512">
        <w:rPr>
          <w:rFonts w:ascii="Times New Roman" w:hAnsi="Times New Roman" w:cs="Times New Roman"/>
          <w:color w:val="000000"/>
          <w:sz w:val="24"/>
          <w:szCs w:val="24"/>
        </w:rPr>
        <w:t xml:space="preserve"> The main issue with translating here lies in the application of the adjective </w:t>
      </w:r>
      <w:r w:rsidR="00887512">
        <w:rPr>
          <w:rFonts w:ascii="Times New Roman" w:hAnsi="Times New Roman" w:cs="Times New Roman"/>
          <w:color w:val="000000"/>
          <w:sz w:val="24"/>
          <w:szCs w:val="24"/>
          <w:lang w:val="el-GR"/>
        </w:rPr>
        <w:t>ἐλεύθερον</w:t>
      </w:r>
      <w:r w:rsidR="00887512">
        <w:rPr>
          <w:rFonts w:ascii="Times New Roman" w:hAnsi="Times New Roman" w:cs="Times New Roman"/>
          <w:color w:val="000000"/>
          <w:sz w:val="24"/>
          <w:szCs w:val="24"/>
        </w:rPr>
        <w:t xml:space="preserve"> in its relation to </w:t>
      </w:r>
      <w:r w:rsidR="00887512">
        <w:rPr>
          <w:rFonts w:ascii="Times New Roman" w:hAnsi="Times New Roman" w:cs="Times New Roman"/>
          <w:color w:val="000000"/>
          <w:sz w:val="24"/>
          <w:szCs w:val="24"/>
          <w:lang w:val="el-GR"/>
        </w:rPr>
        <w:t>παῖδα</w:t>
      </w:r>
      <w:r w:rsidR="00887512" w:rsidRPr="00887512">
        <w:rPr>
          <w:rFonts w:ascii="Times New Roman" w:hAnsi="Times New Roman" w:cs="Times New Roman"/>
          <w:color w:val="000000"/>
          <w:sz w:val="24"/>
          <w:szCs w:val="24"/>
        </w:rPr>
        <w:t xml:space="preserve">. </w:t>
      </w:r>
      <w:proofErr w:type="gramStart"/>
      <w:r w:rsidR="00887512">
        <w:rPr>
          <w:rFonts w:ascii="Times New Roman" w:hAnsi="Times New Roman" w:cs="Times New Roman"/>
          <w:color w:val="000000"/>
          <w:sz w:val="24"/>
          <w:szCs w:val="24"/>
        </w:rPr>
        <w:t>The majority of</w:t>
      </w:r>
      <w:proofErr w:type="gramEnd"/>
      <w:r w:rsidR="00887512">
        <w:rPr>
          <w:rFonts w:ascii="Times New Roman" w:hAnsi="Times New Roman" w:cs="Times New Roman"/>
          <w:color w:val="000000"/>
          <w:sz w:val="24"/>
          <w:szCs w:val="24"/>
        </w:rPr>
        <w:t xml:space="preserve"> scholars, such as Todd apply the adjective to both nouns i.e. ‘a free man or [free] boy’</w:t>
      </w:r>
      <w:r>
        <w:rPr>
          <w:rFonts w:ascii="Times New Roman" w:hAnsi="Times New Roman" w:cs="Times New Roman"/>
          <w:color w:val="000000"/>
          <w:sz w:val="24"/>
          <w:szCs w:val="24"/>
        </w:rPr>
        <w:t>.</w:t>
      </w:r>
      <w:r w:rsidR="00887512">
        <w:rPr>
          <w:rFonts w:ascii="Times New Roman" w:hAnsi="Times New Roman" w:cs="Times New Roman"/>
          <w:color w:val="000000"/>
          <w:sz w:val="24"/>
          <w:szCs w:val="24"/>
        </w:rPr>
        <w:t xml:space="preserve"> A minority do, however, only apply it to the first noun seeing a contrast between ‘free person’ and ‘slave’.</w:t>
      </w:r>
      <w:r w:rsidR="00887512">
        <w:rPr>
          <w:rStyle w:val="FootnoteReference"/>
          <w:rFonts w:ascii="Times New Roman" w:hAnsi="Times New Roman" w:cs="Times New Roman"/>
          <w:color w:val="000000"/>
          <w:sz w:val="24"/>
          <w:szCs w:val="24"/>
        </w:rPr>
        <w:footnoteReference w:id="4"/>
      </w:r>
      <w:r w:rsidR="00887512">
        <w:rPr>
          <w:rFonts w:ascii="Times New Roman" w:hAnsi="Times New Roman" w:cs="Times New Roman"/>
          <w:color w:val="000000"/>
          <w:sz w:val="24"/>
          <w:szCs w:val="24"/>
        </w:rPr>
        <w:t xml:space="preserve"> Carey does conversely demonstrate that, t</w:t>
      </w:r>
      <w:r>
        <w:rPr>
          <w:rFonts w:ascii="Times New Roman" w:hAnsi="Times New Roman" w:cs="Times New Roman"/>
          <w:color w:val="000000"/>
          <w:sz w:val="24"/>
          <w:szCs w:val="24"/>
        </w:rPr>
        <w:t>he word</w:t>
      </w:r>
      <w:r w:rsidR="0088751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δοῦλος</w:t>
      </w:r>
      <w:r w:rsidRPr="005717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is used in a legal context to refer to slaves whilst </w:t>
      </w:r>
      <w:r w:rsidRPr="005717D3">
        <w:rPr>
          <w:rFonts w:ascii="Times New Roman" w:hAnsi="Times New Roman" w:cs="Times New Roman"/>
          <w:color w:val="000000"/>
          <w:sz w:val="24"/>
          <w:szCs w:val="24"/>
        </w:rPr>
        <w:t>πα</w:t>
      </w:r>
      <w:proofErr w:type="spellStart"/>
      <w:r w:rsidRPr="005717D3">
        <w:rPr>
          <w:rFonts w:ascii="Times New Roman" w:hAnsi="Times New Roman" w:cs="Times New Roman"/>
          <w:color w:val="000000"/>
          <w:sz w:val="24"/>
          <w:szCs w:val="24"/>
        </w:rPr>
        <w:t>ῖδ</w:t>
      </w:r>
      <w:proofErr w:type="spellEnd"/>
      <w:r w:rsidRPr="005717D3">
        <w:rPr>
          <w:rFonts w:ascii="Times New Roman" w:hAnsi="Times New Roman" w:cs="Times New Roman"/>
          <w:color w:val="000000"/>
          <w:sz w:val="24"/>
          <w:szCs w:val="24"/>
        </w:rPr>
        <w:t>α</w:t>
      </w:r>
      <w:r>
        <w:rPr>
          <w:rFonts w:ascii="Times New Roman" w:hAnsi="Times New Roman" w:cs="Times New Roman"/>
          <w:color w:val="000000"/>
          <w:sz w:val="24"/>
          <w:szCs w:val="24"/>
        </w:rPr>
        <w:t xml:space="preserve"> is used </w:t>
      </w:r>
      <w:r w:rsidR="00887512">
        <w:rPr>
          <w:rFonts w:ascii="Times New Roman" w:hAnsi="Times New Roman" w:cs="Times New Roman"/>
          <w:color w:val="000000"/>
          <w:sz w:val="24"/>
          <w:szCs w:val="24"/>
        </w:rPr>
        <w:t xml:space="preserve">only </w:t>
      </w:r>
      <w:r>
        <w:rPr>
          <w:rFonts w:ascii="Times New Roman" w:hAnsi="Times New Roman" w:cs="Times New Roman"/>
          <w:color w:val="000000"/>
          <w:sz w:val="24"/>
          <w:szCs w:val="24"/>
        </w:rPr>
        <w:t>in everyday speech</w:t>
      </w:r>
      <w:r>
        <w:rPr>
          <w:rStyle w:val="FootnoteReference"/>
          <w:rFonts w:ascii="Times New Roman" w:hAnsi="Times New Roman" w:cs="Times New Roman"/>
          <w:color w:val="000000"/>
          <w:sz w:val="24"/>
          <w:szCs w:val="24"/>
        </w:rPr>
        <w:footnoteReference w:id="5"/>
      </w:r>
      <w:r w:rsidR="0088751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887512">
        <w:rPr>
          <w:rFonts w:ascii="Times New Roman" w:hAnsi="Times New Roman" w:cs="Times New Roman"/>
          <w:color w:val="000000"/>
          <w:sz w:val="24"/>
          <w:szCs w:val="24"/>
        </w:rPr>
        <w:t xml:space="preserve">Therefore, like Todd, here I take </w:t>
      </w:r>
      <w:r w:rsidR="00887512" w:rsidRPr="005717D3">
        <w:rPr>
          <w:rFonts w:ascii="Times New Roman" w:hAnsi="Times New Roman" w:cs="Times New Roman"/>
          <w:color w:val="000000"/>
          <w:sz w:val="24"/>
          <w:szCs w:val="24"/>
          <w:lang w:val="el-GR"/>
        </w:rPr>
        <w:t>παῖδα</w:t>
      </w:r>
      <w:r w:rsidR="00887512" w:rsidRPr="005717D3">
        <w:rPr>
          <w:rFonts w:ascii="Times New Roman" w:hAnsi="Times New Roman" w:cs="Times New Roman"/>
          <w:color w:val="000000"/>
          <w:sz w:val="24"/>
          <w:szCs w:val="24"/>
        </w:rPr>
        <w:t xml:space="preserve"> </w:t>
      </w:r>
      <w:r w:rsidR="00887512">
        <w:rPr>
          <w:rFonts w:ascii="Times New Roman" w:hAnsi="Times New Roman" w:cs="Times New Roman"/>
          <w:color w:val="000000"/>
          <w:sz w:val="24"/>
          <w:szCs w:val="24"/>
        </w:rPr>
        <w:t>to mean ‘boy’ not ‘slave’.</w:t>
      </w:r>
    </w:p>
    <w:p w14:paraId="4C2E769E" w14:textId="14FD70BA" w:rsidR="00A80548" w:rsidRPr="0072666A" w:rsidRDefault="00B660CB" w:rsidP="00BF7D16">
      <w:pPr>
        <w:rPr>
          <w:rFonts w:ascii="Times New Roman" w:hAnsi="Times New Roman" w:cs="Times New Roman"/>
          <w:color w:val="000000"/>
          <w:sz w:val="24"/>
          <w:szCs w:val="24"/>
        </w:rPr>
      </w:pPr>
      <w:r w:rsidRPr="00B660CB">
        <w:rPr>
          <w:rFonts w:ascii="Times New Roman" w:hAnsi="Times New Roman" w:cs="Times New Roman"/>
          <w:b/>
          <w:color w:val="000000"/>
          <w:sz w:val="24"/>
          <w:szCs w:val="24"/>
          <w:lang w:val="el-GR"/>
        </w:rPr>
        <w:lastRenderedPageBreak/>
        <w:t>αἰσχύνῃ</w:t>
      </w:r>
      <w:r w:rsidRPr="00B660CB">
        <w:rPr>
          <w:rFonts w:ascii="Times New Roman" w:hAnsi="Times New Roman" w:cs="Times New Roman"/>
          <w:b/>
          <w:color w:val="000000"/>
          <w:sz w:val="24"/>
          <w:szCs w:val="24"/>
        </w:rPr>
        <w:t xml:space="preserve"> </w:t>
      </w:r>
      <w:r w:rsidRPr="00B660CB">
        <w:rPr>
          <w:rFonts w:ascii="Times New Roman" w:hAnsi="Times New Roman" w:cs="Times New Roman"/>
          <w:b/>
          <w:color w:val="000000"/>
          <w:sz w:val="24"/>
          <w:szCs w:val="24"/>
          <w:lang w:val="el-GR"/>
        </w:rPr>
        <w:t>βίᾳ</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xml:space="preserve">Direct translation suggests rape, ‘shame by </w:t>
      </w:r>
      <w:r w:rsidRPr="00B660CB">
        <w:rPr>
          <w:rFonts w:ascii="Times New Roman" w:hAnsi="Times New Roman" w:cs="Times New Roman"/>
          <w:color w:val="000000"/>
          <w:sz w:val="24"/>
          <w:szCs w:val="24"/>
          <w:u w:val="single"/>
        </w:rPr>
        <w:t>force</w:t>
      </w:r>
      <w:r>
        <w:rPr>
          <w:rFonts w:ascii="Times New Roman" w:hAnsi="Times New Roman" w:cs="Times New Roman"/>
          <w:color w:val="000000"/>
          <w:sz w:val="24"/>
          <w:szCs w:val="24"/>
        </w:rPr>
        <w:t>’ or ‘</w:t>
      </w:r>
      <w:r w:rsidRPr="00B660CB">
        <w:rPr>
          <w:rFonts w:ascii="Times New Roman" w:hAnsi="Times New Roman" w:cs="Times New Roman"/>
          <w:color w:val="000000"/>
          <w:sz w:val="24"/>
          <w:szCs w:val="24"/>
          <w:u w:val="single"/>
        </w:rPr>
        <w:t>forcibly</w:t>
      </w:r>
      <w:r>
        <w:rPr>
          <w:rFonts w:ascii="Times New Roman" w:hAnsi="Times New Roman" w:cs="Times New Roman"/>
          <w:color w:val="000000"/>
          <w:sz w:val="24"/>
          <w:szCs w:val="24"/>
        </w:rPr>
        <w:t xml:space="preserve"> shame’, with an emphasis here that there is force used not coercion or mild aggression. </w:t>
      </w:r>
    </w:p>
    <w:p w14:paraId="59DA516E" w14:textId="0CC2D0A9" w:rsidR="00B660CB" w:rsidRDefault="00B660CB" w:rsidP="00BF7D16">
      <w:pPr>
        <w:rPr>
          <w:rFonts w:ascii="Times New Roman" w:hAnsi="Times New Roman" w:cs="Times New Roman"/>
          <w:color w:val="000000"/>
          <w:sz w:val="24"/>
          <w:szCs w:val="24"/>
        </w:rPr>
      </w:pPr>
      <w:r>
        <w:rPr>
          <w:rFonts w:ascii="Times New Roman" w:hAnsi="Times New Roman" w:cs="Times New Roman"/>
          <w:b/>
          <w:color w:val="000000"/>
          <w:sz w:val="24"/>
          <w:szCs w:val="24"/>
          <w:lang w:val="el-GR"/>
        </w:rPr>
        <w:t>διπλῆν</w:t>
      </w:r>
      <w:r w:rsidRPr="00B660CB">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τὴν</w:t>
      </w:r>
      <w:r w:rsidRPr="00B660CB">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βλάβην</w:t>
      </w:r>
      <w:r w:rsidRPr="00B660CB">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Lit. “double</w:t>
      </w:r>
      <w:r w:rsidRPr="00B660CB">
        <w:rPr>
          <w:rFonts w:ascii="Times New Roman" w:hAnsi="Times New Roman" w:cs="Times New Roman"/>
          <w:color w:val="000000"/>
          <w:sz w:val="24"/>
          <w:szCs w:val="24"/>
        </w:rPr>
        <w:t xml:space="preserve"> </w:t>
      </w:r>
      <w:r>
        <w:rPr>
          <w:rFonts w:ascii="Times New Roman" w:hAnsi="Times New Roman" w:cs="Times New Roman"/>
          <w:color w:val="000000"/>
          <w:sz w:val="24"/>
          <w:szCs w:val="24"/>
        </w:rPr>
        <w:t>the damages due for the rape of a slave</w:t>
      </w:r>
      <w:r w:rsidR="00002944">
        <w:rPr>
          <w:rFonts w:ascii="Times New Roman" w:hAnsi="Times New Roman" w:cs="Times New Roman"/>
          <w:color w:val="000000"/>
          <w:sz w:val="24"/>
          <w:szCs w:val="24"/>
        </w:rPr>
        <w:t>.</w:t>
      </w:r>
      <w:r>
        <w:rPr>
          <w:rFonts w:ascii="Times New Roman" w:hAnsi="Times New Roman" w:cs="Times New Roman"/>
          <w:color w:val="000000"/>
          <w:sz w:val="24"/>
          <w:szCs w:val="24"/>
        </w:rPr>
        <w:t>”</w:t>
      </w:r>
      <w:r w:rsidR="00002944">
        <w:rPr>
          <w:rFonts w:ascii="Times New Roman" w:hAnsi="Times New Roman" w:cs="Times New Roman"/>
          <w:color w:val="000000"/>
          <w:sz w:val="24"/>
          <w:szCs w:val="24"/>
        </w:rPr>
        <w:t xml:space="preserve"> This seems to be a reference to Solon who attached a monetary penalty for rape. According to Plutarch, Solon “made it illegal to kill any adulterer who was caught in the act, but the offence of rape against a free woman was punished by a fine of no more than 100 drachmae. If the man seduced her, he would be fined twenty drachmae, except in the case of women who openly sell their bodies.”</w:t>
      </w:r>
      <w:r w:rsidR="00002944">
        <w:rPr>
          <w:rStyle w:val="FootnoteReference"/>
          <w:rFonts w:ascii="Times New Roman" w:hAnsi="Times New Roman" w:cs="Times New Roman"/>
          <w:color w:val="000000"/>
          <w:sz w:val="24"/>
          <w:szCs w:val="24"/>
        </w:rPr>
        <w:footnoteReference w:id="6"/>
      </w:r>
      <w:r w:rsidR="00002944">
        <w:rPr>
          <w:rFonts w:ascii="Times New Roman" w:hAnsi="Times New Roman" w:cs="Times New Roman"/>
          <w:color w:val="000000"/>
          <w:sz w:val="24"/>
          <w:szCs w:val="24"/>
        </w:rPr>
        <w:t xml:space="preserve"> It is interesting that Lysias references this law in his discussion of ‘double damages’ as it explicitly states that slaying a man was made illegal in order to exact a monetary penalty, a fact Lysias obviously omits. </w:t>
      </w:r>
      <w:r w:rsidR="00B1028B">
        <w:rPr>
          <w:rFonts w:ascii="Times New Roman" w:hAnsi="Times New Roman" w:cs="Times New Roman"/>
          <w:color w:val="000000"/>
          <w:sz w:val="24"/>
          <w:szCs w:val="24"/>
        </w:rPr>
        <w:t xml:space="preserve">At first glance the passage is suggesting that the action for rape was an </w:t>
      </w:r>
      <w:r w:rsidR="00B1028B">
        <w:rPr>
          <w:rFonts w:ascii="Times New Roman" w:hAnsi="Times New Roman" w:cs="Times New Roman"/>
          <w:color w:val="000000"/>
          <w:sz w:val="24"/>
          <w:szCs w:val="24"/>
          <w:lang w:val="el-GR"/>
        </w:rPr>
        <w:t>ἀγὼν</w:t>
      </w:r>
      <w:r w:rsidR="00B1028B" w:rsidRPr="00B1028B">
        <w:rPr>
          <w:rFonts w:ascii="Times New Roman" w:hAnsi="Times New Roman" w:cs="Times New Roman"/>
          <w:color w:val="000000"/>
          <w:sz w:val="24"/>
          <w:szCs w:val="24"/>
        </w:rPr>
        <w:t xml:space="preserve"> </w:t>
      </w:r>
      <w:r w:rsidR="00B1028B">
        <w:rPr>
          <w:rFonts w:ascii="Times New Roman" w:hAnsi="Times New Roman" w:cs="Times New Roman"/>
          <w:color w:val="000000"/>
          <w:sz w:val="24"/>
          <w:szCs w:val="24"/>
          <w:lang w:val="el-GR"/>
        </w:rPr>
        <w:t>τιμητός</w:t>
      </w:r>
      <w:r w:rsidR="00B1028B" w:rsidRPr="00B1028B">
        <w:rPr>
          <w:rFonts w:ascii="Times New Roman" w:hAnsi="Times New Roman" w:cs="Times New Roman"/>
          <w:color w:val="000000"/>
          <w:sz w:val="24"/>
          <w:szCs w:val="24"/>
        </w:rPr>
        <w:t xml:space="preserve"> </w:t>
      </w:r>
      <w:r w:rsidR="00B1028B">
        <w:rPr>
          <w:rFonts w:ascii="Times New Roman" w:hAnsi="Times New Roman" w:cs="Times New Roman"/>
          <w:color w:val="000000"/>
          <w:sz w:val="24"/>
          <w:szCs w:val="24"/>
        </w:rPr>
        <w:t>however it is difficult to see how a monetary value can be fixed to such damage. As argued by Carey, it “is easier to suppose that E[</w:t>
      </w:r>
      <w:proofErr w:type="spellStart"/>
      <w:r w:rsidR="00B1028B">
        <w:rPr>
          <w:rFonts w:ascii="Times New Roman" w:hAnsi="Times New Roman" w:cs="Times New Roman"/>
          <w:color w:val="000000"/>
          <w:sz w:val="24"/>
          <w:szCs w:val="24"/>
        </w:rPr>
        <w:t>uphiletus</w:t>
      </w:r>
      <w:proofErr w:type="spellEnd"/>
      <w:r w:rsidR="00B1028B">
        <w:rPr>
          <w:rFonts w:ascii="Times New Roman" w:hAnsi="Times New Roman" w:cs="Times New Roman"/>
          <w:color w:val="000000"/>
          <w:sz w:val="24"/>
          <w:szCs w:val="24"/>
        </w:rPr>
        <w:t xml:space="preserve">] means ‘double the penalty for the violation of a slave’, since </w:t>
      </w:r>
      <w:r w:rsidR="00B1028B">
        <w:rPr>
          <w:rFonts w:ascii="Times New Roman" w:hAnsi="Times New Roman" w:cs="Times New Roman"/>
          <w:color w:val="000000"/>
          <w:sz w:val="24"/>
          <w:szCs w:val="24"/>
          <w:lang w:val="el-GR"/>
        </w:rPr>
        <w:t>ἐλεύυερον</w:t>
      </w:r>
      <w:r w:rsidR="00B1028B" w:rsidRPr="00B1028B">
        <w:rPr>
          <w:rFonts w:ascii="Times New Roman" w:hAnsi="Times New Roman" w:cs="Times New Roman"/>
          <w:color w:val="000000"/>
          <w:sz w:val="24"/>
          <w:szCs w:val="24"/>
        </w:rPr>
        <w:t xml:space="preserve"> </w:t>
      </w:r>
      <w:r w:rsidR="00B1028B">
        <w:rPr>
          <w:rFonts w:ascii="Times New Roman" w:hAnsi="Times New Roman" w:cs="Times New Roman"/>
          <w:color w:val="000000"/>
          <w:sz w:val="24"/>
          <w:szCs w:val="24"/>
        </w:rPr>
        <w:t>suggests that a distinction is being made between rape of slaves and rape of free persons.”</w:t>
      </w:r>
      <w:r w:rsidR="00B1028B">
        <w:rPr>
          <w:rStyle w:val="FootnoteReference"/>
          <w:rFonts w:ascii="Times New Roman" w:hAnsi="Times New Roman" w:cs="Times New Roman"/>
          <w:color w:val="000000"/>
          <w:sz w:val="24"/>
          <w:szCs w:val="24"/>
        </w:rPr>
        <w:footnoteReference w:id="7"/>
      </w:r>
    </w:p>
    <w:p w14:paraId="28CB969C" w14:textId="79FDE909" w:rsidR="00D51476" w:rsidRDefault="00D51476" w:rsidP="00BF7D16">
      <w:pPr>
        <w:rPr>
          <w:rFonts w:ascii="Times New Roman" w:hAnsi="Times New Roman" w:cs="Times New Roman"/>
          <w:color w:val="000000"/>
          <w:sz w:val="24"/>
          <w:szCs w:val="24"/>
        </w:rPr>
      </w:pPr>
      <w:r>
        <w:rPr>
          <w:rFonts w:ascii="Times New Roman" w:hAnsi="Times New Roman" w:cs="Times New Roman"/>
          <w:b/>
          <w:color w:val="000000"/>
          <w:sz w:val="24"/>
          <w:szCs w:val="24"/>
          <w:lang w:val="el-GR"/>
        </w:rPr>
        <w:t>γυναῖκα</w:t>
      </w:r>
      <w:r w:rsidRPr="00D51476">
        <w:rPr>
          <w:rFonts w:ascii="Times New Roman" w:hAnsi="Times New Roman" w:cs="Times New Roman"/>
          <w:b/>
          <w:color w:val="000000"/>
          <w:sz w:val="24"/>
          <w:szCs w:val="24"/>
        </w:rPr>
        <w:t xml:space="preserve">, </w:t>
      </w:r>
      <w:r w:rsidRPr="00D51476">
        <w:rPr>
          <w:rFonts w:ascii="Times New Roman" w:hAnsi="Times New Roman" w:cs="Times New Roman"/>
          <w:b/>
          <w:color w:val="000000"/>
          <w:sz w:val="24"/>
          <w:szCs w:val="24"/>
          <w:lang w:val="el-GR"/>
        </w:rPr>
        <w:t>ἐφ</w:t>
      </w:r>
      <w:r w:rsidRPr="00D51476">
        <w:rPr>
          <w:rFonts w:ascii="Times New Roman" w:hAnsi="Times New Roman" w:cs="Times New Roman"/>
          <w:b/>
          <w:color w:val="000000"/>
          <w:sz w:val="24"/>
          <w:szCs w:val="24"/>
        </w:rPr>
        <w:t xml:space="preserve">’ </w:t>
      </w:r>
      <w:r w:rsidRPr="00D51476">
        <w:rPr>
          <w:rFonts w:ascii="Times New Roman" w:hAnsi="Times New Roman" w:cs="Times New Roman"/>
          <w:b/>
          <w:color w:val="000000"/>
          <w:sz w:val="24"/>
          <w:szCs w:val="24"/>
          <w:lang w:val="el-GR"/>
        </w:rPr>
        <w:t>αἶσπερ</w:t>
      </w:r>
      <w:r w:rsidR="001129D9">
        <w:rPr>
          <w:rFonts w:ascii="Times New Roman" w:hAnsi="Times New Roman" w:cs="Times New Roman"/>
          <w:b/>
          <w:color w:val="000000"/>
          <w:sz w:val="24"/>
          <w:szCs w:val="24"/>
        </w:rPr>
        <w:t>…</w:t>
      </w:r>
      <w:r>
        <w:rPr>
          <w:rFonts w:ascii="Times New Roman" w:hAnsi="Times New Roman" w:cs="Times New Roman"/>
          <w:b/>
          <w:color w:val="000000"/>
          <w:sz w:val="24"/>
          <w:szCs w:val="24"/>
        </w:rPr>
        <w:t>:</w:t>
      </w:r>
      <w:r w:rsidRPr="00D51476">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‘a woman, by which case/in the particular category.’</w:t>
      </w:r>
      <w:r w:rsidR="001129D9">
        <w:rPr>
          <w:rFonts w:ascii="Times New Roman" w:hAnsi="Times New Roman" w:cs="Times New Roman"/>
          <w:color w:val="000000"/>
          <w:sz w:val="24"/>
          <w:szCs w:val="24"/>
        </w:rPr>
        <w:t xml:space="preserve"> Campbell argues that -</w:t>
      </w:r>
      <w:r w:rsidR="001129D9">
        <w:rPr>
          <w:rFonts w:ascii="Times New Roman" w:hAnsi="Times New Roman" w:cs="Times New Roman"/>
          <w:color w:val="000000"/>
          <w:sz w:val="24"/>
          <w:szCs w:val="24"/>
          <w:lang w:val="el-GR"/>
        </w:rPr>
        <w:t>περ</w:t>
      </w:r>
      <w:r w:rsidR="001129D9">
        <w:rPr>
          <w:rFonts w:ascii="Times New Roman" w:hAnsi="Times New Roman" w:cs="Times New Roman"/>
          <w:color w:val="000000"/>
          <w:sz w:val="24"/>
          <w:szCs w:val="24"/>
        </w:rPr>
        <w:t xml:space="preserve"> is a switch to the plural designed to harken back to the case of </w:t>
      </w:r>
      <w:r w:rsidR="001129D9">
        <w:rPr>
          <w:rFonts w:ascii="Times New Roman" w:hAnsi="Times New Roman" w:cs="Times New Roman"/>
          <w:i/>
          <w:color w:val="000000"/>
          <w:sz w:val="24"/>
          <w:szCs w:val="24"/>
        </w:rPr>
        <w:t>seduced</w:t>
      </w:r>
      <w:r w:rsidR="001129D9">
        <w:rPr>
          <w:rFonts w:ascii="Times New Roman" w:hAnsi="Times New Roman" w:cs="Times New Roman"/>
          <w:color w:val="000000"/>
          <w:sz w:val="24"/>
          <w:szCs w:val="24"/>
        </w:rPr>
        <w:t xml:space="preserve"> women, thus “highlighting the less severe penalty dealt out to ‘rapists’</w:t>
      </w:r>
      <w:r w:rsidR="00C22086">
        <w:rPr>
          <w:rFonts w:ascii="Times New Roman" w:hAnsi="Times New Roman" w:cs="Times New Roman"/>
          <w:color w:val="000000"/>
          <w:sz w:val="24"/>
          <w:szCs w:val="24"/>
        </w:rPr>
        <w:t>”</w:t>
      </w:r>
      <w:r w:rsidR="00C22086">
        <w:rPr>
          <w:rStyle w:val="FootnoteReference"/>
          <w:rFonts w:ascii="Times New Roman" w:hAnsi="Times New Roman" w:cs="Times New Roman"/>
          <w:color w:val="000000"/>
          <w:sz w:val="24"/>
          <w:szCs w:val="24"/>
        </w:rPr>
        <w:footnoteReference w:id="8"/>
      </w:r>
      <w:r w:rsidR="00C22086">
        <w:rPr>
          <w:rFonts w:ascii="Times New Roman" w:hAnsi="Times New Roman" w:cs="Times New Roman"/>
          <w:color w:val="000000"/>
          <w:sz w:val="24"/>
          <w:szCs w:val="24"/>
        </w:rPr>
        <w:t>.</w:t>
      </w:r>
      <w:r w:rsidR="001129D9">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rPr>
        <w:t xml:space="preserve">To contextualise the category of women who are being referred to </w:t>
      </w:r>
      <w:proofErr w:type="gramStart"/>
      <w:r w:rsidR="00EB402B">
        <w:rPr>
          <w:rFonts w:ascii="Times New Roman" w:hAnsi="Times New Roman" w:cs="Times New Roman"/>
          <w:color w:val="000000"/>
          <w:sz w:val="24"/>
          <w:szCs w:val="24"/>
        </w:rPr>
        <w:t>we</w:t>
      </w:r>
      <w:proofErr w:type="gramEnd"/>
      <w:r w:rsidR="00EB402B">
        <w:rPr>
          <w:rFonts w:ascii="Times New Roman" w:hAnsi="Times New Roman" w:cs="Times New Roman"/>
          <w:color w:val="000000"/>
          <w:sz w:val="24"/>
          <w:szCs w:val="24"/>
        </w:rPr>
        <w:t xml:space="preserve"> can pick up the Greek used in 31</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ἐπὶ</w:t>
      </w:r>
      <w:r w:rsidRPr="00EB402B">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ταῖς</w:t>
      </w:r>
      <w:r w:rsidRPr="00EB402B">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γαμεταῖς</w:t>
      </w:r>
      <w:r w:rsidRPr="00EB402B">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γυναιζί</w:t>
      </w:r>
      <w:r w:rsidR="00EB402B" w:rsidRPr="00EB402B">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rPr>
        <w:t>and</w:t>
      </w:r>
      <w:r w:rsidRPr="00EB402B">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ἐπὶ</w:t>
      </w:r>
      <w:r w:rsidRPr="00EB402B">
        <w:rPr>
          <w:rFonts w:ascii="Times New Roman" w:hAnsi="Times New Roman" w:cs="Times New Roman"/>
          <w:color w:val="000000"/>
          <w:sz w:val="24"/>
          <w:szCs w:val="24"/>
        </w:rPr>
        <w:t xml:space="preserve"> </w:t>
      </w:r>
      <w:r>
        <w:rPr>
          <w:rFonts w:ascii="Times New Roman" w:hAnsi="Times New Roman" w:cs="Times New Roman"/>
          <w:color w:val="000000"/>
          <w:sz w:val="24"/>
          <w:szCs w:val="24"/>
          <w:lang w:val="el-GR"/>
        </w:rPr>
        <w:t>ταῖς</w:t>
      </w:r>
      <w:r w:rsidR="00EB402B" w:rsidRPr="00EB402B">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lang w:val="el-GR"/>
        </w:rPr>
        <w:t>παλλακαῖς</w:t>
      </w:r>
      <w:r w:rsidRPr="00EB402B">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rPr>
        <w:t xml:space="preserve">“after the </w:t>
      </w:r>
      <w:r w:rsidR="00EB402B">
        <w:rPr>
          <w:rFonts w:ascii="Times New Roman" w:hAnsi="Times New Roman" w:cs="Times New Roman"/>
          <w:color w:val="000000"/>
          <w:sz w:val="24"/>
          <w:szCs w:val="24"/>
          <w:lang w:val="el-GR"/>
        </w:rPr>
        <w:t>ἐπὶ</w:t>
      </w:r>
      <w:r w:rsidR="00EB402B" w:rsidRPr="00EB402B">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lang w:val="el-GR"/>
        </w:rPr>
        <w:t>δάμαρτι</w:t>
      </w:r>
      <w:r w:rsidR="00EB402B" w:rsidRPr="00EB402B">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rPr>
        <w:t>of the law”</w:t>
      </w:r>
      <w:r w:rsidR="00EB402B">
        <w:rPr>
          <w:rStyle w:val="FootnoteReference"/>
          <w:rFonts w:ascii="Times New Roman" w:hAnsi="Times New Roman" w:cs="Times New Roman"/>
          <w:color w:val="000000"/>
          <w:sz w:val="24"/>
          <w:szCs w:val="24"/>
        </w:rPr>
        <w:footnoteReference w:id="9"/>
      </w:r>
      <w:r w:rsidR="00EB402B">
        <w:rPr>
          <w:rFonts w:ascii="Times New Roman" w:hAnsi="Times New Roman" w:cs="Times New Roman"/>
          <w:color w:val="000000"/>
          <w:sz w:val="24"/>
          <w:szCs w:val="24"/>
        </w:rPr>
        <w:t>. T</w:t>
      </w:r>
      <w:r w:rsidR="007814F1">
        <w:rPr>
          <w:rFonts w:ascii="Times New Roman" w:hAnsi="Times New Roman" w:cs="Times New Roman"/>
          <w:color w:val="000000"/>
          <w:sz w:val="24"/>
          <w:szCs w:val="24"/>
        </w:rPr>
        <w:t>herefore t</w:t>
      </w:r>
      <w:r w:rsidR="00EB402B">
        <w:rPr>
          <w:rFonts w:ascii="Times New Roman" w:hAnsi="Times New Roman" w:cs="Times New Roman"/>
          <w:color w:val="000000"/>
          <w:sz w:val="24"/>
          <w:szCs w:val="24"/>
        </w:rPr>
        <w:t xml:space="preserve">hese women are those who fall under the category stipulated by Demosthenes as women </w:t>
      </w:r>
      <w:r w:rsidR="007814F1">
        <w:rPr>
          <w:rFonts w:ascii="Times New Roman" w:hAnsi="Times New Roman" w:cs="Times New Roman"/>
          <w:color w:val="000000"/>
          <w:sz w:val="24"/>
          <w:szCs w:val="24"/>
        </w:rPr>
        <w:t>whose lovers, should you kill them</w:t>
      </w:r>
      <w:r w:rsidR="00EB402B">
        <w:rPr>
          <w:rFonts w:ascii="Times New Roman" w:hAnsi="Times New Roman" w:cs="Times New Roman"/>
          <w:color w:val="000000"/>
          <w:sz w:val="24"/>
          <w:szCs w:val="24"/>
        </w:rPr>
        <w:t xml:space="preserve"> caught in the act</w:t>
      </w:r>
      <w:r w:rsidR="007814F1">
        <w:rPr>
          <w:rFonts w:ascii="Times New Roman" w:hAnsi="Times New Roman" w:cs="Times New Roman"/>
          <w:color w:val="000000"/>
          <w:sz w:val="24"/>
          <w:szCs w:val="24"/>
        </w:rPr>
        <w:t xml:space="preserve"> of adultery, you would be free from wrongdoing</w:t>
      </w:r>
      <w:r w:rsidR="00EB402B">
        <w:rPr>
          <w:rFonts w:ascii="Times New Roman" w:hAnsi="Times New Roman" w:cs="Times New Roman"/>
          <w:color w:val="000000"/>
          <w:sz w:val="24"/>
          <w:szCs w:val="24"/>
        </w:rPr>
        <w:t xml:space="preserve">: “If a man kill another unintentionally…in intercourse with his wife, or mother, or sister, or daughter, or concubine kept for </w:t>
      </w:r>
      <w:r w:rsidR="007814F1">
        <w:rPr>
          <w:rFonts w:ascii="Times New Roman" w:hAnsi="Times New Roman" w:cs="Times New Roman"/>
          <w:color w:val="000000"/>
          <w:sz w:val="24"/>
          <w:szCs w:val="24"/>
        </w:rPr>
        <w:t>procreation of legitimate children, he shall not go into exile as a man slayer on that account.”</w:t>
      </w:r>
      <w:r w:rsidR="007814F1">
        <w:rPr>
          <w:rStyle w:val="FootnoteReference"/>
          <w:rFonts w:ascii="Times New Roman" w:hAnsi="Times New Roman" w:cs="Times New Roman"/>
          <w:color w:val="000000"/>
          <w:sz w:val="24"/>
          <w:szCs w:val="24"/>
        </w:rPr>
        <w:footnoteReference w:id="10"/>
      </w:r>
      <w:r w:rsidR="007814F1">
        <w:rPr>
          <w:rFonts w:ascii="Times New Roman" w:hAnsi="Times New Roman" w:cs="Times New Roman"/>
          <w:color w:val="000000"/>
          <w:sz w:val="24"/>
          <w:szCs w:val="24"/>
        </w:rPr>
        <w:t xml:space="preserve"> </w:t>
      </w:r>
      <w:r w:rsidR="00EB402B">
        <w:rPr>
          <w:rFonts w:ascii="Times New Roman" w:hAnsi="Times New Roman" w:cs="Times New Roman"/>
          <w:color w:val="000000"/>
          <w:sz w:val="24"/>
          <w:szCs w:val="24"/>
        </w:rPr>
        <w:t xml:space="preserve"> </w:t>
      </w:r>
    </w:p>
    <w:p w14:paraId="1CE1EF14" w14:textId="21941155" w:rsidR="007D1A56" w:rsidRDefault="007D1A56" w:rsidP="00BF7D16">
      <w:pPr>
        <w:rPr>
          <w:rFonts w:ascii="Times New Roman" w:hAnsi="Times New Roman" w:cs="Times New Roman"/>
          <w:color w:val="000000"/>
          <w:szCs w:val="24"/>
        </w:rPr>
      </w:pPr>
      <w:r>
        <w:rPr>
          <w:rFonts w:ascii="Times New Roman" w:hAnsi="Times New Roman" w:cs="Times New Roman"/>
          <w:b/>
          <w:color w:val="000000"/>
          <w:sz w:val="24"/>
          <w:szCs w:val="24"/>
          <w:lang w:val="el-GR"/>
        </w:rPr>
        <w:t>ἐν</w:t>
      </w:r>
      <w:r w:rsidRPr="007D1A56">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τοῖς</w:t>
      </w:r>
      <w:r w:rsidRPr="007D1A56">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αὐτοῖς</w:t>
      </w:r>
      <w:r w:rsidRPr="007D1A56">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ἐνέχεσθαι</w:t>
      </w:r>
      <w:r>
        <w:rPr>
          <w:rFonts w:ascii="Times New Roman" w:hAnsi="Times New Roman" w:cs="Times New Roman"/>
          <w:b/>
          <w:color w:val="000000"/>
          <w:sz w:val="24"/>
          <w:szCs w:val="24"/>
        </w:rPr>
        <w:t xml:space="preserve">: </w:t>
      </w:r>
      <w:r w:rsidR="00593B61">
        <w:rPr>
          <w:rFonts w:ascii="Times New Roman" w:hAnsi="Times New Roman" w:cs="Times New Roman"/>
          <w:color w:val="000000"/>
          <w:szCs w:val="24"/>
        </w:rPr>
        <w:t>a direct translation could be given as ‘to be held in the same thing/to be subject to…’ as suggested by Campbell</w:t>
      </w:r>
      <w:r w:rsidR="00593B61">
        <w:rPr>
          <w:rStyle w:val="FootnoteReference"/>
          <w:rFonts w:ascii="Times New Roman" w:hAnsi="Times New Roman" w:cs="Times New Roman"/>
          <w:color w:val="000000"/>
          <w:szCs w:val="24"/>
        </w:rPr>
        <w:footnoteReference w:id="11"/>
      </w:r>
      <w:r w:rsidR="00593B61">
        <w:rPr>
          <w:rFonts w:ascii="Times New Roman" w:hAnsi="Times New Roman" w:cs="Times New Roman"/>
          <w:color w:val="000000"/>
          <w:szCs w:val="24"/>
        </w:rPr>
        <w:t xml:space="preserve">, however, here it </w:t>
      </w:r>
      <w:r>
        <w:rPr>
          <w:rFonts w:ascii="Times New Roman" w:hAnsi="Times New Roman" w:cs="Times New Roman"/>
          <w:color w:val="000000"/>
          <w:sz w:val="24"/>
          <w:szCs w:val="24"/>
        </w:rPr>
        <w:t xml:space="preserve">translated </w:t>
      </w:r>
      <w:r w:rsidR="00593B61">
        <w:rPr>
          <w:rFonts w:ascii="Times New Roman" w:hAnsi="Times New Roman" w:cs="Times New Roman"/>
          <w:color w:val="000000"/>
          <w:sz w:val="24"/>
          <w:szCs w:val="24"/>
        </w:rPr>
        <w:t xml:space="preserve">in the context of this text </w:t>
      </w:r>
      <w:r>
        <w:rPr>
          <w:rFonts w:ascii="Times New Roman" w:hAnsi="Times New Roman" w:cs="Times New Roman"/>
          <w:color w:val="000000"/>
          <w:sz w:val="24"/>
          <w:szCs w:val="24"/>
        </w:rPr>
        <w:t>as ‘</w:t>
      </w:r>
      <w:r w:rsidRPr="00D86748">
        <w:rPr>
          <w:rFonts w:ascii="Times New Roman" w:hAnsi="Times New Roman" w:cs="Times New Roman"/>
          <w:color w:val="000000"/>
          <w:szCs w:val="24"/>
        </w:rPr>
        <w:t>he is subject to the self-same penalty</w:t>
      </w:r>
      <w:r>
        <w:rPr>
          <w:rFonts w:ascii="Times New Roman" w:hAnsi="Times New Roman" w:cs="Times New Roman"/>
          <w:color w:val="000000"/>
          <w:szCs w:val="24"/>
        </w:rPr>
        <w:t>’ which expresses a similar sentiment as Todd’s translation</w:t>
      </w:r>
      <w:r w:rsidR="00593B61">
        <w:rPr>
          <w:rFonts w:ascii="Times New Roman" w:hAnsi="Times New Roman" w:cs="Times New Roman"/>
          <w:color w:val="000000"/>
          <w:szCs w:val="24"/>
        </w:rPr>
        <w:t>.</w:t>
      </w:r>
      <w:r w:rsidR="00593B61">
        <w:rPr>
          <w:rStyle w:val="FootnoteReference"/>
          <w:rFonts w:ascii="Times New Roman" w:hAnsi="Times New Roman" w:cs="Times New Roman"/>
          <w:color w:val="000000"/>
          <w:szCs w:val="24"/>
        </w:rPr>
        <w:footnoteReference w:id="12"/>
      </w:r>
    </w:p>
    <w:p w14:paraId="79A3F832" w14:textId="77777777" w:rsidR="00CD1CA8" w:rsidRDefault="00593B61" w:rsidP="00BF7D16">
      <w:pPr>
        <w:rPr>
          <w:rFonts w:ascii="Times New Roman" w:hAnsi="Times New Roman" w:cs="Times New Roman"/>
          <w:color w:val="000000"/>
          <w:szCs w:val="24"/>
        </w:rPr>
      </w:pPr>
      <w:r>
        <w:rPr>
          <w:rFonts w:ascii="Times New Roman" w:hAnsi="Times New Roman" w:cs="Times New Roman"/>
          <w:b/>
          <w:color w:val="000000"/>
          <w:szCs w:val="24"/>
          <w:lang w:val="el-GR"/>
        </w:rPr>
        <w:t>οὕτως</w:t>
      </w:r>
      <w:r w:rsidRPr="00593B61">
        <w:rPr>
          <w:rFonts w:ascii="Times New Roman" w:hAnsi="Times New Roman" w:cs="Times New Roman"/>
          <w:b/>
          <w:color w:val="000000"/>
          <w:szCs w:val="24"/>
        </w:rPr>
        <w:t>...</w:t>
      </w:r>
      <w:r>
        <w:rPr>
          <w:rFonts w:ascii="Times New Roman" w:hAnsi="Times New Roman" w:cs="Times New Roman"/>
          <w:b/>
          <w:color w:val="000000"/>
          <w:szCs w:val="24"/>
          <w:lang w:val="el-GR"/>
        </w:rPr>
        <w:t>βλάβην</w:t>
      </w:r>
      <w:r>
        <w:rPr>
          <w:rFonts w:ascii="Times New Roman" w:hAnsi="Times New Roman" w:cs="Times New Roman"/>
          <w:b/>
          <w:color w:val="000000"/>
          <w:szCs w:val="24"/>
        </w:rPr>
        <w:t xml:space="preserve">: </w:t>
      </w:r>
      <w:r>
        <w:rPr>
          <w:rFonts w:ascii="Times New Roman" w:hAnsi="Times New Roman" w:cs="Times New Roman"/>
          <w:color w:val="000000"/>
          <w:szCs w:val="24"/>
        </w:rPr>
        <w:t xml:space="preserve">the speaker seems to be distorting the presentation of the laws as a single coherent policy, despite the legislations being enacted at different periods, in order to emphasis his point that rape as a criminal act </w:t>
      </w:r>
      <w:r w:rsidR="00CD1CA8">
        <w:rPr>
          <w:rFonts w:ascii="Times New Roman" w:hAnsi="Times New Roman" w:cs="Times New Roman"/>
          <w:color w:val="000000"/>
          <w:szCs w:val="24"/>
        </w:rPr>
        <w:t>has a lesser penalty than adultery.</w:t>
      </w:r>
    </w:p>
    <w:p w14:paraId="4869A958" w14:textId="5EA8127B" w:rsidR="00593B61" w:rsidRPr="00593B61" w:rsidRDefault="00F239D8" w:rsidP="00BF7D16">
      <w:pPr>
        <w:rPr>
          <w:rFonts w:ascii="Times New Roman" w:hAnsi="Times New Roman" w:cs="Times New Roman"/>
          <w:color w:val="000000"/>
          <w:sz w:val="24"/>
          <w:szCs w:val="24"/>
        </w:rPr>
      </w:pPr>
      <w:r>
        <w:rPr>
          <w:rFonts w:ascii="Times New Roman" w:hAnsi="Times New Roman" w:cs="Times New Roman"/>
          <w:b/>
          <w:color w:val="000000"/>
          <w:szCs w:val="24"/>
          <w:lang w:val="el-GR"/>
        </w:rPr>
        <w:t>τ</w:t>
      </w:r>
      <w:r w:rsidR="00CD1CA8">
        <w:rPr>
          <w:rFonts w:ascii="Times New Roman" w:hAnsi="Times New Roman" w:cs="Times New Roman"/>
          <w:b/>
          <w:color w:val="000000"/>
          <w:szCs w:val="24"/>
          <w:lang w:val="el-GR"/>
        </w:rPr>
        <w:t>οὺς</w:t>
      </w:r>
      <w:r w:rsidR="00CD1CA8" w:rsidRPr="00CD1CA8">
        <w:rPr>
          <w:rFonts w:ascii="Times New Roman" w:hAnsi="Times New Roman" w:cs="Times New Roman"/>
          <w:b/>
          <w:color w:val="000000"/>
          <w:szCs w:val="24"/>
        </w:rPr>
        <w:t xml:space="preserve"> </w:t>
      </w:r>
      <w:r w:rsidR="00CD1CA8">
        <w:rPr>
          <w:rFonts w:ascii="Times New Roman" w:hAnsi="Times New Roman" w:cs="Times New Roman"/>
          <w:b/>
          <w:color w:val="000000"/>
          <w:szCs w:val="24"/>
          <w:lang w:val="el-GR"/>
        </w:rPr>
        <w:t>βιαζομένους</w:t>
      </w:r>
      <w:r w:rsidR="00CD1CA8" w:rsidRPr="00CD1CA8">
        <w:rPr>
          <w:rFonts w:ascii="Times New Roman" w:hAnsi="Times New Roman" w:cs="Times New Roman"/>
          <w:b/>
          <w:color w:val="000000"/>
          <w:szCs w:val="24"/>
        </w:rPr>
        <w:t>...</w:t>
      </w:r>
      <w:r w:rsidR="00CD1CA8">
        <w:rPr>
          <w:rFonts w:ascii="Times New Roman" w:hAnsi="Times New Roman" w:cs="Times New Roman"/>
          <w:b/>
          <w:color w:val="000000"/>
          <w:szCs w:val="24"/>
          <w:lang w:val="el-GR"/>
        </w:rPr>
        <w:t>τοὺς</w:t>
      </w:r>
      <w:r w:rsidR="00CD1CA8" w:rsidRPr="00CD1CA8">
        <w:rPr>
          <w:rFonts w:ascii="Times New Roman" w:hAnsi="Times New Roman" w:cs="Times New Roman"/>
          <w:b/>
          <w:color w:val="000000"/>
          <w:szCs w:val="24"/>
        </w:rPr>
        <w:t xml:space="preserve"> </w:t>
      </w:r>
      <w:r w:rsidR="00CD1CA8">
        <w:rPr>
          <w:rFonts w:ascii="Times New Roman" w:hAnsi="Times New Roman" w:cs="Times New Roman"/>
          <w:b/>
          <w:color w:val="000000"/>
          <w:szCs w:val="24"/>
          <w:lang w:val="el-GR"/>
        </w:rPr>
        <w:t>πείθοντας</w:t>
      </w:r>
      <w:r w:rsidR="00CD1CA8">
        <w:rPr>
          <w:rFonts w:ascii="Times New Roman" w:hAnsi="Times New Roman" w:cs="Times New Roman"/>
          <w:b/>
          <w:color w:val="000000"/>
          <w:szCs w:val="24"/>
        </w:rPr>
        <w:t xml:space="preserve">: </w:t>
      </w:r>
      <w:r w:rsidR="00CD1CA8">
        <w:rPr>
          <w:rFonts w:ascii="Times New Roman" w:hAnsi="Times New Roman" w:cs="Times New Roman"/>
          <w:color w:val="000000"/>
          <w:szCs w:val="24"/>
        </w:rPr>
        <w:t xml:space="preserve">Here we are setting up a comparison between those who use force and those who use persuasion in general context. This is important as the following clause relates </w:t>
      </w:r>
      <w:r w:rsidR="0035492D">
        <w:rPr>
          <w:rFonts w:ascii="Times New Roman" w:hAnsi="Times New Roman" w:cs="Times New Roman"/>
          <w:color w:val="000000"/>
          <w:szCs w:val="24"/>
        </w:rPr>
        <w:t xml:space="preserve">to </w:t>
      </w:r>
      <w:r w:rsidR="00CD1CA8">
        <w:rPr>
          <w:rFonts w:ascii="Times New Roman" w:hAnsi="Times New Roman" w:cs="Times New Roman"/>
          <w:color w:val="000000"/>
          <w:szCs w:val="24"/>
        </w:rPr>
        <w:t>the demonstrative pronoun</w:t>
      </w:r>
      <w:r w:rsidR="0035492D">
        <w:rPr>
          <w:rFonts w:ascii="Times New Roman" w:hAnsi="Times New Roman" w:cs="Times New Roman"/>
          <w:color w:val="000000"/>
          <w:szCs w:val="24"/>
        </w:rPr>
        <w:t xml:space="preserve"> making </w:t>
      </w:r>
      <w:r w:rsidR="0035492D">
        <w:rPr>
          <w:rFonts w:ascii="Times New Roman" w:hAnsi="Times New Roman" w:cs="Times New Roman"/>
          <w:color w:val="000000"/>
          <w:szCs w:val="24"/>
          <w:lang w:val="el-GR"/>
        </w:rPr>
        <w:t>τῶν</w:t>
      </w:r>
      <w:r w:rsidR="0035492D" w:rsidRPr="0035492D">
        <w:rPr>
          <w:rFonts w:ascii="Times New Roman" w:hAnsi="Times New Roman" w:cs="Times New Roman"/>
          <w:color w:val="000000"/>
          <w:szCs w:val="24"/>
        </w:rPr>
        <w:t xml:space="preserve"> </w:t>
      </w:r>
      <w:r w:rsidR="0035492D">
        <w:rPr>
          <w:rFonts w:ascii="Times New Roman" w:hAnsi="Times New Roman" w:cs="Times New Roman"/>
          <w:color w:val="000000"/>
          <w:szCs w:val="24"/>
        </w:rPr>
        <w:t xml:space="preserve">the ‘seducers’ and </w:t>
      </w:r>
      <w:r w:rsidR="0035492D">
        <w:rPr>
          <w:rFonts w:ascii="Times New Roman" w:hAnsi="Times New Roman" w:cs="Times New Roman"/>
          <w:color w:val="000000"/>
          <w:szCs w:val="24"/>
          <w:lang w:val="el-GR"/>
        </w:rPr>
        <w:t>τοῖς</w:t>
      </w:r>
      <w:r w:rsidR="0035492D">
        <w:rPr>
          <w:rFonts w:ascii="Times New Roman" w:hAnsi="Times New Roman" w:cs="Times New Roman"/>
          <w:color w:val="000000"/>
          <w:szCs w:val="24"/>
        </w:rPr>
        <w:t xml:space="preserve"> the ‘rapists</w:t>
      </w:r>
      <w:r w:rsidR="00544145">
        <w:rPr>
          <w:rFonts w:ascii="Times New Roman" w:hAnsi="Times New Roman" w:cs="Times New Roman"/>
          <w:color w:val="000000"/>
          <w:szCs w:val="24"/>
        </w:rPr>
        <w:t>.</w:t>
      </w:r>
      <w:r w:rsidR="0035492D">
        <w:rPr>
          <w:rFonts w:ascii="Times New Roman" w:hAnsi="Times New Roman" w:cs="Times New Roman"/>
          <w:color w:val="000000"/>
          <w:szCs w:val="24"/>
        </w:rPr>
        <w:t>’</w:t>
      </w:r>
      <w:r w:rsidR="0035492D">
        <w:rPr>
          <w:rStyle w:val="FootnoteReference"/>
          <w:rFonts w:ascii="Times New Roman" w:hAnsi="Times New Roman" w:cs="Times New Roman"/>
          <w:color w:val="000000"/>
          <w:szCs w:val="24"/>
        </w:rPr>
        <w:footnoteReference w:id="13"/>
      </w:r>
      <w:r w:rsidR="0035492D" w:rsidRPr="0035492D">
        <w:rPr>
          <w:rFonts w:ascii="Times New Roman" w:hAnsi="Times New Roman" w:cs="Times New Roman"/>
          <w:color w:val="000000"/>
          <w:szCs w:val="24"/>
        </w:rPr>
        <w:t xml:space="preserve"> </w:t>
      </w:r>
      <w:r w:rsidR="00CD1CA8">
        <w:rPr>
          <w:rFonts w:ascii="Times New Roman" w:hAnsi="Times New Roman" w:cs="Times New Roman"/>
          <w:color w:val="000000"/>
          <w:szCs w:val="24"/>
        </w:rPr>
        <w:t xml:space="preserve">  </w:t>
      </w:r>
      <w:r w:rsidR="00593B61">
        <w:rPr>
          <w:rFonts w:ascii="Times New Roman" w:hAnsi="Times New Roman" w:cs="Times New Roman"/>
          <w:color w:val="000000"/>
          <w:szCs w:val="24"/>
        </w:rPr>
        <w:t xml:space="preserve">  </w:t>
      </w:r>
    </w:p>
    <w:p w14:paraId="72A3E46A" w14:textId="6BF508D4" w:rsidR="0035492D" w:rsidRPr="00ED2319" w:rsidRDefault="00F239D8">
      <w:pPr>
        <w:rPr>
          <w:rFonts w:ascii="Times New Roman" w:hAnsi="Times New Roman" w:cs="Times New Roman"/>
          <w:b/>
          <w:color w:val="000000"/>
          <w:sz w:val="24"/>
          <w:szCs w:val="24"/>
        </w:rPr>
      </w:pPr>
      <w:r>
        <w:rPr>
          <w:rFonts w:ascii="Times New Roman" w:hAnsi="Times New Roman" w:cs="Times New Roman"/>
          <w:b/>
          <w:color w:val="000000"/>
          <w:sz w:val="24"/>
          <w:szCs w:val="24"/>
          <w:lang w:val="el-GR"/>
        </w:rPr>
        <w:t>ὑπὸ</w:t>
      </w:r>
      <w:r w:rsidRPr="00F239D8">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τῶν</w:t>
      </w:r>
      <w:r w:rsidR="00ED2319">
        <w:rPr>
          <w:rFonts w:ascii="Times New Roman" w:hAnsi="Times New Roman" w:cs="Times New Roman"/>
          <w:b/>
          <w:color w:val="000000"/>
          <w:sz w:val="24"/>
          <w:szCs w:val="24"/>
        </w:rPr>
        <w:t xml:space="preserve"> </w:t>
      </w:r>
      <w:r w:rsidR="00ED2319">
        <w:rPr>
          <w:rFonts w:ascii="Times New Roman" w:hAnsi="Times New Roman" w:cs="Times New Roman"/>
          <w:b/>
          <w:color w:val="000000"/>
          <w:sz w:val="24"/>
          <w:szCs w:val="24"/>
          <w:lang w:val="el-GR"/>
        </w:rPr>
        <w:t>βιασθέντων</w:t>
      </w:r>
      <w:r w:rsidR="00ED2319" w:rsidRPr="00ED2319">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μισεῖσθαι</w:t>
      </w:r>
      <w:r>
        <w:rPr>
          <w:rFonts w:ascii="Times New Roman" w:hAnsi="Times New Roman" w:cs="Times New Roman"/>
          <w:b/>
          <w:color w:val="000000"/>
          <w:sz w:val="24"/>
          <w:szCs w:val="24"/>
        </w:rPr>
        <w:t>: ‘</w:t>
      </w:r>
      <w:r w:rsidRPr="00D86748">
        <w:rPr>
          <w:rFonts w:ascii="Times New Roman" w:hAnsi="Times New Roman" w:cs="Times New Roman"/>
          <w:color w:val="000000"/>
          <w:szCs w:val="24"/>
        </w:rPr>
        <w:t>are hated by those upon whom force has been used</w:t>
      </w:r>
      <w:r w:rsidR="00ED2319">
        <w:rPr>
          <w:rFonts w:ascii="Times New Roman" w:hAnsi="Times New Roman" w:cs="Times New Roman"/>
          <w:color w:val="000000"/>
          <w:szCs w:val="24"/>
        </w:rPr>
        <w:t xml:space="preserve">.’ Here Lysias uses the aorist rather than the present participle which would also have worked. Todd argues that this was a deliberate decision to avoid the ambiguity that the present participle could have created </w:t>
      </w:r>
      <w:r w:rsidR="00ED2319">
        <w:rPr>
          <w:rFonts w:ascii="Times New Roman" w:hAnsi="Times New Roman" w:cs="Times New Roman"/>
          <w:color w:val="000000"/>
          <w:szCs w:val="24"/>
        </w:rPr>
        <w:lastRenderedPageBreak/>
        <w:t>as the aorist can only be passive, whereas the present (</w:t>
      </w:r>
      <w:r w:rsidR="00ED2319">
        <w:rPr>
          <w:rFonts w:ascii="Times New Roman" w:hAnsi="Times New Roman" w:cs="Times New Roman"/>
          <w:color w:val="000000"/>
          <w:szCs w:val="24"/>
          <w:lang w:val="el-GR"/>
        </w:rPr>
        <w:t>βιαζομένων</w:t>
      </w:r>
      <w:r w:rsidR="00ED2319">
        <w:rPr>
          <w:rFonts w:ascii="Times New Roman" w:hAnsi="Times New Roman" w:cs="Times New Roman"/>
          <w:color w:val="000000"/>
          <w:szCs w:val="24"/>
        </w:rPr>
        <w:t>)</w:t>
      </w:r>
      <w:r w:rsidR="00ED2319" w:rsidRPr="00ED2319">
        <w:rPr>
          <w:rFonts w:ascii="Times New Roman" w:hAnsi="Times New Roman" w:cs="Times New Roman"/>
          <w:color w:val="000000"/>
          <w:szCs w:val="24"/>
        </w:rPr>
        <w:t xml:space="preserve"> </w:t>
      </w:r>
      <w:r w:rsidR="00ED2319">
        <w:rPr>
          <w:rFonts w:ascii="Times New Roman" w:hAnsi="Times New Roman" w:cs="Times New Roman"/>
          <w:color w:val="000000"/>
          <w:szCs w:val="24"/>
        </w:rPr>
        <w:t xml:space="preserve">might have been middle as is </w:t>
      </w:r>
      <w:r w:rsidR="00ED2319">
        <w:rPr>
          <w:rFonts w:ascii="Times New Roman" w:hAnsi="Times New Roman" w:cs="Times New Roman"/>
          <w:color w:val="000000"/>
          <w:szCs w:val="24"/>
          <w:lang w:val="el-GR"/>
        </w:rPr>
        <w:t>βιαζομένους</w:t>
      </w:r>
      <w:r w:rsidR="00ED2319">
        <w:rPr>
          <w:rFonts w:ascii="Times New Roman" w:hAnsi="Times New Roman" w:cs="Times New Roman"/>
          <w:color w:val="000000"/>
          <w:szCs w:val="24"/>
        </w:rPr>
        <w:t xml:space="preserve"> in 32</w:t>
      </w:r>
      <w:r w:rsidR="00ED2319" w:rsidRPr="00ED2319">
        <w:rPr>
          <w:rFonts w:ascii="Times New Roman" w:hAnsi="Times New Roman" w:cs="Times New Roman"/>
          <w:color w:val="000000"/>
          <w:szCs w:val="24"/>
        </w:rPr>
        <w:t>.</w:t>
      </w:r>
      <w:r w:rsidR="00ED2319">
        <w:rPr>
          <w:rStyle w:val="FootnoteReference"/>
          <w:rFonts w:ascii="Times New Roman" w:hAnsi="Times New Roman" w:cs="Times New Roman"/>
          <w:color w:val="000000"/>
          <w:szCs w:val="24"/>
        </w:rPr>
        <w:footnoteReference w:id="14"/>
      </w:r>
      <w:r w:rsidR="00ED2319">
        <w:rPr>
          <w:rFonts w:ascii="Times New Roman" w:hAnsi="Times New Roman" w:cs="Times New Roman"/>
          <w:color w:val="000000"/>
          <w:szCs w:val="24"/>
        </w:rPr>
        <w:t xml:space="preserve"> He also observes that the use of the masculine is unusual as we would expect the feminine (</w:t>
      </w:r>
      <w:r w:rsidR="00ED2319">
        <w:rPr>
          <w:rFonts w:ascii="Times New Roman" w:hAnsi="Times New Roman" w:cs="Times New Roman"/>
          <w:color w:val="000000"/>
          <w:szCs w:val="24"/>
          <w:lang w:val="el-GR"/>
        </w:rPr>
        <w:t>βιασθεισῶν</w:t>
      </w:r>
      <w:r w:rsidR="00ED2319">
        <w:rPr>
          <w:rFonts w:ascii="Times New Roman" w:hAnsi="Times New Roman" w:cs="Times New Roman"/>
          <w:color w:val="000000"/>
          <w:szCs w:val="24"/>
        </w:rPr>
        <w:t>) when describing the wives</w:t>
      </w:r>
      <w:r w:rsidR="00ED2319" w:rsidRPr="00ED2319">
        <w:rPr>
          <w:rFonts w:ascii="Times New Roman" w:hAnsi="Times New Roman" w:cs="Times New Roman"/>
          <w:color w:val="000000"/>
          <w:szCs w:val="24"/>
        </w:rPr>
        <w:t xml:space="preserve">, </w:t>
      </w:r>
      <w:r w:rsidR="00ED2319">
        <w:rPr>
          <w:rFonts w:ascii="Times New Roman" w:hAnsi="Times New Roman" w:cs="Times New Roman"/>
          <w:color w:val="000000"/>
          <w:szCs w:val="24"/>
        </w:rPr>
        <w:t xml:space="preserve">it is possible that this is a reference back to the </w:t>
      </w:r>
      <w:r w:rsidR="00ED2319">
        <w:rPr>
          <w:rFonts w:ascii="Times New Roman" w:hAnsi="Times New Roman" w:cs="Times New Roman"/>
          <w:color w:val="000000"/>
          <w:szCs w:val="24"/>
          <w:lang w:val="el-GR"/>
        </w:rPr>
        <w:t>παῖδα</w:t>
      </w:r>
      <w:r w:rsidR="00ED2319" w:rsidRPr="00ED2319">
        <w:rPr>
          <w:rFonts w:ascii="Times New Roman" w:hAnsi="Times New Roman" w:cs="Times New Roman"/>
          <w:color w:val="000000"/>
          <w:szCs w:val="24"/>
        </w:rPr>
        <w:t xml:space="preserve"> </w:t>
      </w:r>
      <w:r w:rsidR="00ED2319">
        <w:rPr>
          <w:rFonts w:ascii="Times New Roman" w:hAnsi="Times New Roman" w:cs="Times New Roman"/>
          <w:color w:val="000000"/>
          <w:szCs w:val="24"/>
        </w:rPr>
        <w:t xml:space="preserve">in 32, however it is more likely that it is a generalisation </w:t>
      </w:r>
      <w:proofErr w:type="spellStart"/>
      <w:r w:rsidR="00ED2319">
        <w:rPr>
          <w:rFonts w:ascii="Times New Roman" w:hAnsi="Times New Roman" w:cs="Times New Roman"/>
          <w:color w:val="000000"/>
          <w:szCs w:val="24"/>
        </w:rPr>
        <w:t>i.e</w:t>
      </w:r>
      <w:proofErr w:type="spellEnd"/>
      <w:r w:rsidR="00ED2319">
        <w:rPr>
          <w:rFonts w:ascii="Times New Roman" w:hAnsi="Times New Roman" w:cs="Times New Roman"/>
          <w:color w:val="000000"/>
          <w:szCs w:val="24"/>
        </w:rPr>
        <w:t xml:space="preserve"> ‘th</w:t>
      </w:r>
      <w:r w:rsidR="00810693">
        <w:rPr>
          <w:rFonts w:ascii="Times New Roman" w:hAnsi="Times New Roman" w:cs="Times New Roman"/>
          <w:color w:val="000000"/>
          <w:szCs w:val="24"/>
        </w:rPr>
        <w:t xml:space="preserve">e </w:t>
      </w:r>
      <w:r w:rsidR="00ED2319">
        <w:rPr>
          <w:rFonts w:ascii="Times New Roman" w:hAnsi="Times New Roman" w:cs="Times New Roman"/>
          <w:color w:val="000000"/>
          <w:szCs w:val="24"/>
        </w:rPr>
        <w:t>people who have been</w:t>
      </w:r>
      <w:r w:rsidR="00810693">
        <w:rPr>
          <w:rFonts w:ascii="Times New Roman" w:hAnsi="Times New Roman" w:cs="Times New Roman"/>
          <w:color w:val="000000"/>
          <w:szCs w:val="24"/>
        </w:rPr>
        <w:t>…</w:t>
      </w:r>
      <w:r w:rsidR="00ED2319">
        <w:rPr>
          <w:rFonts w:ascii="Times New Roman" w:hAnsi="Times New Roman" w:cs="Times New Roman"/>
          <w:color w:val="000000"/>
          <w:szCs w:val="24"/>
        </w:rPr>
        <w:t>’.</w:t>
      </w:r>
      <w:r w:rsidR="00810693">
        <w:rPr>
          <w:rStyle w:val="FootnoteReference"/>
          <w:rFonts w:ascii="Times New Roman" w:hAnsi="Times New Roman" w:cs="Times New Roman"/>
          <w:color w:val="000000"/>
          <w:szCs w:val="24"/>
        </w:rPr>
        <w:footnoteReference w:id="15"/>
      </w:r>
    </w:p>
    <w:p w14:paraId="24E53A87" w14:textId="280A01BB" w:rsidR="0035492D" w:rsidRPr="00256911" w:rsidRDefault="0035492D">
      <w:pPr>
        <w:rPr>
          <w:rFonts w:ascii="Times New Roman" w:hAnsi="Times New Roman" w:cs="Times New Roman"/>
          <w:color w:val="000000"/>
          <w:sz w:val="24"/>
          <w:szCs w:val="24"/>
        </w:rPr>
      </w:pPr>
      <w:r>
        <w:rPr>
          <w:rFonts w:ascii="Times New Roman" w:hAnsi="Times New Roman" w:cs="Times New Roman"/>
          <w:b/>
          <w:color w:val="000000"/>
          <w:sz w:val="24"/>
          <w:szCs w:val="24"/>
          <w:lang w:val="el-GR"/>
        </w:rPr>
        <w:t>τὰς</w:t>
      </w:r>
      <w:r w:rsidRPr="0035492D">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ψυχὰς</w:t>
      </w:r>
      <w:r w:rsidRPr="0035492D">
        <w:rPr>
          <w:rFonts w:ascii="Times New Roman" w:hAnsi="Times New Roman" w:cs="Times New Roman"/>
          <w:b/>
          <w:color w:val="000000"/>
          <w:sz w:val="24"/>
          <w:szCs w:val="24"/>
        </w:rPr>
        <w:t xml:space="preserve"> </w:t>
      </w:r>
      <w:r>
        <w:rPr>
          <w:rFonts w:ascii="Times New Roman" w:hAnsi="Times New Roman" w:cs="Times New Roman"/>
          <w:b/>
          <w:color w:val="000000"/>
          <w:sz w:val="24"/>
          <w:szCs w:val="24"/>
          <w:lang w:val="el-GR"/>
        </w:rPr>
        <w:t>διαφθείρειν</w:t>
      </w:r>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Although there is explicit mention of the fact that corrupting the soul being the cause for persuasion being worse than force it is the result of the offence that holds the enormity of the crime.</w:t>
      </w:r>
      <w:r w:rsidR="00256911">
        <w:rPr>
          <w:rStyle w:val="FootnoteReference"/>
          <w:rFonts w:ascii="Times New Roman" w:hAnsi="Times New Roman" w:cs="Times New Roman"/>
          <w:color w:val="000000"/>
          <w:sz w:val="24"/>
          <w:szCs w:val="24"/>
        </w:rPr>
        <w:footnoteReference w:id="16"/>
      </w:r>
      <w:r>
        <w:rPr>
          <w:rFonts w:ascii="Times New Roman" w:hAnsi="Times New Roman" w:cs="Times New Roman"/>
          <w:color w:val="000000"/>
          <w:sz w:val="24"/>
          <w:szCs w:val="24"/>
        </w:rPr>
        <w:t xml:space="preserve"> </w:t>
      </w:r>
    </w:p>
    <w:p w14:paraId="25113CD3" w14:textId="6F2AB168" w:rsidR="00403702" w:rsidRDefault="00256911">
      <w:pPr>
        <w:rPr>
          <w:rFonts w:ascii="Times New Roman" w:hAnsi="Times New Roman" w:cs="Times New Roman"/>
          <w:color w:val="000000"/>
          <w:sz w:val="24"/>
          <w:szCs w:val="24"/>
        </w:rPr>
      </w:pPr>
      <w:r>
        <w:rPr>
          <w:rFonts w:ascii="Times New Roman" w:hAnsi="Times New Roman" w:cs="Times New Roman"/>
          <w:b/>
          <w:color w:val="000000"/>
          <w:sz w:val="24"/>
          <w:szCs w:val="24"/>
          <w:lang w:val="el-GR"/>
        </w:rPr>
        <w:t>π</w:t>
      </w:r>
      <w:r w:rsidR="0035492D">
        <w:rPr>
          <w:rFonts w:ascii="Times New Roman" w:hAnsi="Times New Roman" w:cs="Times New Roman"/>
          <w:b/>
          <w:color w:val="000000"/>
          <w:sz w:val="24"/>
          <w:szCs w:val="24"/>
          <w:lang w:val="el-GR"/>
        </w:rPr>
        <w:t>ᾶ</w:t>
      </w:r>
      <w:r>
        <w:rPr>
          <w:rFonts w:ascii="Times New Roman" w:hAnsi="Times New Roman" w:cs="Times New Roman"/>
          <w:b/>
          <w:color w:val="000000"/>
          <w:sz w:val="24"/>
          <w:szCs w:val="24"/>
          <w:lang w:val="el-GR"/>
        </w:rPr>
        <w:t>σαν</w:t>
      </w:r>
      <w:r w:rsidRPr="00256911">
        <w:rPr>
          <w:rFonts w:ascii="Times New Roman" w:hAnsi="Times New Roman" w:cs="Times New Roman"/>
          <w:b/>
          <w:color w:val="000000"/>
          <w:sz w:val="24"/>
          <w:szCs w:val="24"/>
        </w:rPr>
        <w:t>...</w:t>
      </w:r>
      <w:bookmarkStart w:id="3" w:name="_Hlk7775548"/>
      <w:r>
        <w:rPr>
          <w:rFonts w:ascii="Times New Roman" w:hAnsi="Times New Roman" w:cs="Times New Roman"/>
          <w:b/>
          <w:color w:val="000000"/>
          <w:sz w:val="24"/>
          <w:szCs w:val="24"/>
          <w:lang w:val="el-GR"/>
        </w:rPr>
        <w:t>γεγοωέναι</w:t>
      </w:r>
      <w:bookmarkEnd w:id="3"/>
      <w:r>
        <w:rPr>
          <w:rFonts w:ascii="Times New Roman" w:hAnsi="Times New Roman" w:cs="Times New Roman"/>
          <w:b/>
          <w:color w:val="000000"/>
          <w:sz w:val="24"/>
          <w:szCs w:val="24"/>
        </w:rPr>
        <w:t xml:space="preserve">: </w:t>
      </w:r>
      <w:r>
        <w:rPr>
          <w:rFonts w:ascii="Times New Roman" w:hAnsi="Times New Roman" w:cs="Times New Roman"/>
          <w:color w:val="000000"/>
          <w:sz w:val="24"/>
          <w:szCs w:val="24"/>
        </w:rPr>
        <w:t xml:space="preserve">The change of subject </w:t>
      </w:r>
      <w:r>
        <w:rPr>
          <w:rFonts w:ascii="Times New Roman" w:hAnsi="Times New Roman" w:cs="Times New Roman"/>
          <w:color w:val="000000"/>
          <w:sz w:val="24"/>
          <w:szCs w:val="24"/>
          <w:lang w:val="el-GR"/>
        </w:rPr>
        <w:t>ἐπ</w:t>
      </w:r>
      <w:r w:rsidRPr="00256911">
        <w:rPr>
          <w:rFonts w:ascii="Times New Roman" w:hAnsi="Times New Roman" w:cs="Times New Roman"/>
          <w:color w:val="000000"/>
          <w:sz w:val="24"/>
          <w:szCs w:val="24"/>
        </w:rPr>
        <w:t>’</w:t>
      </w:r>
      <w:r>
        <w:rPr>
          <w:rFonts w:ascii="Times New Roman" w:hAnsi="Times New Roman" w:cs="Times New Roman"/>
          <w:color w:val="000000"/>
          <w:sz w:val="24"/>
          <w:szCs w:val="24"/>
        </w:rPr>
        <w:t xml:space="preserve"> with the dative</w:t>
      </w:r>
      <w:r w:rsidR="00403702">
        <w:rPr>
          <w:rFonts w:ascii="Times New Roman" w:hAnsi="Times New Roman" w:cs="Times New Roman"/>
          <w:color w:val="000000"/>
          <w:sz w:val="24"/>
          <w:szCs w:val="24"/>
        </w:rPr>
        <w:t xml:space="preserve"> </w:t>
      </w:r>
      <w:r w:rsidR="00403702">
        <w:rPr>
          <w:rFonts w:ascii="Times New Roman" w:hAnsi="Times New Roman" w:cs="Times New Roman"/>
          <w:color w:val="000000"/>
          <w:sz w:val="24"/>
          <w:szCs w:val="24"/>
          <w:lang w:val="el-GR"/>
        </w:rPr>
        <w:t>ἐκείνοις</w:t>
      </w:r>
      <w:r>
        <w:rPr>
          <w:rFonts w:ascii="Times New Roman" w:hAnsi="Times New Roman" w:cs="Times New Roman"/>
          <w:color w:val="000000"/>
          <w:sz w:val="24"/>
          <w:szCs w:val="24"/>
        </w:rPr>
        <w:t xml:space="preserve"> means “under the control of” demonstrating that the household is in the power of the lover not the husband.</w:t>
      </w:r>
      <w:r w:rsidR="00A46F2A">
        <w:rPr>
          <w:rStyle w:val="FootnoteReference"/>
          <w:rFonts w:ascii="Times New Roman" w:hAnsi="Times New Roman" w:cs="Times New Roman"/>
          <w:color w:val="000000"/>
          <w:sz w:val="24"/>
          <w:szCs w:val="24"/>
        </w:rPr>
        <w:footnoteReference w:id="17"/>
      </w:r>
      <w:r>
        <w:rPr>
          <w:rFonts w:ascii="Times New Roman" w:hAnsi="Times New Roman" w:cs="Times New Roman"/>
          <w:color w:val="000000"/>
          <w:sz w:val="24"/>
          <w:szCs w:val="24"/>
        </w:rPr>
        <w:t xml:space="preserve"> The use of the perfect infinitive (</w:t>
      </w:r>
      <w:proofErr w:type="spellStart"/>
      <w:r w:rsidRPr="00256911">
        <w:rPr>
          <w:rFonts w:ascii="Times New Roman" w:hAnsi="Times New Roman" w:cs="Times New Roman"/>
          <w:color w:val="000000"/>
          <w:sz w:val="24"/>
          <w:szCs w:val="24"/>
        </w:rPr>
        <w:t>γεγοωέν</w:t>
      </w:r>
      <w:proofErr w:type="spellEnd"/>
      <w:r w:rsidRPr="00256911">
        <w:rPr>
          <w:rFonts w:ascii="Times New Roman" w:hAnsi="Times New Roman" w:cs="Times New Roman"/>
          <w:color w:val="000000"/>
          <w:sz w:val="24"/>
          <w:szCs w:val="24"/>
        </w:rPr>
        <w:t>αι</w:t>
      </w:r>
      <w:r>
        <w:rPr>
          <w:rFonts w:ascii="Times New Roman" w:hAnsi="Times New Roman" w:cs="Times New Roman"/>
          <w:color w:val="000000"/>
          <w:sz w:val="24"/>
          <w:szCs w:val="24"/>
        </w:rPr>
        <w:t>)</w:t>
      </w:r>
      <w:r w:rsidRPr="00256911">
        <w:rPr>
          <w:rFonts w:ascii="Times New Roman" w:hAnsi="Times New Roman" w:cs="Times New Roman"/>
          <w:color w:val="000000"/>
          <w:sz w:val="24"/>
          <w:szCs w:val="24"/>
        </w:rPr>
        <w:t xml:space="preserve"> </w:t>
      </w:r>
      <w:r>
        <w:rPr>
          <w:rFonts w:ascii="Times New Roman" w:hAnsi="Times New Roman" w:cs="Times New Roman"/>
          <w:color w:val="000000"/>
          <w:sz w:val="24"/>
          <w:szCs w:val="24"/>
        </w:rPr>
        <w:t>demonstrates completeness, translate</w:t>
      </w:r>
      <w:r w:rsidR="00403702">
        <w:rPr>
          <w:rFonts w:ascii="Times New Roman" w:hAnsi="Times New Roman" w:cs="Times New Roman"/>
          <w:color w:val="000000"/>
          <w:sz w:val="24"/>
          <w:szCs w:val="24"/>
        </w:rPr>
        <w:t>d</w:t>
      </w:r>
      <w:r>
        <w:rPr>
          <w:rFonts w:ascii="Times New Roman" w:hAnsi="Times New Roman" w:cs="Times New Roman"/>
          <w:color w:val="000000"/>
          <w:sz w:val="24"/>
          <w:szCs w:val="24"/>
        </w:rPr>
        <w:t xml:space="preserve"> directly here as “</w:t>
      </w:r>
      <w:r w:rsidRPr="00D86748">
        <w:rPr>
          <w:rFonts w:ascii="Times New Roman" w:hAnsi="Times New Roman" w:cs="Times New Roman"/>
          <w:color w:val="000000"/>
          <w:szCs w:val="24"/>
        </w:rPr>
        <w:t xml:space="preserve">having gotten the whole house </w:t>
      </w:r>
      <w:r w:rsidRPr="00256911">
        <w:rPr>
          <w:rFonts w:ascii="Times New Roman" w:hAnsi="Times New Roman" w:cs="Times New Roman"/>
          <w:color w:val="000000"/>
          <w:szCs w:val="24"/>
          <w:u w:val="single"/>
        </w:rPr>
        <w:t>to become</w:t>
      </w:r>
      <w:r w:rsidR="00403702">
        <w:rPr>
          <w:rFonts w:ascii="Times New Roman" w:hAnsi="Times New Roman" w:cs="Times New Roman"/>
          <w:color w:val="000000"/>
          <w:szCs w:val="24"/>
          <w:u w:val="single"/>
        </w:rPr>
        <w:t xml:space="preserve"> </w:t>
      </w:r>
      <w:r w:rsidR="00403702">
        <w:rPr>
          <w:rFonts w:ascii="Times New Roman" w:hAnsi="Times New Roman" w:cs="Times New Roman"/>
          <w:color w:val="000000"/>
          <w:szCs w:val="24"/>
        </w:rPr>
        <w:t>under their control</w:t>
      </w:r>
      <w:r>
        <w:rPr>
          <w:rFonts w:ascii="Times New Roman" w:hAnsi="Times New Roman" w:cs="Times New Roman"/>
          <w:color w:val="000000"/>
          <w:sz w:val="24"/>
          <w:szCs w:val="24"/>
        </w:rPr>
        <w:t>”. Todd translates this section in a more idiomatic manner “they make other people’s wives into members of their own families rather than of their husbands”</w:t>
      </w:r>
      <w:r>
        <w:rPr>
          <w:rStyle w:val="FootnoteReference"/>
          <w:rFonts w:ascii="Times New Roman" w:hAnsi="Times New Roman" w:cs="Times New Roman"/>
          <w:color w:val="000000"/>
          <w:sz w:val="24"/>
          <w:szCs w:val="24"/>
        </w:rPr>
        <w:footnoteReference w:id="18"/>
      </w:r>
      <w:r w:rsidR="00810693">
        <w:rPr>
          <w:rFonts w:ascii="Times New Roman" w:hAnsi="Times New Roman" w:cs="Times New Roman"/>
          <w:color w:val="000000"/>
          <w:sz w:val="24"/>
          <w:szCs w:val="24"/>
        </w:rPr>
        <w:t xml:space="preserve">by putting this clause in the context of </w:t>
      </w:r>
      <w:r w:rsidR="004E3002">
        <w:rPr>
          <w:rFonts w:ascii="Times New Roman" w:hAnsi="Times New Roman" w:cs="Times New Roman"/>
          <w:color w:val="000000"/>
          <w:sz w:val="24"/>
          <w:szCs w:val="24"/>
          <w:lang w:val="el-GR"/>
        </w:rPr>
        <w:t>οἰκειοτέπας</w:t>
      </w:r>
      <w:r w:rsidR="004E3002" w:rsidRPr="004E3002">
        <w:rPr>
          <w:rFonts w:ascii="Times New Roman" w:hAnsi="Times New Roman" w:cs="Times New Roman"/>
          <w:color w:val="000000"/>
          <w:sz w:val="24"/>
          <w:szCs w:val="24"/>
        </w:rPr>
        <w:t xml:space="preserve"> </w:t>
      </w:r>
      <w:r w:rsidR="004E3002">
        <w:rPr>
          <w:rFonts w:ascii="Times New Roman" w:hAnsi="Times New Roman" w:cs="Times New Roman"/>
          <w:color w:val="000000"/>
          <w:sz w:val="24"/>
          <w:szCs w:val="24"/>
        </w:rPr>
        <w:t>being translated as “more closely related,”</w:t>
      </w:r>
      <w:r w:rsidR="004E3002">
        <w:rPr>
          <w:rStyle w:val="FootnoteReference"/>
          <w:rFonts w:ascii="Times New Roman" w:hAnsi="Times New Roman" w:cs="Times New Roman"/>
          <w:color w:val="000000"/>
          <w:sz w:val="24"/>
          <w:szCs w:val="24"/>
        </w:rPr>
        <w:footnoteReference w:id="19"/>
      </w:r>
      <w:r>
        <w:rPr>
          <w:rFonts w:ascii="Times New Roman" w:hAnsi="Times New Roman" w:cs="Times New Roman"/>
          <w:color w:val="000000"/>
          <w:sz w:val="24"/>
          <w:szCs w:val="24"/>
        </w:rPr>
        <w:t xml:space="preserve">However, </w:t>
      </w:r>
      <w:r w:rsidR="007543A9">
        <w:rPr>
          <w:rFonts w:ascii="Times New Roman" w:hAnsi="Times New Roman" w:cs="Times New Roman"/>
          <w:color w:val="000000"/>
          <w:sz w:val="24"/>
          <w:szCs w:val="24"/>
        </w:rPr>
        <w:t xml:space="preserve">I believe that although it is very well presented, Todd’s translation fails to convey the true emotion of the Greek as he does not show the emphasis which the Greek puts on the fact that the household/family </w:t>
      </w:r>
      <w:r w:rsidR="007543A9" w:rsidRPr="007543A9">
        <w:rPr>
          <w:rFonts w:ascii="Times New Roman" w:hAnsi="Times New Roman" w:cs="Times New Roman"/>
          <w:color w:val="000000"/>
          <w:sz w:val="24"/>
          <w:szCs w:val="24"/>
        </w:rPr>
        <w:t xml:space="preserve">becomes </w:t>
      </w:r>
      <w:r w:rsidR="007543A9">
        <w:rPr>
          <w:rFonts w:ascii="Times New Roman" w:hAnsi="Times New Roman" w:cs="Times New Roman"/>
          <w:color w:val="000000"/>
          <w:sz w:val="24"/>
          <w:szCs w:val="24"/>
        </w:rPr>
        <w:t xml:space="preserve">under the </w:t>
      </w:r>
      <w:r w:rsidR="007543A9" w:rsidRPr="007543A9">
        <w:rPr>
          <w:rFonts w:ascii="Times New Roman" w:hAnsi="Times New Roman" w:cs="Times New Roman"/>
          <w:color w:val="000000"/>
          <w:sz w:val="24"/>
          <w:szCs w:val="24"/>
          <w:u w:val="single"/>
        </w:rPr>
        <w:t>control</w:t>
      </w:r>
      <w:r w:rsidR="007543A9">
        <w:rPr>
          <w:rFonts w:ascii="Times New Roman" w:hAnsi="Times New Roman" w:cs="Times New Roman"/>
          <w:color w:val="000000"/>
          <w:sz w:val="24"/>
          <w:szCs w:val="24"/>
        </w:rPr>
        <w:t xml:space="preserve"> of the lover.</w:t>
      </w:r>
      <w:r w:rsidR="00403702">
        <w:rPr>
          <w:rFonts w:ascii="Times New Roman" w:hAnsi="Times New Roman" w:cs="Times New Roman"/>
          <w:color w:val="000000"/>
          <w:sz w:val="24"/>
          <w:szCs w:val="24"/>
        </w:rPr>
        <w:t xml:space="preserve"> In the translation above the perfect infinitive has the effect of making the English seem archaic, I would propose that </w:t>
      </w:r>
      <w:proofErr w:type="gramStart"/>
      <w:r w:rsidR="00403702">
        <w:rPr>
          <w:rFonts w:ascii="Times New Roman" w:hAnsi="Times New Roman" w:cs="Times New Roman"/>
          <w:color w:val="000000"/>
          <w:sz w:val="24"/>
          <w:szCs w:val="24"/>
        </w:rPr>
        <w:t>an</w:t>
      </w:r>
      <w:proofErr w:type="gramEnd"/>
      <w:r w:rsidR="00403702">
        <w:rPr>
          <w:rFonts w:ascii="Times New Roman" w:hAnsi="Times New Roman" w:cs="Times New Roman"/>
          <w:color w:val="000000"/>
          <w:sz w:val="24"/>
          <w:szCs w:val="24"/>
        </w:rPr>
        <w:t xml:space="preserve"> more accurate idiomatic translation which does not stray too far from the Greek would be ‘having gotten the whole house under their control’.</w:t>
      </w:r>
    </w:p>
    <w:p w14:paraId="6D01A21F" w14:textId="21CBC4CE" w:rsidR="007543A9" w:rsidRPr="00D91B80" w:rsidRDefault="00403702">
      <w:pPr>
        <w:rPr>
          <w:rFonts w:ascii="Times New Roman" w:hAnsi="Times New Roman" w:cs="Times New Roman"/>
          <w:color w:val="000000"/>
          <w:sz w:val="24"/>
          <w:szCs w:val="24"/>
        </w:rPr>
      </w:pPr>
      <w:r>
        <w:rPr>
          <w:rFonts w:ascii="Times New Roman" w:hAnsi="Times New Roman" w:cs="Times New Roman"/>
          <w:b/>
          <w:color w:val="000000"/>
          <w:sz w:val="24"/>
          <w:szCs w:val="24"/>
          <w:lang w:val="el-GR"/>
        </w:rPr>
        <w:t>τοὺς</w:t>
      </w:r>
      <w:r>
        <w:rPr>
          <w:rFonts w:ascii="Times New Roman" w:hAnsi="Times New Roman" w:cs="Times New Roman"/>
          <w:color w:val="000000"/>
          <w:sz w:val="24"/>
          <w:szCs w:val="24"/>
        </w:rPr>
        <w:t xml:space="preserve"> </w:t>
      </w:r>
      <w:r>
        <w:rPr>
          <w:rFonts w:ascii="Times New Roman" w:hAnsi="Times New Roman" w:cs="Times New Roman"/>
          <w:b/>
          <w:color w:val="000000"/>
          <w:sz w:val="24"/>
          <w:szCs w:val="24"/>
          <w:lang w:val="el-GR"/>
        </w:rPr>
        <w:t>παῖδας</w:t>
      </w:r>
      <w:r w:rsidRPr="00403702">
        <w:rPr>
          <w:rFonts w:ascii="Times New Roman" w:hAnsi="Times New Roman" w:cs="Times New Roman"/>
          <w:b/>
          <w:color w:val="000000"/>
          <w:sz w:val="24"/>
          <w:szCs w:val="24"/>
        </w:rPr>
        <w:t>....</w:t>
      </w:r>
      <w:r>
        <w:rPr>
          <w:rFonts w:ascii="Times New Roman" w:hAnsi="Times New Roman" w:cs="Times New Roman"/>
          <w:b/>
          <w:color w:val="000000"/>
          <w:sz w:val="24"/>
          <w:szCs w:val="24"/>
          <w:lang w:val="el-GR"/>
        </w:rPr>
        <w:t>ὅντες</w:t>
      </w:r>
      <w:r>
        <w:rPr>
          <w:rFonts w:ascii="Times New Roman" w:hAnsi="Times New Roman" w:cs="Times New Roman"/>
          <w:b/>
          <w:color w:val="000000"/>
          <w:sz w:val="24"/>
          <w:szCs w:val="24"/>
        </w:rPr>
        <w:t xml:space="preserve">: </w:t>
      </w:r>
      <w:r w:rsidR="00D91B80">
        <w:rPr>
          <w:rFonts w:ascii="Times New Roman" w:hAnsi="Times New Roman" w:cs="Times New Roman"/>
          <w:color w:val="000000"/>
          <w:sz w:val="24"/>
          <w:szCs w:val="24"/>
        </w:rPr>
        <w:t>This is the main result of adultery which makes it a more serious offence than rape, it may seem strange to a modern reader, but it makes perfect sense in the ancient context. As argued by Carey, rape involves a single known act of sex, and any resultant issue can be dealt with either by exposure or abortion. However, adultery or “</w:t>
      </w:r>
      <w:proofErr w:type="spellStart"/>
      <w:r w:rsidR="00D91B80">
        <w:rPr>
          <w:rFonts w:ascii="Times New Roman" w:hAnsi="Times New Roman" w:cs="Times New Roman"/>
          <w:i/>
          <w:color w:val="000000"/>
          <w:sz w:val="24"/>
          <w:szCs w:val="24"/>
        </w:rPr>
        <w:t>moicheia</w:t>
      </w:r>
      <w:proofErr w:type="spellEnd"/>
      <w:r w:rsidR="00D91B80">
        <w:rPr>
          <w:rFonts w:ascii="Times New Roman" w:hAnsi="Times New Roman" w:cs="Times New Roman"/>
          <w:i/>
          <w:color w:val="000000"/>
          <w:sz w:val="24"/>
          <w:szCs w:val="24"/>
        </w:rPr>
        <w:t xml:space="preserve"> </w:t>
      </w:r>
      <w:r w:rsidR="00D91B80">
        <w:rPr>
          <w:rFonts w:ascii="Times New Roman" w:hAnsi="Times New Roman" w:cs="Times New Roman"/>
          <w:color w:val="000000"/>
          <w:sz w:val="24"/>
          <w:szCs w:val="24"/>
        </w:rPr>
        <w:t>involves copulation on an uncertain number of occasions, in secret, over an uncertain length of time”</w:t>
      </w:r>
      <w:r w:rsidR="00D91B80">
        <w:rPr>
          <w:rStyle w:val="FootnoteReference"/>
          <w:rFonts w:ascii="Times New Roman" w:hAnsi="Times New Roman" w:cs="Times New Roman"/>
          <w:color w:val="000000"/>
          <w:sz w:val="24"/>
          <w:szCs w:val="24"/>
        </w:rPr>
        <w:footnoteReference w:id="20"/>
      </w:r>
      <w:r w:rsidR="00D91B80">
        <w:rPr>
          <w:rFonts w:ascii="Times New Roman" w:hAnsi="Times New Roman" w:cs="Times New Roman"/>
          <w:color w:val="000000"/>
          <w:sz w:val="24"/>
          <w:szCs w:val="24"/>
        </w:rPr>
        <w:t xml:space="preserve">which results in the risk that the children born are illegitimate. This is important as the ancient Greek family was a religious, social and economic unit, allowing an illegitimate child into the family </w:t>
      </w:r>
      <w:r w:rsidR="00F40E37">
        <w:rPr>
          <w:rFonts w:ascii="Times New Roman" w:hAnsi="Times New Roman" w:cs="Times New Roman"/>
          <w:color w:val="000000"/>
          <w:sz w:val="24"/>
          <w:szCs w:val="24"/>
        </w:rPr>
        <w:t>introduced the possibility that not only could the family property pass to an ‘outsider’ but also that the religious activity of the household could fall into the hands of “one whose ministrations were unwelcome to the dead or who would neglect those duties.”</w:t>
      </w:r>
      <w:r w:rsidR="00F40E37">
        <w:rPr>
          <w:rStyle w:val="FootnoteReference"/>
          <w:rFonts w:ascii="Times New Roman" w:hAnsi="Times New Roman" w:cs="Times New Roman"/>
          <w:color w:val="000000"/>
          <w:sz w:val="24"/>
          <w:szCs w:val="24"/>
        </w:rPr>
        <w:footnoteReference w:id="21"/>
      </w:r>
      <w:r w:rsidR="00F40E37">
        <w:rPr>
          <w:rFonts w:ascii="Times New Roman" w:hAnsi="Times New Roman" w:cs="Times New Roman"/>
          <w:color w:val="000000"/>
          <w:sz w:val="24"/>
          <w:szCs w:val="24"/>
        </w:rPr>
        <w:t>The speaker here is referencing the familial and societal risks of adultery in a way to influence the jury through fear and sympathy to agree with him that as the law allows the killing of an adulterer caught in the act, that in order to preserve his family and society it was not only his right but it was his duty to uphold the law by kill Eratosthenes.</w:t>
      </w:r>
    </w:p>
    <w:p w14:paraId="2D896A42" w14:textId="494B68D5" w:rsidR="00A80548" w:rsidRPr="00B660CB" w:rsidRDefault="00A80548">
      <w:pPr>
        <w:rPr>
          <w:rFonts w:ascii="Times New Roman" w:hAnsi="Times New Roman" w:cs="Times New Roman"/>
          <w:color w:val="000000"/>
          <w:sz w:val="24"/>
          <w:szCs w:val="24"/>
        </w:rPr>
      </w:pPr>
      <w:r w:rsidRPr="00B660CB">
        <w:rPr>
          <w:rFonts w:ascii="Times New Roman" w:hAnsi="Times New Roman" w:cs="Times New Roman"/>
          <w:color w:val="000000"/>
          <w:sz w:val="24"/>
          <w:szCs w:val="24"/>
        </w:rPr>
        <w:br w:type="page"/>
      </w:r>
    </w:p>
    <w:p w14:paraId="0BBE3E2C" w14:textId="77777777" w:rsidR="00A80548" w:rsidRPr="00544145" w:rsidRDefault="00A80548" w:rsidP="00BF7D16">
      <w:pPr>
        <w:rPr>
          <w:rFonts w:ascii="Times New Roman" w:hAnsi="Times New Roman" w:cs="Times New Roman"/>
          <w:color w:val="000000"/>
          <w:sz w:val="24"/>
          <w:szCs w:val="24"/>
          <w:u w:val="single"/>
        </w:rPr>
      </w:pPr>
      <w:r w:rsidRPr="00544145">
        <w:rPr>
          <w:rFonts w:ascii="Times New Roman" w:hAnsi="Times New Roman" w:cs="Times New Roman"/>
          <w:color w:val="000000"/>
          <w:sz w:val="24"/>
          <w:szCs w:val="24"/>
          <w:u w:val="single"/>
        </w:rPr>
        <w:lastRenderedPageBreak/>
        <w:t>Bibliography</w:t>
      </w:r>
    </w:p>
    <w:p w14:paraId="1C63C972" w14:textId="77777777" w:rsidR="00A80548" w:rsidRPr="00544145" w:rsidRDefault="00A80548" w:rsidP="00BF7D16">
      <w:pPr>
        <w:rPr>
          <w:rFonts w:ascii="Times New Roman" w:hAnsi="Times New Roman" w:cs="Times New Roman"/>
          <w:color w:val="000000"/>
          <w:sz w:val="24"/>
          <w:szCs w:val="24"/>
          <w:u w:val="single"/>
        </w:rPr>
      </w:pPr>
      <w:r w:rsidRPr="00544145">
        <w:rPr>
          <w:rFonts w:ascii="Times New Roman" w:hAnsi="Times New Roman" w:cs="Times New Roman"/>
          <w:color w:val="000000"/>
          <w:sz w:val="24"/>
          <w:szCs w:val="24"/>
          <w:u w:val="single"/>
        </w:rPr>
        <w:t>Ancient Sources</w:t>
      </w:r>
    </w:p>
    <w:p w14:paraId="42BF9547" w14:textId="21BC864A" w:rsidR="00B31E15" w:rsidRDefault="00B31E15"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Aristotle. </w:t>
      </w:r>
      <w:r w:rsidRPr="00B31E15">
        <w:rPr>
          <w:rFonts w:ascii="Times New Roman" w:hAnsi="Times New Roman" w:cs="Times New Roman"/>
          <w:i/>
          <w:color w:val="000000"/>
          <w:sz w:val="24"/>
          <w:szCs w:val="24"/>
        </w:rPr>
        <w:t>Metaphysics</w:t>
      </w:r>
      <w:r>
        <w:rPr>
          <w:rFonts w:ascii="Times New Roman" w:hAnsi="Times New Roman" w:cs="Times New Roman"/>
          <w:color w:val="000000"/>
          <w:sz w:val="24"/>
          <w:szCs w:val="24"/>
        </w:rPr>
        <w:t xml:space="preserve">. (1933) “Aristotle in 23 volumes.” [H. </w:t>
      </w:r>
      <w:proofErr w:type="spellStart"/>
      <w:r>
        <w:rPr>
          <w:rFonts w:ascii="Times New Roman" w:hAnsi="Times New Roman" w:cs="Times New Roman"/>
          <w:color w:val="000000"/>
          <w:sz w:val="24"/>
          <w:szCs w:val="24"/>
        </w:rPr>
        <w:t>Trennick</w:t>
      </w:r>
      <w:proofErr w:type="spellEnd"/>
      <w:r>
        <w:rPr>
          <w:rFonts w:ascii="Times New Roman" w:hAnsi="Times New Roman" w:cs="Times New Roman"/>
          <w:color w:val="000000"/>
          <w:sz w:val="24"/>
          <w:szCs w:val="24"/>
        </w:rPr>
        <w:t xml:space="preserve">, trans.] London: William Heinemann Ltd. </w:t>
      </w:r>
    </w:p>
    <w:p w14:paraId="3B33DB61" w14:textId="40CAE4FD" w:rsidR="00644078" w:rsidRPr="00644078" w:rsidRDefault="00644078"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Demosthenes. </w:t>
      </w:r>
      <w:r>
        <w:rPr>
          <w:rFonts w:ascii="Times New Roman" w:hAnsi="Times New Roman" w:cs="Times New Roman"/>
          <w:i/>
          <w:color w:val="000000"/>
          <w:sz w:val="24"/>
          <w:szCs w:val="24"/>
        </w:rPr>
        <w:t xml:space="preserve">Against Aristocrats. </w:t>
      </w:r>
      <w:r>
        <w:rPr>
          <w:rFonts w:ascii="Times New Roman" w:hAnsi="Times New Roman" w:cs="Times New Roman"/>
          <w:color w:val="000000"/>
          <w:sz w:val="24"/>
          <w:szCs w:val="24"/>
        </w:rPr>
        <w:t>(1939) “Demosthenes with and English translation” [A. T. Murray, trans.] London: William Heinemann Ltd.</w:t>
      </w:r>
    </w:p>
    <w:p w14:paraId="4F73DE38" w14:textId="77777777" w:rsidR="00A80548" w:rsidRDefault="00A80548"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Lysias. </w:t>
      </w:r>
      <w:r w:rsidRPr="00A80548">
        <w:rPr>
          <w:rFonts w:ascii="Times New Roman" w:hAnsi="Times New Roman" w:cs="Times New Roman"/>
          <w:i/>
          <w:color w:val="000000"/>
          <w:sz w:val="24"/>
          <w:szCs w:val="24"/>
        </w:rPr>
        <w:t>On the murder of Eratosthenes</w:t>
      </w:r>
      <w:r>
        <w:rPr>
          <w:rFonts w:ascii="Times New Roman" w:hAnsi="Times New Roman" w:cs="Times New Roman"/>
          <w:color w:val="000000"/>
          <w:sz w:val="24"/>
          <w:szCs w:val="24"/>
        </w:rPr>
        <w:t>. (1989) “Lysias: Selected Speeches.” [C. Carey, ed.] Cambridge: Cambridge University Press.</w:t>
      </w:r>
    </w:p>
    <w:p w14:paraId="79204DF1" w14:textId="17B16D82" w:rsidR="00B275CF" w:rsidRPr="00D51476" w:rsidRDefault="00B275CF" w:rsidP="00BF7D16">
      <w:pPr>
        <w:rPr>
          <w:rFonts w:ascii="Times New Roman" w:hAnsi="Times New Roman" w:cs="Times New Roman"/>
          <w:color w:val="000000"/>
          <w:sz w:val="24"/>
          <w:szCs w:val="24"/>
        </w:rPr>
      </w:pPr>
      <w:r>
        <w:rPr>
          <w:rFonts w:ascii="Times New Roman" w:hAnsi="Times New Roman" w:cs="Times New Roman"/>
          <w:color w:val="000000"/>
          <w:sz w:val="24"/>
          <w:szCs w:val="24"/>
        </w:rPr>
        <w:t>Ly</w:t>
      </w:r>
      <w:r w:rsidR="00D51476">
        <w:rPr>
          <w:rFonts w:ascii="Times New Roman" w:hAnsi="Times New Roman" w:cs="Times New Roman"/>
          <w:color w:val="000000"/>
          <w:sz w:val="24"/>
          <w:szCs w:val="24"/>
        </w:rPr>
        <w:t xml:space="preserve">sias. </w:t>
      </w:r>
      <w:r w:rsidR="00D51476">
        <w:rPr>
          <w:rFonts w:ascii="Times New Roman" w:hAnsi="Times New Roman" w:cs="Times New Roman"/>
          <w:i/>
          <w:color w:val="000000"/>
          <w:sz w:val="24"/>
          <w:szCs w:val="24"/>
        </w:rPr>
        <w:t xml:space="preserve">On the murder of Eratosthenes. </w:t>
      </w:r>
      <w:r w:rsidR="00D51476">
        <w:rPr>
          <w:rFonts w:ascii="Times New Roman" w:hAnsi="Times New Roman" w:cs="Times New Roman"/>
          <w:color w:val="000000"/>
          <w:sz w:val="24"/>
          <w:szCs w:val="24"/>
        </w:rPr>
        <w:t xml:space="preserve">(2000) “Lysias.” [S. C. Todd, trans.] Texas: University of Texas Press. </w:t>
      </w:r>
    </w:p>
    <w:p w14:paraId="2B20FD36" w14:textId="5CF68A30" w:rsidR="00A80548" w:rsidRPr="00A80548" w:rsidRDefault="00A80548" w:rsidP="00BF7D16">
      <w:pPr>
        <w:rPr>
          <w:rFonts w:ascii="Times New Roman" w:hAnsi="Times New Roman" w:cs="Times New Roman"/>
          <w:i/>
          <w:color w:val="000000"/>
          <w:sz w:val="24"/>
          <w:szCs w:val="24"/>
        </w:rPr>
      </w:pPr>
      <w:r>
        <w:rPr>
          <w:rFonts w:ascii="Times New Roman" w:hAnsi="Times New Roman" w:cs="Times New Roman"/>
          <w:color w:val="000000"/>
          <w:sz w:val="24"/>
          <w:szCs w:val="24"/>
        </w:rPr>
        <w:t xml:space="preserve">Plutarch. </w:t>
      </w:r>
      <w:r>
        <w:rPr>
          <w:rFonts w:ascii="Times New Roman" w:hAnsi="Times New Roman" w:cs="Times New Roman"/>
          <w:i/>
          <w:color w:val="000000"/>
          <w:sz w:val="24"/>
          <w:szCs w:val="24"/>
        </w:rPr>
        <w:t xml:space="preserve">Solon. </w:t>
      </w:r>
      <w:r>
        <w:rPr>
          <w:rFonts w:ascii="Times New Roman" w:hAnsi="Times New Roman" w:cs="Times New Roman"/>
          <w:color w:val="000000"/>
          <w:sz w:val="24"/>
          <w:szCs w:val="24"/>
        </w:rPr>
        <w:t>(1960). “The rise and fall of Athens: Nine Greek lives.” [I. Scott-</w:t>
      </w:r>
      <w:proofErr w:type="spellStart"/>
      <w:r>
        <w:rPr>
          <w:rFonts w:ascii="Times New Roman" w:hAnsi="Times New Roman" w:cs="Times New Roman"/>
          <w:color w:val="000000"/>
          <w:sz w:val="24"/>
          <w:szCs w:val="24"/>
        </w:rPr>
        <w:t>K</w:t>
      </w:r>
      <w:r w:rsidR="00644078">
        <w:rPr>
          <w:rFonts w:ascii="Times New Roman" w:hAnsi="Times New Roman" w:cs="Times New Roman"/>
          <w:color w:val="000000"/>
          <w:sz w:val="24"/>
          <w:szCs w:val="24"/>
        </w:rPr>
        <w:t>ilvert</w:t>
      </w:r>
      <w:proofErr w:type="spellEnd"/>
      <w:r w:rsidR="00644078">
        <w:rPr>
          <w:rFonts w:ascii="Times New Roman" w:hAnsi="Times New Roman" w:cs="Times New Roman"/>
          <w:color w:val="000000"/>
          <w:sz w:val="24"/>
          <w:szCs w:val="24"/>
        </w:rPr>
        <w:t>, trans.] London: Penguin Books.</w:t>
      </w:r>
    </w:p>
    <w:p w14:paraId="2B9EC58E" w14:textId="77777777" w:rsidR="00A80548" w:rsidRDefault="00A80548" w:rsidP="00BF7D16">
      <w:pPr>
        <w:rPr>
          <w:rFonts w:ascii="Times New Roman" w:hAnsi="Times New Roman" w:cs="Times New Roman"/>
          <w:color w:val="000000"/>
          <w:sz w:val="24"/>
          <w:szCs w:val="24"/>
        </w:rPr>
      </w:pPr>
    </w:p>
    <w:p w14:paraId="050D9043" w14:textId="77777777" w:rsidR="00A80548" w:rsidRPr="00544145" w:rsidRDefault="00A80548" w:rsidP="00BF7D16">
      <w:pPr>
        <w:rPr>
          <w:rFonts w:ascii="Times New Roman" w:hAnsi="Times New Roman" w:cs="Times New Roman"/>
          <w:color w:val="000000"/>
          <w:sz w:val="24"/>
          <w:szCs w:val="24"/>
          <w:u w:val="single"/>
        </w:rPr>
      </w:pPr>
      <w:r w:rsidRPr="00544145">
        <w:rPr>
          <w:rFonts w:ascii="Times New Roman" w:hAnsi="Times New Roman" w:cs="Times New Roman"/>
          <w:color w:val="000000"/>
          <w:sz w:val="24"/>
          <w:szCs w:val="24"/>
          <w:u w:val="single"/>
        </w:rPr>
        <w:t>Scholarship</w:t>
      </w:r>
    </w:p>
    <w:p w14:paraId="74640C3D" w14:textId="77777777" w:rsidR="00644078" w:rsidRPr="00644078" w:rsidRDefault="00644078"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Campbell. M. (1999) </w:t>
      </w:r>
      <w:r>
        <w:rPr>
          <w:rFonts w:ascii="Times New Roman" w:hAnsi="Times New Roman" w:cs="Times New Roman"/>
          <w:i/>
          <w:color w:val="000000"/>
          <w:sz w:val="24"/>
          <w:szCs w:val="24"/>
        </w:rPr>
        <w:t xml:space="preserve">A Greek prose reading course for Post-Beginners. Unit 1. Forensic oratory. Lysias on the murder of Eratosthenes. </w:t>
      </w:r>
      <w:r>
        <w:rPr>
          <w:rFonts w:ascii="Times New Roman" w:hAnsi="Times New Roman" w:cs="Times New Roman"/>
          <w:color w:val="000000"/>
          <w:sz w:val="24"/>
          <w:szCs w:val="24"/>
        </w:rPr>
        <w:t>London: Bristol Classical Press.</w:t>
      </w:r>
    </w:p>
    <w:p w14:paraId="3D367F50" w14:textId="02A4A247" w:rsidR="00A80548" w:rsidRDefault="00644078" w:rsidP="00BF7D16">
      <w:pPr>
        <w:rPr>
          <w:rFonts w:ascii="Times New Roman" w:hAnsi="Times New Roman" w:cs="Times New Roman"/>
          <w:color w:val="000000"/>
          <w:sz w:val="24"/>
          <w:szCs w:val="24"/>
        </w:rPr>
      </w:pPr>
      <w:r>
        <w:rPr>
          <w:rFonts w:ascii="Times New Roman" w:hAnsi="Times New Roman" w:cs="Times New Roman"/>
          <w:color w:val="000000"/>
          <w:sz w:val="24"/>
          <w:szCs w:val="24"/>
        </w:rPr>
        <w:t>Edwards. M. J. (1999)</w:t>
      </w:r>
      <w:r w:rsidR="00A80548">
        <w:rPr>
          <w:rFonts w:ascii="Times New Roman" w:hAnsi="Times New Roman" w:cs="Times New Roman"/>
          <w:color w:val="000000"/>
          <w:sz w:val="24"/>
          <w:szCs w:val="24"/>
        </w:rPr>
        <w:t xml:space="preserve"> </w:t>
      </w:r>
      <w:r w:rsidR="00A80548">
        <w:rPr>
          <w:rFonts w:ascii="Times New Roman" w:hAnsi="Times New Roman" w:cs="Times New Roman"/>
          <w:i/>
          <w:color w:val="000000"/>
          <w:sz w:val="24"/>
          <w:szCs w:val="24"/>
        </w:rPr>
        <w:t xml:space="preserve">Lysias: Five speeches. </w:t>
      </w:r>
      <w:r w:rsidR="00A80548">
        <w:rPr>
          <w:rFonts w:ascii="Times New Roman" w:hAnsi="Times New Roman" w:cs="Times New Roman"/>
          <w:color w:val="000000"/>
          <w:sz w:val="24"/>
          <w:szCs w:val="24"/>
        </w:rPr>
        <w:t xml:space="preserve">London: Bristol Classical Press. </w:t>
      </w:r>
    </w:p>
    <w:p w14:paraId="00F21CE4" w14:textId="174B9DD5" w:rsidR="009B20FE" w:rsidRPr="009B20FE" w:rsidRDefault="009B20FE" w:rsidP="00BF7D16">
      <w:pPr>
        <w:rPr>
          <w:rFonts w:ascii="Times New Roman" w:hAnsi="Times New Roman" w:cs="Times New Roman"/>
          <w:sz w:val="24"/>
          <w:szCs w:val="24"/>
        </w:rPr>
      </w:pPr>
      <w:r w:rsidRPr="009B20FE">
        <w:rPr>
          <w:rFonts w:ascii="Times New Roman" w:hAnsi="Times New Roman" w:cs="Times New Roman"/>
          <w:color w:val="000000"/>
          <w:sz w:val="24"/>
          <w:szCs w:val="24"/>
        </w:rPr>
        <w:t xml:space="preserve">Kennedy. G. (1963) </w:t>
      </w:r>
      <w:r w:rsidRPr="009B20FE">
        <w:rPr>
          <w:rFonts w:ascii="Times New Roman" w:hAnsi="Times New Roman" w:cs="Times New Roman"/>
          <w:i/>
          <w:color w:val="000000"/>
          <w:sz w:val="24"/>
          <w:szCs w:val="24"/>
        </w:rPr>
        <w:t>The art of persuasion in Greece.</w:t>
      </w:r>
      <w:r w:rsidRPr="009B20FE">
        <w:rPr>
          <w:sz w:val="24"/>
          <w:szCs w:val="24"/>
        </w:rPr>
        <w:t xml:space="preserve"> </w:t>
      </w:r>
      <w:r w:rsidRPr="009B20FE">
        <w:rPr>
          <w:rFonts w:ascii="Times New Roman" w:hAnsi="Times New Roman" w:cs="Times New Roman"/>
          <w:sz w:val="24"/>
          <w:szCs w:val="24"/>
        </w:rPr>
        <w:t>London: Routledge &amp;</w:t>
      </w:r>
      <w:r>
        <w:rPr>
          <w:rFonts w:ascii="Times New Roman" w:hAnsi="Times New Roman" w:cs="Times New Roman"/>
          <w:sz w:val="24"/>
          <w:szCs w:val="24"/>
        </w:rPr>
        <w:t xml:space="preserve"> Kegan Paul Ltd.</w:t>
      </w:r>
      <w:r w:rsidRPr="009B20FE">
        <w:rPr>
          <w:rFonts w:ascii="Times New Roman" w:hAnsi="Times New Roman" w:cs="Times New Roman"/>
          <w:sz w:val="24"/>
          <w:szCs w:val="24"/>
        </w:rPr>
        <w:t xml:space="preserve"> </w:t>
      </w:r>
    </w:p>
    <w:p w14:paraId="6EBF0357" w14:textId="42734563" w:rsidR="00644078" w:rsidRDefault="00644078"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Saunders. A. N. W. (1985) </w:t>
      </w:r>
      <w:r>
        <w:rPr>
          <w:rFonts w:ascii="Times New Roman" w:hAnsi="Times New Roman" w:cs="Times New Roman"/>
          <w:i/>
          <w:color w:val="000000"/>
          <w:sz w:val="24"/>
          <w:szCs w:val="24"/>
        </w:rPr>
        <w:t>Greek political oratory.</w:t>
      </w:r>
      <w:r>
        <w:rPr>
          <w:rFonts w:ascii="Times New Roman" w:hAnsi="Times New Roman" w:cs="Times New Roman"/>
          <w:color w:val="000000"/>
          <w:sz w:val="24"/>
          <w:szCs w:val="24"/>
        </w:rPr>
        <w:t xml:space="preserve"> Middlesex: Penguin Books Ltd.</w:t>
      </w:r>
    </w:p>
    <w:p w14:paraId="5B39C765" w14:textId="51341AAF" w:rsidR="00877604" w:rsidRPr="00877604" w:rsidRDefault="00877604" w:rsidP="00BF7D16">
      <w:pPr>
        <w:rPr>
          <w:rFonts w:ascii="Times New Roman" w:hAnsi="Times New Roman" w:cs="Times New Roman"/>
          <w:color w:val="000000"/>
          <w:sz w:val="24"/>
          <w:szCs w:val="24"/>
        </w:rPr>
      </w:pPr>
      <w:r>
        <w:rPr>
          <w:rFonts w:ascii="Times New Roman" w:hAnsi="Times New Roman" w:cs="Times New Roman"/>
          <w:color w:val="000000"/>
          <w:sz w:val="24"/>
          <w:szCs w:val="24"/>
        </w:rPr>
        <w:t xml:space="preserve">Todd. S. C. (2007) </w:t>
      </w:r>
      <w:r>
        <w:rPr>
          <w:rFonts w:ascii="Times New Roman" w:hAnsi="Times New Roman" w:cs="Times New Roman"/>
          <w:i/>
          <w:color w:val="000000"/>
          <w:sz w:val="24"/>
          <w:szCs w:val="24"/>
        </w:rPr>
        <w:t xml:space="preserve">A commentary on Lysias. </w:t>
      </w:r>
      <w:r>
        <w:rPr>
          <w:rFonts w:ascii="Times New Roman" w:hAnsi="Times New Roman" w:cs="Times New Roman"/>
          <w:color w:val="000000"/>
          <w:sz w:val="24"/>
          <w:szCs w:val="24"/>
        </w:rPr>
        <w:t>Oxford: Oxford University Press.</w:t>
      </w:r>
    </w:p>
    <w:sectPr w:rsidR="00877604" w:rsidRPr="008776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9D61B" w14:textId="77777777" w:rsidR="003322C3" w:rsidRDefault="003322C3" w:rsidP="00D86748">
      <w:pPr>
        <w:spacing w:after="0" w:line="240" w:lineRule="auto"/>
      </w:pPr>
      <w:r>
        <w:separator/>
      </w:r>
    </w:p>
  </w:endnote>
  <w:endnote w:type="continuationSeparator" w:id="0">
    <w:p w14:paraId="1E8F9407" w14:textId="77777777" w:rsidR="003322C3" w:rsidRDefault="003322C3" w:rsidP="00D86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77782" w14:textId="77777777" w:rsidR="003322C3" w:rsidRDefault="003322C3" w:rsidP="00D86748">
      <w:pPr>
        <w:spacing w:after="0" w:line="240" w:lineRule="auto"/>
      </w:pPr>
      <w:r>
        <w:separator/>
      </w:r>
    </w:p>
  </w:footnote>
  <w:footnote w:type="continuationSeparator" w:id="0">
    <w:p w14:paraId="1CB62C4C" w14:textId="77777777" w:rsidR="003322C3" w:rsidRDefault="003322C3" w:rsidP="00D86748">
      <w:pPr>
        <w:spacing w:after="0" w:line="240" w:lineRule="auto"/>
      </w:pPr>
      <w:r>
        <w:continuationSeparator/>
      </w:r>
    </w:p>
  </w:footnote>
  <w:footnote w:id="1">
    <w:p w14:paraId="7D18E78C" w14:textId="377166C2" w:rsidR="00D02711" w:rsidRPr="00D02711" w:rsidRDefault="00D0271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Lysias. 1. 32-33.</w:t>
      </w:r>
    </w:p>
  </w:footnote>
  <w:footnote w:id="2">
    <w:p w14:paraId="23D3C883" w14:textId="3654D59D" w:rsidR="0035492D" w:rsidRPr="007A63F8"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Campbell. 1999. 9.</w:t>
      </w:r>
    </w:p>
  </w:footnote>
  <w:footnote w:id="3">
    <w:p w14:paraId="054613AC" w14:textId="3B2E5A9A" w:rsidR="0035492D" w:rsidRPr="00B660CB"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Edwards. 1999. 79.</w:t>
      </w:r>
    </w:p>
  </w:footnote>
  <w:footnote w:id="4">
    <w:p w14:paraId="11A1FF62" w14:textId="70EC8692" w:rsidR="00887512" w:rsidRPr="00887512" w:rsidRDefault="0088751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2007. 131.</w:t>
      </w:r>
    </w:p>
  </w:footnote>
  <w:footnote w:id="5">
    <w:p w14:paraId="3D586F6F" w14:textId="04F5C771" w:rsidR="0035492D" w:rsidRPr="005717D3"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Carey. 1989. 79.</w:t>
      </w:r>
    </w:p>
  </w:footnote>
  <w:footnote w:id="6">
    <w:p w14:paraId="0CF65A9B" w14:textId="66BCC86D" w:rsidR="0035492D" w:rsidRPr="00002944" w:rsidRDefault="0035492D">
      <w:pPr>
        <w:pStyle w:val="FootnoteText"/>
        <w:rPr>
          <w:rFonts w:ascii="Times New Roman" w:hAnsi="Times New Roman" w:cs="Times New Roman"/>
        </w:rPr>
      </w:pPr>
      <w:r>
        <w:rPr>
          <w:rStyle w:val="FootnoteReference"/>
        </w:rPr>
        <w:footnoteRef/>
      </w:r>
      <w:r>
        <w:t xml:space="preserve"> </w:t>
      </w:r>
      <w:proofErr w:type="spellStart"/>
      <w:r>
        <w:rPr>
          <w:rFonts w:ascii="Times New Roman" w:hAnsi="Times New Roman" w:cs="Times New Roman"/>
        </w:rPr>
        <w:t>Plut</w:t>
      </w:r>
      <w:proofErr w:type="spellEnd"/>
      <w:r>
        <w:rPr>
          <w:rFonts w:ascii="Times New Roman" w:hAnsi="Times New Roman" w:cs="Times New Roman"/>
        </w:rPr>
        <w:t>. Sol. 23. 2-6</w:t>
      </w:r>
    </w:p>
  </w:footnote>
  <w:footnote w:id="7">
    <w:p w14:paraId="3A722A9D" w14:textId="67553C3D" w:rsidR="0035492D" w:rsidRPr="00B1028B"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Carey. 1989. 79. </w:t>
      </w:r>
    </w:p>
  </w:footnote>
  <w:footnote w:id="8">
    <w:p w14:paraId="29EA8199" w14:textId="3CFDECC9" w:rsidR="0035492D" w:rsidRPr="00C22086"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Campbell. 1999. 34.</w:t>
      </w:r>
    </w:p>
  </w:footnote>
  <w:footnote w:id="9">
    <w:p w14:paraId="379878C8" w14:textId="68E7C83D" w:rsidR="0035492D" w:rsidRPr="00EB402B"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Edwards. 1999. 80.</w:t>
      </w:r>
    </w:p>
  </w:footnote>
  <w:footnote w:id="10">
    <w:p w14:paraId="0347B786" w14:textId="5325BCD2" w:rsidR="0035492D" w:rsidRPr="007814F1"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Dem. 23. 53.</w:t>
      </w:r>
    </w:p>
  </w:footnote>
  <w:footnote w:id="11">
    <w:p w14:paraId="1CB92DE2" w14:textId="77777777" w:rsidR="0035492D" w:rsidRPr="00593B61" w:rsidRDefault="0035492D" w:rsidP="00593B6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Campbell. 1999. 34.</w:t>
      </w:r>
    </w:p>
  </w:footnote>
  <w:footnote w:id="12">
    <w:p w14:paraId="62B6ADCC" w14:textId="4A6CA9BE" w:rsidR="0035492D" w:rsidRPr="00593B61"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2000. 22.</w:t>
      </w:r>
    </w:p>
  </w:footnote>
  <w:footnote w:id="13">
    <w:p w14:paraId="04FA08C5" w14:textId="445A9F56" w:rsidR="0035492D" w:rsidRPr="0035492D" w:rsidRDefault="0035492D">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Campbell. 1999. 34.</w:t>
      </w:r>
    </w:p>
  </w:footnote>
  <w:footnote w:id="14">
    <w:p w14:paraId="7A81D518" w14:textId="500CF5FF" w:rsidR="00ED2319" w:rsidRPr="00ED2319" w:rsidRDefault="00ED231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2007. 133.</w:t>
      </w:r>
    </w:p>
  </w:footnote>
  <w:footnote w:id="15">
    <w:p w14:paraId="3260A906" w14:textId="2F200B8B" w:rsidR="00810693" w:rsidRPr="00810693" w:rsidRDefault="00810693">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2007. 133.</w:t>
      </w:r>
    </w:p>
  </w:footnote>
  <w:footnote w:id="16">
    <w:p w14:paraId="22F1355B" w14:textId="1E3E52E9" w:rsidR="00256911" w:rsidRPr="00256911" w:rsidRDefault="0025691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Carey. 1989. 80. </w:t>
      </w:r>
    </w:p>
  </w:footnote>
  <w:footnote w:id="17">
    <w:p w14:paraId="53E4DEA3" w14:textId="3D5A0050" w:rsidR="00A46F2A" w:rsidRPr="00B31E15" w:rsidRDefault="00A46F2A">
      <w:pPr>
        <w:pStyle w:val="FootnoteText"/>
        <w:rPr>
          <w:rFonts w:ascii="Times New Roman" w:hAnsi="Times New Roman" w:cs="Times New Roman"/>
        </w:rPr>
      </w:pPr>
      <w:r>
        <w:rPr>
          <w:rStyle w:val="FootnoteReference"/>
        </w:rPr>
        <w:footnoteRef/>
      </w:r>
      <w:r>
        <w:t xml:space="preserve"> </w:t>
      </w:r>
      <w:r w:rsidR="00B31E15">
        <w:rPr>
          <w:rFonts w:ascii="Times New Roman" w:hAnsi="Times New Roman" w:cs="Times New Roman"/>
        </w:rPr>
        <w:t xml:space="preserve">The use of can of </w:t>
      </w:r>
      <w:proofErr w:type="spellStart"/>
      <w:r w:rsidR="00B31E15" w:rsidRPr="00B31E15">
        <w:rPr>
          <w:rFonts w:ascii="Times New Roman" w:hAnsi="Times New Roman" w:cs="Times New Roman"/>
        </w:rPr>
        <w:t>ἐκείνοις</w:t>
      </w:r>
      <w:proofErr w:type="spellEnd"/>
      <w:r w:rsidR="00B31E15" w:rsidRPr="00B31E15">
        <w:rPr>
          <w:rFonts w:ascii="Times New Roman" w:hAnsi="Times New Roman" w:cs="Times New Roman"/>
        </w:rPr>
        <w:t xml:space="preserve"> </w:t>
      </w:r>
      <w:r w:rsidR="00B31E15">
        <w:rPr>
          <w:rFonts w:ascii="Times New Roman" w:hAnsi="Times New Roman" w:cs="Times New Roman"/>
        </w:rPr>
        <w:t xml:space="preserve">be seen used in a similar manner by Aristotle: </w:t>
      </w:r>
      <w:r w:rsidR="00B31E15">
        <w:rPr>
          <w:rFonts w:ascii="Times New Roman" w:hAnsi="Times New Roman" w:cs="Times New Roman"/>
          <w:lang w:val="el-GR"/>
        </w:rPr>
        <w:t>ἐκεῖνο</w:t>
      </w:r>
      <w:r w:rsidR="00B31E15" w:rsidRPr="00B31E15">
        <w:rPr>
          <w:rFonts w:ascii="Times New Roman" w:hAnsi="Times New Roman" w:cs="Times New Roman"/>
        </w:rPr>
        <w:t xml:space="preserve"> </w:t>
      </w:r>
      <w:r w:rsidR="00B31E15">
        <w:rPr>
          <w:rFonts w:ascii="Times New Roman" w:hAnsi="Times New Roman" w:cs="Times New Roman"/>
        </w:rPr>
        <w:t>describing the way in which animals are born with a natural power of sensation. (</w:t>
      </w:r>
      <w:proofErr w:type="spellStart"/>
      <w:r w:rsidR="00B31E15">
        <w:rPr>
          <w:rFonts w:ascii="Times New Roman" w:hAnsi="Times New Roman" w:cs="Times New Roman"/>
        </w:rPr>
        <w:t>Aristot</w:t>
      </w:r>
      <w:proofErr w:type="spellEnd"/>
      <w:r w:rsidR="00B31E15">
        <w:rPr>
          <w:rFonts w:ascii="Times New Roman" w:hAnsi="Times New Roman" w:cs="Times New Roman"/>
        </w:rPr>
        <w:t xml:space="preserve">. Met. 1049a. 21.) </w:t>
      </w:r>
    </w:p>
  </w:footnote>
  <w:footnote w:id="18">
    <w:p w14:paraId="170EE91E" w14:textId="19F4043E" w:rsidR="00256911" w:rsidRPr="00256911" w:rsidRDefault="0025691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2000. 22.</w:t>
      </w:r>
    </w:p>
  </w:footnote>
  <w:footnote w:id="19">
    <w:p w14:paraId="01B9ADF4" w14:textId="13E04D79" w:rsidR="004E3002" w:rsidRPr="004E3002" w:rsidRDefault="004E300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Todd. 2007. 134.</w:t>
      </w:r>
    </w:p>
  </w:footnote>
  <w:footnote w:id="20">
    <w:p w14:paraId="0F394A52" w14:textId="79DD2D76" w:rsidR="00D91B80" w:rsidRPr="00D91B80" w:rsidRDefault="00D91B80">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Carey. 1999. 80.</w:t>
      </w:r>
    </w:p>
  </w:footnote>
  <w:footnote w:id="21">
    <w:p w14:paraId="2F032737" w14:textId="22804D90" w:rsidR="00F40E37" w:rsidRPr="00F40E37" w:rsidRDefault="00F40E3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Carey. 1999. 80.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7D16"/>
    <w:rsid w:val="00002944"/>
    <w:rsid w:val="001129D9"/>
    <w:rsid w:val="00256911"/>
    <w:rsid w:val="002E5F2D"/>
    <w:rsid w:val="00302417"/>
    <w:rsid w:val="003322C3"/>
    <w:rsid w:val="0035492D"/>
    <w:rsid w:val="00403702"/>
    <w:rsid w:val="004E3002"/>
    <w:rsid w:val="00534658"/>
    <w:rsid w:val="00544145"/>
    <w:rsid w:val="005717D3"/>
    <w:rsid w:val="00593B61"/>
    <w:rsid w:val="00644078"/>
    <w:rsid w:val="0072666A"/>
    <w:rsid w:val="007543A9"/>
    <w:rsid w:val="007814F1"/>
    <w:rsid w:val="007A63F8"/>
    <w:rsid w:val="007D1A56"/>
    <w:rsid w:val="00802AAF"/>
    <w:rsid w:val="00810693"/>
    <w:rsid w:val="00877604"/>
    <w:rsid w:val="00887512"/>
    <w:rsid w:val="00911FF4"/>
    <w:rsid w:val="00923944"/>
    <w:rsid w:val="009B20FE"/>
    <w:rsid w:val="00A46F2A"/>
    <w:rsid w:val="00A80548"/>
    <w:rsid w:val="00AB4FEB"/>
    <w:rsid w:val="00B1028B"/>
    <w:rsid w:val="00B275CF"/>
    <w:rsid w:val="00B31E15"/>
    <w:rsid w:val="00B660CB"/>
    <w:rsid w:val="00BF7D16"/>
    <w:rsid w:val="00C22086"/>
    <w:rsid w:val="00CD1CA8"/>
    <w:rsid w:val="00D02711"/>
    <w:rsid w:val="00D51476"/>
    <w:rsid w:val="00D86748"/>
    <w:rsid w:val="00D91B80"/>
    <w:rsid w:val="00DE51FC"/>
    <w:rsid w:val="00EB402B"/>
    <w:rsid w:val="00ED2319"/>
    <w:rsid w:val="00F02302"/>
    <w:rsid w:val="00F239D8"/>
    <w:rsid w:val="00F40E37"/>
    <w:rsid w:val="66AF0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ABCB6F"/>
  <w15:chartTrackingRefBased/>
  <w15:docId w15:val="{C6582625-4154-4FB2-8EAF-CCA9C265F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7D16"/>
    <w:rPr>
      <w:color w:val="0000FF"/>
      <w:u w:val="single"/>
    </w:rPr>
  </w:style>
  <w:style w:type="paragraph" w:styleId="FootnoteText">
    <w:name w:val="footnote text"/>
    <w:basedOn w:val="Normal"/>
    <w:link w:val="FootnoteTextChar"/>
    <w:uiPriority w:val="99"/>
    <w:semiHidden/>
    <w:unhideWhenUsed/>
    <w:rsid w:val="00D867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86748"/>
    <w:rPr>
      <w:sz w:val="20"/>
      <w:szCs w:val="20"/>
    </w:rPr>
  </w:style>
  <w:style w:type="character" w:styleId="FootnoteReference">
    <w:name w:val="footnote reference"/>
    <w:basedOn w:val="DefaultParagraphFont"/>
    <w:uiPriority w:val="99"/>
    <w:semiHidden/>
    <w:unhideWhenUsed/>
    <w:rsid w:val="00D8674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FF50D-A7A4-4044-BA6D-AE9E51B4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4</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Webster (1500116)</dc:creator>
  <cp:keywords/>
  <dc:description/>
  <cp:lastModifiedBy>libi webster</cp:lastModifiedBy>
  <cp:revision>16</cp:revision>
  <dcterms:created xsi:type="dcterms:W3CDTF">2019-05-02T15:18:00Z</dcterms:created>
  <dcterms:modified xsi:type="dcterms:W3CDTF">2019-05-03T20:18:00Z</dcterms:modified>
</cp:coreProperties>
</file>