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Trebuchet MS" w:cs="Arial Unicode MS" w:hAnsi="Trebuchet MS" w:eastAsia="Arial Unicode MS"/>
          <w:b w:val="0"/>
          <w:bCs w:val="0"/>
          <w:i w:val="0"/>
          <w:iCs w:val="0"/>
          <w:caps w:val="0"/>
          <w:smallCaps w:val="0"/>
          <w:strike w:val="0"/>
          <w:dstrike w:val="0"/>
          <w:outline w:val="0"/>
          <w:color w:val="000000"/>
          <w:spacing w:val="0"/>
          <w:kern w:val="0"/>
          <w:position w:val="0"/>
          <w:sz w:val="24"/>
          <w:szCs w:val="24"/>
          <w:u w:val="none" w:color="000000"/>
          <w:vertAlign w:val="baseline"/>
          <w:rtl w:val="0"/>
          <w:lang w:val="en-US"/>
        </w:rPr>
      </w:pPr>
      <w:r>
        <w:rPr>
          <w:rFonts w:ascii="Georgia" w:cs="Arial Unicode MS" w:hAnsi="Georgia" w:eastAsia="Arial Unicode MS"/>
          <w:b w:val="0"/>
          <w:bCs w:val="0"/>
          <w:i w:val="0"/>
          <w:iCs w:val="0"/>
          <w:caps w:val="0"/>
          <w:smallCaps w:val="0"/>
          <w:strike w:val="0"/>
          <w:dstrike w:val="0"/>
          <w:outline w:val="0"/>
          <w:color w:val="000000"/>
          <w:spacing w:val="0"/>
          <w:kern w:val="0"/>
          <w:position w:val="0"/>
          <w:sz w:val="21"/>
          <w:szCs w:val="21"/>
          <w:u w:val="none" w:color="000000"/>
          <w:vertAlign w:val="baseline"/>
          <w:rtl w:val="0"/>
          <w:lang w:val="en-US"/>
        </w:rPr>
        <w:drawing>
          <wp:inline distT="0" distB="0" distL="0" distR="0">
            <wp:extent cx="2877973" cy="1048512"/>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TSD_logo2010.png"/>
                    <pic:cNvPicPr>
                      <a:picLocks noChangeAspect="1"/>
                    </pic:cNvPicPr>
                  </pic:nvPicPr>
                  <pic:blipFill>
                    <a:blip r:embed="rId4">
                      <a:extLst/>
                    </a:blip>
                    <a:stretch>
                      <a:fillRect/>
                    </a:stretch>
                  </pic:blipFill>
                  <pic:spPr>
                    <a:xfrm>
                      <a:off x="0" y="0"/>
                      <a:ext cx="2877973" cy="1048512"/>
                    </a:xfrm>
                    <a:prstGeom prst="rect">
                      <a:avLst/>
                    </a:prstGeom>
                    <a:ln w="19050" cap="flat">
                      <a:solidFill>
                        <a:srgbClr val="000000"/>
                      </a:solidFill>
                      <a:prstDash val="solid"/>
                      <a:round/>
                    </a:ln>
                    <a:effectLst/>
                  </pic:spPr>
                </pic:pic>
              </a:graphicData>
            </a:graphic>
          </wp:inline>
        </w:drawing>
      </w:r>
    </w:p>
    <w:p>
      <w:pPr>
        <w:pStyle w:val="Heading"/>
        <w:bidi w:val="0"/>
        <w:spacing w:before="240" w:after="60"/>
        <w:ind w:left="0" w:right="0" w:firstLine="0"/>
        <w:jc w:val="center"/>
        <w:rPr>
          <w:rFonts w:ascii="Arial" w:cs="Arial" w:hAnsi="Arial" w:eastAsia="Arial"/>
          <w:kern w:val="32"/>
          <w:sz w:val="32"/>
          <w:szCs w:val="32"/>
          <w:u w:color="000000"/>
          <w:rtl w:val="0"/>
        </w:rPr>
      </w:pPr>
      <w:r>
        <w:rPr>
          <w:rFonts w:ascii="Arial" w:hAnsi="Arial"/>
          <w:kern w:val="32"/>
          <w:sz w:val="32"/>
          <w:szCs w:val="32"/>
          <w:u w:color="000000"/>
          <w:rtl w:val="0"/>
        </w:rPr>
        <w:t>Undergraduate assignment feedback form</w:t>
      </w:r>
    </w:p>
    <w:p>
      <w:pPr>
        <w:pStyle w:val="Body"/>
        <w:bidi w:val="0"/>
        <w:ind w:left="0" w:right="0" w:firstLine="0"/>
        <w:jc w:val="center"/>
        <w:rPr>
          <w:rFonts w:ascii="Arial" w:cs="Arial" w:hAnsi="Arial" w:eastAsia="Arial"/>
          <w:b w:val="1"/>
          <w:bCs w:val="1"/>
          <w:sz w:val="24"/>
          <w:szCs w:val="24"/>
          <w:u w:color="000000"/>
          <w:rtl w:val="0"/>
        </w:rPr>
      </w:pPr>
      <w:r>
        <w:rPr>
          <w:rFonts w:ascii="Arial" w:hAnsi="Arial"/>
          <w:b w:val="1"/>
          <w:bCs w:val="1"/>
          <w:sz w:val="24"/>
          <w:szCs w:val="24"/>
          <w:u w:color="000000"/>
          <w:rtl w:val="0"/>
        </w:rPr>
        <w:t>(to be completed by marker)</w:t>
      </w:r>
    </w:p>
    <w:p>
      <w:pPr>
        <w:pStyle w:val="Body"/>
        <w:bidi w:val="0"/>
        <w:ind w:left="0" w:right="0" w:firstLine="0"/>
        <w:jc w:val="center"/>
        <w:rPr>
          <w:rFonts w:ascii="Arial" w:cs="Arial" w:hAnsi="Arial" w:eastAsia="Arial"/>
          <w:b w:val="1"/>
          <w:bCs w:val="1"/>
          <w:sz w:val="24"/>
          <w:szCs w:val="24"/>
          <w:u w:color="000000"/>
          <w:rtl w:val="0"/>
        </w:rPr>
      </w:pPr>
    </w:p>
    <w:p>
      <w:pPr>
        <w:pStyle w:val="Heading 3"/>
        <w:pBdr>
          <w:top w:val="nil"/>
          <w:left w:val="nil"/>
          <w:bottom w:val="nil"/>
          <w:right w:val="nil"/>
        </w:pBdr>
        <w:bidi w:val="0"/>
        <w:spacing w:before="0" w:after="0" w:line="240" w:lineRule="auto"/>
        <w:ind w:left="720" w:right="0" w:firstLine="0"/>
        <w:jc w:val="both"/>
        <w:rPr>
          <w:rFonts w:ascii="Trebuchet MS" w:cs="Trebuchet MS" w:hAnsi="Trebuchet MS" w:eastAsia="Trebuchet MS"/>
          <w:b w:val="1"/>
          <w:bCs w:val="1"/>
          <w:spacing w:val="0"/>
          <w:sz w:val="20"/>
          <w:szCs w:val="20"/>
          <w:u w:color="000000"/>
          <w:rtl w:val="0"/>
          <w:lang w:val="en-US"/>
        </w:rPr>
      </w:pPr>
    </w:p>
    <w:tbl>
      <w:tblPr>
        <w:tblW w:w="8755"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788"/>
        <w:gridCol w:w="1980"/>
        <w:gridCol w:w="1987"/>
      </w:tblGrid>
      <w:tr>
        <w:tblPrEx>
          <w:shd w:val="clear" w:color="auto" w:fill="ced7e7"/>
        </w:tblPrEx>
        <w:trPr>
          <w:trHeight w:val="570" w:hRule="atLeast"/>
        </w:trPr>
        <w:tc>
          <w:tcPr>
            <w:tcW w:type="dxa" w:w="875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center"/>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t>Student Name:</w:t>
            </w:r>
            <w:r>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t xml:space="preserve"> Michelle Meunier</w:t>
            </w:r>
            <w:r>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rPr>
            </w:r>
          </w:p>
        </w:tc>
      </w:tr>
      <w:tr>
        <w:tblPrEx>
          <w:shd w:val="clear" w:color="auto" w:fill="ced7e7"/>
        </w:tblPrEx>
        <w:trPr>
          <w:trHeight w:val="1410"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114"/>
            </w:tcMar>
            <w:vAlign w:val="center"/>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rPr>
            </w:pPr>
            <w:r>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t xml:space="preserve">Module Code: </w:t>
            </w:r>
            <w:r>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t>HUSK6004</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t xml:space="preserve">Module title: </w:t>
            </w:r>
            <w:r>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t xml:space="preserve">Roderic Bowen Centre: Archives and Research </w:t>
            </w:r>
            <w:r>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Pr>
            </w:r>
          </w:p>
        </w:tc>
        <w:tc>
          <w:tcPr>
            <w:tcW w:type="dxa" w:w="396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t>Student number:</w:t>
            </w:r>
            <w:r>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t xml:space="preserve"> 1708714</w:t>
            </w:r>
          </w:p>
        </w:tc>
      </w:tr>
      <w:tr>
        <w:tblPrEx>
          <w:shd w:val="clear" w:color="auto" w:fill="ced7e7"/>
        </w:tblPrEx>
        <w:trPr>
          <w:trHeight w:val="4850" w:hRule="atLeast"/>
        </w:trPr>
        <w:tc>
          <w:tcPr>
            <w:tcW w:type="dxa" w:w="875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rPr>
            </w:pPr>
            <w:r>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t>For completion by marker:</w:t>
            </w: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rPr>
            </w:pPr>
            <w:r>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t>Comments:</w:t>
            </w: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pP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pP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pP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pP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pP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pP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pP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pP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pP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tl w:val="0"/>
              </w:rPr>
            </w:pPr>
            <w:r>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r>
          </w:p>
        </w:tc>
      </w:tr>
      <w:tr>
        <w:tblPrEx>
          <w:shd w:val="clear" w:color="auto" w:fill="ced7e7"/>
        </w:tblPrEx>
        <w:trPr>
          <w:trHeight w:val="342" w:hRule="atLeast"/>
        </w:trPr>
        <w:tc>
          <w:tcPr>
            <w:tcW w:type="dxa" w:w="676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222"/>
              <w:bottom w:type="dxa" w:w="80"/>
              <w:right w:type="dxa" w:w="114"/>
            </w:tcMar>
            <w:vAlign w:val="center"/>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t>Marker</w:t>
            </w:r>
            <w:r>
              <w:rPr>
                <w:rFonts w:ascii="Calibri" w:cs="Calibri" w:hAnsi="Calibri" w:eastAsia="Calibri" w:hint="default"/>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t>’</w:t>
            </w:r>
            <w:r>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t>s signature:</w:t>
            </w:r>
          </w:p>
        </w:tc>
        <w:tc>
          <w:tcPr>
            <w:tcW w:type="dxa" w:w="19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8ecf3"/>
            <w:tcMar>
              <w:top w:type="dxa" w:w="80"/>
              <w:left w:type="dxa" w:w="222"/>
              <w:bottom w:type="dxa" w:w="80"/>
              <w:right w:type="dxa" w:w="114"/>
            </w:tcMar>
            <w:vAlign w:val="center"/>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t>Date:</w:t>
            </w:r>
          </w:p>
        </w:tc>
      </w:tr>
      <w:tr>
        <w:tblPrEx>
          <w:shd w:val="clear" w:color="auto" w:fill="ced7e7"/>
        </w:tblPrEx>
        <w:trPr>
          <w:trHeight w:val="850" w:hRule="atLeast"/>
        </w:trPr>
        <w:tc>
          <w:tcPr>
            <w:tcW w:type="dxa" w:w="875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center"/>
          </w:tcPr>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rPr>
            </w:pPr>
            <w:r>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t xml:space="preserve">Provisional mark: </w:t>
            </w: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tl w:val="0"/>
              </w:rPr>
            </w:pPr>
            <w:r>
              <w:rPr>
                <w:rFonts w:ascii="Calibri" w:cs="Calibri" w:hAnsi="Calibri" w:eastAsia="Calibri"/>
                <w:b w:val="1"/>
                <w:bCs w:val="1"/>
                <w:i w:val="1"/>
                <w:iCs w:val="1"/>
                <w:caps w:val="0"/>
                <w:smallCaps w:val="0"/>
                <w:strike w:val="0"/>
                <w:dstrike w:val="0"/>
                <w:outline w:val="0"/>
                <w:color w:val="000000"/>
                <w:spacing w:val="0"/>
                <w:kern w:val="0"/>
                <w:position w:val="0"/>
                <w:sz w:val="24"/>
                <w:szCs w:val="24"/>
                <w:u w:val="none" w:color="000000"/>
                <w:vertAlign w:val="baseline"/>
                <w:rtl w:val="0"/>
                <w:lang w:val="en-US"/>
              </w:rPr>
              <w:t>NB.</w:t>
            </w:r>
            <w:r>
              <w:rPr>
                <w:rFonts w:ascii="Calibri" w:cs="Calibri" w:hAnsi="Calibri" w:eastAsia="Calibri"/>
                <w:b w:val="0"/>
                <w:bCs w:val="0"/>
                <w:i w:val="1"/>
                <w:iCs w:val="1"/>
                <w:caps w:val="0"/>
                <w:smallCaps w:val="0"/>
                <w:strike w:val="0"/>
                <w:dstrike w:val="0"/>
                <w:outline w:val="0"/>
                <w:color w:val="000000"/>
                <w:spacing w:val="0"/>
                <w:kern w:val="0"/>
                <w:position w:val="0"/>
                <w:sz w:val="24"/>
                <w:szCs w:val="24"/>
                <w:u w:val="none" w:color="000000"/>
                <w:vertAlign w:val="baseline"/>
                <w:rtl w:val="0"/>
                <w:lang w:val="en-US"/>
              </w:rPr>
              <w:t xml:space="preserve">  All marks are provisional until confirmed by the final examination board. </w:t>
            </w:r>
          </w:p>
        </w:tc>
      </w:tr>
    </w:tbl>
    <w:p>
      <w:pPr>
        <w:pStyle w:val="Heading 3"/>
        <w:widowControl w:val="0"/>
        <w:pBdr>
          <w:top w:val="nil"/>
          <w:left w:val="nil"/>
          <w:bottom w:val="nil"/>
          <w:right w:val="nil"/>
        </w:pBdr>
        <w:bidi w:val="0"/>
        <w:spacing w:before="0" w:after="0" w:line="240" w:lineRule="auto"/>
        <w:ind w:left="0" w:right="0" w:firstLine="0"/>
        <w:jc w:val="both"/>
        <w:rPr>
          <w:rtl w:val="0"/>
        </w:rPr>
      </w:pPr>
      <w:r>
        <w:rPr>
          <w:rFonts w:ascii="Arial Unicode MS" w:cs="Arial Unicode MS" w:hAnsi="Arial Unicode MS" w:eastAsia="Arial Unicode MS"/>
          <w:b w:val="0"/>
          <w:bCs w:val="0"/>
          <w:i w:val="0"/>
          <w:iCs w:val="0"/>
          <w:spacing w:val="0"/>
          <w:sz w:val="20"/>
          <w:szCs w:val="20"/>
          <w:u w:color="000000"/>
          <w:rtl w:val="0"/>
          <w:lang w:val="en-US"/>
        </w:rPr>
        <w:br w:type="page"/>
      </w:r>
    </w:p>
    <w:p>
      <w:pPr>
        <w:pStyle w:val="Subtitle"/>
        <w:bidi w:val="0"/>
      </w:pPr>
      <w:r>
        <w:rPr>
          <w:rtl w:val="0"/>
        </w:rPr>
        <w:t>Roderic Bowden Library and Archives Reflective Essay</w:t>
      </w:r>
    </w:p>
    <w:p>
      <w:pPr>
        <w:pStyle w:val="Body"/>
        <w:bidi w:val="0"/>
      </w:pPr>
    </w:p>
    <w:p>
      <w:pPr>
        <w:pStyle w:val="Body"/>
        <w:bidi w:val="0"/>
      </w:pPr>
    </w:p>
    <w:p>
      <w:pPr>
        <w:pStyle w:val="Body"/>
        <w:bidi w:val="0"/>
      </w:pPr>
    </w:p>
    <w:p>
      <w:pPr>
        <w:pStyle w:val="Body"/>
        <w:spacing w:line="360" w:lineRule="auto"/>
      </w:pPr>
      <w:r>
        <w:rPr>
          <w:rtl w:val="0"/>
          <w:lang w:val="en-US"/>
        </w:rPr>
        <w:t>One of the big reasons why I choose to come to Lampeter as an International student was the chance to work with the archives in Roderic Bowden. In my home University it</w:t>
      </w:r>
      <w:r>
        <w:rPr>
          <w:rtl w:val="0"/>
          <w:lang w:val="en-US"/>
        </w:rPr>
        <w:t>’</w:t>
      </w:r>
      <w:r>
        <w:rPr>
          <w:rtl w:val="0"/>
          <w:lang w:val="en-US"/>
        </w:rPr>
        <w:t>s difficult to access older volumes, the vast majority of our library</w:t>
      </w:r>
      <w:r>
        <w:rPr>
          <w:rtl w:val="0"/>
          <w:lang w:val="en-US"/>
        </w:rPr>
        <w:t>’</w:t>
      </w:r>
      <w:r>
        <w:rPr>
          <w:rtl w:val="0"/>
          <w:lang w:val="en-US"/>
        </w:rPr>
        <w:t>s collection is electronic material. Although this online focus is very common in universities now it means that there is little opportunity to work with source material, at an undergraduate level, that is more than a century old. So going into this module I was very excited about being able to work with materials that were so much older than any I</w:t>
      </w:r>
      <w:r>
        <w:rPr>
          <w:rtl w:val="0"/>
          <w:lang w:val="en-US"/>
        </w:rPr>
        <w:t>’</w:t>
      </w:r>
      <w:r>
        <w:rPr>
          <w:rtl w:val="0"/>
          <w:lang w:val="en-US"/>
        </w:rPr>
        <w:t>ve been able to handle before. The bookbinding lecture in particular was lovely, with a literal pile of gorgeous books on the table, examining how they were made and kept. It</w:t>
      </w:r>
      <w:r>
        <w:rPr>
          <w:rtl w:val="0"/>
          <w:lang w:val="en-US"/>
        </w:rPr>
        <w:t>’</w:t>
      </w:r>
      <w:r>
        <w:rPr>
          <w:rtl w:val="0"/>
          <w:lang w:val="en-US"/>
        </w:rPr>
        <w:t>s not something I would not have been able to experience in Alberta, and I</w:t>
      </w:r>
      <w:r>
        <w:rPr>
          <w:rtl w:val="0"/>
          <w:lang w:val="en-US"/>
        </w:rPr>
        <w:t>’</w:t>
      </w:r>
      <w:r>
        <w:rPr>
          <w:rtl w:val="0"/>
          <w:lang w:val="en-US"/>
        </w:rPr>
        <w:t xml:space="preserve">m grateful for it, the majority of our archives tend to focus on civil records and A/V material. As a library technician looking to work with archival material in Canada, after graduation, this module proved to be an excellent opportunity for me to gain some experience with these types of items. </w:t>
      </w:r>
    </w:p>
    <w:p>
      <w:pPr>
        <w:pStyle w:val="Heading 3"/>
        <w:spacing w:line="360" w:lineRule="auto"/>
      </w:pPr>
      <w:r>
        <w:rPr>
          <w:rtl w:val="0"/>
          <w:lang w:val="en-US"/>
        </w:rPr>
        <w:t>Student Biography Project</w:t>
      </w:r>
    </w:p>
    <w:p>
      <w:pPr>
        <w:pStyle w:val="Body"/>
        <w:spacing w:line="360" w:lineRule="auto"/>
      </w:pPr>
    </w:p>
    <w:p>
      <w:pPr>
        <w:pStyle w:val="Body"/>
        <w:spacing w:line="360" w:lineRule="auto"/>
      </w:pPr>
      <w:r>
        <w:rPr>
          <w:rtl w:val="0"/>
          <w:lang w:val="en-US"/>
        </w:rPr>
        <w:t>This was an interesting project, but also surprisingly heartbreaking when the entire story was laid out. The student I was assigned, Ronald Alexander Llewellyn Gallen, appeared to be a very quiet boy for his first year at St. David</w:t>
      </w:r>
      <w:r>
        <w:rPr>
          <w:rtl w:val="0"/>
          <w:lang w:val="en-US"/>
        </w:rPr>
        <w:t>’</w:t>
      </w:r>
      <w:r>
        <w:rPr>
          <w:rtl w:val="0"/>
          <w:lang w:val="en-US"/>
        </w:rPr>
        <w:t xml:space="preserve">s Collage. There is no record of him ever drinking, or being a part of any societies until his second year. Digging through the records to find information on him was a bit disheartening after the base information was found due to this lack of activity. It was only through going through every page of the school magazines from his years that I was able to find out that he was part of the hockey team and involved in track and field. In this digging up information on a particular person I did end up becoming a bit attached even though I knew beforehand that he did not survive the war. It was a strange moment when I realized that I am currently older than he will ever be. </w:t>
      </w:r>
    </w:p>
    <w:p>
      <w:pPr>
        <w:pStyle w:val="Body"/>
        <w:spacing w:line="360" w:lineRule="auto"/>
      </w:pPr>
    </w:p>
    <w:p>
      <w:pPr>
        <w:pStyle w:val="Body"/>
        <w:spacing w:line="360" w:lineRule="auto"/>
      </w:pPr>
      <w:r>
        <w:rPr>
          <w:rtl w:val="0"/>
          <w:lang w:val="en-US"/>
        </w:rPr>
        <w:t xml:space="preserve">There was an instance on </w:t>
      </w:r>
      <w:r>
        <w:rPr>
          <w:rStyle w:val="Hyperlink.0"/>
        </w:rPr>
        <w:fldChar w:fldCharType="begin" w:fldLock="0"/>
      </w:r>
      <w:r>
        <w:rPr>
          <w:rStyle w:val="Hyperlink.0"/>
        </w:rPr>
        <w:instrText xml:space="preserve"> HYPERLINK "http://ancestry.co"</w:instrText>
      </w:r>
      <w:r>
        <w:rPr>
          <w:rStyle w:val="Hyperlink.0"/>
        </w:rPr>
        <w:fldChar w:fldCharType="separate" w:fldLock="0"/>
      </w:r>
      <w:r>
        <w:rPr>
          <w:rStyle w:val="Hyperlink.0"/>
          <w:rtl w:val="0"/>
          <w:lang w:val="en-US"/>
        </w:rPr>
        <w:t>ancestry.co</w:t>
      </w:r>
      <w:r>
        <w:rPr/>
        <w:fldChar w:fldCharType="end" w:fldLock="0"/>
      </w:r>
      <w:r>
        <w:rPr>
          <w:rtl w:val="0"/>
          <w:lang w:val="en-US"/>
        </w:rPr>
        <w:t>m where there was a message thread regarding Ronald Gallen</w:t>
      </w:r>
      <w:r>
        <w:rPr>
          <w:rtl w:val="0"/>
          <w:lang w:val="en-US"/>
        </w:rPr>
        <w:t>’</w:t>
      </w:r>
      <w:r>
        <w:rPr>
          <w:rtl w:val="0"/>
          <w:lang w:val="en-US"/>
        </w:rPr>
        <w:t>s war medals, a lady was looking for a closer family member in order take care of them. That thread was four years old with no responses. From further research on the Gallen family it became clear that Ronald was an only child and there were no closer family members around who could take his medals. Instances like that make you more aware of the scale of the loss while giving a massive tragedy a personal connection. There was no one left to personally mourn or remember him, making the thin bread crumb trail I</w:t>
      </w:r>
      <w:r>
        <w:rPr>
          <w:rtl w:val="0"/>
          <w:lang w:val="en-US"/>
        </w:rPr>
        <w:t>’</w:t>
      </w:r>
      <w:r>
        <w:rPr>
          <w:rtl w:val="0"/>
          <w:lang w:val="en-US"/>
        </w:rPr>
        <w:t xml:space="preserve">d been following some of the last bits of information that could express what kind of person he was. </w:t>
      </w:r>
    </w:p>
    <w:p>
      <w:pPr>
        <w:pStyle w:val="Body"/>
        <w:spacing w:line="360" w:lineRule="auto"/>
      </w:pPr>
    </w:p>
    <w:p>
      <w:pPr>
        <w:pStyle w:val="Body"/>
        <w:spacing w:line="360" w:lineRule="auto"/>
      </w:pPr>
      <w:r>
        <w:rPr>
          <w:rtl w:val="0"/>
          <w:lang w:val="en-US"/>
        </w:rPr>
        <w:t>Actually looking through the archives it did give me an idea of how using physical copies of primary sources may be in the future. Although I am aware that in many other archives there are fairly stringent security measures, I did really appreciate the experience for future archive visits. It really drove home the point that there</w:t>
      </w:r>
      <w:r>
        <w:rPr>
          <w:rtl w:val="0"/>
          <w:lang w:val="en-US"/>
        </w:rPr>
        <w:t>’</w:t>
      </w:r>
      <w:r>
        <w:rPr>
          <w:rtl w:val="0"/>
          <w:lang w:val="en-US"/>
        </w:rPr>
        <w:t xml:space="preserve">s no guarantee of finding relevant information, as I am fully aware that in this case the odds were stacked in our favour and in any future archival work this will not be the case. As to the writing of the paper itself I was a bit confused on how to lay it all out, and what exactly I was supposed to do with all the information I collected. An example from the previous year would have been a great help in organizing the paper in a coherent fashion. </w:t>
      </w:r>
    </w:p>
    <w:p>
      <w:pPr>
        <w:pStyle w:val="Body"/>
        <w:spacing w:line="360" w:lineRule="auto"/>
      </w:pPr>
    </w:p>
    <w:p>
      <w:pPr>
        <w:pStyle w:val="Body"/>
        <w:spacing w:line="360" w:lineRule="auto"/>
      </w:pPr>
    </w:p>
    <w:p>
      <w:pPr>
        <w:pStyle w:val="Body"/>
        <w:spacing w:line="360" w:lineRule="auto"/>
      </w:pPr>
    </w:p>
    <w:p>
      <w:pPr>
        <w:pStyle w:val="Heading 3"/>
        <w:spacing w:line="360" w:lineRule="auto"/>
      </w:pPr>
      <w:r>
        <w:rPr>
          <w:rtl w:val="0"/>
          <w:lang w:val="en-US"/>
        </w:rPr>
        <w:t>Book Biography Project</w:t>
      </w:r>
    </w:p>
    <w:p>
      <w:pPr>
        <w:pStyle w:val="Body"/>
        <w:spacing w:line="360" w:lineRule="auto"/>
      </w:pPr>
    </w:p>
    <w:p>
      <w:pPr>
        <w:pStyle w:val="Body"/>
        <w:spacing w:line="360" w:lineRule="auto"/>
      </w:pPr>
      <w:r>
        <w:rPr>
          <w:rtl w:val="0"/>
          <w:lang w:val="en-US"/>
        </w:rPr>
        <w:t>The book biography project was quite interesting if a bit frustrating in trying to information. The book I was assigned was interesting for it</w:t>
      </w:r>
      <w:r>
        <w:rPr>
          <w:rtl w:val="0"/>
          <w:lang w:val="en-US"/>
        </w:rPr>
        <w:t>’</w:t>
      </w:r>
      <w:r>
        <w:rPr>
          <w:rtl w:val="0"/>
          <w:lang w:val="en-US"/>
        </w:rPr>
        <w:t>s contents as well as parameters that we were told to look at. The contents appeared to be a mix of a medical and religious text in both Hebrew and Latin. As to the typesetting itself there were various fonts used for both languages, with a particularly tiny font used for margins. This when coupled with the overall high quality of the book leads me to believe it was a high value item in a wealthy person</w:t>
      </w:r>
      <w:r>
        <w:rPr>
          <w:rtl w:val="0"/>
          <w:lang w:val="en-US"/>
        </w:rPr>
        <w:t>’</w:t>
      </w:r>
      <w:r>
        <w:rPr>
          <w:rtl w:val="0"/>
          <w:lang w:val="en-US"/>
        </w:rPr>
        <w:t>s collection before being acquired by Philips and subsequently donated to St. David</w:t>
      </w:r>
      <w:r>
        <w:rPr>
          <w:rtl w:val="0"/>
          <w:lang w:val="en-US"/>
        </w:rPr>
        <w:t>’</w:t>
      </w:r>
      <w:r>
        <w:rPr>
          <w:rtl w:val="0"/>
          <w:lang w:val="en-US"/>
        </w:rPr>
        <w:t xml:space="preserve">s Collage. </w:t>
      </w:r>
    </w:p>
    <w:p>
      <w:pPr>
        <w:pStyle w:val="Body"/>
        <w:spacing w:line="360" w:lineRule="auto"/>
      </w:pPr>
      <w:r>
        <w:rPr>
          <w:rtl w:val="0"/>
          <w:lang w:val="en-US"/>
        </w:rPr>
        <w:t xml:space="preserve"> I was unable to find out who the book was made for despite the shield emblazoned on both covers of the volume. I feel like there should be a better way to go about trying to identify shields in order to get a family name than the process I used, but I</w:t>
      </w:r>
      <w:r>
        <w:rPr>
          <w:rtl w:val="0"/>
          <w:lang w:val="en-US"/>
        </w:rPr>
        <w:t>’</w:t>
      </w:r>
      <w:r>
        <w:rPr>
          <w:rtl w:val="0"/>
          <w:lang w:val="en-US"/>
        </w:rPr>
        <w:t>m not sure what that is. I ended up breaking down the iconography that surrounded the shield and figured out that it belonged to a Catholic Cardinal, but trying to find out who in particular was something I wasn</w:t>
      </w:r>
      <w:r>
        <w:rPr>
          <w:rtl w:val="0"/>
          <w:lang w:val="en-US"/>
        </w:rPr>
        <w:t>’</w:t>
      </w:r>
      <w:r>
        <w:rPr>
          <w:rtl w:val="0"/>
          <w:lang w:val="en-US"/>
        </w:rPr>
        <w:t xml:space="preserve">t able to do. I spent a few hours going through images of shields online trying to find a match, but none that I came across were similar enough to pursue further. If there is a better way to identify familial or religious shields it would be beneficial to have a small document or a link to a primer on how to do so. </w:t>
      </w:r>
    </w:p>
    <w:p>
      <w:pPr>
        <w:pStyle w:val="Body"/>
        <w:spacing w:line="360" w:lineRule="auto"/>
      </w:pPr>
    </w:p>
    <w:p>
      <w:pPr>
        <w:pStyle w:val="Body"/>
        <w:spacing w:line="360" w:lineRule="auto"/>
      </w:pPr>
      <w:r>
        <w:rPr>
          <w:rtl w:val="0"/>
          <w:lang w:val="en-US"/>
        </w:rPr>
        <w:t>I also tried to identify the previous owner by translating the handwritten additions to the title page, however this was also a dead end, as I wasn</w:t>
      </w:r>
      <w:r>
        <w:rPr>
          <w:rtl w:val="0"/>
          <w:lang w:val="en-US"/>
        </w:rPr>
        <w:t>’</w:t>
      </w:r>
      <w:r>
        <w:rPr>
          <w:rtl w:val="0"/>
          <w:lang w:val="en-US"/>
        </w:rPr>
        <w:t>t totally sure of the spelling due to the cursive style of the writing. Attempting to search various spelling didn</w:t>
      </w:r>
      <w:r>
        <w:rPr>
          <w:rtl w:val="0"/>
          <w:lang w:val="en-US"/>
        </w:rPr>
        <w:t>’</w:t>
      </w:r>
      <w:r>
        <w:rPr>
          <w:rtl w:val="0"/>
          <w:lang w:val="en-US"/>
        </w:rPr>
        <w:t xml:space="preserve">t yield any useful information other than discovering the Rabbi mentioned has one of the most common Jewish names of the time. </w:t>
      </w:r>
    </w:p>
    <w:p>
      <w:pPr>
        <w:pStyle w:val="Body"/>
        <w:spacing w:line="360" w:lineRule="auto"/>
      </w:pPr>
    </w:p>
    <w:p>
      <w:pPr>
        <w:pStyle w:val="Body"/>
        <w:spacing w:line="360" w:lineRule="auto"/>
      </w:pPr>
      <w:r>
        <w:rPr>
          <w:rtl w:val="0"/>
          <w:lang w:val="en-US"/>
        </w:rPr>
        <w:t>Getting back to the structure of the book itself, it was lovely and well made, the binding in particular was in excellent shape. Unfortunately there was a significant amount of damage to the cover in the form of clean edged cuts in the leather and general wear and tear. However other than the inscription on the title page there was no writing on the pages within, and the paper itself was in excellent condition, to the point where it doesn</w:t>
      </w:r>
      <w:r>
        <w:rPr>
          <w:rtl w:val="0"/>
          <w:lang w:val="en-US"/>
        </w:rPr>
        <w:t>’</w:t>
      </w:r>
      <w:r>
        <w:rPr>
          <w:rtl w:val="0"/>
          <w:lang w:val="en-US"/>
        </w:rPr>
        <w:t xml:space="preserve">t appear to have been heavily used despite the wear on the cover. The juxtaposition between the two elements of the volume made me more interested in the contents itself, but unfortunately I lack the language skills needed to properly translate but I did get the impression certain areas were of a medical nature while others seemed to describe religious ceremonies. </w:t>
      </w:r>
    </w:p>
    <w:p>
      <w:pPr>
        <w:pStyle w:val="Body"/>
        <w:spacing w:line="360" w:lineRule="auto"/>
      </w:pPr>
    </w:p>
    <w:p>
      <w:pPr>
        <w:pStyle w:val="Body"/>
        <w:spacing w:line="360" w:lineRule="auto"/>
      </w:pPr>
      <w:r>
        <w:rPr>
          <w:rtl w:val="0"/>
          <w:lang w:val="en-US"/>
        </w:rPr>
        <w:t>When actually writing up the biography I wasn</w:t>
      </w:r>
      <w:r>
        <w:rPr>
          <w:rtl w:val="0"/>
          <w:lang w:val="en-US"/>
        </w:rPr>
        <w:t>’</w:t>
      </w:r>
      <w:r>
        <w:rPr>
          <w:rtl w:val="0"/>
          <w:lang w:val="en-US"/>
        </w:rPr>
        <w:t>t sure if I was supposed to put in my process for finding information even if it didn</w:t>
      </w:r>
      <w:r>
        <w:rPr>
          <w:rtl w:val="0"/>
          <w:lang w:val="en-US"/>
        </w:rPr>
        <w:t>’</w:t>
      </w:r>
      <w:r>
        <w:rPr>
          <w:rtl w:val="0"/>
          <w:lang w:val="en-US"/>
        </w:rPr>
        <w:t xml:space="preserve">t yield any useable results. </w:t>
      </w:r>
    </w:p>
    <w:p>
      <w:pPr>
        <w:pStyle w:val="Body"/>
        <w:spacing w:line="360" w:lineRule="auto"/>
      </w:pPr>
    </w:p>
    <w:p>
      <w:pPr>
        <w:pStyle w:val="Body"/>
        <w:spacing w:line="360" w:lineRule="auto"/>
      </w:pPr>
    </w:p>
    <w:p>
      <w:pPr>
        <w:pStyle w:val="Body"/>
        <w:spacing w:line="360" w:lineRule="auto"/>
      </w:pPr>
    </w:p>
    <w:p>
      <w:pPr>
        <w:pStyle w:val="Heading 3"/>
        <w:spacing w:line="360" w:lineRule="auto"/>
      </w:pPr>
      <w:r>
        <w:rPr>
          <w:rtl w:val="0"/>
          <w:lang w:val="en-US"/>
        </w:rPr>
        <w:t xml:space="preserve">Image History Project </w:t>
      </w:r>
    </w:p>
    <w:p>
      <w:pPr>
        <w:pStyle w:val="Body"/>
        <w:spacing w:line="360" w:lineRule="auto"/>
      </w:pPr>
    </w:p>
    <w:p>
      <w:pPr>
        <w:pStyle w:val="Body"/>
        <w:spacing w:line="360" w:lineRule="auto"/>
      </w:pPr>
      <w:r>
        <w:rPr>
          <w:rtl w:val="0"/>
          <w:lang w:val="en-US"/>
        </w:rPr>
        <w:t>When it came to picking a topic for this project I had to make sure to limit myself to make what I wanted to do manageable. There were many ways I would have been interested in pursuing further, there was a volume on botany in particular that looked fascinating. However, the high number of medical texts available led me to choose skeletons. I</w:t>
      </w:r>
      <w:r>
        <w:rPr>
          <w:rtl w:val="0"/>
          <w:lang w:val="en-US"/>
        </w:rPr>
        <w:t>’</w:t>
      </w:r>
      <w:r>
        <w:rPr>
          <w:rtl w:val="0"/>
          <w:lang w:val="en-US"/>
        </w:rPr>
        <w:t xml:space="preserve">ve always been interested in the history of medical science, and the medical movement the 18th and 19th centuries centred in Edinburgh has long been an area of interest to me. While I do know more about the criminal activities centring around corpse procurement than the production of medical texts, I took this as an opportunity to expand my knowledge base. </w:t>
      </w:r>
    </w:p>
    <w:p>
      <w:pPr>
        <w:pStyle w:val="Body"/>
        <w:spacing w:line="360" w:lineRule="auto"/>
      </w:pPr>
    </w:p>
    <w:p>
      <w:pPr>
        <w:pStyle w:val="Body"/>
        <w:spacing w:line="360" w:lineRule="auto"/>
      </w:pPr>
      <w:r>
        <w:rPr>
          <w:rtl w:val="0"/>
          <w:lang w:val="en-US"/>
        </w:rPr>
        <w:t xml:space="preserve">Initially I wanted to do the evolution of how skeletons were portrayed, from personifications of death and the complex lore that surrounded that, to the burgeoning clinical representations of the medical movement. This would have also allowed me to look at the differences in style when comparing woodcuts to copperplate engravings. To that end I looked through a small volume of copperplates that were based on woodcuts from the 1400s. In each image death was shown as being one or more skeletons surrounding a living person. The accompanying text seems to mostly view death as the great equalizer between the wealthy and poor. Often the living subject is so concerned with matters of the flesh, such as one image of a young girl picking out what jewelry to wear, that they are utterly unaware of death standing right beside them. </w:t>
      </w:r>
    </w:p>
    <w:p>
      <w:pPr>
        <w:pStyle w:val="Body"/>
        <w:spacing w:line="360" w:lineRule="auto"/>
      </w:pPr>
      <w:r>
        <w:rPr>
          <w:rtl w:val="0"/>
          <w:lang w:val="en-US"/>
        </w:rPr>
        <w:t xml:space="preserve"> It became apparent pretty quickly that the evolution of the use of skeletons was a bit ambitious for the time limit so I scaled back the scope of my topic. Instead I settled on anatomical skeletons only, with a focus on how the scale and perspective was translated from a three dimensional multilayered figure to the two dimensional plates. The best source I found on how this was done was actually in the preface of Tables of the Skeleton and Muscles of the Human Body, and an appreciation of the time put into accurately representing every detail is only heightened by discovering exactly how it was accomplished. Now most of the information I could find on William Cowper was about either Cowper</w:t>
      </w:r>
      <w:r>
        <w:rPr>
          <w:rtl w:val="0"/>
          <w:lang w:val="en-US"/>
        </w:rPr>
        <w:t>’</w:t>
      </w:r>
      <w:r>
        <w:rPr>
          <w:rtl w:val="0"/>
          <w:lang w:val="en-US"/>
        </w:rPr>
        <w:t>s gland or a scandal where he was accused of buying engravings then passing them off as his own. There was little to go on for how he modelled his skeleton, however considering that the medical movement was transplanted to Edinburgh from Leiden after Albinus published his extensively detailed work it is possible that he copied the method outlined by Albinus. I did enjoy looking into this background information since medical history is something I</w:t>
      </w:r>
      <w:r>
        <w:rPr>
          <w:rtl w:val="0"/>
          <w:lang w:val="en-US"/>
        </w:rPr>
        <w:t>’</w:t>
      </w:r>
      <w:r>
        <w:rPr>
          <w:rtl w:val="0"/>
          <w:lang w:val="en-US"/>
        </w:rPr>
        <w:t xml:space="preserve">ve always found fascinating, but I did tend to find out more information on the anatomists and artists themselves rather than their methods of execution. </w:t>
      </w:r>
    </w:p>
    <w:p>
      <w:pPr>
        <w:pStyle w:val="Body"/>
        <w:spacing w:line="360" w:lineRule="auto"/>
      </w:pPr>
    </w:p>
    <w:p>
      <w:pPr>
        <w:pStyle w:val="Body"/>
        <w:spacing w:line="360" w:lineRule="auto"/>
      </w:pPr>
      <w:r>
        <w:rPr>
          <w:rtl w:val="0"/>
          <w:lang w:val="en-US"/>
        </w:rPr>
        <w:t>When preparing for the presentation I practised speaking several times and attempted to write out detailed notes based on each practise run. As each run lasted over 11 minutes I edited the information I ended up using to fit within the parameters better. Personally I</w:t>
      </w:r>
      <w:r>
        <w:rPr>
          <w:rtl w:val="0"/>
          <w:lang w:val="en-US"/>
        </w:rPr>
        <w:t>’</w:t>
      </w:r>
      <w:r>
        <w:rPr>
          <w:rtl w:val="0"/>
          <w:lang w:val="en-US"/>
        </w:rPr>
        <w:t>m not comfortable using a script as I know that I</w:t>
      </w:r>
      <w:r>
        <w:rPr>
          <w:rtl w:val="0"/>
          <w:lang w:val="en-US"/>
        </w:rPr>
        <w:t>’</w:t>
      </w:r>
      <w:r>
        <w:rPr>
          <w:rtl w:val="0"/>
          <w:lang w:val="en-US"/>
        </w:rPr>
        <w:t>ll never stick to it exactly during the presentation itself and then if I lose my place it</w:t>
      </w:r>
      <w:r>
        <w:rPr>
          <w:rtl w:val="0"/>
          <w:lang w:val="en-US"/>
        </w:rPr>
        <w:t>’</w:t>
      </w:r>
      <w:r>
        <w:rPr>
          <w:rtl w:val="0"/>
          <w:lang w:val="en-US"/>
        </w:rPr>
        <w:t>s easy to miss bits of information. Normally I</w:t>
      </w:r>
      <w:r>
        <w:rPr>
          <w:rtl w:val="0"/>
          <w:lang w:val="en-US"/>
        </w:rPr>
        <w:t>’</w:t>
      </w:r>
      <w:r>
        <w:rPr>
          <w:rtl w:val="0"/>
          <w:lang w:val="en-US"/>
        </w:rPr>
        <w:t>ll have a single sheet with reminders and specific data points in the order I want to use them so that it</w:t>
      </w:r>
      <w:r>
        <w:rPr>
          <w:rtl w:val="0"/>
          <w:lang w:val="en-US"/>
        </w:rPr>
        <w:t>’</w:t>
      </w:r>
      <w:r>
        <w:rPr>
          <w:rtl w:val="0"/>
          <w:lang w:val="en-US"/>
        </w:rPr>
        <w:t xml:space="preserve">s easy to quickly glance and check each point while not looking down too often. As it happened there was a technological incompatibility that rendered improvisation necessary, which is something that tends to happen when using two different operating systems. </w:t>
      </w:r>
    </w:p>
    <w:p>
      <w:pPr>
        <w:pStyle w:val="Body"/>
        <w:spacing w:line="360" w:lineRule="auto"/>
      </w:pPr>
    </w:p>
    <w:p>
      <w:pPr>
        <w:pStyle w:val="Heading 3"/>
        <w:bidi w:val="0"/>
      </w:pPr>
      <w:r>
        <w:rPr>
          <w:rFonts w:cs="Arial Unicode MS" w:eastAsia="Arial Unicode MS"/>
          <w:rtl w:val="0"/>
          <w:lang w:val="en-US"/>
        </w:rPr>
        <w:t>Conclusion</w:t>
      </w:r>
    </w:p>
    <w:p>
      <w:pPr>
        <w:pStyle w:val="Body"/>
        <w:spacing w:line="360" w:lineRule="auto"/>
      </w:pPr>
    </w:p>
    <w:p>
      <w:pPr>
        <w:pStyle w:val="Body"/>
        <w:spacing w:line="360" w:lineRule="auto"/>
      </w:pPr>
      <w:r>
        <w:rPr>
          <w:rtl w:val="0"/>
          <w:lang w:val="en-US"/>
        </w:rPr>
        <w:t>Overall I enjoyed being able to utilize and handle so many different types of archival material. There is little opportunity for someone at the undergraduate level to use real versions of archival materials, that aren</w:t>
      </w:r>
      <w:r>
        <w:rPr>
          <w:rtl w:val="0"/>
          <w:lang w:val="en-US"/>
        </w:rPr>
        <w:t>’</w:t>
      </w:r>
      <w:r>
        <w:rPr>
          <w:rtl w:val="0"/>
          <w:lang w:val="en-US"/>
        </w:rPr>
        <w:t>t simply civil records, in my home province. Being able to do so was something I appreciate. However, when it came to writing out the actual assignments the inclusion of examples, such as the finding aid example, would have helped a lot. There were many times when I was unsure of how to structure the final draft, or how much detail I should provide. It may simply be a product of the difference between educational models in the U.K. vrs Canada, as I</w:t>
      </w:r>
      <w:r>
        <w:rPr>
          <w:rtl w:val="0"/>
          <w:lang w:val="en-US"/>
        </w:rPr>
        <w:t>’</w:t>
      </w:r>
      <w:r>
        <w:rPr>
          <w:rtl w:val="0"/>
          <w:lang w:val="en-US"/>
        </w:rPr>
        <w:t>ve noticed several differences over the course of the term that I</w:t>
      </w:r>
      <w:r>
        <w:rPr>
          <w:rtl w:val="0"/>
          <w:lang w:val="en-US"/>
        </w:rPr>
        <w:t>’</w:t>
      </w:r>
      <w:r>
        <w:rPr>
          <w:rtl w:val="0"/>
          <w:lang w:val="en-US"/>
        </w:rPr>
        <w:t xml:space="preserve">ve needed clarification on. </w:t>
      </w:r>
    </w:p>
    <w:sectPr>
      <w:headerReference w:type="default" r:id="rId5"/>
      <w:footerReference w:type="default" r:id="rId6"/>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Georgia">
    <w:charset w:val="00"/>
    <w:family w:val="roman"/>
    <w:pitch w:val="default"/>
  </w:font>
  <w:font w:name="Trebuchet MS">
    <w:charset w:val="00"/>
    <w:family w:val="roman"/>
    <w:pitch w:val="default"/>
  </w:font>
  <w:font w:name="Calibri">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ing">
    <w:name w:val="Heading"/>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36"/>
      <w:szCs w:val="36"/>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rPr>
  </w:style>
  <w:style w:type="paragraph" w:styleId="Heading 3">
    <w:name w:val="Heading 3"/>
    <w:next w:val="Body"/>
    <w:pPr>
      <w:keepNext w:val="1"/>
      <w:keepLines w:val="0"/>
      <w:pageBreakBefore w:val="0"/>
      <w:widowControl w:val="1"/>
      <w:pBdr>
        <w:top w:val="single" w:color="515151" w:sz="4" w:space="0" w:shadow="0" w:frame="0"/>
        <w:left w:val="nil"/>
        <w:bottom w:val="nil"/>
        <w:right w:val="nil"/>
      </w:pBdr>
      <w:shd w:val="clear" w:color="auto" w:fill="auto"/>
      <w:suppressAutoHyphens w:val="0"/>
      <w:bidi w:val="0"/>
      <w:spacing w:before="360" w:after="40" w:line="288" w:lineRule="auto"/>
      <w:ind w:left="0" w:right="0" w:firstLine="0"/>
      <w:jc w:val="left"/>
      <w:outlineLvl w:val="2"/>
    </w:pPr>
    <w:rPr>
      <w:rFonts w:ascii="Helvetica Neue" w:cs="Helvetica Neue" w:hAnsi="Helvetica Neue" w:eastAsia="Helvetica Neue"/>
      <w:b w:val="0"/>
      <w:bCs w:val="0"/>
      <w:i w:val="0"/>
      <w:iCs w:val="0"/>
      <w:caps w:val="0"/>
      <w:smallCaps w:val="0"/>
      <w:strike w:val="0"/>
      <w:dstrike w:val="0"/>
      <w:outline w:val="0"/>
      <w:color w:val="000000"/>
      <w:spacing w:val="5"/>
      <w:kern w:val="0"/>
      <w:position w:val="0"/>
      <w:sz w:val="28"/>
      <w:szCs w:val="28"/>
      <w:u w:val="none"/>
      <w:vertAlign w:val="baseline"/>
    </w:rPr>
  </w:style>
  <w:style w:type="paragraph" w:styleId="Subtitle">
    <w:name w:val="Sub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40"/>
      <w:szCs w:val="40"/>
      <w:u w:val="none"/>
      <w:vertAlign w:val="baseline"/>
      <w:lang w:val="en-US"/>
    </w:rPr>
  </w:style>
  <w:style w:type="character" w:styleId="Link">
    <w:name w:val="Link"/>
    <w:rPr>
      <w:u w:val="single"/>
    </w:rPr>
  </w:style>
  <w:style w:type="character" w:styleId="Hyperlink.0">
    <w:name w:val="Hyperlink.0"/>
    <w:basedOn w:val="Link"/>
    <w:next w:val="Hyperlink.0"/>
    <w:rPr>
      <w:u w:val="non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