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BD562C" w14:textId="4EB15D22" w:rsidR="002914F1" w:rsidRDefault="00000000">
      <w:pPr>
        <w:spacing w:after="40"/>
        <w:jc w:val="center"/>
      </w:pPr>
      <w:r>
        <w:rPr>
          <w:b/>
          <w:bCs/>
          <w:sz w:val="30"/>
          <w:szCs w:val="30"/>
        </w:rPr>
        <w:t>Integrated Security Governance for a Digital-First Bank</w:t>
      </w:r>
    </w:p>
    <w:p w14:paraId="5F90BD0C" w14:textId="38A474F0" w:rsidR="00F25E8C" w:rsidRDefault="00000000" w:rsidP="009B49F1">
      <w:pPr>
        <w:jc w:val="center"/>
        <w:rPr>
          <w:b/>
          <w:bCs/>
          <w:sz w:val="26"/>
          <w:szCs w:val="26"/>
        </w:rPr>
      </w:pPr>
      <w:r>
        <w:rPr>
          <w:b/>
          <w:bCs/>
          <w:sz w:val="26"/>
          <w:szCs w:val="26"/>
        </w:rPr>
        <w:t xml:space="preserve">A Comprehensive Framework for </w:t>
      </w:r>
      <w:r w:rsidR="00BA3894">
        <w:rPr>
          <w:b/>
          <w:bCs/>
          <w:sz w:val="26"/>
          <w:szCs w:val="26"/>
        </w:rPr>
        <w:t>Fin Sure</w:t>
      </w:r>
      <w:r>
        <w:rPr>
          <w:b/>
          <w:bCs/>
          <w:sz w:val="26"/>
          <w:szCs w:val="26"/>
        </w:rPr>
        <w:t xml:space="preserve"> Bank</w:t>
      </w:r>
    </w:p>
    <w:p w14:paraId="5C05A5FE" w14:textId="77777777" w:rsidR="00963213" w:rsidRDefault="00963213" w:rsidP="00963213">
      <w:pPr>
        <w:spacing w:after="40"/>
        <w:jc w:val="center"/>
      </w:pPr>
      <w:r>
        <w:t>ACCA7028 — Data Security, Governance and Compliance</w:t>
      </w:r>
    </w:p>
    <w:p w14:paraId="5FBDF317" w14:textId="77777777" w:rsidR="00963213" w:rsidRPr="00963213" w:rsidRDefault="00963213" w:rsidP="00963213">
      <w:pPr>
        <w:spacing w:after="40"/>
        <w:jc w:val="center"/>
        <w:rPr>
          <w:b/>
          <w:bCs/>
        </w:rPr>
      </w:pPr>
      <w:r w:rsidRPr="00963213">
        <w:rPr>
          <w:b/>
          <w:bCs/>
        </w:rPr>
        <w:t>MSc Cybersecurity and Digital Forensics | Submission: 29 April 2026</w:t>
      </w:r>
    </w:p>
    <w:p w14:paraId="63F135EF" w14:textId="3816B5D6" w:rsidR="00963213" w:rsidRDefault="00963213" w:rsidP="009B49F1">
      <w:pPr>
        <w:jc w:val="center"/>
        <w:rPr>
          <w:b/>
          <w:bCs/>
          <w:sz w:val="24"/>
          <w:szCs w:val="24"/>
        </w:rPr>
      </w:pPr>
    </w:p>
    <w:tbl>
      <w:tblPr>
        <w:tblStyle w:val="TableGrid"/>
        <w:tblW w:w="0" w:type="auto"/>
        <w:tblLook w:val="04A0" w:firstRow="1" w:lastRow="0" w:firstColumn="1" w:lastColumn="0" w:noHBand="0" w:noVBand="1"/>
      </w:tblPr>
      <w:tblGrid>
        <w:gridCol w:w="4508"/>
        <w:gridCol w:w="4508"/>
      </w:tblGrid>
      <w:tr w:rsidR="00082EA3" w14:paraId="1AAC7868" w14:textId="77777777" w:rsidTr="00082EA3">
        <w:trPr>
          <w:trHeight w:val="554"/>
        </w:trPr>
        <w:tc>
          <w:tcPr>
            <w:tcW w:w="4508" w:type="dxa"/>
          </w:tcPr>
          <w:p w14:paraId="3E6444C9" w14:textId="5FF54358" w:rsidR="00082EA3" w:rsidRPr="00082EA3" w:rsidRDefault="00082EA3" w:rsidP="00082EA3">
            <w:pPr>
              <w:rPr>
                <w:sz w:val="24"/>
                <w:szCs w:val="24"/>
              </w:rPr>
            </w:pPr>
            <w:r w:rsidRPr="00082EA3">
              <w:rPr>
                <w:sz w:val="32"/>
                <w:szCs w:val="32"/>
              </w:rPr>
              <w:t>Student Name</w:t>
            </w:r>
            <w:r w:rsidRPr="00082EA3">
              <w:rPr>
                <w:sz w:val="32"/>
                <w:szCs w:val="32"/>
              </w:rPr>
              <w:t>:</w:t>
            </w:r>
          </w:p>
        </w:tc>
        <w:tc>
          <w:tcPr>
            <w:tcW w:w="4508" w:type="dxa"/>
          </w:tcPr>
          <w:p w14:paraId="6EB990CF" w14:textId="77777777" w:rsidR="00082EA3" w:rsidRPr="00082EA3" w:rsidRDefault="00082EA3" w:rsidP="00082EA3">
            <w:pPr>
              <w:rPr>
                <w:sz w:val="32"/>
                <w:szCs w:val="32"/>
              </w:rPr>
            </w:pPr>
            <w:r w:rsidRPr="00082EA3">
              <w:rPr>
                <w:sz w:val="32"/>
                <w:szCs w:val="32"/>
              </w:rPr>
              <w:t>Hetvi Patel</w:t>
            </w:r>
          </w:p>
          <w:p w14:paraId="27AFB481" w14:textId="77777777" w:rsidR="00082EA3" w:rsidRPr="00082EA3" w:rsidRDefault="00082EA3" w:rsidP="009B49F1">
            <w:pPr>
              <w:jc w:val="center"/>
              <w:rPr>
                <w:sz w:val="24"/>
                <w:szCs w:val="24"/>
              </w:rPr>
            </w:pPr>
          </w:p>
        </w:tc>
      </w:tr>
      <w:tr w:rsidR="00082EA3" w14:paraId="02E2C1F3" w14:textId="77777777" w:rsidTr="00082EA3">
        <w:trPr>
          <w:trHeight w:val="548"/>
        </w:trPr>
        <w:tc>
          <w:tcPr>
            <w:tcW w:w="4508" w:type="dxa"/>
          </w:tcPr>
          <w:p w14:paraId="6593E274" w14:textId="76325BA5" w:rsidR="00082EA3" w:rsidRPr="00082EA3" w:rsidRDefault="00082EA3" w:rsidP="00082EA3">
            <w:pPr>
              <w:rPr>
                <w:sz w:val="24"/>
                <w:szCs w:val="24"/>
              </w:rPr>
            </w:pPr>
            <w:r w:rsidRPr="00082EA3">
              <w:rPr>
                <w:sz w:val="32"/>
                <w:szCs w:val="32"/>
              </w:rPr>
              <w:t>Student ID</w:t>
            </w:r>
            <w:r w:rsidRPr="00082EA3">
              <w:rPr>
                <w:sz w:val="32"/>
                <w:szCs w:val="32"/>
              </w:rPr>
              <w:t>:</w:t>
            </w:r>
          </w:p>
        </w:tc>
        <w:tc>
          <w:tcPr>
            <w:tcW w:w="4508" w:type="dxa"/>
          </w:tcPr>
          <w:p w14:paraId="2AF26C46" w14:textId="77777777" w:rsidR="00082EA3" w:rsidRPr="00082EA3" w:rsidRDefault="00082EA3" w:rsidP="00082EA3">
            <w:pPr>
              <w:rPr>
                <w:sz w:val="32"/>
                <w:szCs w:val="32"/>
              </w:rPr>
            </w:pPr>
            <w:r w:rsidRPr="00082EA3">
              <w:rPr>
                <w:sz w:val="32"/>
                <w:szCs w:val="32"/>
              </w:rPr>
              <w:t>2529465</w:t>
            </w:r>
          </w:p>
          <w:p w14:paraId="75637094" w14:textId="77777777" w:rsidR="00082EA3" w:rsidRDefault="00082EA3" w:rsidP="009B49F1">
            <w:pPr>
              <w:jc w:val="center"/>
              <w:rPr>
                <w:b/>
                <w:bCs/>
                <w:sz w:val="24"/>
                <w:szCs w:val="24"/>
              </w:rPr>
            </w:pPr>
          </w:p>
        </w:tc>
      </w:tr>
      <w:tr w:rsidR="00082EA3" w14:paraId="5236A681" w14:textId="77777777" w:rsidTr="00082EA3">
        <w:trPr>
          <w:trHeight w:val="824"/>
        </w:trPr>
        <w:tc>
          <w:tcPr>
            <w:tcW w:w="4508" w:type="dxa"/>
          </w:tcPr>
          <w:p w14:paraId="50373535" w14:textId="66A08391" w:rsidR="00082EA3" w:rsidRPr="00082EA3" w:rsidRDefault="00082EA3" w:rsidP="00082EA3">
            <w:pPr>
              <w:rPr>
                <w:sz w:val="24"/>
                <w:szCs w:val="24"/>
              </w:rPr>
            </w:pPr>
            <w:r>
              <w:rPr>
                <w:sz w:val="32"/>
                <w:szCs w:val="32"/>
              </w:rPr>
              <w:t>Module:</w:t>
            </w:r>
          </w:p>
        </w:tc>
        <w:tc>
          <w:tcPr>
            <w:tcW w:w="4508" w:type="dxa"/>
          </w:tcPr>
          <w:p w14:paraId="0C9C3964" w14:textId="77777777" w:rsidR="00082EA3" w:rsidRPr="00082EA3" w:rsidRDefault="00082EA3" w:rsidP="00082EA3">
            <w:pPr>
              <w:rPr>
                <w:sz w:val="28"/>
                <w:szCs w:val="28"/>
              </w:rPr>
            </w:pPr>
            <w:r w:rsidRPr="00082EA3">
              <w:rPr>
                <w:sz w:val="28"/>
                <w:szCs w:val="28"/>
              </w:rPr>
              <w:t>Data Security, Governance and Compliance</w:t>
            </w:r>
          </w:p>
          <w:p w14:paraId="7101195B" w14:textId="77777777" w:rsidR="00082EA3" w:rsidRDefault="00082EA3" w:rsidP="009B49F1">
            <w:pPr>
              <w:jc w:val="center"/>
              <w:rPr>
                <w:b/>
                <w:bCs/>
                <w:sz w:val="24"/>
                <w:szCs w:val="24"/>
              </w:rPr>
            </w:pPr>
          </w:p>
        </w:tc>
      </w:tr>
      <w:tr w:rsidR="00082EA3" w14:paraId="0352C0A3" w14:textId="77777777" w:rsidTr="00082EA3">
        <w:trPr>
          <w:trHeight w:val="549"/>
        </w:trPr>
        <w:tc>
          <w:tcPr>
            <w:tcW w:w="4508" w:type="dxa"/>
          </w:tcPr>
          <w:p w14:paraId="159E72D1" w14:textId="1A0B634C" w:rsidR="00082EA3" w:rsidRPr="00082EA3" w:rsidRDefault="00082EA3" w:rsidP="00082EA3">
            <w:pPr>
              <w:rPr>
                <w:sz w:val="24"/>
                <w:szCs w:val="24"/>
              </w:rPr>
            </w:pPr>
            <w:r w:rsidRPr="00082EA3">
              <w:rPr>
                <w:sz w:val="32"/>
                <w:szCs w:val="32"/>
              </w:rPr>
              <w:t>Module code:</w:t>
            </w:r>
          </w:p>
        </w:tc>
        <w:tc>
          <w:tcPr>
            <w:tcW w:w="4508" w:type="dxa"/>
          </w:tcPr>
          <w:p w14:paraId="7AA76821" w14:textId="26333C23" w:rsidR="00082EA3" w:rsidRPr="00082EA3" w:rsidRDefault="00082EA3" w:rsidP="00082EA3">
            <w:pPr>
              <w:rPr>
                <w:sz w:val="32"/>
                <w:szCs w:val="32"/>
              </w:rPr>
            </w:pPr>
            <w:r>
              <w:rPr>
                <w:sz w:val="32"/>
                <w:szCs w:val="32"/>
              </w:rPr>
              <w:t>ACCA7028</w:t>
            </w:r>
          </w:p>
        </w:tc>
      </w:tr>
    </w:tbl>
    <w:p w14:paraId="74A01CA3" w14:textId="28FE0ECD" w:rsidR="002914F1" w:rsidRDefault="009B49F1" w:rsidP="00082EA3">
      <w:pPr>
        <w:jc w:val="center"/>
      </w:pPr>
      <w:r w:rsidRPr="009B49F1">
        <w:rPr>
          <w:b/>
          <w:bCs/>
          <w:sz w:val="24"/>
          <w:szCs w:val="24"/>
        </w:rPr>
        <w:t xml:space="preserve"> </w:t>
      </w:r>
    </w:p>
    <w:p w14:paraId="3D7781E4" w14:textId="77777777" w:rsidR="002914F1" w:rsidRPr="005734D0" w:rsidRDefault="00000000" w:rsidP="005734D0">
      <w:pPr>
        <w:spacing w:before="80" w:after="60"/>
        <w:rPr>
          <w:sz w:val="28"/>
          <w:szCs w:val="28"/>
        </w:rPr>
      </w:pPr>
      <w:r w:rsidRPr="005734D0">
        <w:rPr>
          <w:b/>
          <w:bCs/>
          <w:sz w:val="28"/>
          <w:szCs w:val="28"/>
        </w:rPr>
        <w:t>Abstract</w:t>
      </w:r>
    </w:p>
    <w:p w14:paraId="3079FF17" w14:textId="6A2338D6" w:rsidR="002914F1" w:rsidRDefault="007B79DC" w:rsidP="009B49F1">
      <w:pPr>
        <w:spacing w:before="60" w:after="80"/>
        <w:jc w:val="both"/>
      </w:pPr>
      <w:r>
        <w:t xml:space="preserve">Background: FinSure Bank (FSB) is nearly entirely on a cloud-hosted platform as it </w:t>
      </w:r>
      <w:r w:rsidR="005734D0">
        <w:t>expands internationally and implements Bring Your Own Device (BYOD) policies,</w:t>
      </w:r>
      <w:r>
        <w:t xml:space="preserve"> without a single governance model. Purpose: </w:t>
      </w:r>
      <w:r w:rsidR="005734D0">
        <w:t xml:space="preserve">The report proposes a phased, integrated security model based on </w:t>
      </w:r>
      <w:r>
        <w:t>ISO/IEC 27001:2022, ITIL 4, and Zero Trust Architecture (ZTA). Findings: With the help of a comprehensive A to Z roadmap, FSB can turn its disjointed security posture into a quantifiable, resilient, and GDPR-compliant capability by aligning the governance with the Digital Operational Resilience Act (DORA) and GDPR. The ongoing development of standards is demonstrated to be a strategic requirement as opposed to an administrative liability.</w:t>
      </w:r>
    </w:p>
    <w:p w14:paraId="44AC57CF" w14:textId="497A1877" w:rsidR="002914F1" w:rsidRPr="005734D0" w:rsidRDefault="00000000" w:rsidP="005734D0">
      <w:pPr>
        <w:spacing w:before="300" w:after="120"/>
        <w:rPr>
          <w:sz w:val="28"/>
          <w:szCs w:val="28"/>
        </w:rPr>
      </w:pPr>
      <w:r w:rsidRPr="005734D0">
        <w:rPr>
          <w:b/>
          <w:bCs/>
          <w:sz w:val="28"/>
          <w:szCs w:val="28"/>
        </w:rPr>
        <w:t>I. INTRODUCTION</w:t>
      </w:r>
    </w:p>
    <w:p w14:paraId="50B54CDA" w14:textId="2B0F5E56" w:rsidR="007B79DC" w:rsidRDefault="007B79DC" w:rsidP="007B79DC">
      <w:pPr>
        <w:spacing w:before="60" w:after="80"/>
        <w:jc w:val="both"/>
      </w:pPr>
      <w:r>
        <w:t xml:space="preserve">In 2026, the global financial sector will be dominated by the fast-moving trend towards cloud-native, distributed banking ecosystems. In the case of a digital-first </w:t>
      </w:r>
      <w:r w:rsidR="005734D0">
        <w:t>organisation</w:t>
      </w:r>
      <w:r>
        <w:t xml:space="preserve"> like FSB — where more than 90 </w:t>
      </w:r>
      <w:r w:rsidR="005734D0">
        <w:t>per cent</w:t>
      </w:r>
      <w:r>
        <w:t xml:space="preserve"> of its infrastructure is hosted off-premises — this agility is a commercial necessity that dramatically increases the area of attack. According to the World Economic Forum (2025), credential-harvesting attacks against financial services have increased by 91% in the previous year, and AI-enhanced phishing has reduced the entry barrier of entry-level threat actors by a significant margin.</w:t>
      </w:r>
      <w:r w:rsidR="005734D0">
        <w:t xml:space="preserve"> </w:t>
      </w:r>
      <w:r>
        <w:t xml:space="preserve">The FSB is in a critically bad state of its current posture: it lacks an integrated Information Security Management System (ISMS), </w:t>
      </w:r>
      <w:r w:rsidR="005734D0">
        <w:t>a</w:t>
      </w:r>
      <w:r>
        <w:t xml:space="preserve"> formal risk management process, and no formal compliance audits. This fragmentation is a short-term institutional threat because the pressure to integrate BYOD workflows and expand across various regulatory jurisdictions is present simultaneously.</w:t>
      </w:r>
      <w:r w:rsidR="005734D0">
        <w:t xml:space="preserve"> </w:t>
      </w:r>
      <w:r>
        <w:t>Assumptions: FSB is subject to the EU/UK GDPR. There is no existing CISO</w:t>
      </w:r>
      <w:r w:rsidR="005734D0">
        <w:t>,</w:t>
      </w:r>
      <w:r>
        <w:t xml:space="preserve"> but it is suggested. AWS, Azure, and GCP have cloud infrastructure that is shared in shared responsibility models. BYOD is applicable to all employees and subcontractors.</w:t>
      </w:r>
    </w:p>
    <w:p w14:paraId="56655C33" w14:textId="644852A4" w:rsidR="002914F1" w:rsidRDefault="007B79DC" w:rsidP="009B49F1">
      <w:pPr>
        <w:spacing w:before="60" w:after="80"/>
        <w:jc w:val="both"/>
      </w:pPr>
      <w:r>
        <w:t xml:space="preserve">The paper is </w:t>
      </w:r>
      <w:r w:rsidR="005734D0">
        <w:t>organised</w:t>
      </w:r>
      <w:r>
        <w:t xml:space="preserve"> in the following way: Section II is a survey of the relevant frameworks; Section III is the development of the </w:t>
      </w:r>
      <w:r w:rsidR="005734D0">
        <w:t>customised</w:t>
      </w:r>
      <w:r>
        <w:t xml:space="preserve"> governance design of FSB; Section IV critically examines the necessity of the changing standards; Section V is about contingency planning; and finally, Section VI concludes.</w:t>
      </w:r>
    </w:p>
    <w:p w14:paraId="098EEC18" w14:textId="616D46CD" w:rsidR="002914F1" w:rsidRPr="009B49F1" w:rsidRDefault="00000000">
      <w:pPr>
        <w:spacing w:before="300" w:after="120"/>
        <w:rPr>
          <w:sz w:val="28"/>
          <w:szCs w:val="28"/>
        </w:rPr>
      </w:pPr>
      <w:r w:rsidRPr="009B49F1">
        <w:rPr>
          <w:b/>
          <w:bCs/>
          <w:sz w:val="28"/>
          <w:szCs w:val="28"/>
        </w:rPr>
        <w:t>II.</w:t>
      </w:r>
      <w:r w:rsidR="00AD6FD7" w:rsidRPr="009B49F1">
        <w:rPr>
          <w:b/>
          <w:bCs/>
          <w:sz w:val="28"/>
          <w:szCs w:val="28"/>
        </w:rPr>
        <w:t>MODEL AND FRAMEWORK</w:t>
      </w:r>
      <w:r w:rsidRPr="009B49F1">
        <w:rPr>
          <w:b/>
          <w:bCs/>
          <w:sz w:val="28"/>
          <w:szCs w:val="28"/>
        </w:rPr>
        <w:t xml:space="preserve"> RESEARCH</w:t>
      </w:r>
    </w:p>
    <w:p w14:paraId="4484C0DD" w14:textId="77777777" w:rsidR="007B79DC" w:rsidRDefault="007B79DC" w:rsidP="007B79DC">
      <w:pPr>
        <w:spacing w:before="40" w:after="40"/>
      </w:pPr>
      <w:r>
        <w:t>A. ISO/IEC 27001:2022 Information Security Management System.</w:t>
      </w:r>
    </w:p>
    <w:p w14:paraId="65B0EE1F" w14:textId="33809F99" w:rsidR="007B79DC" w:rsidRDefault="007B79DC" w:rsidP="005734D0">
      <w:pPr>
        <w:spacing w:before="40" w:after="40"/>
        <w:jc w:val="both"/>
      </w:pPr>
      <w:r>
        <w:t xml:space="preserve">The internationally agreed standard of the entire lifecycle management of an ISMS is ISO/IEC 27001:2022. The 2022 update standardises 114 controls into 93 controls, rearranged into four thematic </w:t>
      </w:r>
      <w:r>
        <w:lastRenderedPageBreak/>
        <w:t>areas, including Organisational (37), People (8), Physical (14), and Technological (34) controls [1]. New cloud security (A.5.23), threat intelligence (A.5.7), and data masking (A.8.11) controls directly apply to the environment of FSB.</w:t>
      </w:r>
      <w:r w:rsidR="005734D0">
        <w:t xml:space="preserve"> </w:t>
      </w:r>
      <w:r>
        <w:t>It is based on the CIA Triad, which is Confidentiality, Integrity and Availability, and is operationalised by a Plan-Do-Check-Act (PDSA) cycle of continuous improvement. More importantly, ISO 27001 is risk-based: the controls should be applied to the context and threat profile of an organisation in particular, but not in general. Additional standards ISO/IEC 27017 (cloud security controls) and ISO/IEC 27018 (PII in public cloud) apply the framework to the infrastructure profile of FSB [2], [3].</w:t>
      </w:r>
    </w:p>
    <w:p w14:paraId="612DF8DE" w14:textId="47A92B67" w:rsidR="002914F1" w:rsidRDefault="00306F95">
      <w:pPr>
        <w:spacing w:before="120" w:after="40"/>
        <w:jc w:val="center"/>
      </w:pPr>
      <w:r w:rsidRPr="00306F95">
        <w:drawing>
          <wp:inline distT="0" distB="0" distL="0" distR="0" wp14:anchorId="3FF2FB37" wp14:editId="1FBC714F">
            <wp:extent cx="5731510" cy="4310380"/>
            <wp:effectExtent l="0" t="0" r="0" b="0"/>
            <wp:docPr id="2894350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435042" name=""/>
                    <pic:cNvPicPr/>
                  </pic:nvPicPr>
                  <pic:blipFill>
                    <a:blip r:embed="rId6"/>
                    <a:stretch>
                      <a:fillRect/>
                    </a:stretch>
                  </pic:blipFill>
                  <pic:spPr>
                    <a:xfrm>
                      <a:off x="0" y="0"/>
                      <a:ext cx="5731510" cy="4310380"/>
                    </a:xfrm>
                    <a:prstGeom prst="rect">
                      <a:avLst/>
                    </a:prstGeom>
                  </pic:spPr>
                </pic:pic>
              </a:graphicData>
            </a:graphic>
          </wp:inline>
        </w:drawing>
      </w:r>
    </w:p>
    <w:p w14:paraId="010D3461" w14:textId="50AF389E" w:rsidR="001A08DA" w:rsidRPr="00AD6C52" w:rsidRDefault="001A08DA">
      <w:pPr>
        <w:spacing w:before="120" w:after="40"/>
        <w:jc w:val="center"/>
        <w:rPr>
          <w:b/>
          <w:bCs/>
        </w:rPr>
      </w:pPr>
      <w:r w:rsidRPr="00AD6C52">
        <w:rPr>
          <w:b/>
          <w:bCs/>
        </w:rPr>
        <w:t>Figure1:ISO/IEC 27001:2022 Plan-Do-Check-Act(PDCA)Cycle</w:t>
      </w:r>
    </w:p>
    <w:p w14:paraId="1A52F643" w14:textId="77777777" w:rsidR="002914F1" w:rsidRPr="005734D0" w:rsidRDefault="00000000">
      <w:pPr>
        <w:spacing w:before="200" w:after="80"/>
      </w:pPr>
      <w:r w:rsidRPr="005734D0">
        <w:rPr>
          <w:b/>
          <w:bCs/>
        </w:rPr>
        <w:t>B. ITIL 4 — Service Value System</w:t>
      </w:r>
    </w:p>
    <w:p w14:paraId="229E4949" w14:textId="447A8532" w:rsidR="007B79DC" w:rsidRDefault="007B79DC" w:rsidP="005734D0">
      <w:pPr>
        <w:spacing w:before="40" w:after="40"/>
        <w:jc w:val="both"/>
      </w:pPr>
      <w:r>
        <w:t>Whereas ISO 27001 specifies the attributes of security governance, ITIL 4 offers the discipline to operationally provide security as a service that is both consistent and measurable. ITIL 4 proposes a new holistic model, the Service Value System (SVS)</w:t>
      </w:r>
      <w:r w:rsidR="005734D0">
        <w:t>,</w:t>
      </w:r>
      <w:r>
        <w:t xml:space="preserve"> that includes five elements: Guiding Principles, Governance, Service Value Chain (SVC), Practices, and Continual Improvement [4]. ITIL 4, as opposed to its predecessor, is co-design oriented and non-prescriptive, which makes it suitable in the changing cloud-native environment of FSB.</w:t>
      </w:r>
      <w:r w:rsidR="005734D0">
        <w:t xml:space="preserve"> </w:t>
      </w:r>
      <w:r>
        <w:t xml:space="preserve">Most specifically, the following practices are relevant: Information Security Management, which regulates confidentiality, integrity, and availability of information assets; Incident Management, which offers systematic procedures of breach detection and </w:t>
      </w:r>
      <w:r w:rsidR="005734D0">
        <w:t>prioritisation</w:t>
      </w:r>
      <w:r>
        <w:t>; Change Enablement, which integrates the practice of security review into all system changes in direct implementation of ISO 27001 Annex A control A.8.32 [4].</w:t>
      </w:r>
    </w:p>
    <w:p w14:paraId="3DAB2D36" w14:textId="77777777" w:rsidR="002914F1" w:rsidRPr="005734D0" w:rsidRDefault="00000000">
      <w:pPr>
        <w:spacing w:before="200" w:after="80"/>
        <w:rPr>
          <w:b/>
          <w:bCs/>
        </w:rPr>
      </w:pPr>
      <w:r w:rsidRPr="005734D0">
        <w:rPr>
          <w:b/>
          <w:bCs/>
        </w:rPr>
        <w:t>C. Zero Trust Architecture (NIST SP 800-207)</w:t>
      </w:r>
    </w:p>
    <w:p w14:paraId="68A84690" w14:textId="4B155AA6" w:rsidR="00AD6FD7" w:rsidRDefault="00AD6FD7" w:rsidP="005734D0">
      <w:pPr>
        <w:spacing w:before="60" w:after="80"/>
        <w:jc w:val="both"/>
      </w:pPr>
      <w:r>
        <w:t>Zero Trust Architecture (ZTA)</w:t>
      </w:r>
      <w:r w:rsidR="005734D0">
        <w:t>,</w:t>
      </w:r>
      <w:r>
        <w:t xml:space="preserve"> as formalised by NIST SP 800-207</w:t>
      </w:r>
      <w:r w:rsidR="005734D0">
        <w:t>,</w:t>
      </w:r>
      <w:r>
        <w:t xml:space="preserve"> is based on the assumption that no user, device or network segment should be automatically trusted, regardless of its position with respect to any organisational frontier [5]. It is operationally critical to FSB: the conventional perimeter security paradigm is disintegrated by cloud-first operations, remote force, and BYOD access patterns. ZTA </w:t>
      </w:r>
      <w:r>
        <w:lastRenderedPageBreak/>
        <w:t>requires that identity and device health be verified continuously, least-privilege access control, and sensitive resource micro-segmentation.</w:t>
      </w:r>
    </w:p>
    <w:p w14:paraId="6BC1033B" w14:textId="77777777" w:rsidR="002914F1" w:rsidRPr="005734D0" w:rsidRDefault="00000000">
      <w:pPr>
        <w:spacing w:before="200" w:after="80"/>
      </w:pPr>
      <w:r w:rsidRPr="005734D0">
        <w:rPr>
          <w:b/>
          <w:bCs/>
        </w:rPr>
        <w:t>D. Synergistic Integration</w:t>
      </w:r>
    </w:p>
    <w:p w14:paraId="05568543" w14:textId="663E99A7" w:rsidR="002914F1" w:rsidRDefault="007B79DC" w:rsidP="005734D0">
      <w:pPr>
        <w:spacing w:before="60" w:after="80"/>
        <w:jc w:val="both"/>
      </w:pPr>
      <w:r>
        <w:t xml:space="preserve">These frameworks do not exclude each other but complement each other. The rules are provided by ISO 27001, the governance architecture, the what and why, and ITIL 4 provides the how in the form of consistent, auditable service management. ZTA offers the technical philosophy upon which they are based. The combination of the two forms a compliance-by-design stance where security is incorporated into the operations of FSB as opposed to an </w:t>
      </w:r>
      <w:r w:rsidR="005734D0">
        <w:t>afterthought</w:t>
      </w:r>
      <w:r>
        <w:t xml:space="preserve"> application. The six-function taxonomy of NIST CSF 2.0 (Govern, Identify, Protect, Detect, Respond, Recover) offers a vocabulary that remaps the entire three [6].</w:t>
      </w:r>
    </w:p>
    <w:p w14:paraId="607528BF" w14:textId="77777777" w:rsidR="002B43C6" w:rsidRDefault="002B43C6" w:rsidP="005734D0">
      <w:pPr>
        <w:spacing w:before="60" w:after="80"/>
        <w:jc w:val="both"/>
      </w:pPr>
    </w:p>
    <w:tbl>
      <w:tblPr>
        <w:tblStyle w:val="GridTable4-Accent3"/>
        <w:tblW w:w="8923" w:type="dxa"/>
        <w:tblLook w:val="04A0" w:firstRow="1" w:lastRow="0" w:firstColumn="1" w:lastColumn="0" w:noHBand="0" w:noVBand="1"/>
      </w:tblPr>
      <w:tblGrid>
        <w:gridCol w:w="2131"/>
        <w:gridCol w:w="2107"/>
        <w:gridCol w:w="2553"/>
        <w:gridCol w:w="2132"/>
      </w:tblGrid>
      <w:tr w:rsidR="002B43C6" w14:paraId="692EE0F3" w14:textId="77777777" w:rsidTr="002B6E44">
        <w:trPr>
          <w:cnfStyle w:val="100000000000" w:firstRow="1" w:lastRow="0" w:firstColumn="0" w:lastColumn="0" w:oddVBand="0" w:evenVBand="0" w:oddHBand="0" w:evenHBand="0" w:firstRowFirstColumn="0" w:firstRowLastColumn="0" w:lastRowFirstColumn="0" w:lastRowLastColumn="0"/>
          <w:trHeight w:val="656"/>
        </w:trPr>
        <w:tc>
          <w:tcPr>
            <w:cnfStyle w:val="001000000000" w:firstRow="0" w:lastRow="0" w:firstColumn="1" w:lastColumn="0" w:oddVBand="0" w:evenVBand="0" w:oddHBand="0" w:evenHBand="0" w:firstRowFirstColumn="0" w:firstRowLastColumn="0" w:lastRowFirstColumn="0" w:lastRowLastColumn="0"/>
            <w:tcW w:w="2131" w:type="dxa"/>
          </w:tcPr>
          <w:p w14:paraId="701FFACE" w14:textId="1E4D62CA" w:rsidR="002B43C6" w:rsidRPr="002B43C6" w:rsidRDefault="002B43C6" w:rsidP="005734D0">
            <w:pPr>
              <w:spacing w:before="60" w:after="80"/>
              <w:jc w:val="both"/>
              <w:rPr>
                <w:b w:val="0"/>
                <w:bCs w:val="0"/>
              </w:rPr>
            </w:pPr>
            <w:r w:rsidRPr="002B43C6">
              <w:rPr>
                <w:b w:val="0"/>
                <w:bCs w:val="0"/>
              </w:rPr>
              <w:t>FRAMEWORK</w:t>
            </w:r>
          </w:p>
        </w:tc>
        <w:tc>
          <w:tcPr>
            <w:tcW w:w="2107" w:type="dxa"/>
          </w:tcPr>
          <w:p w14:paraId="1A9E0FC8" w14:textId="77777777" w:rsidR="002B43C6" w:rsidRPr="002B43C6" w:rsidRDefault="002B43C6" w:rsidP="005734D0">
            <w:pPr>
              <w:spacing w:before="60" w:after="80"/>
              <w:jc w:val="both"/>
              <w:cnfStyle w:val="100000000000" w:firstRow="1" w:lastRow="0" w:firstColumn="0" w:lastColumn="0" w:oddVBand="0" w:evenVBand="0" w:oddHBand="0" w:evenHBand="0" w:firstRowFirstColumn="0" w:firstRowLastColumn="0" w:lastRowFirstColumn="0" w:lastRowLastColumn="0"/>
              <w:rPr>
                <w:b w:val="0"/>
                <w:bCs w:val="0"/>
              </w:rPr>
            </w:pPr>
            <w:r w:rsidRPr="002B43C6">
              <w:rPr>
                <w:b w:val="0"/>
                <w:bCs w:val="0"/>
              </w:rPr>
              <w:t>PRIMARY FOCUS</w:t>
            </w:r>
          </w:p>
          <w:p w14:paraId="15E5AD72" w14:textId="6853445F" w:rsidR="002B43C6" w:rsidRPr="002B43C6" w:rsidRDefault="002B43C6" w:rsidP="005734D0">
            <w:pPr>
              <w:spacing w:before="60" w:after="80"/>
              <w:jc w:val="both"/>
              <w:cnfStyle w:val="100000000000" w:firstRow="1" w:lastRow="0" w:firstColumn="0" w:lastColumn="0" w:oddVBand="0" w:evenVBand="0" w:oddHBand="0" w:evenHBand="0" w:firstRowFirstColumn="0" w:firstRowLastColumn="0" w:lastRowFirstColumn="0" w:lastRowLastColumn="0"/>
              <w:rPr>
                <w:b w:val="0"/>
                <w:bCs w:val="0"/>
              </w:rPr>
            </w:pPr>
          </w:p>
        </w:tc>
        <w:tc>
          <w:tcPr>
            <w:tcW w:w="2553" w:type="dxa"/>
          </w:tcPr>
          <w:p w14:paraId="273BA497" w14:textId="48B42C14" w:rsidR="002B43C6" w:rsidRPr="002B43C6" w:rsidRDefault="002B43C6" w:rsidP="005734D0">
            <w:pPr>
              <w:spacing w:before="60" w:after="80"/>
              <w:jc w:val="both"/>
              <w:cnfStyle w:val="100000000000" w:firstRow="1" w:lastRow="0" w:firstColumn="0" w:lastColumn="0" w:oddVBand="0" w:evenVBand="0" w:oddHBand="0" w:evenHBand="0" w:firstRowFirstColumn="0" w:firstRowLastColumn="0" w:lastRowFirstColumn="0" w:lastRowLastColumn="0"/>
              <w:rPr>
                <w:b w:val="0"/>
                <w:bCs w:val="0"/>
              </w:rPr>
            </w:pPr>
            <w:r w:rsidRPr="002B43C6">
              <w:rPr>
                <w:b w:val="0"/>
                <w:bCs w:val="0"/>
              </w:rPr>
              <w:t>SCOPE</w:t>
            </w:r>
          </w:p>
        </w:tc>
        <w:tc>
          <w:tcPr>
            <w:tcW w:w="2132" w:type="dxa"/>
          </w:tcPr>
          <w:p w14:paraId="3625F4D8" w14:textId="369795B1" w:rsidR="002B43C6" w:rsidRPr="002B43C6" w:rsidRDefault="002B43C6" w:rsidP="005734D0">
            <w:pPr>
              <w:spacing w:before="60" w:after="80"/>
              <w:jc w:val="both"/>
              <w:cnfStyle w:val="100000000000" w:firstRow="1" w:lastRow="0" w:firstColumn="0" w:lastColumn="0" w:oddVBand="0" w:evenVBand="0" w:oddHBand="0" w:evenHBand="0" w:firstRowFirstColumn="0" w:firstRowLastColumn="0" w:lastRowFirstColumn="0" w:lastRowLastColumn="0"/>
              <w:rPr>
                <w:b w:val="0"/>
                <w:bCs w:val="0"/>
              </w:rPr>
            </w:pPr>
            <w:r w:rsidRPr="002B43C6">
              <w:rPr>
                <w:b w:val="0"/>
                <w:bCs w:val="0"/>
              </w:rPr>
              <w:t>RELEVANCE TO FSB</w:t>
            </w:r>
          </w:p>
        </w:tc>
      </w:tr>
      <w:tr w:rsidR="002B43C6" w14:paraId="7CFE2256" w14:textId="77777777" w:rsidTr="002B6E44">
        <w:trPr>
          <w:cnfStyle w:val="000000100000" w:firstRow="0" w:lastRow="0" w:firstColumn="0" w:lastColumn="0" w:oddVBand="0" w:evenVBand="0" w:oddHBand="1" w:evenHBand="0" w:firstRowFirstColumn="0" w:firstRowLastColumn="0" w:lastRowFirstColumn="0" w:lastRowLastColumn="0"/>
          <w:trHeight w:val="1283"/>
        </w:trPr>
        <w:tc>
          <w:tcPr>
            <w:cnfStyle w:val="001000000000" w:firstRow="0" w:lastRow="0" w:firstColumn="1" w:lastColumn="0" w:oddVBand="0" w:evenVBand="0" w:oddHBand="0" w:evenHBand="0" w:firstRowFirstColumn="0" w:firstRowLastColumn="0" w:lastRowFirstColumn="0" w:lastRowLastColumn="0"/>
            <w:tcW w:w="2131" w:type="dxa"/>
          </w:tcPr>
          <w:p w14:paraId="4678CC5A" w14:textId="49A0C51A" w:rsidR="002B43C6" w:rsidRDefault="002B43C6" w:rsidP="005734D0">
            <w:pPr>
              <w:spacing w:before="60" w:after="80"/>
              <w:jc w:val="both"/>
            </w:pPr>
            <w:r w:rsidRPr="002B43C6">
              <w:t>ISO/IEC 27001:2022</w:t>
            </w:r>
          </w:p>
        </w:tc>
        <w:tc>
          <w:tcPr>
            <w:tcW w:w="2107" w:type="dxa"/>
          </w:tcPr>
          <w:p w14:paraId="23447F20" w14:textId="7F338DCD" w:rsidR="002B43C6" w:rsidRDefault="002B43C6" w:rsidP="00F25E8C">
            <w:pPr>
              <w:spacing w:before="60" w:after="80"/>
              <w:cnfStyle w:val="000000100000" w:firstRow="0" w:lastRow="0" w:firstColumn="0" w:lastColumn="0" w:oddVBand="0" w:evenVBand="0" w:oddHBand="1" w:evenHBand="0" w:firstRowFirstColumn="0" w:firstRowLastColumn="0" w:lastRowFirstColumn="0" w:lastRowLastColumn="0"/>
            </w:pPr>
            <w:r w:rsidRPr="002B43C6">
              <w:t>Risk</w:t>
            </w:r>
            <w:r w:rsidRPr="002B43C6">
              <w:noBreakHyphen/>
              <w:t>based</w:t>
            </w:r>
            <w:r>
              <w:t xml:space="preserve"> </w:t>
            </w:r>
            <w:r w:rsidRPr="002B43C6">
              <w:t>ISMS governance</w:t>
            </w:r>
          </w:p>
        </w:tc>
        <w:tc>
          <w:tcPr>
            <w:tcW w:w="2553" w:type="dxa"/>
          </w:tcPr>
          <w:p w14:paraId="15CDADB8" w14:textId="199E5F83" w:rsidR="002B43C6" w:rsidRDefault="002B43C6" w:rsidP="00F25E8C">
            <w:pPr>
              <w:spacing w:before="60" w:after="80"/>
              <w:cnfStyle w:val="000000100000" w:firstRow="0" w:lastRow="0" w:firstColumn="0" w:lastColumn="0" w:oddVBand="0" w:evenVBand="0" w:oddHBand="1" w:evenHBand="0" w:firstRowFirstColumn="0" w:firstRowLastColumn="0" w:lastRowFirstColumn="0" w:lastRowLastColumn="0"/>
            </w:pPr>
            <w:r w:rsidRPr="002B43C6">
              <w:t>93 controls across organisational, people, physical, and technological domains</w:t>
            </w:r>
          </w:p>
        </w:tc>
        <w:tc>
          <w:tcPr>
            <w:tcW w:w="2132" w:type="dxa"/>
          </w:tcPr>
          <w:p w14:paraId="0E8E1D13" w14:textId="59465159" w:rsidR="002B43C6" w:rsidRDefault="002B43C6" w:rsidP="00F25E8C">
            <w:pPr>
              <w:spacing w:before="60" w:after="80"/>
              <w:cnfStyle w:val="000000100000" w:firstRow="0" w:lastRow="0" w:firstColumn="0" w:lastColumn="0" w:oddVBand="0" w:evenVBand="0" w:oddHBand="1" w:evenHBand="0" w:firstRowFirstColumn="0" w:firstRowLastColumn="0" w:lastRowFirstColumn="0" w:lastRowLastColumn="0"/>
            </w:pPr>
            <w:r w:rsidRPr="002B43C6">
              <w:t>Establishes FSB’s ISMS, risk methodology, cloud/BYOD control baseline</w:t>
            </w:r>
          </w:p>
        </w:tc>
      </w:tr>
      <w:tr w:rsidR="002B43C6" w14:paraId="45A44290" w14:textId="77777777" w:rsidTr="002B6E44">
        <w:trPr>
          <w:trHeight w:val="1283"/>
        </w:trPr>
        <w:tc>
          <w:tcPr>
            <w:cnfStyle w:val="001000000000" w:firstRow="0" w:lastRow="0" w:firstColumn="1" w:lastColumn="0" w:oddVBand="0" w:evenVBand="0" w:oddHBand="0" w:evenHBand="0" w:firstRowFirstColumn="0" w:firstRowLastColumn="0" w:lastRowFirstColumn="0" w:lastRowLastColumn="0"/>
            <w:tcW w:w="2131" w:type="dxa"/>
          </w:tcPr>
          <w:p w14:paraId="3C78458A" w14:textId="52BBD9C8" w:rsidR="002B43C6" w:rsidRDefault="002B43C6" w:rsidP="005734D0">
            <w:pPr>
              <w:spacing w:before="60" w:after="80"/>
              <w:jc w:val="both"/>
            </w:pPr>
            <w:r w:rsidRPr="002B43C6">
              <w:t>ITIL 4</w:t>
            </w:r>
          </w:p>
        </w:tc>
        <w:tc>
          <w:tcPr>
            <w:tcW w:w="2107" w:type="dxa"/>
          </w:tcPr>
          <w:p w14:paraId="6D108231" w14:textId="3A8C2031" w:rsidR="002B43C6" w:rsidRDefault="002B43C6" w:rsidP="005734D0">
            <w:pPr>
              <w:spacing w:before="60" w:after="80"/>
              <w:jc w:val="both"/>
              <w:cnfStyle w:val="000000000000" w:firstRow="0" w:lastRow="0" w:firstColumn="0" w:lastColumn="0" w:oddVBand="0" w:evenVBand="0" w:oddHBand="0" w:evenHBand="0" w:firstRowFirstColumn="0" w:firstRowLastColumn="0" w:lastRowFirstColumn="0" w:lastRowLastColumn="0"/>
            </w:pPr>
            <w:r w:rsidRPr="002B43C6">
              <w:t>Service management &amp;continual improvement</w:t>
            </w:r>
          </w:p>
        </w:tc>
        <w:tc>
          <w:tcPr>
            <w:tcW w:w="2553" w:type="dxa"/>
          </w:tcPr>
          <w:p w14:paraId="2D5F8172" w14:textId="246D259E" w:rsidR="002B43C6" w:rsidRDefault="002B43C6" w:rsidP="00F25E8C">
            <w:pPr>
              <w:spacing w:before="60" w:after="80"/>
              <w:cnfStyle w:val="000000000000" w:firstRow="0" w:lastRow="0" w:firstColumn="0" w:lastColumn="0" w:oddVBand="0" w:evenVBand="0" w:oddHBand="0" w:evenHBand="0" w:firstRowFirstColumn="0" w:firstRowLastColumn="0" w:lastRowFirstColumn="0" w:lastRowLastColumn="0"/>
            </w:pPr>
            <w:r w:rsidRPr="002B43C6">
              <w:t>Service Value System, practices, SVC</w:t>
            </w:r>
          </w:p>
        </w:tc>
        <w:tc>
          <w:tcPr>
            <w:tcW w:w="2132" w:type="dxa"/>
          </w:tcPr>
          <w:p w14:paraId="43F5BEC4" w14:textId="221A469B" w:rsidR="002B43C6" w:rsidRDefault="002B43C6" w:rsidP="00F25E8C">
            <w:pPr>
              <w:spacing w:before="60" w:after="80"/>
              <w:cnfStyle w:val="000000000000" w:firstRow="0" w:lastRow="0" w:firstColumn="0" w:lastColumn="0" w:oddVBand="0" w:evenVBand="0" w:oddHBand="0" w:evenHBand="0" w:firstRowFirstColumn="0" w:firstRowLastColumn="0" w:lastRowFirstColumn="0" w:lastRowLastColumn="0"/>
            </w:pPr>
            <w:r w:rsidRPr="002B43C6">
              <w:t>Operationalises security as a measurable service (incident, change, SLA)</w:t>
            </w:r>
          </w:p>
        </w:tc>
      </w:tr>
      <w:tr w:rsidR="002B43C6" w14:paraId="63F6AECA" w14:textId="77777777" w:rsidTr="002B6E44">
        <w:trPr>
          <w:cnfStyle w:val="000000100000" w:firstRow="0" w:lastRow="0" w:firstColumn="0" w:lastColumn="0" w:oddVBand="0" w:evenVBand="0" w:oddHBand="1" w:evenHBand="0" w:firstRowFirstColumn="0" w:firstRowLastColumn="0" w:lastRowFirstColumn="0" w:lastRowLastColumn="0"/>
          <w:trHeight w:val="1052"/>
        </w:trPr>
        <w:tc>
          <w:tcPr>
            <w:cnfStyle w:val="001000000000" w:firstRow="0" w:lastRow="0" w:firstColumn="1" w:lastColumn="0" w:oddVBand="0" w:evenVBand="0" w:oddHBand="0" w:evenHBand="0" w:firstRowFirstColumn="0" w:firstRowLastColumn="0" w:lastRowFirstColumn="0" w:lastRowLastColumn="0"/>
            <w:tcW w:w="2131" w:type="dxa"/>
          </w:tcPr>
          <w:p w14:paraId="499A7497" w14:textId="754A32CF" w:rsidR="002B43C6" w:rsidRDefault="002B43C6" w:rsidP="00F25E8C">
            <w:pPr>
              <w:spacing w:before="60" w:after="80"/>
            </w:pPr>
            <w:r w:rsidRPr="002B43C6">
              <w:t>ZeroTrust Architecture (ZTA)</w:t>
            </w:r>
          </w:p>
        </w:tc>
        <w:tc>
          <w:tcPr>
            <w:tcW w:w="2107" w:type="dxa"/>
          </w:tcPr>
          <w:p w14:paraId="45779C5F" w14:textId="272E2484" w:rsidR="002B43C6" w:rsidRDefault="002B43C6" w:rsidP="00F25E8C">
            <w:pPr>
              <w:spacing w:before="60" w:after="80"/>
              <w:cnfStyle w:val="000000100000" w:firstRow="0" w:lastRow="0" w:firstColumn="0" w:lastColumn="0" w:oddVBand="0" w:evenVBand="0" w:oddHBand="1" w:evenHBand="0" w:firstRowFirstColumn="0" w:firstRowLastColumn="0" w:lastRowFirstColumn="0" w:lastRowLastColumn="0"/>
            </w:pPr>
            <w:r w:rsidRPr="002B43C6">
              <w:t>Identity‑centric, perimeter‑less security</w:t>
            </w:r>
          </w:p>
        </w:tc>
        <w:tc>
          <w:tcPr>
            <w:tcW w:w="2553" w:type="dxa"/>
          </w:tcPr>
          <w:p w14:paraId="18B6C859" w14:textId="08322664" w:rsidR="002B43C6" w:rsidRDefault="002B43C6" w:rsidP="00F25E8C">
            <w:pPr>
              <w:spacing w:before="60" w:after="80"/>
              <w:cnfStyle w:val="000000100000" w:firstRow="0" w:lastRow="0" w:firstColumn="0" w:lastColumn="0" w:oddVBand="0" w:evenVBand="0" w:oddHBand="1" w:evenHBand="0" w:firstRowFirstColumn="0" w:firstRowLastColumn="0" w:lastRowFirstColumn="0" w:lastRowLastColumn="0"/>
            </w:pPr>
            <w:r w:rsidRPr="002B43C6">
              <w:t>Users, devices, workloads, APIs</w:t>
            </w:r>
          </w:p>
        </w:tc>
        <w:tc>
          <w:tcPr>
            <w:tcW w:w="2132" w:type="dxa"/>
          </w:tcPr>
          <w:p w14:paraId="3730BE06" w14:textId="4A9BE80E" w:rsidR="002B43C6" w:rsidRDefault="002B43C6" w:rsidP="00F25E8C">
            <w:pPr>
              <w:spacing w:before="60" w:after="80"/>
              <w:cnfStyle w:val="000000100000" w:firstRow="0" w:lastRow="0" w:firstColumn="0" w:lastColumn="0" w:oddVBand="0" w:evenVBand="0" w:oddHBand="1" w:evenHBand="0" w:firstRowFirstColumn="0" w:firstRowLastColumn="0" w:lastRowFirstColumn="0" w:lastRowLastColumn="0"/>
            </w:pPr>
            <w:r w:rsidRPr="002B43C6">
              <w:t xml:space="preserve">Essential for </w:t>
            </w:r>
            <w:r w:rsidR="00F25E8C">
              <w:t xml:space="preserve">a </w:t>
            </w:r>
            <w:r w:rsidRPr="002B43C6">
              <w:t>cloud-first,</w:t>
            </w:r>
            <w:r w:rsidR="00F25E8C">
              <w:t xml:space="preserve"> </w:t>
            </w:r>
            <w:r w:rsidRPr="002B43C6">
              <w:t>BYOD, micro</w:t>
            </w:r>
            <w:r w:rsidRPr="002B43C6">
              <w:noBreakHyphen/>
              <w:t>segmented banking environment</w:t>
            </w:r>
          </w:p>
        </w:tc>
      </w:tr>
      <w:tr w:rsidR="002B43C6" w14:paraId="52CDEEA3" w14:textId="77777777" w:rsidTr="002B6E44">
        <w:trPr>
          <w:trHeight w:val="1052"/>
        </w:trPr>
        <w:tc>
          <w:tcPr>
            <w:cnfStyle w:val="001000000000" w:firstRow="0" w:lastRow="0" w:firstColumn="1" w:lastColumn="0" w:oddVBand="0" w:evenVBand="0" w:oddHBand="0" w:evenHBand="0" w:firstRowFirstColumn="0" w:firstRowLastColumn="0" w:lastRowFirstColumn="0" w:lastRowLastColumn="0"/>
            <w:tcW w:w="2131" w:type="dxa"/>
          </w:tcPr>
          <w:p w14:paraId="099C6795" w14:textId="3A66B304" w:rsidR="002B43C6" w:rsidRDefault="002B43C6" w:rsidP="005734D0">
            <w:pPr>
              <w:spacing w:before="60" w:after="80"/>
              <w:jc w:val="both"/>
            </w:pPr>
            <w:r w:rsidRPr="002B43C6">
              <w:t>COBIT 2019</w:t>
            </w:r>
          </w:p>
        </w:tc>
        <w:tc>
          <w:tcPr>
            <w:tcW w:w="2107" w:type="dxa"/>
          </w:tcPr>
          <w:p w14:paraId="503E7DB2" w14:textId="5FC881C5" w:rsidR="002B43C6" w:rsidRDefault="002B43C6" w:rsidP="00F25E8C">
            <w:pPr>
              <w:spacing w:before="60" w:after="80"/>
              <w:cnfStyle w:val="000000000000" w:firstRow="0" w:lastRow="0" w:firstColumn="0" w:lastColumn="0" w:oddVBand="0" w:evenVBand="0" w:oddHBand="0" w:evenHBand="0" w:firstRowFirstColumn="0" w:firstRowLastColumn="0" w:lastRowFirstColumn="0" w:lastRowLastColumn="0"/>
            </w:pPr>
            <w:r w:rsidRPr="002B43C6">
              <w:t>Enterprise IT governance</w:t>
            </w:r>
          </w:p>
        </w:tc>
        <w:tc>
          <w:tcPr>
            <w:tcW w:w="2553" w:type="dxa"/>
          </w:tcPr>
          <w:p w14:paraId="0868E2D8" w14:textId="2B4475BA" w:rsidR="002B43C6" w:rsidRDefault="002B43C6" w:rsidP="00F25E8C">
            <w:pPr>
              <w:spacing w:before="60" w:after="80"/>
              <w:cnfStyle w:val="000000000000" w:firstRow="0" w:lastRow="0" w:firstColumn="0" w:lastColumn="0" w:oddVBand="0" w:evenVBand="0" w:oddHBand="0" w:evenHBand="0" w:firstRowFirstColumn="0" w:firstRowLastColumn="0" w:lastRowFirstColumn="0" w:lastRowLastColumn="0"/>
            </w:pPr>
            <w:r w:rsidRPr="002B43C6">
              <w:t>Governance/management objectives, metrics</w:t>
            </w:r>
          </w:p>
        </w:tc>
        <w:tc>
          <w:tcPr>
            <w:tcW w:w="2132" w:type="dxa"/>
          </w:tcPr>
          <w:p w14:paraId="3AD32F64" w14:textId="4333EE62" w:rsidR="002B43C6" w:rsidRDefault="002B43C6" w:rsidP="005734D0">
            <w:pPr>
              <w:spacing w:before="60" w:after="80"/>
              <w:jc w:val="both"/>
              <w:cnfStyle w:val="000000000000" w:firstRow="0" w:lastRow="0" w:firstColumn="0" w:lastColumn="0" w:oddVBand="0" w:evenVBand="0" w:oddHBand="0" w:evenHBand="0" w:firstRowFirstColumn="0" w:firstRowLastColumn="0" w:lastRowFirstColumn="0" w:lastRowLastColumn="0"/>
            </w:pPr>
            <w:r w:rsidRPr="002B43C6">
              <w:t>Aligns board</w:t>
            </w:r>
            <w:r w:rsidRPr="002B43C6">
              <w:noBreakHyphen/>
              <w:t>level oversight with IT/security; supports DORA governance</w:t>
            </w:r>
          </w:p>
        </w:tc>
      </w:tr>
    </w:tbl>
    <w:p w14:paraId="6F2E1263" w14:textId="77777777" w:rsidR="005734D0" w:rsidRDefault="005734D0" w:rsidP="005734D0">
      <w:pPr>
        <w:spacing w:before="60" w:after="80"/>
        <w:jc w:val="both"/>
      </w:pPr>
    </w:p>
    <w:p w14:paraId="1EBAFA22" w14:textId="061AB775" w:rsidR="009B49F1" w:rsidRPr="009B49F1" w:rsidRDefault="00000000" w:rsidP="009B49F1">
      <w:pPr>
        <w:spacing w:before="300" w:after="120"/>
        <w:rPr>
          <w:b/>
          <w:bCs/>
          <w:sz w:val="28"/>
          <w:szCs w:val="28"/>
        </w:rPr>
      </w:pPr>
      <w:r w:rsidRPr="009B49F1">
        <w:rPr>
          <w:b/>
          <w:bCs/>
          <w:sz w:val="28"/>
          <w:szCs w:val="28"/>
        </w:rPr>
        <w:t>III. DESIGNED APPROACH FOR FINSURE BANK</w:t>
      </w:r>
    </w:p>
    <w:tbl>
      <w:tblPr>
        <w:tblW w:w="87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00"/>
        <w:gridCol w:w="2100"/>
        <w:gridCol w:w="3900"/>
        <w:gridCol w:w="1800"/>
      </w:tblGrid>
      <w:tr w:rsidR="002914F1" w14:paraId="4B43E450" w14:textId="77777777" w:rsidTr="005734D0">
        <w:trPr>
          <w:tblHeader/>
          <w:jc w:val="center"/>
        </w:trPr>
        <w:tc>
          <w:tcPr>
            <w:tcW w:w="900" w:type="dxa"/>
            <w:tcBorders>
              <w:top w:val="single" w:sz="1" w:space="0" w:color="000000"/>
              <w:left w:val="single" w:sz="1" w:space="0" w:color="000000"/>
              <w:bottom w:val="single" w:sz="1" w:space="0" w:color="000000"/>
              <w:right w:val="single" w:sz="1" w:space="0" w:color="000000"/>
            </w:tcBorders>
            <w:shd w:val="clear" w:color="auto" w:fill="C8C8C8"/>
            <w:tcMar>
              <w:top w:w="70" w:type="dxa"/>
              <w:left w:w="100" w:type="dxa"/>
              <w:bottom w:w="70" w:type="dxa"/>
              <w:right w:w="100" w:type="dxa"/>
            </w:tcMar>
          </w:tcPr>
          <w:p w14:paraId="3A4F7F11" w14:textId="77777777" w:rsidR="002914F1" w:rsidRDefault="00000000">
            <w:pPr>
              <w:jc w:val="center"/>
            </w:pPr>
            <w:r>
              <w:rPr>
                <w:b/>
                <w:bCs/>
                <w:sz w:val="20"/>
                <w:szCs w:val="20"/>
              </w:rPr>
              <w:t>Phase</w:t>
            </w:r>
          </w:p>
        </w:tc>
        <w:tc>
          <w:tcPr>
            <w:tcW w:w="2100" w:type="dxa"/>
            <w:tcBorders>
              <w:top w:val="single" w:sz="1" w:space="0" w:color="000000"/>
              <w:left w:val="single" w:sz="1" w:space="0" w:color="000000"/>
              <w:bottom w:val="single" w:sz="1" w:space="0" w:color="000000"/>
              <w:right w:val="single" w:sz="1" w:space="0" w:color="000000"/>
            </w:tcBorders>
            <w:shd w:val="clear" w:color="auto" w:fill="C8C8C8"/>
            <w:tcMar>
              <w:top w:w="70" w:type="dxa"/>
              <w:left w:w="100" w:type="dxa"/>
              <w:bottom w:w="70" w:type="dxa"/>
              <w:right w:w="100" w:type="dxa"/>
            </w:tcMar>
          </w:tcPr>
          <w:p w14:paraId="16CA759C" w14:textId="77777777" w:rsidR="002914F1" w:rsidRDefault="00000000">
            <w:pPr>
              <w:jc w:val="center"/>
            </w:pPr>
            <w:r>
              <w:rPr>
                <w:b/>
                <w:bCs/>
                <w:sz w:val="20"/>
                <w:szCs w:val="20"/>
              </w:rPr>
              <w:t>Focus</w:t>
            </w:r>
          </w:p>
        </w:tc>
        <w:tc>
          <w:tcPr>
            <w:tcW w:w="3900" w:type="dxa"/>
            <w:tcBorders>
              <w:top w:val="single" w:sz="1" w:space="0" w:color="000000"/>
              <w:left w:val="single" w:sz="1" w:space="0" w:color="000000"/>
              <w:bottom w:val="single" w:sz="1" w:space="0" w:color="000000"/>
              <w:right w:val="single" w:sz="1" w:space="0" w:color="000000"/>
            </w:tcBorders>
            <w:shd w:val="clear" w:color="auto" w:fill="C8C8C8"/>
            <w:tcMar>
              <w:top w:w="70" w:type="dxa"/>
              <w:left w:w="100" w:type="dxa"/>
              <w:bottom w:w="70" w:type="dxa"/>
              <w:right w:w="100" w:type="dxa"/>
            </w:tcMar>
          </w:tcPr>
          <w:p w14:paraId="700EB19E" w14:textId="77777777" w:rsidR="002914F1" w:rsidRDefault="00000000">
            <w:pPr>
              <w:jc w:val="center"/>
            </w:pPr>
            <w:r>
              <w:rPr>
                <w:b/>
                <w:bCs/>
                <w:sz w:val="20"/>
                <w:szCs w:val="20"/>
              </w:rPr>
              <w:t>Key Deliverables</w:t>
            </w:r>
          </w:p>
        </w:tc>
        <w:tc>
          <w:tcPr>
            <w:tcW w:w="1800" w:type="dxa"/>
            <w:tcBorders>
              <w:top w:val="single" w:sz="1" w:space="0" w:color="000000"/>
              <w:left w:val="single" w:sz="1" w:space="0" w:color="000000"/>
              <w:bottom w:val="single" w:sz="1" w:space="0" w:color="000000"/>
              <w:right w:val="single" w:sz="1" w:space="0" w:color="000000"/>
            </w:tcBorders>
            <w:shd w:val="clear" w:color="auto" w:fill="C8C8C8"/>
            <w:tcMar>
              <w:top w:w="70" w:type="dxa"/>
              <w:left w:w="100" w:type="dxa"/>
              <w:bottom w:w="70" w:type="dxa"/>
              <w:right w:w="100" w:type="dxa"/>
            </w:tcMar>
          </w:tcPr>
          <w:p w14:paraId="7EC0F354" w14:textId="77777777" w:rsidR="002914F1" w:rsidRDefault="00000000">
            <w:pPr>
              <w:jc w:val="center"/>
            </w:pPr>
            <w:r>
              <w:rPr>
                <w:b/>
                <w:bCs/>
                <w:sz w:val="20"/>
                <w:szCs w:val="20"/>
              </w:rPr>
              <w:t>Timeline</w:t>
            </w:r>
          </w:p>
        </w:tc>
      </w:tr>
      <w:tr w:rsidR="002914F1" w14:paraId="36DE0F5B" w14:textId="77777777" w:rsidTr="005734D0">
        <w:trPr>
          <w:jc w:val="center"/>
        </w:trPr>
        <w:tc>
          <w:tcPr>
            <w:tcW w:w="900" w:type="dxa"/>
            <w:tcBorders>
              <w:top w:val="single" w:sz="1" w:space="0" w:color="000000"/>
              <w:left w:val="single" w:sz="1" w:space="0" w:color="000000"/>
              <w:bottom w:val="single" w:sz="1" w:space="0" w:color="000000"/>
              <w:right w:val="single" w:sz="1" w:space="0" w:color="000000"/>
            </w:tcBorders>
            <w:shd w:val="clear" w:color="auto" w:fill="F4F4F4"/>
            <w:tcMar>
              <w:top w:w="60" w:type="dxa"/>
              <w:left w:w="100" w:type="dxa"/>
              <w:bottom w:w="60" w:type="dxa"/>
              <w:right w:w="100" w:type="dxa"/>
            </w:tcMar>
          </w:tcPr>
          <w:p w14:paraId="069AA237" w14:textId="77777777" w:rsidR="002914F1" w:rsidRDefault="00000000">
            <w:r>
              <w:rPr>
                <w:sz w:val="18"/>
                <w:szCs w:val="18"/>
              </w:rPr>
              <w:t>A</w:t>
            </w:r>
          </w:p>
        </w:tc>
        <w:tc>
          <w:tcPr>
            <w:tcW w:w="2100" w:type="dxa"/>
            <w:tcBorders>
              <w:top w:val="single" w:sz="1" w:space="0" w:color="000000"/>
              <w:left w:val="single" w:sz="1" w:space="0" w:color="000000"/>
              <w:bottom w:val="single" w:sz="1" w:space="0" w:color="000000"/>
              <w:right w:val="single" w:sz="1" w:space="0" w:color="000000"/>
            </w:tcBorders>
            <w:shd w:val="clear" w:color="auto" w:fill="F4F4F4"/>
            <w:tcMar>
              <w:top w:w="60" w:type="dxa"/>
              <w:left w:w="100" w:type="dxa"/>
              <w:bottom w:w="60" w:type="dxa"/>
              <w:right w:w="100" w:type="dxa"/>
            </w:tcMar>
          </w:tcPr>
          <w:p w14:paraId="754DC097" w14:textId="77777777" w:rsidR="002914F1" w:rsidRDefault="00000000">
            <w:r>
              <w:rPr>
                <w:sz w:val="18"/>
                <w:szCs w:val="18"/>
              </w:rPr>
              <w:t>Governance &amp; Leadership</w:t>
            </w:r>
          </w:p>
        </w:tc>
        <w:tc>
          <w:tcPr>
            <w:tcW w:w="3900" w:type="dxa"/>
            <w:tcBorders>
              <w:top w:val="single" w:sz="1" w:space="0" w:color="000000"/>
              <w:left w:val="single" w:sz="1" w:space="0" w:color="000000"/>
              <w:bottom w:val="single" w:sz="1" w:space="0" w:color="000000"/>
              <w:right w:val="single" w:sz="1" w:space="0" w:color="000000"/>
            </w:tcBorders>
            <w:shd w:val="clear" w:color="auto" w:fill="F4F4F4"/>
            <w:tcMar>
              <w:top w:w="60" w:type="dxa"/>
              <w:left w:w="100" w:type="dxa"/>
              <w:bottom w:w="60" w:type="dxa"/>
              <w:right w:w="100" w:type="dxa"/>
            </w:tcMar>
          </w:tcPr>
          <w:p w14:paraId="42E24BEE" w14:textId="77777777" w:rsidR="002914F1" w:rsidRDefault="00000000">
            <w:r>
              <w:rPr>
                <w:sz w:val="18"/>
                <w:szCs w:val="18"/>
              </w:rPr>
              <w:t>CISO appointment, Governance Committee, ISMS scope</w:t>
            </w:r>
          </w:p>
        </w:tc>
        <w:tc>
          <w:tcPr>
            <w:tcW w:w="1800" w:type="dxa"/>
            <w:tcBorders>
              <w:top w:val="single" w:sz="1" w:space="0" w:color="000000"/>
              <w:left w:val="single" w:sz="1" w:space="0" w:color="000000"/>
              <w:bottom w:val="single" w:sz="1" w:space="0" w:color="000000"/>
              <w:right w:val="single" w:sz="1" w:space="0" w:color="000000"/>
            </w:tcBorders>
            <w:shd w:val="clear" w:color="auto" w:fill="F4F4F4"/>
            <w:tcMar>
              <w:top w:w="60" w:type="dxa"/>
              <w:left w:w="100" w:type="dxa"/>
              <w:bottom w:w="60" w:type="dxa"/>
              <w:right w:w="100" w:type="dxa"/>
            </w:tcMar>
          </w:tcPr>
          <w:p w14:paraId="7E87B2AA" w14:textId="77777777" w:rsidR="002914F1" w:rsidRDefault="00000000">
            <w:r>
              <w:rPr>
                <w:sz w:val="18"/>
                <w:szCs w:val="18"/>
              </w:rPr>
              <w:t>Months 1–2</w:t>
            </w:r>
          </w:p>
        </w:tc>
      </w:tr>
      <w:tr w:rsidR="002914F1" w14:paraId="4952DC42" w14:textId="77777777" w:rsidTr="005734D0">
        <w:trPr>
          <w:jc w:val="center"/>
        </w:trPr>
        <w:tc>
          <w:tcPr>
            <w:tcW w:w="900" w:type="dxa"/>
            <w:tcBorders>
              <w:top w:val="single" w:sz="1" w:space="0" w:color="000000"/>
              <w:left w:val="single" w:sz="1" w:space="0" w:color="000000"/>
              <w:bottom w:val="single" w:sz="1" w:space="0" w:color="000000"/>
              <w:right w:val="single" w:sz="1" w:space="0" w:color="000000"/>
            </w:tcBorders>
            <w:shd w:val="clear" w:color="auto" w:fill="FFFFFF"/>
            <w:tcMar>
              <w:top w:w="60" w:type="dxa"/>
              <w:left w:w="100" w:type="dxa"/>
              <w:bottom w:w="60" w:type="dxa"/>
              <w:right w:w="100" w:type="dxa"/>
            </w:tcMar>
          </w:tcPr>
          <w:p w14:paraId="7FFFE99A" w14:textId="77777777" w:rsidR="002914F1" w:rsidRDefault="00000000">
            <w:r>
              <w:rPr>
                <w:sz w:val="18"/>
                <w:szCs w:val="18"/>
              </w:rPr>
              <w:t>B</w:t>
            </w:r>
          </w:p>
        </w:tc>
        <w:tc>
          <w:tcPr>
            <w:tcW w:w="2100" w:type="dxa"/>
            <w:tcBorders>
              <w:top w:val="single" w:sz="1" w:space="0" w:color="000000"/>
              <w:left w:val="single" w:sz="1" w:space="0" w:color="000000"/>
              <w:bottom w:val="single" w:sz="1" w:space="0" w:color="000000"/>
              <w:right w:val="single" w:sz="1" w:space="0" w:color="000000"/>
            </w:tcBorders>
            <w:shd w:val="clear" w:color="auto" w:fill="FFFFFF"/>
            <w:tcMar>
              <w:top w:w="60" w:type="dxa"/>
              <w:left w:w="100" w:type="dxa"/>
              <w:bottom w:w="60" w:type="dxa"/>
              <w:right w:w="100" w:type="dxa"/>
            </w:tcMar>
          </w:tcPr>
          <w:p w14:paraId="17B1A718" w14:textId="77777777" w:rsidR="002914F1" w:rsidRDefault="00000000">
            <w:r>
              <w:rPr>
                <w:sz w:val="18"/>
                <w:szCs w:val="18"/>
              </w:rPr>
              <w:t>Risk Management</w:t>
            </w:r>
          </w:p>
        </w:tc>
        <w:tc>
          <w:tcPr>
            <w:tcW w:w="3900" w:type="dxa"/>
            <w:tcBorders>
              <w:top w:val="single" w:sz="1" w:space="0" w:color="000000"/>
              <w:left w:val="single" w:sz="1" w:space="0" w:color="000000"/>
              <w:bottom w:val="single" w:sz="1" w:space="0" w:color="000000"/>
              <w:right w:val="single" w:sz="1" w:space="0" w:color="000000"/>
            </w:tcBorders>
            <w:shd w:val="clear" w:color="auto" w:fill="FFFFFF"/>
            <w:tcMar>
              <w:top w:w="60" w:type="dxa"/>
              <w:left w:w="100" w:type="dxa"/>
              <w:bottom w:w="60" w:type="dxa"/>
              <w:right w:w="100" w:type="dxa"/>
            </w:tcMar>
          </w:tcPr>
          <w:p w14:paraId="1563F7CC" w14:textId="77777777" w:rsidR="002914F1" w:rsidRDefault="00000000">
            <w:r>
              <w:rPr>
                <w:sz w:val="18"/>
                <w:szCs w:val="18"/>
              </w:rPr>
              <w:t>Asset register, risk assessment, threat modelling</w:t>
            </w:r>
          </w:p>
        </w:tc>
        <w:tc>
          <w:tcPr>
            <w:tcW w:w="1800" w:type="dxa"/>
            <w:tcBorders>
              <w:top w:val="single" w:sz="1" w:space="0" w:color="000000"/>
              <w:left w:val="single" w:sz="1" w:space="0" w:color="000000"/>
              <w:bottom w:val="single" w:sz="1" w:space="0" w:color="000000"/>
              <w:right w:val="single" w:sz="1" w:space="0" w:color="000000"/>
            </w:tcBorders>
            <w:shd w:val="clear" w:color="auto" w:fill="FFFFFF"/>
            <w:tcMar>
              <w:top w:w="60" w:type="dxa"/>
              <w:left w:w="100" w:type="dxa"/>
              <w:bottom w:w="60" w:type="dxa"/>
              <w:right w:w="100" w:type="dxa"/>
            </w:tcMar>
          </w:tcPr>
          <w:p w14:paraId="372609CD" w14:textId="77777777" w:rsidR="002914F1" w:rsidRDefault="00000000">
            <w:r>
              <w:rPr>
                <w:sz w:val="18"/>
                <w:szCs w:val="18"/>
              </w:rPr>
              <w:t>Months 2–4</w:t>
            </w:r>
          </w:p>
        </w:tc>
      </w:tr>
      <w:tr w:rsidR="002914F1" w14:paraId="67E949E4" w14:textId="77777777" w:rsidTr="005734D0">
        <w:trPr>
          <w:jc w:val="center"/>
        </w:trPr>
        <w:tc>
          <w:tcPr>
            <w:tcW w:w="900" w:type="dxa"/>
            <w:tcBorders>
              <w:top w:val="single" w:sz="1" w:space="0" w:color="000000"/>
              <w:left w:val="single" w:sz="1" w:space="0" w:color="000000"/>
              <w:bottom w:val="single" w:sz="1" w:space="0" w:color="000000"/>
              <w:right w:val="single" w:sz="1" w:space="0" w:color="000000"/>
            </w:tcBorders>
            <w:shd w:val="clear" w:color="auto" w:fill="F4F4F4"/>
            <w:tcMar>
              <w:top w:w="60" w:type="dxa"/>
              <w:left w:w="100" w:type="dxa"/>
              <w:bottom w:w="60" w:type="dxa"/>
              <w:right w:w="100" w:type="dxa"/>
            </w:tcMar>
          </w:tcPr>
          <w:p w14:paraId="0AD8A134" w14:textId="77777777" w:rsidR="002914F1" w:rsidRDefault="00000000">
            <w:r>
              <w:rPr>
                <w:sz w:val="18"/>
                <w:szCs w:val="18"/>
              </w:rPr>
              <w:t>C</w:t>
            </w:r>
          </w:p>
        </w:tc>
        <w:tc>
          <w:tcPr>
            <w:tcW w:w="2100" w:type="dxa"/>
            <w:tcBorders>
              <w:top w:val="single" w:sz="1" w:space="0" w:color="000000"/>
              <w:left w:val="single" w:sz="1" w:space="0" w:color="000000"/>
              <w:bottom w:val="single" w:sz="1" w:space="0" w:color="000000"/>
              <w:right w:val="single" w:sz="1" w:space="0" w:color="000000"/>
            </w:tcBorders>
            <w:shd w:val="clear" w:color="auto" w:fill="F4F4F4"/>
            <w:tcMar>
              <w:top w:w="60" w:type="dxa"/>
              <w:left w:w="100" w:type="dxa"/>
              <w:bottom w:w="60" w:type="dxa"/>
              <w:right w:w="100" w:type="dxa"/>
            </w:tcMar>
          </w:tcPr>
          <w:p w14:paraId="33ACF779" w14:textId="77777777" w:rsidR="002914F1" w:rsidRDefault="00000000">
            <w:r>
              <w:rPr>
                <w:sz w:val="18"/>
                <w:szCs w:val="18"/>
              </w:rPr>
              <w:t>Zero Trust Technical Controls</w:t>
            </w:r>
          </w:p>
        </w:tc>
        <w:tc>
          <w:tcPr>
            <w:tcW w:w="3900" w:type="dxa"/>
            <w:tcBorders>
              <w:top w:val="single" w:sz="1" w:space="0" w:color="000000"/>
              <w:left w:val="single" w:sz="1" w:space="0" w:color="000000"/>
              <w:bottom w:val="single" w:sz="1" w:space="0" w:color="000000"/>
              <w:right w:val="single" w:sz="1" w:space="0" w:color="000000"/>
            </w:tcBorders>
            <w:shd w:val="clear" w:color="auto" w:fill="F4F4F4"/>
            <w:tcMar>
              <w:top w:w="60" w:type="dxa"/>
              <w:left w:w="100" w:type="dxa"/>
              <w:bottom w:w="60" w:type="dxa"/>
              <w:right w:w="100" w:type="dxa"/>
            </w:tcMar>
          </w:tcPr>
          <w:p w14:paraId="0D9E9D8C" w14:textId="77777777" w:rsidR="002914F1" w:rsidRDefault="00000000">
            <w:r>
              <w:rPr>
                <w:sz w:val="18"/>
                <w:szCs w:val="18"/>
              </w:rPr>
              <w:t>MFA, micro-segmentation, API gateways, AES-256</w:t>
            </w:r>
          </w:p>
        </w:tc>
        <w:tc>
          <w:tcPr>
            <w:tcW w:w="1800" w:type="dxa"/>
            <w:tcBorders>
              <w:top w:val="single" w:sz="1" w:space="0" w:color="000000"/>
              <w:left w:val="single" w:sz="1" w:space="0" w:color="000000"/>
              <w:bottom w:val="single" w:sz="1" w:space="0" w:color="000000"/>
              <w:right w:val="single" w:sz="1" w:space="0" w:color="000000"/>
            </w:tcBorders>
            <w:shd w:val="clear" w:color="auto" w:fill="F4F4F4"/>
            <w:tcMar>
              <w:top w:w="60" w:type="dxa"/>
              <w:left w:w="100" w:type="dxa"/>
              <w:bottom w:w="60" w:type="dxa"/>
              <w:right w:w="100" w:type="dxa"/>
            </w:tcMar>
          </w:tcPr>
          <w:p w14:paraId="190ECD5E" w14:textId="77777777" w:rsidR="002914F1" w:rsidRDefault="00000000">
            <w:r>
              <w:rPr>
                <w:sz w:val="18"/>
                <w:szCs w:val="18"/>
              </w:rPr>
              <w:t>Months 3–9</w:t>
            </w:r>
          </w:p>
        </w:tc>
      </w:tr>
      <w:tr w:rsidR="002914F1" w14:paraId="114850D7" w14:textId="77777777" w:rsidTr="005734D0">
        <w:trPr>
          <w:jc w:val="center"/>
        </w:trPr>
        <w:tc>
          <w:tcPr>
            <w:tcW w:w="900" w:type="dxa"/>
            <w:tcBorders>
              <w:top w:val="single" w:sz="1" w:space="0" w:color="000000"/>
              <w:left w:val="single" w:sz="1" w:space="0" w:color="000000"/>
              <w:bottom w:val="single" w:sz="1" w:space="0" w:color="000000"/>
              <w:right w:val="single" w:sz="1" w:space="0" w:color="000000"/>
            </w:tcBorders>
            <w:shd w:val="clear" w:color="auto" w:fill="FFFFFF"/>
            <w:tcMar>
              <w:top w:w="60" w:type="dxa"/>
              <w:left w:w="100" w:type="dxa"/>
              <w:bottom w:w="60" w:type="dxa"/>
              <w:right w:w="100" w:type="dxa"/>
            </w:tcMar>
          </w:tcPr>
          <w:p w14:paraId="7BC49940" w14:textId="77777777" w:rsidR="002914F1" w:rsidRDefault="00000000">
            <w:r>
              <w:rPr>
                <w:sz w:val="18"/>
                <w:szCs w:val="18"/>
              </w:rPr>
              <w:t>D</w:t>
            </w:r>
          </w:p>
        </w:tc>
        <w:tc>
          <w:tcPr>
            <w:tcW w:w="2100" w:type="dxa"/>
            <w:tcBorders>
              <w:top w:val="single" w:sz="1" w:space="0" w:color="000000"/>
              <w:left w:val="single" w:sz="1" w:space="0" w:color="000000"/>
              <w:bottom w:val="single" w:sz="1" w:space="0" w:color="000000"/>
              <w:right w:val="single" w:sz="1" w:space="0" w:color="000000"/>
            </w:tcBorders>
            <w:shd w:val="clear" w:color="auto" w:fill="FFFFFF"/>
            <w:tcMar>
              <w:top w:w="60" w:type="dxa"/>
              <w:left w:w="100" w:type="dxa"/>
              <w:bottom w:w="60" w:type="dxa"/>
              <w:right w:w="100" w:type="dxa"/>
            </w:tcMar>
          </w:tcPr>
          <w:p w14:paraId="40381BE5" w14:textId="77777777" w:rsidR="002914F1" w:rsidRDefault="00000000">
            <w:r>
              <w:rPr>
                <w:sz w:val="18"/>
                <w:szCs w:val="18"/>
              </w:rPr>
              <w:t>BYOD &amp; Remote Access</w:t>
            </w:r>
          </w:p>
        </w:tc>
        <w:tc>
          <w:tcPr>
            <w:tcW w:w="3900" w:type="dxa"/>
            <w:tcBorders>
              <w:top w:val="single" w:sz="1" w:space="0" w:color="000000"/>
              <w:left w:val="single" w:sz="1" w:space="0" w:color="000000"/>
              <w:bottom w:val="single" w:sz="1" w:space="0" w:color="000000"/>
              <w:right w:val="single" w:sz="1" w:space="0" w:color="000000"/>
            </w:tcBorders>
            <w:shd w:val="clear" w:color="auto" w:fill="FFFFFF"/>
            <w:tcMar>
              <w:top w:w="60" w:type="dxa"/>
              <w:left w:w="100" w:type="dxa"/>
              <w:bottom w:w="60" w:type="dxa"/>
              <w:right w:w="100" w:type="dxa"/>
            </w:tcMar>
          </w:tcPr>
          <w:p w14:paraId="4392EC8B" w14:textId="77777777" w:rsidR="002914F1" w:rsidRDefault="00000000">
            <w:r>
              <w:rPr>
                <w:sz w:val="18"/>
                <w:szCs w:val="18"/>
              </w:rPr>
              <w:t>MDM deployment, containerisation, JIT access</w:t>
            </w:r>
          </w:p>
        </w:tc>
        <w:tc>
          <w:tcPr>
            <w:tcW w:w="1800" w:type="dxa"/>
            <w:tcBorders>
              <w:top w:val="single" w:sz="1" w:space="0" w:color="000000"/>
              <w:left w:val="single" w:sz="1" w:space="0" w:color="000000"/>
              <w:bottom w:val="single" w:sz="1" w:space="0" w:color="000000"/>
              <w:right w:val="single" w:sz="1" w:space="0" w:color="000000"/>
            </w:tcBorders>
            <w:shd w:val="clear" w:color="auto" w:fill="FFFFFF"/>
            <w:tcMar>
              <w:top w:w="60" w:type="dxa"/>
              <w:left w:w="100" w:type="dxa"/>
              <w:bottom w:w="60" w:type="dxa"/>
              <w:right w:w="100" w:type="dxa"/>
            </w:tcMar>
          </w:tcPr>
          <w:p w14:paraId="76896DDB" w14:textId="77777777" w:rsidR="002914F1" w:rsidRDefault="00000000">
            <w:r>
              <w:rPr>
                <w:sz w:val="18"/>
                <w:szCs w:val="18"/>
              </w:rPr>
              <w:t>Months 4–8</w:t>
            </w:r>
          </w:p>
        </w:tc>
      </w:tr>
      <w:tr w:rsidR="002914F1" w14:paraId="4BC26946" w14:textId="77777777" w:rsidTr="005734D0">
        <w:trPr>
          <w:jc w:val="center"/>
        </w:trPr>
        <w:tc>
          <w:tcPr>
            <w:tcW w:w="900" w:type="dxa"/>
            <w:tcBorders>
              <w:top w:val="single" w:sz="1" w:space="0" w:color="000000"/>
              <w:left w:val="single" w:sz="1" w:space="0" w:color="000000"/>
              <w:bottom w:val="single" w:sz="1" w:space="0" w:color="000000"/>
              <w:right w:val="single" w:sz="1" w:space="0" w:color="000000"/>
            </w:tcBorders>
            <w:shd w:val="clear" w:color="auto" w:fill="F4F4F4"/>
            <w:tcMar>
              <w:top w:w="60" w:type="dxa"/>
              <w:left w:w="100" w:type="dxa"/>
              <w:bottom w:w="60" w:type="dxa"/>
              <w:right w:w="100" w:type="dxa"/>
            </w:tcMar>
          </w:tcPr>
          <w:p w14:paraId="1E51F956" w14:textId="77777777" w:rsidR="002914F1" w:rsidRDefault="00000000">
            <w:r>
              <w:rPr>
                <w:sz w:val="18"/>
                <w:szCs w:val="18"/>
              </w:rPr>
              <w:t>E</w:t>
            </w:r>
          </w:p>
        </w:tc>
        <w:tc>
          <w:tcPr>
            <w:tcW w:w="2100" w:type="dxa"/>
            <w:tcBorders>
              <w:top w:val="single" w:sz="1" w:space="0" w:color="000000"/>
              <w:left w:val="single" w:sz="1" w:space="0" w:color="000000"/>
              <w:bottom w:val="single" w:sz="1" w:space="0" w:color="000000"/>
              <w:right w:val="single" w:sz="1" w:space="0" w:color="000000"/>
            </w:tcBorders>
            <w:shd w:val="clear" w:color="auto" w:fill="F4F4F4"/>
            <w:tcMar>
              <w:top w:w="60" w:type="dxa"/>
              <w:left w:w="100" w:type="dxa"/>
              <w:bottom w:w="60" w:type="dxa"/>
              <w:right w:w="100" w:type="dxa"/>
            </w:tcMar>
          </w:tcPr>
          <w:p w14:paraId="49D718AE" w14:textId="77777777" w:rsidR="002914F1" w:rsidRDefault="00000000">
            <w:r>
              <w:rPr>
                <w:sz w:val="18"/>
                <w:szCs w:val="18"/>
              </w:rPr>
              <w:t>SLA &amp; Continual Improvement</w:t>
            </w:r>
          </w:p>
        </w:tc>
        <w:tc>
          <w:tcPr>
            <w:tcW w:w="3900" w:type="dxa"/>
            <w:tcBorders>
              <w:top w:val="single" w:sz="1" w:space="0" w:color="000000"/>
              <w:left w:val="single" w:sz="1" w:space="0" w:color="000000"/>
              <w:bottom w:val="single" w:sz="1" w:space="0" w:color="000000"/>
              <w:right w:val="single" w:sz="1" w:space="0" w:color="000000"/>
            </w:tcBorders>
            <w:shd w:val="clear" w:color="auto" w:fill="F4F4F4"/>
            <w:tcMar>
              <w:top w:w="60" w:type="dxa"/>
              <w:left w:w="100" w:type="dxa"/>
              <w:bottom w:w="60" w:type="dxa"/>
              <w:right w:w="100" w:type="dxa"/>
            </w:tcMar>
          </w:tcPr>
          <w:p w14:paraId="5BDAAD24" w14:textId="77777777" w:rsidR="002914F1" w:rsidRDefault="00000000">
            <w:r>
              <w:rPr>
                <w:sz w:val="18"/>
                <w:szCs w:val="18"/>
              </w:rPr>
              <w:t>KPI dashboards, annual ISMS audit, DORA reporting</w:t>
            </w:r>
          </w:p>
        </w:tc>
        <w:tc>
          <w:tcPr>
            <w:tcW w:w="1800" w:type="dxa"/>
            <w:tcBorders>
              <w:top w:val="single" w:sz="1" w:space="0" w:color="000000"/>
              <w:left w:val="single" w:sz="1" w:space="0" w:color="000000"/>
              <w:bottom w:val="single" w:sz="1" w:space="0" w:color="000000"/>
              <w:right w:val="single" w:sz="1" w:space="0" w:color="000000"/>
            </w:tcBorders>
            <w:shd w:val="clear" w:color="auto" w:fill="F4F4F4"/>
            <w:tcMar>
              <w:top w:w="60" w:type="dxa"/>
              <w:left w:w="100" w:type="dxa"/>
              <w:bottom w:w="60" w:type="dxa"/>
              <w:right w:w="100" w:type="dxa"/>
            </w:tcMar>
          </w:tcPr>
          <w:p w14:paraId="6F31276D" w14:textId="77777777" w:rsidR="002914F1" w:rsidRDefault="00000000">
            <w:r>
              <w:rPr>
                <w:sz w:val="18"/>
                <w:szCs w:val="18"/>
              </w:rPr>
              <w:t>Ongoing</w:t>
            </w:r>
          </w:p>
        </w:tc>
      </w:tr>
    </w:tbl>
    <w:p w14:paraId="423B0509" w14:textId="77777777" w:rsidR="002914F1" w:rsidRPr="009B49F1" w:rsidRDefault="00000000">
      <w:pPr>
        <w:spacing w:before="200" w:after="80"/>
      </w:pPr>
      <w:r w:rsidRPr="009B49F1">
        <w:rPr>
          <w:b/>
          <w:bCs/>
        </w:rPr>
        <w:t>A. Phase A — Governance and Leadership</w:t>
      </w:r>
    </w:p>
    <w:p w14:paraId="56161766" w14:textId="4BF52381" w:rsidR="002914F1" w:rsidRDefault="007B79DC" w:rsidP="007B79DC">
      <w:pPr>
        <w:spacing w:before="40" w:after="40"/>
      </w:pPr>
      <w:r>
        <w:t>FSB has the most severe structural weakness</w:t>
      </w:r>
      <w:r w:rsidR="005734D0">
        <w:t>, which is</w:t>
      </w:r>
      <w:r>
        <w:t xml:space="preserve"> the lack of accountability in governance. There are three interventions needed. To begin with, the Chief Information Security Officer (CISO) should </w:t>
      </w:r>
      <w:r>
        <w:lastRenderedPageBreak/>
        <w:t xml:space="preserve">be designated as the competent person responsible </w:t>
      </w:r>
      <w:r w:rsidR="005734D0">
        <w:t>for</w:t>
      </w:r>
      <w:r>
        <w:t xml:space="preserve"> the information security programme, and this is the requirement of the DORA Article 5</w:t>
      </w:r>
      <w:r w:rsidR="005734D0">
        <w:t>,</w:t>
      </w:r>
      <w:r>
        <w:t xml:space="preserve"> which mandates financial institutions to designate a member of the management body that has the ultimate accountability of ICT risk [7]. Second, </w:t>
      </w:r>
      <w:r w:rsidR="005734D0">
        <w:t xml:space="preserve">the </w:t>
      </w:r>
      <w:r>
        <w:t xml:space="preserve">cross-functional Security Governance Committee (which includes DevOps, Legal, Finance, and HR) has to do away with the silo effect so that </w:t>
      </w:r>
      <w:r w:rsidR="005734D0">
        <w:t>board-level</w:t>
      </w:r>
      <w:r>
        <w:t xml:space="preserve"> policy can make it to operational levels. Third, the scope of the ISMS needs to be documented according to the ISO 27001 Clause 4.3, clearly covering all cloud infrastructure, the mobile banking ecosystem, BYODs, and all third-party ICT providers that have access to systems.</w:t>
      </w:r>
    </w:p>
    <w:p w14:paraId="6C79753B" w14:textId="296A5490" w:rsidR="007B79DC" w:rsidRPr="009B49F1" w:rsidRDefault="00000000" w:rsidP="00AD6FD7">
      <w:pPr>
        <w:spacing w:before="200" w:after="80"/>
      </w:pPr>
      <w:r w:rsidRPr="009B49F1">
        <w:rPr>
          <w:b/>
          <w:bCs/>
        </w:rPr>
        <w:t>B. Phase B — Risk Management and Asset Inventory</w:t>
      </w:r>
      <w:r w:rsidR="007B79DC" w:rsidRPr="009B49F1">
        <w:t>.</w:t>
      </w:r>
    </w:p>
    <w:p w14:paraId="29E57EC5" w14:textId="27647C59" w:rsidR="007B79DC" w:rsidRDefault="007B79DC" w:rsidP="007B79DC">
      <w:pPr>
        <w:spacing w:before="40" w:after="40"/>
      </w:pPr>
      <w:r>
        <w:t xml:space="preserve">The ISO/IEC 27001 Clause 8.1 requires organisations to plan and control processes to address security requirements, which is a precondition to having a comprehensive asset inventory. FSB will be required to create a dynamic Asset Register that will list all SaaS, PaaS, and IaaS solutions, including data classification, </w:t>
      </w:r>
      <w:r w:rsidR="005734D0">
        <w:t>asset owners</w:t>
      </w:r>
      <w:r>
        <w:t>, and cloud provider separation</w:t>
      </w:r>
      <w:r w:rsidR="005734D0">
        <w:t>,</w:t>
      </w:r>
      <w:r>
        <w:t xml:space="preserve"> in addition to regulatory requirements.</w:t>
      </w:r>
    </w:p>
    <w:p w14:paraId="27951305" w14:textId="0299FCB2" w:rsidR="00AD6FD7" w:rsidRDefault="00AD6FD7" w:rsidP="00AD6FD7">
      <w:pPr>
        <w:spacing w:before="40" w:after="40"/>
      </w:pPr>
      <w:r>
        <w:t xml:space="preserve">The formal risk assessment should be performed </w:t>
      </w:r>
      <w:r w:rsidR="005734D0">
        <w:t>based on</w:t>
      </w:r>
      <w:r>
        <w:t xml:space="preserve"> the three-factor quantitative model annually:</w:t>
      </w:r>
    </w:p>
    <w:p w14:paraId="1D0768E8" w14:textId="164D1D29" w:rsidR="00AD6FD7" w:rsidRDefault="00AD6FD7" w:rsidP="00AD6FD7">
      <w:pPr>
        <w:spacing w:before="40" w:after="40"/>
        <w:jc w:val="center"/>
        <w:rPr>
          <w:b/>
          <w:bCs/>
          <w:sz w:val="24"/>
          <w:szCs w:val="24"/>
          <w:u w:val="single"/>
        </w:rPr>
      </w:pPr>
      <w:r w:rsidRPr="00AD6FD7">
        <w:rPr>
          <w:b/>
          <w:bCs/>
          <w:sz w:val="24"/>
          <w:szCs w:val="24"/>
          <w:u w:val="single"/>
        </w:rPr>
        <w:t>Risk Score = Likelihood (1–5) × Impact (1–5) × Velocity (1–3)</w:t>
      </w:r>
    </w:p>
    <w:p w14:paraId="001FF615" w14:textId="77777777" w:rsidR="005734D0" w:rsidRPr="00AD6FD7" w:rsidRDefault="005734D0" w:rsidP="00AD6FD7">
      <w:pPr>
        <w:spacing w:before="40" w:after="40"/>
        <w:jc w:val="center"/>
        <w:rPr>
          <w:b/>
          <w:bCs/>
          <w:sz w:val="24"/>
          <w:szCs w:val="24"/>
          <w:u w:val="single"/>
        </w:rPr>
      </w:pPr>
    </w:p>
    <w:p w14:paraId="2CDCB286" w14:textId="75A3738F" w:rsidR="00AD6FD7" w:rsidRDefault="00AD6FD7" w:rsidP="005734D0">
      <w:pPr>
        <w:spacing w:before="40" w:after="40"/>
      </w:pPr>
      <w:r>
        <w:t>The Velocity factor, indicating the rate at which a threat can become a reality and inflict damage, is a modern improvement of the historic binary model, which indicates the fast-paced nature of AI-generated phishing and zero-day API exploits [8]. Risks that exceed the set threshold prompt mandatory treatment plans that are in line with ISO 27001 Annex A controls.</w:t>
      </w:r>
    </w:p>
    <w:p w14:paraId="7C9FA06F" w14:textId="77777777" w:rsidR="008A798B" w:rsidRDefault="008A798B" w:rsidP="005734D0">
      <w:pPr>
        <w:spacing w:before="40" w:after="40"/>
      </w:pPr>
    </w:p>
    <w:p w14:paraId="407456CA" w14:textId="4A3259ED" w:rsidR="008A798B" w:rsidRPr="008A798B" w:rsidRDefault="008A798B" w:rsidP="008A798B">
      <w:pPr>
        <w:spacing w:before="40" w:after="40"/>
        <w:jc w:val="center"/>
        <w:rPr>
          <w:b/>
          <w:bCs/>
          <w:sz w:val="24"/>
          <w:szCs w:val="24"/>
        </w:rPr>
      </w:pPr>
      <w:r w:rsidRPr="008A798B">
        <w:rPr>
          <w:b/>
          <w:bCs/>
          <w:sz w:val="24"/>
          <w:szCs w:val="24"/>
        </w:rPr>
        <w:t>FSB Risk Register (Three‑Factor Quantitative Model)</w:t>
      </w:r>
    </w:p>
    <w:tbl>
      <w:tblPr>
        <w:tblStyle w:val="GridTable5Dark-Accent3"/>
        <w:tblW w:w="9421" w:type="dxa"/>
        <w:tblLook w:val="04A0" w:firstRow="1" w:lastRow="0" w:firstColumn="1" w:lastColumn="0" w:noHBand="0" w:noVBand="1"/>
      </w:tblPr>
      <w:tblGrid>
        <w:gridCol w:w="1150"/>
        <w:gridCol w:w="1797"/>
        <w:gridCol w:w="1066"/>
        <w:gridCol w:w="1054"/>
        <w:gridCol w:w="1069"/>
        <w:gridCol w:w="1181"/>
        <w:gridCol w:w="2104"/>
      </w:tblGrid>
      <w:tr w:rsidR="008A798B" w14:paraId="0C37FA05" w14:textId="77777777" w:rsidTr="00F25E8C">
        <w:trPr>
          <w:cnfStyle w:val="100000000000" w:firstRow="1" w:lastRow="0" w:firstColumn="0" w:lastColumn="0" w:oddVBand="0" w:evenVBand="0" w:oddHBand="0" w:evenHBand="0" w:firstRowFirstColumn="0" w:firstRowLastColumn="0" w:lastRowFirstColumn="0" w:lastRowLastColumn="0"/>
          <w:trHeight w:val="350"/>
        </w:trPr>
        <w:tc>
          <w:tcPr>
            <w:cnfStyle w:val="001000000000" w:firstRow="0" w:lastRow="0" w:firstColumn="1" w:lastColumn="0" w:oddVBand="0" w:evenVBand="0" w:oddHBand="0" w:evenHBand="0" w:firstRowFirstColumn="0" w:firstRowLastColumn="0" w:lastRowFirstColumn="0" w:lastRowLastColumn="0"/>
            <w:tcW w:w="1150" w:type="dxa"/>
          </w:tcPr>
          <w:p w14:paraId="632EAC07" w14:textId="43C90963" w:rsidR="002B43C6" w:rsidRPr="002B43C6" w:rsidRDefault="002B43C6" w:rsidP="005734D0">
            <w:pPr>
              <w:spacing w:before="40" w:after="40"/>
              <w:rPr>
                <w:b w:val="0"/>
                <w:bCs w:val="0"/>
              </w:rPr>
            </w:pPr>
            <w:r>
              <w:rPr>
                <w:b w:val="0"/>
                <w:bCs w:val="0"/>
              </w:rPr>
              <w:t>Risk</w:t>
            </w:r>
          </w:p>
        </w:tc>
        <w:tc>
          <w:tcPr>
            <w:tcW w:w="1797" w:type="dxa"/>
          </w:tcPr>
          <w:p w14:paraId="108A7E7C" w14:textId="40B0A7F0" w:rsidR="002B43C6" w:rsidRPr="002B43C6" w:rsidRDefault="002B43C6" w:rsidP="005734D0">
            <w:pPr>
              <w:spacing w:before="40" w:after="40"/>
              <w:cnfStyle w:val="100000000000" w:firstRow="1" w:lastRow="0" w:firstColumn="0" w:lastColumn="0" w:oddVBand="0" w:evenVBand="0" w:oddHBand="0" w:evenHBand="0" w:firstRowFirstColumn="0" w:firstRowLastColumn="0" w:lastRowFirstColumn="0" w:lastRowLastColumn="0"/>
              <w:rPr>
                <w:b w:val="0"/>
                <w:bCs w:val="0"/>
              </w:rPr>
            </w:pPr>
            <w:r w:rsidRPr="002B43C6">
              <w:rPr>
                <w:b w:val="0"/>
                <w:bCs w:val="0"/>
              </w:rPr>
              <w:t>Description</w:t>
            </w:r>
          </w:p>
        </w:tc>
        <w:tc>
          <w:tcPr>
            <w:tcW w:w="1066" w:type="dxa"/>
          </w:tcPr>
          <w:p w14:paraId="2C2321C8" w14:textId="54277475" w:rsidR="002B43C6" w:rsidRPr="002B43C6" w:rsidRDefault="002B43C6" w:rsidP="005734D0">
            <w:pPr>
              <w:spacing w:before="40" w:after="40"/>
              <w:cnfStyle w:val="100000000000" w:firstRow="1" w:lastRow="0" w:firstColumn="0" w:lastColumn="0" w:oddVBand="0" w:evenVBand="0" w:oddHBand="0" w:evenHBand="0" w:firstRowFirstColumn="0" w:firstRowLastColumn="0" w:lastRowFirstColumn="0" w:lastRowLastColumn="0"/>
              <w:rPr>
                <w:b w:val="0"/>
                <w:bCs w:val="0"/>
              </w:rPr>
            </w:pPr>
            <w:r w:rsidRPr="002B43C6">
              <w:rPr>
                <w:b w:val="0"/>
                <w:bCs w:val="0"/>
              </w:rPr>
              <w:t>L</w:t>
            </w:r>
          </w:p>
        </w:tc>
        <w:tc>
          <w:tcPr>
            <w:tcW w:w="1054" w:type="dxa"/>
          </w:tcPr>
          <w:p w14:paraId="5AD3BB1D" w14:textId="08AB9748" w:rsidR="002B43C6" w:rsidRPr="002B43C6" w:rsidRDefault="002B43C6" w:rsidP="005734D0">
            <w:pPr>
              <w:spacing w:before="40" w:after="40"/>
              <w:cnfStyle w:val="100000000000" w:firstRow="1" w:lastRow="0" w:firstColumn="0" w:lastColumn="0" w:oddVBand="0" w:evenVBand="0" w:oddHBand="0" w:evenHBand="0" w:firstRowFirstColumn="0" w:firstRowLastColumn="0" w:lastRowFirstColumn="0" w:lastRowLastColumn="0"/>
              <w:rPr>
                <w:b w:val="0"/>
                <w:bCs w:val="0"/>
              </w:rPr>
            </w:pPr>
            <w:r w:rsidRPr="002B43C6">
              <w:rPr>
                <w:b w:val="0"/>
                <w:bCs w:val="0"/>
              </w:rPr>
              <w:t>I</w:t>
            </w:r>
          </w:p>
        </w:tc>
        <w:tc>
          <w:tcPr>
            <w:tcW w:w="1069" w:type="dxa"/>
          </w:tcPr>
          <w:p w14:paraId="07BE2FFD" w14:textId="39D7526A" w:rsidR="002B43C6" w:rsidRPr="002B43C6" w:rsidRDefault="002B43C6" w:rsidP="005734D0">
            <w:pPr>
              <w:spacing w:before="40" w:after="40"/>
              <w:cnfStyle w:val="100000000000" w:firstRow="1" w:lastRow="0" w:firstColumn="0" w:lastColumn="0" w:oddVBand="0" w:evenVBand="0" w:oddHBand="0" w:evenHBand="0" w:firstRowFirstColumn="0" w:firstRowLastColumn="0" w:lastRowFirstColumn="0" w:lastRowLastColumn="0"/>
              <w:rPr>
                <w:b w:val="0"/>
                <w:bCs w:val="0"/>
              </w:rPr>
            </w:pPr>
            <w:r w:rsidRPr="002B43C6">
              <w:rPr>
                <w:b w:val="0"/>
                <w:bCs w:val="0"/>
              </w:rPr>
              <w:t>V</w:t>
            </w:r>
          </w:p>
        </w:tc>
        <w:tc>
          <w:tcPr>
            <w:tcW w:w="1181" w:type="dxa"/>
          </w:tcPr>
          <w:p w14:paraId="2643B855" w14:textId="75C449BE" w:rsidR="002B43C6" w:rsidRPr="002B43C6" w:rsidRDefault="002B43C6" w:rsidP="005734D0">
            <w:pPr>
              <w:spacing w:before="40" w:after="40"/>
              <w:cnfStyle w:val="100000000000" w:firstRow="1" w:lastRow="0" w:firstColumn="0" w:lastColumn="0" w:oddVBand="0" w:evenVBand="0" w:oddHBand="0" w:evenHBand="0" w:firstRowFirstColumn="0" w:firstRowLastColumn="0" w:lastRowFirstColumn="0" w:lastRowLastColumn="0"/>
              <w:rPr>
                <w:b w:val="0"/>
                <w:bCs w:val="0"/>
              </w:rPr>
            </w:pPr>
            <w:r w:rsidRPr="002B43C6">
              <w:rPr>
                <w:b w:val="0"/>
                <w:bCs w:val="0"/>
              </w:rPr>
              <w:t>Score</w:t>
            </w:r>
          </w:p>
        </w:tc>
        <w:tc>
          <w:tcPr>
            <w:tcW w:w="2104" w:type="dxa"/>
          </w:tcPr>
          <w:p w14:paraId="0F0349EE" w14:textId="55D2C955" w:rsidR="002B43C6" w:rsidRPr="002B43C6" w:rsidRDefault="002B43C6" w:rsidP="005734D0">
            <w:pPr>
              <w:spacing w:before="40" w:after="40"/>
              <w:cnfStyle w:val="100000000000" w:firstRow="1" w:lastRow="0" w:firstColumn="0" w:lastColumn="0" w:oddVBand="0" w:evenVBand="0" w:oddHBand="0" w:evenHBand="0" w:firstRowFirstColumn="0" w:firstRowLastColumn="0" w:lastRowFirstColumn="0" w:lastRowLastColumn="0"/>
              <w:rPr>
                <w:b w:val="0"/>
                <w:bCs w:val="0"/>
              </w:rPr>
            </w:pPr>
            <w:r w:rsidRPr="002B43C6">
              <w:rPr>
                <w:b w:val="0"/>
                <w:bCs w:val="0"/>
              </w:rPr>
              <w:t>ISO 27001 Control</w:t>
            </w:r>
          </w:p>
        </w:tc>
      </w:tr>
      <w:tr w:rsidR="008A798B" w14:paraId="3EAEF919" w14:textId="77777777" w:rsidTr="00F25E8C">
        <w:trPr>
          <w:cnfStyle w:val="000000100000" w:firstRow="0" w:lastRow="0" w:firstColumn="0" w:lastColumn="0" w:oddVBand="0" w:evenVBand="0" w:oddHBand="1" w:evenHBand="0" w:firstRowFirstColumn="0" w:firstRowLastColumn="0" w:lastRowFirstColumn="0" w:lastRowLastColumn="0"/>
          <w:trHeight w:val="600"/>
        </w:trPr>
        <w:tc>
          <w:tcPr>
            <w:cnfStyle w:val="001000000000" w:firstRow="0" w:lastRow="0" w:firstColumn="1" w:lastColumn="0" w:oddVBand="0" w:evenVBand="0" w:oddHBand="0" w:evenHBand="0" w:firstRowFirstColumn="0" w:firstRowLastColumn="0" w:lastRowFirstColumn="0" w:lastRowLastColumn="0"/>
            <w:tcW w:w="1150" w:type="dxa"/>
          </w:tcPr>
          <w:p w14:paraId="5A7F3B07" w14:textId="7C8C92D0" w:rsidR="002B43C6" w:rsidRPr="002B6E44" w:rsidRDefault="002B43C6" w:rsidP="005734D0">
            <w:pPr>
              <w:spacing w:before="40" w:after="40"/>
            </w:pPr>
            <w:r w:rsidRPr="002B6E44">
              <w:t>R1</w:t>
            </w:r>
          </w:p>
        </w:tc>
        <w:tc>
          <w:tcPr>
            <w:tcW w:w="1797" w:type="dxa"/>
          </w:tcPr>
          <w:p w14:paraId="5E0851A2" w14:textId="0F4E23AD" w:rsidR="002B43C6" w:rsidRDefault="002B43C6" w:rsidP="005734D0">
            <w:pPr>
              <w:spacing w:before="40" w:after="40"/>
              <w:cnfStyle w:val="000000100000" w:firstRow="0" w:lastRow="0" w:firstColumn="0" w:lastColumn="0" w:oddVBand="0" w:evenVBand="0" w:oddHBand="1" w:evenHBand="0" w:firstRowFirstColumn="0" w:firstRowLastColumn="0" w:lastRowFirstColumn="0" w:lastRowLastColumn="0"/>
            </w:pPr>
            <w:r>
              <w:t>BYOD data breach</w:t>
            </w:r>
          </w:p>
        </w:tc>
        <w:tc>
          <w:tcPr>
            <w:tcW w:w="1066" w:type="dxa"/>
          </w:tcPr>
          <w:p w14:paraId="0030A8BE" w14:textId="43BB4E1B" w:rsidR="002B43C6" w:rsidRDefault="002B43C6" w:rsidP="005734D0">
            <w:pPr>
              <w:spacing w:before="40" w:after="40"/>
              <w:cnfStyle w:val="000000100000" w:firstRow="0" w:lastRow="0" w:firstColumn="0" w:lastColumn="0" w:oddVBand="0" w:evenVBand="0" w:oddHBand="1" w:evenHBand="0" w:firstRowFirstColumn="0" w:firstRowLastColumn="0" w:lastRowFirstColumn="0" w:lastRowLastColumn="0"/>
            </w:pPr>
            <w:r>
              <w:t>4</w:t>
            </w:r>
          </w:p>
        </w:tc>
        <w:tc>
          <w:tcPr>
            <w:tcW w:w="1054" w:type="dxa"/>
          </w:tcPr>
          <w:p w14:paraId="65C64249" w14:textId="03B04CBC" w:rsidR="002B43C6" w:rsidRDefault="002B43C6" w:rsidP="005734D0">
            <w:pPr>
              <w:spacing w:before="40" w:after="40"/>
              <w:cnfStyle w:val="000000100000" w:firstRow="0" w:lastRow="0" w:firstColumn="0" w:lastColumn="0" w:oddVBand="0" w:evenVBand="0" w:oddHBand="1" w:evenHBand="0" w:firstRowFirstColumn="0" w:firstRowLastColumn="0" w:lastRowFirstColumn="0" w:lastRowLastColumn="0"/>
            </w:pPr>
            <w:r>
              <w:t>5</w:t>
            </w:r>
          </w:p>
        </w:tc>
        <w:tc>
          <w:tcPr>
            <w:tcW w:w="1069" w:type="dxa"/>
          </w:tcPr>
          <w:p w14:paraId="01E9CC62" w14:textId="1D7C837E" w:rsidR="002B43C6" w:rsidRDefault="002B43C6" w:rsidP="005734D0">
            <w:pPr>
              <w:spacing w:before="40" w:after="40"/>
              <w:cnfStyle w:val="000000100000" w:firstRow="0" w:lastRow="0" w:firstColumn="0" w:lastColumn="0" w:oddVBand="0" w:evenVBand="0" w:oddHBand="1" w:evenHBand="0" w:firstRowFirstColumn="0" w:firstRowLastColumn="0" w:lastRowFirstColumn="0" w:lastRowLastColumn="0"/>
            </w:pPr>
            <w:r>
              <w:t>3</w:t>
            </w:r>
          </w:p>
        </w:tc>
        <w:tc>
          <w:tcPr>
            <w:tcW w:w="1181" w:type="dxa"/>
          </w:tcPr>
          <w:p w14:paraId="01526FA5" w14:textId="79018412" w:rsidR="002B43C6" w:rsidRDefault="002B43C6" w:rsidP="005734D0">
            <w:pPr>
              <w:spacing w:before="40" w:after="40"/>
              <w:cnfStyle w:val="000000100000" w:firstRow="0" w:lastRow="0" w:firstColumn="0" w:lastColumn="0" w:oddVBand="0" w:evenVBand="0" w:oddHBand="1" w:evenHBand="0" w:firstRowFirstColumn="0" w:firstRowLastColumn="0" w:lastRowFirstColumn="0" w:lastRowLastColumn="0"/>
            </w:pPr>
            <w:r>
              <w:t>60</w:t>
            </w:r>
          </w:p>
        </w:tc>
        <w:tc>
          <w:tcPr>
            <w:tcW w:w="2104" w:type="dxa"/>
          </w:tcPr>
          <w:p w14:paraId="5291CE95" w14:textId="1EB778D7" w:rsidR="002B43C6" w:rsidRDefault="002B43C6" w:rsidP="005734D0">
            <w:pPr>
              <w:spacing w:before="40" w:after="40"/>
              <w:cnfStyle w:val="000000100000" w:firstRow="0" w:lastRow="0" w:firstColumn="0" w:lastColumn="0" w:oddVBand="0" w:evenVBand="0" w:oddHBand="1" w:evenHBand="0" w:firstRowFirstColumn="0" w:firstRowLastColumn="0" w:lastRowFirstColumn="0" w:lastRowLastColumn="0"/>
            </w:pPr>
            <w:r>
              <w:t>A.5.23,</w:t>
            </w:r>
            <w:r w:rsidR="00F25E8C">
              <w:t xml:space="preserve"> </w:t>
            </w:r>
            <w:r>
              <w:t>A.8.5</w:t>
            </w:r>
            <w:r w:rsidR="008A798B">
              <w:t>,</w:t>
            </w:r>
            <w:r w:rsidR="00F25E8C">
              <w:t xml:space="preserve"> </w:t>
            </w:r>
            <w:r w:rsidR="008A798B">
              <w:t>A.8.12</w:t>
            </w:r>
          </w:p>
        </w:tc>
      </w:tr>
      <w:tr w:rsidR="008A798B" w14:paraId="416492E4" w14:textId="77777777" w:rsidTr="00F25E8C">
        <w:trPr>
          <w:trHeight w:val="613"/>
        </w:trPr>
        <w:tc>
          <w:tcPr>
            <w:cnfStyle w:val="001000000000" w:firstRow="0" w:lastRow="0" w:firstColumn="1" w:lastColumn="0" w:oddVBand="0" w:evenVBand="0" w:oddHBand="0" w:evenHBand="0" w:firstRowFirstColumn="0" w:firstRowLastColumn="0" w:lastRowFirstColumn="0" w:lastRowLastColumn="0"/>
            <w:tcW w:w="1150" w:type="dxa"/>
          </w:tcPr>
          <w:p w14:paraId="59970C0C" w14:textId="23508F99" w:rsidR="002B43C6" w:rsidRPr="002B6E44" w:rsidRDefault="002B43C6" w:rsidP="005734D0">
            <w:pPr>
              <w:spacing w:before="40" w:after="40"/>
            </w:pPr>
            <w:r w:rsidRPr="002B6E44">
              <w:t>R2</w:t>
            </w:r>
          </w:p>
        </w:tc>
        <w:tc>
          <w:tcPr>
            <w:tcW w:w="1797" w:type="dxa"/>
          </w:tcPr>
          <w:p w14:paraId="12B60BA4" w14:textId="3F2C193F" w:rsidR="002B43C6" w:rsidRDefault="008A798B" w:rsidP="005734D0">
            <w:pPr>
              <w:spacing w:before="40" w:after="40"/>
              <w:cnfStyle w:val="000000000000" w:firstRow="0" w:lastRow="0" w:firstColumn="0" w:lastColumn="0" w:oddVBand="0" w:evenVBand="0" w:oddHBand="0" w:evenHBand="0" w:firstRowFirstColumn="0" w:firstRowLastColumn="0" w:lastRowFirstColumn="0" w:lastRowLastColumn="0"/>
            </w:pPr>
            <w:r>
              <w:t>Cloud misconfiguration</w:t>
            </w:r>
          </w:p>
        </w:tc>
        <w:tc>
          <w:tcPr>
            <w:tcW w:w="1066" w:type="dxa"/>
          </w:tcPr>
          <w:p w14:paraId="6CE95FE7" w14:textId="19D15AEF" w:rsidR="002B43C6" w:rsidRDefault="008A798B" w:rsidP="005734D0">
            <w:pPr>
              <w:spacing w:before="40" w:after="40"/>
              <w:cnfStyle w:val="000000000000" w:firstRow="0" w:lastRow="0" w:firstColumn="0" w:lastColumn="0" w:oddVBand="0" w:evenVBand="0" w:oddHBand="0" w:evenHBand="0" w:firstRowFirstColumn="0" w:firstRowLastColumn="0" w:lastRowFirstColumn="0" w:lastRowLastColumn="0"/>
            </w:pPr>
            <w:r>
              <w:t>3</w:t>
            </w:r>
          </w:p>
        </w:tc>
        <w:tc>
          <w:tcPr>
            <w:tcW w:w="1054" w:type="dxa"/>
          </w:tcPr>
          <w:p w14:paraId="50110C24" w14:textId="0F9A3C86" w:rsidR="002B43C6" w:rsidRDefault="008A798B" w:rsidP="005734D0">
            <w:pPr>
              <w:spacing w:before="40" w:after="40"/>
              <w:cnfStyle w:val="000000000000" w:firstRow="0" w:lastRow="0" w:firstColumn="0" w:lastColumn="0" w:oddVBand="0" w:evenVBand="0" w:oddHBand="0" w:evenHBand="0" w:firstRowFirstColumn="0" w:firstRowLastColumn="0" w:lastRowFirstColumn="0" w:lastRowLastColumn="0"/>
            </w:pPr>
            <w:r>
              <w:t>5</w:t>
            </w:r>
          </w:p>
        </w:tc>
        <w:tc>
          <w:tcPr>
            <w:tcW w:w="1069" w:type="dxa"/>
          </w:tcPr>
          <w:p w14:paraId="390B9838" w14:textId="2B108EE9" w:rsidR="002B43C6" w:rsidRDefault="008A798B" w:rsidP="005734D0">
            <w:pPr>
              <w:spacing w:before="40" w:after="40"/>
              <w:cnfStyle w:val="000000000000" w:firstRow="0" w:lastRow="0" w:firstColumn="0" w:lastColumn="0" w:oddVBand="0" w:evenVBand="0" w:oddHBand="0" w:evenHBand="0" w:firstRowFirstColumn="0" w:firstRowLastColumn="0" w:lastRowFirstColumn="0" w:lastRowLastColumn="0"/>
            </w:pPr>
            <w:r>
              <w:t>3</w:t>
            </w:r>
          </w:p>
        </w:tc>
        <w:tc>
          <w:tcPr>
            <w:tcW w:w="1181" w:type="dxa"/>
          </w:tcPr>
          <w:p w14:paraId="0CDB7FB4" w14:textId="0DD173F0" w:rsidR="002B43C6" w:rsidRDefault="008A798B" w:rsidP="005734D0">
            <w:pPr>
              <w:spacing w:before="40" w:after="40"/>
              <w:cnfStyle w:val="000000000000" w:firstRow="0" w:lastRow="0" w:firstColumn="0" w:lastColumn="0" w:oddVBand="0" w:evenVBand="0" w:oddHBand="0" w:evenHBand="0" w:firstRowFirstColumn="0" w:firstRowLastColumn="0" w:lastRowFirstColumn="0" w:lastRowLastColumn="0"/>
            </w:pPr>
            <w:r>
              <w:t>45</w:t>
            </w:r>
          </w:p>
        </w:tc>
        <w:tc>
          <w:tcPr>
            <w:tcW w:w="2104" w:type="dxa"/>
          </w:tcPr>
          <w:p w14:paraId="5BBECA52" w14:textId="433A6D8F" w:rsidR="002B43C6" w:rsidRDefault="008A798B" w:rsidP="005734D0">
            <w:pPr>
              <w:spacing w:before="40" w:after="40"/>
              <w:cnfStyle w:val="000000000000" w:firstRow="0" w:lastRow="0" w:firstColumn="0" w:lastColumn="0" w:oddVBand="0" w:evenVBand="0" w:oddHBand="0" w:evenHBand="0" w:firstRowFirstColumn="0" w:firstRowLastColumn="0" w:lastRowFirstColumn="0" w:lastRowLastColumn="0"/>
            </w:pPr>
            <w:r w:rsidRPr="008A798B">
              <w:t>A.5.7, A.5.23, A.8.16</w:t>
            </w:r>
          </w:p>
        </w:tc>
      </w:tr>
      <w:tr w:rsidR="008A798B" w14:paraId="31DA4036" w14:textId="77777777" w:rsidTr="00F25E8C">
        <w:trPr>
          <w:cnfStyle w:val="000000100000" w:firstRow="0" w:lastRow="0" w:firstColumn="0" w:lastColumn="0" w:oddVBand="0" w:evenVBand="0" w:oddHBand="1" w:evenHBand="0" w:firstRowFirstColumn="0" w:firstRowLastColumn="0" w:lastRowFirstColumn="0" w:lastRowLastColumn="0"/>
          <w:trHeight w:val="613"/>
        </w:trPr>
        <w:tc>
          <w:tcPr>
            <w:cnfStyle w:val="001000000000" w:firstRow="0" w:lastRow="0" w:firstColumn="1" w:lastColumn="0" w:oddVBand="0" w:evenVBand="0" w:oddHBand="0" w:evenHBand="0" w:firstRowFirstColumn="0" w:firstRowLastColumn="0" w:lastRowFirstColumn="0" w:lastRowLastColumn="0"/>
            <w:tcW w:w="1150" w:type="dxa"/>
          </w:tcPr>
          <w:p w14:paraId="4A640C45" w14:textId="05A435DA" w:rsidR="002B43C6" w:rsidRPr="002B6E44" w:rsidRDefault="002B43C6" w:rsidP="005734D0">
            <w:pPr>
              <w:spacing w:before="40" w:after="40"/>
            </w:pPr>
            <w:r w:rsidRPr="002B6E44">
              <w:t>R3</w:t>
            </w:r>
          </w:p>
        </w:tc>
        <w:tc>
          <w:tcPr>
            <w:tcW w:w="1797" w:type="dxa"/>
          </w:tcPr>
          <w:p w14:paraId="7B378BEE" w14:textId="1B76C145" w:rsidR="002B43C6" w:rsidRDefault="008A798B" w:rsidP="005734D0">
            <w:pPr>
              <w:spacing w:before="40" w:after="40"/>
              <w:cnfStyle w:val="000000100000" w:firstRow="0" w:lastRow="0" w:firstColumn="0" w:lastColumn="0" w:oddVBand="0" w:evenVBand="0" w:oddHBand="1" w:evenHBand="0" w:firstRowFirstColumn="0" w:firstRowLastColumn="0" w:lastRowFirstColumn="0" w:lastRowLastColumn="0"/>
            </w:pPr>
            <w:r>
              <w:t>Insider privilege abuse</w:t>
            </w:r>
          </w:p>
        </w:tc>
        <w:tc>
          <w:tcPr>
            <w:tcW w:w="1066" w:type="dxa"/>
          </w:tcPr>
          <w:p w14:paraId="1D0013A3" w14:textId="35E13B79" w:rsidR="002B43C6" w:rsidRDefault="008A798B" w:rsidP="005734D0">
            <w:pPr>
              <w:spacing w:before="40" w:after="40"/>
              <w:cnfStyle w:val="000000100000" w:firstRow="0" w:lastRow="0" w:firstColumn="0" w:lastColumn="0" w:oddVBand="0" w:evenVBand="0" w:oddHBand="1" w:evenHBand="0" w:firstRowFirstColumn="0" w:firstRowLastColumn="0" w:lastRowFirstColumn="0" w:lastRowLastColumn="0"/>
            </w:pPr>
            <w:r>
              <w:t>3</w:t>
            </w:r>
          </w:p>
        </w:tc>
        <w:tc>
          <w:tcPr>
            <w:tcW w:w="1054" w:type="dxa"/>
          </w:tcPr>
          <w:p w14:paraId="26FE1687" w14:textId="1CB36EC5" w:rsidR="002B43C6" w:rsidRDefault="008A798B" w:rsidP="005734D0">
            <w:pPr>
              <w:spacing w:before="40" w:after="40"/>
              <w:cnfStyle w:val="000000100000" w:firstRow="0" w:lastRow="0" w:firstColumn="0" w:lastColumn="0" w:oddVBand="0" w:evenVBand="0" w:oddHBand="1" w:evenHBand="0" w:firstRowFirstColumn="0" w:firstRowLastColumn="0" w:lastRowFirstColumn="0" w:lastRowLastColumn="0"/>
            </w:pPr>
            <w:r>
              <w:t>5</w:t>
            </w:r>
          </w:p>
        </w:tc>
        <w:tc>
          <w:tcPr>
            <w:tcW w:w="1069" w:type="dxa"/>
          </w:tcPr>
          <w:p w14:paraId="7CB3095D" w14:textId="2AAD3EEE" w:rsidR="002B43C6" w:rsidRDefault="008A798B" w:rsidP="005734D0">
            <w:pPr>
              <w:spacing w:before="40" w:after="40"/>
              <w:cnfStyle w:val="000000100000" w:firstRow="0" w:lastRow="0" w:firstColumn="0" w:lastColumn="0" w:oddVBand="0" w:evenVBand="0" w:oddHBand="1" w:evenHBand="0" w:firstRowFirstColumn="0" w:firstRowLastColumn="0" w:lastRowFirstColumn="0" w:lastRowLastColumn="0"/>
            </w:pPr>
            <w:r>
              <w:t>2</w:t>
            </w:r>
          </w:p>
        </w:tc>
        <w:tc>
          <w:tcPr>
            <w:tcW w:w="1181" w:type="dxa"/>
          </w:tcPr>
          <w:p w14:paraId="7B7B2A32" w14:textId="560E4C55" w:rsidR="002B43C6" w:rsidRDefault="008A798B" w:rsidP="005734D0">
            <w:pPr>
              <w:spacing w:before="40" w:after="40"/>
              <w:cnfStyle w:val="000000100000" w:firstRow="0" w:lastRow="0" w:firstColumn="0" w:lastColumn="0" w:oddVBand="0" w:evenVBand="0" w:oddHBand="1" w:evenHBand="0" w:firstRowFirstColumn="0" w:firstRowLastColumn="0" w:lastRowFirstColumn="0" w:lastRowLastColumn="0"/>
            </w:pPr>
            <w:r>
              <w:t>30</w:t>
            </w:r>
          </w:p>
        </w:tc>
        <w:tc>
          <w:tcPr>
            <w:tcW w:w="2104" w:type="dxa"/>
          </w:tcPr>
          <w:p w14:paraId="3F0EB248" w14:textId="08A55614" w:rsidR="002B43C6" w:rsidRDefault="008A798B" w:rsidP="005734D0">
            <w:pPr>
              <w:spacing w:before="40" w:after="40"/>
              <w:cnfStyle w:val="000000100000" w:firstRow="0" w:lastRow="0" w:firstColumn="0" w:lastColumn="0" w:oddVBand="0" w:evenVBand="0" w:oddHBand="1" w:evenHBand="0" w:firstRowFirstColumn="0" w:firstRowLastColumn="0" w:lastRowFirstColumn="0" w:lastRowLastColumn="0"/>
            </w:pPr>
            <w:r w:rsidRPr="008A798B">
              <w:t>A.8.2, A.8.16</w:t>
            </w:r>
          </w:p>
        </w:tc>
      </w:tr>
      <w:tr w:rsidR="008A798B" w14:paraId="7606CEFE" w14:textId="77777777" w:rsidTr="00F25E8C">
        <w:trPr>
          <w:trHeight w:val="600"/>
        </w:trPr>
        <w:tc>
          <w:tcPr>
            <w:cnfStyle w:val="001000000000" w:firstRow="0" w:lastRow="0" w:firstColumn="1" w:lastColumn="0" w:oddVBand="0" w:evenVBand="0" w:oddHBand="0" w:evenHBand="0" w:firstRowFirstColumn="0" w:firstRowLastColumn="0" w:lastRowFirstColumn="0" w:lastRowLastColumn="0"/>
            <w:tcW w:w="1150" w:type="dxa"/>
          </w:tcPr>
          <w:p w14:paraId="1CDE191B" w14:textId="6B42740A" w:rsidR="002B43C6" w:rsidRPr="002B6E44" w:rsidRDefault="002B43C6" w:rsidP="005734D0">
            <w:pPr>
              <w:spacing w:before="40" w:after="40"/>
            </w:pPr>
            <w:r w:rsidRPr="002B6E44">
              <w:t>R4</w:t>
            </w:r>
          </w:p>
        </w:tc>
        <w:tc>
          <w:tcPr>
            <w:tcW w:w="1797" w:type="dxa"/>
          </w:tcPr>
          <w:p w14:paraId="0F75F136" w14:textId="2284B9C1" w:rsidR="002B43C6" w:rsidRDefault="008A798B" w:rsidP="005734D0">
            <w:pPr>
              <w:spacing w:before="40" w:after="40"/>
              <w:cnfStyle w:val="000000000000" w:firstRow="0" w:lastRow="0" w:firstColumn="0" w:lastColumn="0" w:oddVBand="0" w:evenVBand="0" w:oddHBand="0" w:evenHBand="0" w:firstRowFirstColumn="0" w:firstRowLastColumn="0" w:lastRowFirstColumn="0" w:lastRowLastColumn="0"/>
            </w:pPr>
            <w:r>
              <w:t>Phishing credential theft</w:t>
            </w:r>
          </w:p>
        </w:tc>
        <w:tc>
          <w:tcPr>
            <w:tcW w:w="1066" w:type="dxa"/>
          </w:tcPr>
          <w:p w14:paraId="3AB35446" w14:textId="58D6DFFA" w:rsidR="002B43C6" w:rsidRDefault="008A798B" w:rsidP="005734D0">
            <w:pPr>
              <w:spacing w:before="40" w:after="40"/>
              <w:cnfStyle w:val="000000000000" w:firstRow="0" w:lastRow="0" w:firstColumn="0" w:lastColumn="0" w:oddVBand="0" w:evenVBand="0" w:oddHBand="0" w:evenHBand="0" w:firstRowFirstColumn="0" w:firstRowLastColumn="0" w:lastRowFirstColumn="0" w:lastRowLastColumn="0"/>
            </w:pPr>
            <w:r>
              <w:t>5</w:t>
            </w:r>
          </w:p>
        </w:tc>
        <w:tc>
          <w:tcPr>
            <w:tcW w:w="1054" w:type="dxa"/>
          </w:tcPr>
          <w:p w14:paraId="0CB4C8FD" w14:textId="465B62DF" w:rsidR="002B43C6" w:rsidRDefault="008A798B" w:rsidP="005734D0">
            <w:pPr>
              <w:spacing w:before="40" w:after="40"/>
              <w:cnfStyle w:val="000000000000" w:firstRow="0" w:lastRow="0" w:firstColumn="0" w:lastColumn="0" w:oddVBand="0" w:evenVBand="0" w:oddHBand="0" w:evenHBand="0" w:firstRowFirstColumn="0" w:firstRowLastColumn="0" w:lastRowFirstColumn="0" w:lastRowLastColumn="0"/>
            </w:pPr>
            <w:r>
              <w:t>4</w:t>
            </w:r>
          </w:p>
        </w:tc>
        <w:tc>
          <w:tcPr>
            <w:tcW w:w="1069" w:type="dxa"/>
          </w:tcPr>
          <w:p w14:paraId="0E8F574C" w14:textId="3AECD1D0" w:rsidR="002B43C6" w:rsidRDefault="008A798B" w:rsidP="005734D0">
            <w:pPr>
              <w:spacing w:before="40" w:after="40"/>
              <w:cnfStyle w:val="000000000000" w:firstRow="0" w:lastRow="0" w:firstColumn="0" w:lastColumn="0" w:oddVBand="0" w:evenVBand="0" w:oddHBand="0" w:evenHBand="0" w:firstRowFirstColumn="0" w:firstRowLastColumn="0" w:lastRowFirstColumn="0" w:lastRowLastColumn="0"/>
            </w:pPr>
            <w:r>
              <w:t>3</w:t>
            </w:r>
          </w:p>
        </w:tc>
        <w:tc>
          <w:tcPr>
            <w:tcW w:w="1181" w:type="dxa"/>
          </w:tcPr>
          <w:p w14:paraId="2C14B9BB" w14:textId="0D207F11" w:rsidR="002B43C6" w:rsidRDefault="008A798B" w:rsidP="005734D0">
            <w:pPr>
              <w:spacing w:before="40" w:after="40"/>
              <w:cnfStyle w:val="000000000000" w:firstRow="0" w:lastRow="0" w:firstColumn="0" w:lastColumn="0" w:oddVBand="0" w:evenVBand="0" w:oddHBand="0" w:evenHBand="0" w:firstRowFirstColumn="0" w:firstRowLastColumn="0" w:lastRowFirstColumn="0" w:lastRowLastColumn="0"/>
            </w:pPr>
            <w:r>
              <w:t>60</w:t>
            </w:r>
          </w:p>
        </w:tc>
        <w:tc>
          <w:tcPr>
            <w:tcW w:w="2104" w:type="dxa"/>
          </w:tcPr>
          <w:p w14:paraId="3225FA79" w14:textId="44D64117" w:rsidR="002B43C6" w:rsidRDefault="008A798B" w:rsidP="005734D0">
            <w:pPr>
              <w:spacing w:before="40" w:after="40"/>
              <w:cnfStyle w:val="000000000000" w:firstRow="0" w:lastRow="0" w:firstColumn="0" w:lastColumn="0" w:oddVBand="0" w:evenVBand="0" w:oddHBand="0" w:evenHBand="0" w:firstRowFirstColumn="0" w:firstRowLastColumn="0" w:lastRowFirstColumn="0" w:lastRowLastColumn="0"/>
            </w:pPr>
            <w:r w:rsidRPr="008A798B">
              <w:t>A.5.7, A.6, A.8.5</w:t>
            </w:r>
          </w:p>
        </w:tc>
      </w:tr>
      <w:tr w:rsidR="008A798B" w14:paraId="70E14911" w14:textId="77777777" w:rsidTr="00F25E8C">
        <w:trPr>
          <w:cnfStyle w:val="000000100000" w:firstRow="0" w:lastRow="0" w:firstColumn="0" w:lastColumn="0" w:oddVBand="0" w:evenVBand="0" w:oddHBand="1" w:evenHBand="0" w:firstRowFirstColumn="0" w:firstRowLastColumn="0" w:lastRowFirstColumn="0" w:lastRowLastColumn="0"/>
          <w:trHeight w:val="613"/>
        </w:trPr>
        <w:tc>
          <w:tcPr>
            <w:cnfStyle w:val="001000000000" w:firstRow="0" w:lastRow="0" w:firstColumn="1" w:lastColumn="0" w:oddVBand="0" w:evenVBand="0" w:oddHBand="0" w:evenHBand="0" w:firstRowFirstColumn="0" w:firstRowLastColumn="0" w:lastRowFirstColumn="0" w:lastRowLastColumn="0"/>
            <w:tcW w:w="1150" w:type="dxa"/>
          </w:tcPr>
          <w:p w14:paraId="7E3FDAB5" w14:textId="6991F51C" w:rsidR="002B43C6" w:rsidRPr="002B6E44" w:rsidRDefault="002B43C6" w:rsidP="005734D0">
            <w:pPr>
              <w:spacing w:before="40" w:after="40"/>
            </w:pPr>
            <w:r w:rsidRPr="002B6E44">
              <w:t>R5</w:t>
            </w:r>
          </w:p>
        </w:tc>
        <w:tc>
          <w:tcPr>
            <w:tcW w:w="1797" w:type="dxa"/>
          </w:tcPr>
          <w:p w14:paraId="72B65C72" w14:textId="1DED9FE6" w:rsidR="002B43C6" w:rsidRDefault="008A798B" w:rsidP="005734D0">
            <w:pPr>
              <w:spacing w:before="40" w:after="40"/>
              <w:cnfStyle w:val="000000100000" w:firstRow="0" w:lastRow="0" w:firstColumn="0" w:lastColumn="0" w:oddVBand="0" w:evenVBand="0" w:oddHBand="1" w:evenHBand="0" w:firstRowFirstColumn="0" w:firstRowLastColumn="0" w:lastRowFirstColumn="0" w:lastRowLastColumn="0"/>
            </w:pPr>
            <w:r>
              <w:t xml:space="preserve">SaaS </w:t>
            </w:r>
            <w:r w:rsidR="00F25E8C">
              <w:t>Third-party</w:t>
            </w:r>
            <w:r>
              <w:t xml:space="preserve"> compromise</w:t>
            </w:r>
          </w:p>
        </w:tc>
        <w:tc>
          <w:tcPr>
            <w:tcW w:w="1066" w:type="dxa"/>
          </w:tcPr>
          <w:p w14:paraId="590563A5" w14:textId="7CC92663" w:rsidR="002B43C6" w:rsidRDefault="008A798B" w:rsidP="005734D0">
            <w:pPr>
              <w:spacing w:before="40" w:after="40"/>
              <w:cnfStyle w:val="000000100000" w:firstRow="0" w:lastRow="0" w:firstColumn="0" w:lastColumn="0" w:oddVBand="0" w:evenVBand="0" w:oddHBand="1" w:evenHBand="0" w:firstRowFirstColumn="0" w:firstRowLastColumn="0" w:lastRowFirstColumn="0" w:lastRowLastColumn="0"/>
            </w:pPr>
            <w:r>
              <w:t>3</w:t>
            </w:r>
          </w:p>
        </w:tc>
        <w:tc>
          <w:tcPr>
            <w:tcW w:w="1054" w:type="dxa"/>
          </w:tcPr>
          <w:p w14:paraId="3ECC8FE0" w14:textId="4BD29854" w:rsidR="002B43C6" w:rsidRDefault="008A798B" w:rsidP="005734D0">
            <w:pPr>
              <w:spacing w:before="40" w:after="40"/>
              <w:cnfStyle w:val="000000100000" w:firstRow="0" w:lastRow="0" w:firstColumn="0" w:lastColumn="0" w:oddVBand="0" w:evenVBand="0" w:oddHBand="1" w:evenHBand="0" w:firstRowFirstColumn="0" w:firstRowLastColumn="0" w:lastRowFirstColumn="0" w:lastRowLastColumn="0"/>
            </w:pPr>
            <w:r>
              <w:t>5</w:t>
            </w:r>
          </w:p>
        </w:tc>
        <w:tc>
          <w:tcPr>
            <w:tcW w:w="1069" w:type="dxa"/>
          </w:tcPr>
          <w:p w14:paraId="48B86389" w14:textId="692AABCD" w:rsidR="002B43C6" w:rsidRDefault="008A798B" w:rsidP="005734D0">
            <w:pPr>
              <w:spacing w:before="40" w:after="40"/>
              <w:cnfStyle w:val="000000100000" w:firstRow="0" w:lastRow="0" w:firstColumn="0" w:lastColumn="0" w:oddVBand="0" w:evenVBand="0" w:oddHBand="1" w:evenHBand="0" w:firstRowFirstColumn="0" w:firstRowLastColumn="0" w:lastRowFirstColumn="0" w:lastRowLastColumn="0"/>
            </w:pPr>
            <w:r>
              <w:t>2</w:t>
            </w:r>
          </w:p>
        </w:tc>
        <w:tc>
          <w:tcPr>
            <w:tcW w:w="1181" w:type="dxa"/>
          </w:tcPr>
          <w:p w14:paraId="64CF4C78" w14:textId="1A29F24C" w:rsidR="002B43C6" w:rsidRDefault="008A798B" w:rsidP="005734D0">
            <w:pPr>
              <w:spacing w:before="40" w:after="40"/>
              <w:cnfStyle w:val="000000100000" w:firstRow="0" w:lastRow="0" w:firstColumn="0" w:lastColumn="0" w:oddVBand="0" w:evenVBand="0" w:oddHBand="1" w:evenHBand="0" w:firstRowFirstColumn="0" w:firstRowLastColumn="0" w:lastRowFirstColumn="0" w:lastRowLastColumn="0"/>
            </w:pPr>
            <w:r>
              <w:t>30</w:t>
            </w:r>
          </w:p>
        </w:tc>
        <w:tc>
          <w:tcPr>
            <w:tcW w:w="2104" w:type="dxa"/>
          </w:tcPr>
          <w:p w14:paraId="7FB57F4A" w14:textId="27A43711" w:rsidR="002B43C6" w:rsidRDefault="008A798B" w:rsidP="005734D0">
            <w:pPr>
              <w:spacing w:before="40" w:after="40"/>
              <w:cnfStyle w:val="000000100000" w:firstRow="0" w:lastRow="0" w:firstColumn="0" w:lastColumn="0" w:oddVBand="0" w:evenVBand="0" w:oddHBand="1" w:evenHBand="0" w:firstRowFirstColumn="0" w:firstRowLastColumn="0" w:lastRowFirstColumn="0" w:lastRowLastColumn="0"/>
            </w:pPr>
            <w:r w:rsidRPr="008A798B">
              <w:t>A.5.19, supplier controls</w:t>
            </w:r>
          </w:p>
        </w:tc>
      </w:tr>
      <w:tr w:rsidR="008A798B" w14:paraId="1F13B0C7" w14:textId="77777777" w:rsidTr="00F25E8C">
        <w:trPr>
          <w:trHeight w:val="600"/>
        </w:trPr>
        <w:tc>
          <w:tcPr>
            <w:cnfStyle w:val="001000000000" w:firstRow="0" w:lastRow="0" w:firstColumn="1" w:lastColumn="0" w:oddVBand="0" w:evenVBand="0" w:oddHBand="0" w:evenHBand="0" w:firstRowFirstColumn="0" w:firstRowLastColumn="0" w:lastRowFirstColumn="0" w:lastRowLastColumn="0"/>
            <w:tcW w:w="1150" w:type="dxa"/>
          </w:tcPr>
          <w:p w14:paraId="0DBD15E1" w14:textId="6BDF56F6" w:rsidR="002B43C6" w:rsidRPr="002B6E44" w:rsidRDefault="002B43C6" w:rsidP="005734D0">
            <w:pPr>
              <w:spacing w:before="40" w:after="40"/>
            </w:pPr>
            <w:r w:rsidRPr="002B6E44">
              <w:t>R6</w:t>
            </w:r>
          </w:p>
        </w:tc>
        <w:tc>
          <w:tcPr>
            <w:tcW w:w="1797" w:type="dxa"/>
          </w:tcPr>
          <w:p w14:paraId="29FD003A" w14:textId="55639ED8" w:rsidR="002B43C6" w:rsidRDefault="008A798B" w:rsidP="005734D0">
            <w:pPr>
              <w:spacing w:before="40" w:after="40"/>
              <w:cnfStyle w:val="000000000000" w:firstRow="0" w:lastRow="0" w:firstColumn="0" w:lastColumn="0" w:oddVBand="0" w:evenVBand="0" w:oddHBand="0" w:evenHBand="0" w:firstRowFirstColumn="0" w:firstRowLastColumn="0" w:lastRowFirstColumn="0" w:lastRowLastColumn="0"/>
            </w:pPr>
            <w:r>
              <w:t>Ransomware on core banking</w:t>
            </w:r>
          </w:p>
        </w:tc>
        <w:tc>
          <w:tcPr>
            <w:tcW w:w="1066" w:type="dxa"/>
          </w:tcPr>
          <w:p w14:paraId="69FE8058" w14:textId="69D1AEB7" w:rsidR="002B43C6" w:rsidRDefault="008A798B" w:rsidP="005734D0">
            <w:pPr>
              <w:spacing w:before="40" w:after="40"/>
              <w:cnfStyle w:val="000000000000" w:firstRow="0" w:lastRow="0" w:firstColumn="0" w:lastColumn="0" w:oddVBand="0" w:evenVBand="0" w:oddHBand="0" w:evenHBand="0" w:firstRowFirstColumn="0" w:firstRowLastColumn="0" w:lastRowFirstColumn="0" w:lastRowLastColumn="0"/>
            </w:pPr>
            <w:r>
              <w:t>3</w:t>
            </w:r>
          </w:p>
        </w:tc>
        <w:tc>
          <w:tcPr>
            <w:tcW w:w="1054" w:type="dxa"/>
          </w:tcPr>
          <w:p w14:paraId="638E908D" w14:textId="2C28920D" w:rsidR="002B43C6" w:rsidRDefault="008A798B" w:rsidP="005734D0">
            <w:pPr>
              <w:spacing w:before="40" w:after="40"/>
              <w:cnfStyle w:val="000000000000" w:firstRow="0" w:lastRow="0" w:firstColumn="0" w:lastColumn="0" w:oddVBand="0" w:evenVBand="0" w:oddHBand="0" w:evenHBand="0" w:firstRowFirstColumn="0" w:firstRowLastColumn="0" w:lastRowFirstColumn="0" w:lastRowLastColumn="0"/>
            </w:pPr>
            <w:r>
              <w:t>5</w:t>
            </w:r>
          </w:p>
        </w:tc>
        <w:tc>
          <w:tcPr>
            <w:tcW w:w="1069" w:type="dxa"/>
          </w:tcPr>
          <w:p w14:paraId="6F4C503B" w14:textId="2B77C1F5" w:rsidR="002B43C6" w:rsidRDefault="008A798B" w:rsidP="005734D0">
            <w:pPr>
              <w:spacing w:before="40" w:after="40"/>
              <w:cnfStyle w:val="000000000000" w:firstRow="0" w:lastRow="0" w:firstColumn="0" w:lastColumn="0" w:oddVBand="0" w:evenVBand="0" w:oddHBand="0" w:evenHBand="0" w:firstRowFirstColumn="0" w:firstRowLastColumn="0" w:lastRowFirstColumn="0" w:lastRowLastColumn="0"/>
            </w:pPr>
            <w:r>
              <w:t>2</w:t>
            </w:r>
          </w:p>
        </w:tc>
        <w:tc>
          <w:tcPr>
            <w:tcW w:w="1181" w:type="dxa"/>
          </w:tcPr>
          <w:p w14:paraId="5DAECD8F" w14:textId="60209401" w:rsidR="002B43C6" w:rsidRDefault="008A798B" w:rsidP="005734D0">
            <w:pPr>
              <w:spacing w:before="40" w:after="40"/>
              <w:cnfStyle w:val="000000000000" w:firstRow="0" w:lastRow="0" w:firstColumn="0" w:lastColumn="0" w:oddVBand="0" w:evenVBand="0" w:oddHBand="0" w:evenHBand="0" w:firstRowFirstColumn="0" w:firstRowLastColumn="0" w:lastRowFirstColumn="0" w:lastRowLastColumn="0"/>
            </w:pPr>
            <w:r>
              <w:t>30</w:t>
            </w:r>
          </w:p>
        </w:tc>
        <w:tc>
          <w:tcPr>
            <w:tcW w:w="2104" w:type="dxa"/>
          </w:tcPr>
          <w:p w14:paraId="1610D6F8" w14:textId="1BCD0F00" w:rsidR="002B43C6" w:rsidRDefault="008A798B" w:rsidP="005734D0">
            <w:pPr>
              <w:spacing w:before="40" w:after="40"/>
              <w:cnfStyle w:val="000000000000" w:firstRow="0" w:lastRow="0" w:firstColumn="0" w:lastColumn="0" w:oddVBand="0" w:evenVBand="0" w:oddHBand="0" w:evenHBand="0" w:firstRowFirstColumn="0" w:firstRowLastColumn="0" w:lastRowFirstColumn="0" w:lastRowLastColumn="0"/>
            </w:pPr>
            <w:r w:rsidRPr="008A798B">
              <w:t>A.8.24, BCMS controls</w:t>
            </w:r>
          </w:p>
        </w:tc>
      </w:tr>
    </w:tbl>
    <w:p w14:paraId="2BC3E727" w14:textId="6429ECEC" w:rsidR="00606C42" w:rsidRPr="00606C42" w:rsidRDefault="003178C3" w:rsidP="00606C42">
      <w:pPr>
        <w:spacing w:before="40" w:after="40"/>
        <w:jc w:val="center"/>
        <w:rPr>
          <w:b/>
          <w:bCs/>
        </w:rPr>
      </w:pPr>
      <w:r w:rsidRPr="003178C3">
        <w:rPr>
          <w:noProof/>
        </w:rPr>
        <w:lastRenderedPageBreak/>
        <w:drawing>
          <wp:inline distT="0" distB="0" distL="0" distR="0" wp14:anchorId="1DD4DFAD" wp14:editId="78D28F33">
            <wp:extent cx="5994692" cy="3124200"/>
            <wp:effectExtent l="0" t="0" r="6350" b="0"/>
            <wp:docPr id="19329055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905549" name=""/>
                    <pic:cNvPicPr/>
                  </pic:nvPicPr>
                  <pic:blipFill>
                    <a:blip r:embed="rId7"/>
                    <a:stretch>
                      <a:fillRect/>
                    </a:stretch>
                  </pic:blipFill>
                  <pic:spPr>
                    <a:xfrm>
                      <a:off x="0" y="0"/>
                      <a:ext cx="6004306" cy="3129211"/>
                    </a:xfrm>
                    <a:prstGeom prst="rect">
                      <a:avLst/>
                    </a:prstGeom>
                  </pic:spPr>
                </pic:pic>
              </a:graphicData>
            </a:graphic>
          </wp:inline>
        </w:drawing>
      </w:r>
      <w:r w:rsidR="00606C42" w:rsidRPr="00606C42">
        <w:rPr>
          <w:b/>
          <w:bCs/>
        </w:rPr>
        <w:t>Figure:2 Risk Register</w:t>
      </w:r>
    </w:p>
    <w:p w14:paraId="444E78A6" w14:textId="50497364" w:rsidR="002914F1" w:rsidRPr="009B49F1" w:rsidRDefault="00000000" w:rsidP="00AD6FD7">
      <w:pPr>
        <w:spacing w:before="200" w:after="80"/>
        <w:rPr>
          <w:b/>
          <w:bCs/>
        </w:rPr>
      </w:pPr>
      <w:r w:rsidRPr="009B49F1">
        <w:rPr>
          <w:b/>
          <w:bCs/>
        </w:rPr>
        <w:t>C. Phase C — Zero Trust Technical Controls</w:t>
      </w:r>
    </w:p>
    <w:p w14:paraId="0B5FCEF2" w14:textId="1C79354B" w:rsidR="00AD6FD7" w:rsidRDefault="00AD6FD7" w:rsidP="00AD6FD7">
      <w:pPr>
        <w:spacing w:before="40" w:after="40"/>
      </w:pPr>
      <w:r>
        <w:t xml:space="preserve">FSB needs to adopt the </w:t>
      </w:r>
      <w:r w:rsidR="005734D0">
        <w:t>zero-trust architecture</w:t>
      </w:r>
      <w:r>
        <w:t xml:space="preserve"> in place of the old perimeter model. Defences that are defined by NIST SP 800-207 have to be oriented towards users, assets, and resources rather than being based on network boundaries [5]. The implementation of ZTA by FSB will include the following controls:</w:t>
      </w:r>
    </w:p>
    <w:p w14:paraId="7592DDA5" w14:textId="77777777" w:rsidR="00AD6FD7" w:rsidRDefault="00AD6FD7" w:rsidP="00AD6FD7">
      <w:pPr>
        <w:spacing w:before="40" w:after="40"/>
      </w:pPr>
    </w:p>
    <w:p w14:paraId="1E4E0AF0" w14:textId="77777777" w:rsidR="00AD6FD7" w:rsidRDefault="00AD6FD7" w:rsidP="005734D0">
      <w:pPr>
        <w:pStyle w:val="ListParagraph"/>
        <w:numPr>
          <w:ilvl w:val="0"/>
          <w:numId w:val="3"/>
        </w:numPr>
        <w:spacing w:before="40" w:after="40"/>
      </w:pPr>
      <w:r>
        <w:t>Phishing-resistant MFA (FIDO2/WebAuthn) and biometric authentication of all access privileges and customer-facing access - in line with ISO 27001 control A.8.5.</w:t>
      </w:r>
    </w:p>
    <w:p w14:paraId="330666BD" w14:textId="74FD0E00" w:rsidR="00AD6FD7" w:rsidRDefault="00AD6FD7" w:rsidP="005734D0">
      <w:pPr>
        <w:pStyle w:val="ListParagraph"/>
        <w:numPr>
          <w:ilvl w:val="0"/>
          <w:numId w:val="3"/>
        </w:numPr>
        <w:spacing w:before="40" w:after="40"/>
      </w:pPr>
      <w:r>
        <w:t>Role-Based Access Control (RBAC) and Just-in-Time (JIT) provisioning; there is no privileged standing access - compliant with A.8.2.</w:t>
      </w:r>
    </w:p>
    <w:p w14:paraId="17A03A6D" w14:textId="2B86FF4E" w:rsidR="00AD6FD7" w:rsidRDefault="00AD6FD7" w:rsidP="005734D0">
      <w:pPr>
        <w:pStyle w:val="ListParagraph"/>
        <w:numPr>
          <w:ilvl w:val="0"/>
          <w:numId w:val="3"/>
        </w:numPr>
        <w:spacing w:before="40" w:after="40"/>
      </w:pPr>
      <w:r>
        <w:t>Network micro-segmentation that forms closed areas around the central payment engine, with which the blast radius of any breach is located - in compliance with A.8.22.</w:t>
      </w:r>
    </w:p>
    <w:p w14:paraId="78EE324C" w14:textId="6B5EB65D" w:rsidR="00AD6FD7" w:rsidRDefault="00AD6FD7" w:rsidP="005734D0">
      <w:pPr>
        <w:pStyle w:val="ListParagraph"/>
        <w:numPr>
          <w:ilvl w:val="0"/>
          <w:numId w:val="3"/>
        </w:numPr>
        <w:spacing w:before="40" w:after="40"/>
      </w:pPr>
      <w:r>
        <w:t>API gateways performing OAuth 2.0 authentication, rate limiting, and deep packet inspection of all merchant and internal APIs.</w:t>
      </w:r>
    </w:p>
    <w:p w14:paraId="650C917B" w14:textId="2E1EB6FC" w:rsidR="00AD6FD7" w:rsidRDefault="00AD6FD7" w:rsidP="005734D0">
      <w:pPr>
        <w:pStyle w:val="ListParagraph"/>
        <w:numPr>
          <w:ilvl w:val="0"/>
          <w:numId w:val="3"/>
        </w:numPr>
        <w:spacing w:before="40" w:after="40"/>
      </w:pPr>
      <w:r>
        <w:t>All data at rest encrypted using AES-256 - in line with A.8.24; TLS 1.3 required for all data in transit - in line with A.8.24.</w:t>
      </w:r>
    </w:p>
    <w:p w14:paraId="2E360FE6" w14:textId="4D681C9E" w:rsidR="00AD6FD7" w:rsidRDefault="00AD6FD7" w:rsidP="005734D0">
      <w:pPr>
        <w:pStyle w:val="ListParagraph"/>
        <w:numPr>
          <w:ilvl w:val="0"/>
          <w:numId w:val="3"/>
        </w:numPr>
        <w:spacing w:before="40" w:after="40"/>
      </w:pPr>
      <w:r>
        <w:t>SIEM and UEBA solutions with continuous behavioural monitoring and anomaly detection - in line with A.8.16.</w:t>
      </w:r>
    </w:p>
    <w:p w14:paraId="3E3ED435" w14:textId="77777777" w:rsidR="00AD6FD7" w:rsidRDefault="00AD6FD7" w:rsidP="00AD6FD7">
      <w:pPr>
        <w:spacing w:before="200" w:after="80"/>
      </w:pPr>
    </w:p>
    <w:p w14:paraId="31435340" w14:textId="77777777" w:rsidR="00606C42" w:rsidRDefault="00606C42" w:rsidP="009B49F1">
      <w:pPr>
        <w:spacing w:before="120" w:after="40"/>
        <w:jc w:val="center"/>
        <w:rPr>
          <w:noProof/>
        </w:rPr>
      </w:pPr>
    </w:p>
    <w:p w14:paraId="7E7D72EE" w14:textId="31181CE7" w:rsidR="009B49F1" w:rsidRDefault="009B49F1" w:rsidP="009B49F1">
      <w:pPr>
        <w:spacing w:before="120" w:after="40"/>
        <w:jc w:val="center"/>
      </w:pPr>
    </w:p>
    <w:p w14:paraId="2E6906E0" w14:textId="1447316F" w:rsidR="00306F95" w:rsidRPr="005024D4" w:rsidRDefault="00306F95" w:rsidP="00306F95">
      <w:pPr>
        <w:spacing w:before="120" w:after="40"/>
      </w:pPr>
      <w:r w:rsidRPr="00306F95">
        <w:lastRenderedPageBreak/>
        <w:drawing>
          <wp:inline distT="0" distB="0" distL="0" distR="0" wp14:anchorId="0A402294" wp14:editId="30DDCE16">
            <wp:extent cx="5731510" cy="4629785"/>
            <wp:effectExtent l="0" t="0" r="0" b="0"/>
            <wp:docPr id="14055354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535450" name=""/>
                    <pic:cNvPicPr/>
                  </pic:nvPicPr>
                  <pic:blipFill>
                    <a:blip r:embed="rId8"/>
                    <a:stretch>
                      <a:fillRect/>
                    </a:stretch>
                  </pic:blipFill>
                  <pic:spPr>
                    <a:xfrm>
                      <a:off x="0" y="0"/>
                      <a:ext cx="5731510" cy="4629785"/>
                    </a:xfrm>
                    <a:prstGeom prst="rect">
                      <a:avLst/>
                    </a:prstGeom>
                  </pic:spPr>
                </pic:pic>
              </a:graphicData>
            </a:graphic>
          </wp:inline>
        </w:drawing>
      </w:r>
    </w:p>
    <w:p w14:paraId="3972E53E" w14:textId="07D13FA3" w:rsidR="00606C42" w:rsidRDefault="00606C42" w:rsidP="009B49F1">
      <w:pPr>
        <w:spacing w:before="120" w:after="40"/>
        <w:jc w:val="center"/>
        <w:rPr>
          <w:b/>
          <w:bCs/>
          <w:noProof/>
        </w:rPr>
      </w:pPr>
      <w:r w:rsidRPr="00606C42">
        <w:rPr>
          <w:b/>
          <w:bCs/>
          <w:noProof/>
        </w:rPr>
        <w:t>Figure:3 Zero Trust Diagram</w:t>
      </w:r>
    </w:p>
    <w:p w14:paraId="1AD5479B" w14:textId="77777777" w:rsidR="00606C42" w:rsidRDefault="00606C42" w:rsidP="009B49F1">
      <w:pPr>
        <w:spacing w:before="120" w:after="40"/>
        <w:jc w:val="center"/>
      </w:pPr>
    </w:p>
    <w:p w14:paraId="2E2835F3" w14:textId="77777777" w:rsidR="00706DFA" w:rsidRPr="00706DFA" w:rsidRDefault="00706DFA" w:rsidP="00706DFA">
      <w:pPr>
        <w:spacing w:before="30" w:after="160"/>
        <w:rPr>
          <w:b/>
          <w:bCs/>
          <w:sz w:val="24"/>
          <w:szCs w:val="24"/>
        </w:rPr>
      </w:pPr>
      <w:r w:rsidRPr="00706DFA">
        <w:rPr>
          <w:b/>
          <w:bCs/>
          <w:sz w:val="24"/>
          <w:szCs w:val="24"/>
        </w:rPr>
        <w:t>Additional Protection Mechanisms</w:t>
      </w:r>
    </w:p>
    <w:p w14:paraId="57AA6845" w14:textId="77777777" w:rsidR="00706DFA" w:rsidRPr="00706DFA" w:rsidRDefault="00706DFA" w:rsidP="00706DFA">
      <w:pPr>
        <w:spacing w:before="30" w:after="160"/>
      </w:pPr>
      <w:r w:rsidRPr="00706DFA">
        <w:t>To strengthen the Zero Trust stack, FSB should deploy Data Loss Prevention (DLP) tools to prevent unauthorised data movement across endpoints, email, and cloud storage, supporting ISO 27001 A.8.12. IDS/IPS systems provide real</w:t>
      </w:r>
      <w:r w:rsidRPr="00706DFA">
        <w:noBreakHyphen/>
        <w:t>time detection and blocking of malicious traffic, complementing SIEM and UEBA (A.8.16). A Web Application Firewall (WAF) protects API-driven services from injection, scraping, and OWASP Top 10 attacks, aligning with A.8.22. Advanced email filtering with sandboxing reduces the success rate of AI</w:t>
      </w:r>
      <w:r w:rsidRPr="00706DFA">
        <w:noBreakHyphen/>
        <w:t>enhanced phishing attacks, directly lowering the likelihood component in FSB’s risk model.</w:t>
      </w:r>
    </w:p>
    <w:p w14:paraId="76FDA7AF" w14:textId="60DB6F4F" w:rsidR="002914F1" w:rsidRPr="009B49F1" w:rsidRDefault="00302794">
      <w:pPr>
        <w:spacing w:before="200" w:after="80"/>
      </w:pPr>
      <w:r w:rsidRPr="009B49F1">
        <w:rPr>
          <w:b/>
          <w:bCs/>
        </w:rPr>
        <w:t>D. Phase D — BYOD and Remote Access Controls</w:t>
      </w:r>
    </w:p>
    <w:p w14:paraId="14C97E40" w14:textId="5A813244" w:rsidR="002914F1" w:rsidRDefault="00000000" w:rsidP="009B49F1">
      <w:pPr>
        <w:spacing w:before="60" w:after="80"/>
        <w:jc w:val="both"/>
      </w:pPr>
      <w:r>
        <w:t>Symmetric Intelligence (2025) identifies three primary BYOD risk vectors in financial services: malware propagation from personal applications, data exfiltration via consumer-grade cloud sync services, and physical device loss. FSB's response framework comprises: (i) Mobile Device Management (MDM) via Microsoft Intune, enforcing OS currency, screen lock, remote wipe, and application whitelist compliance; (ii) containerisation technology creating a cryptographically isolated work enclave on personal devices, preventing clipboard and screenshot-based data leakage; and (iii) Just-in-Time (JIT) access provisioning, restricting access to sensitive systems to specific tasks and timeframes rather than granting permanent privileges.</w:t>
      </w:r>
    </w:p>
    <w:p w14:paraId="10FD1D51" w14:textId="77777777" w:rsidR="002914F1" w:rsidRPr="009B49F1" w:rsidRDefault="00000000">
      <w:pPr>
        <w:spacing w:before="200" w:after="80"/>
      </w:pPr>
      <w:r w:rsidRPr="009B49F1">
        <w:rPr>
          <w:b/>
          <w:bCs/>
        </w:rPr>
        <w:t>E. Phase E — SLA Governance and Continual Improvement</w:t>
      </w:r>
    </w:p>
    <w:p w14:paraId="595A6B84" w14:textId="77777777" w:rsidR="002914F1" w:rsidRDefault="00000000">
      <w:pPr>
        <w:spacing w:before="60" w:after="80"/>
        <w:jc w:val="both"/>
      </w:pPr>
      <w:r>
        <w:lastRenderedPageBreak/>
        <w:t>Security governance must be measurable to be improvable. FSB's SLA framework defines the following binding performance targets, aligned with ITIL 4's Continual Improvement component and DORA's operational resilience requirements [4], [7]:</w:t>
      </w:r>
    </w:p>
    <w:p w14:paraId="7CDB7E8A" w14:textId="77777777" w:rsidR="002914F1" w:rsidRDefault="002914F1">
      <w:pPr>
        <w:spacing w:before="40" w:after="40"/>
      </w:pPr>
    </w:p>
    <w:tbl>
      <w:tblPr>
        <w:tblW w:w="88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600"/>
        <w:gridCol w:w="2800"/>
        <w:gridCol w:w="3400"/>
      </w:tblGrid>
      <w:tr w:rsidR="002914F1" w14:paraId="2060E45C" w14:textId="77777777">
        <w:trPr>
          <w:tblHeader/>
        </w:trPr>
        <w:tc>
          <w:tcPr>
            <w:tcW w:w="2600" w:type="dxa"/>
            <w:tcBorders>
              <w:top w:val="single" w:sz="1" w:space="0" w:color="000000"/>
              <w:left w:val="single" w:sz="1" w:space="0" w:color="000000"/>
              <w:bottom w:val="single" w:sz="1" w:space="0" w:color="000000"/>
              <w:right w:val="single" w:sz="1" w:space="0" w:color="000000"/>
            </w:tcBorders>
            <w:shd w:val="clear" w:color="auto" w:fill="C8C8C8"/>
            <w:tcMar>
              <w:top w:w="70" w:type="dxa"/>
              <w:left w:w="100" w:type="dxa"/>
              <w:bottom w:w="70" w:type="dxa"/>
              <w:right w:w="100" w:type="dxa"/>
            </w:tcMar>
          </w:tcPr>
          <w:p w14:paraId="0B92814D" w14:textId="77777777" w:rsidR="002914F1" w:rsidRDefault="00000000">
            <w:pPr>
              <w:jc w:val="center"/>
            </w:pPr>
            <w:r>
              <w:rPr>
                <w:b/>
                <w:bCs/>
                <w:sz w:val="20"/>
                <w:szCs w:val="20"/>
              </w:rPr>
              <w:t>KPI</w:t>
            </w:r>
          </w:p>
        </w:tc>
        <w:tc>
          <w:tcPr>
            <w:tcW w:w="2800" w:type="dxa"/>
            <w:tcBorders>
              <w:top w:val="single" w:sz="1" w:space="0" w:color="000000"/>
              <w:left w:val="single" w:sz="1" w:space="0" w:color="000000"/>
              <w:bottom w:val="single" w:sz="1" w:space="0" w:color="000000"/>
              <w:right w:val="single" w:sz="1" w:space="0" w:color="000000"/>
            </w:tcBorders>
            <w:shd w:val="clear" w:color="auto" w:fill="C8C8C8"/>
            <w:tcMar>
              <w:top w:w="70" w:type="dxa"/>
              <w:left w:w="100" w:type="dxa"/>
              <w:bottom w:w="70" w:type="dxa"/>
              <w:right w:w="100" w:type="dxa"/>
            </w:tcMar>
          </w:tcPr>
          <w:p w14:paraId="0E77228B" w14:textId="77777777" w:rsidR="002914F1" w:rsidRDefault="00000000">
            <w:pPr>
              <w:jc w:val="center"/>
            </w:pPr>
            <w:r>
              <w:rPr>
                <w:b/>
                <w:bCs/>
                <w:sz w:val="20"/>
                <w:szCs w:val="20"/>
              </w:rPr>
              <w:t>Target</w:t>
            </w:r>
          </w:p>
        </w:tc>
        <w:tc>
          <w:tcPr>
            <w:tcW w:w="3400" w:type="dxa"/>
            <w:tcBorders>
              <w:top w:val="single" w:sz="1" w:space="0" w:color="000000"/>
              <w:left w:val="single" w:sz="1" w:space="0" w:color="000000"/>
              <w:bottom w:val="single" w:sz="1" w:space="0" w:color="000000"/>
              <w:right w:val="single" w:sz="1" w:space="0" w:color="000000"/>
            </w:tcBorders>
            <w:shd w:val="clear" w:color="auto" w:fill="C8C8C8"/>
            <w:tcMar>
              <w:top w:w="70" w:type="dxa"/>
              <w:left w:w="100" w:type="dxa"/>
              <w:bottom w:w="70" w:type="dxa"/>
              <w:right w:w="100" w:type="dxa"/>
            </w:tcMar>
          </w:tcPr>
          <w:p w14:paraId="0B74F17C" w14:textId="77777777" w:rsidR="002914F1" w:rsidRDefault="00000000">
            <w:pPr>
              <w:jc w:val="center"/>
            </w:pPr>
            <w:r>
              <w:rPr>
                <w:b/>
                <w:bCs/>
                <w:sz w:val="20"/>
                <w:szCs w:val="20"/>
              </w:rPr>
              <w:t>Escalation Trigger</w:t>
            </w:r>
          </w:p>
        </w:tc>
      </w:tr>
      <w:tr w:rsidR="002914F1" w14:paraId="29721E4F" w14:textId="77777777">
        <w:tc>
          <w:tcPr>
            <w:tcW w:w="2600" w:type="dxa"/>
            <w:tcBorders>
              <w:top w:val="single" w:sz="1" w:space="0" w:color="000000"/>
              <w:left w:val="single" w:sz="1" w:space="0" w:color="000000"/>
              <w:bottom w:val="single" w:sz="1" w:space="0" w:color="000000"/>
              <w:right w:val="single" w:sz="1" w:space="0" w:color="000000"/>
            </w:tcBorders>
            <w:shd w:val="clear" w:color="auto" w:fill="F4F4F4"/>
            <w:tcMar>
              <w:top w:w="60" w:type="dxa"/>
              <w:left w:w="100" w:type="dxa"/>
              <w:bottom w:w="60" w:type="dxa"/>
              <w:right w:w="100" w:type="dxa"/>
            </w:tcMar>
          </w:tcPr>
          <w:p w14:paraId="40256DBF" w14:textId="77777777" w:rsidR="002914F1" w:rsidRDefault="00000000">
            <w:r>
              <w:rPr>
                <w:sz w:val="18"/>
                <w:szCs w:val="18"/>
              </w:rPr>
              <w:t>System Availability</w:t>
            </w:r>
          </w:p>
        </w:tc>
        <w:tc>
          <w:tcPr>
            <w:tcW w:w="2800" w:type="dxa"/>
            <w:tcBorders>
              <w:top w:val="single" w:sz="1" w:space="0" w:color="000000"/>
              <w:left w:val="single" w:sz="1" w:space="0" w:color="000000"/>
              <w:bottom w:val="single" w:sz="1" w:space="0" w:color="000000"/>
              <w:right w:val="single" w:sz="1" w:space="0" w:color="000000"/>
            </w:tcBorders>
            <w:shd w:val="clear" w:color="auto" w:fill="F4F4F4"/>
            <w:tcMar>
              <w:top w:w="60" w:type="dxa"/>
              <w:left w:w="100" w:type="dxa"/>
              <w:bottom w:w="60" w:type="dxa"/>
              <w:right w:w="100" w:type="dxa"/>
            </w:tcMar>
          </w:tcPr>
          <w:p w14:paraId="76F0076F" w14:textId="77777777" w:rsidR="002914F1" w:rsidRDefault="00000000">
            <w:r>
              <w:rPr>
                <w:sz w:val="18"/>
                <w:szCs w:val="18"/>
              </w:rPr>
              <w:t>99.99% uptime — core banking</w:t>
            </w:r>
          </w:p>
        </w:tc>
        <w:tc>
          <w:tcPr>
            <w:tcW w:w="3400" w:type="dxa"/>
            <w:tcBorders>
              <w:top w:val="single" w:sz="1" w:space="0" w:color="000000"/>
              <w:left w:val="single" w:sz="1" w:space="0" w:color="000000"/>
              <w:bottom w:val="single" w:sz="1" w:space="0" w:color="000000"/>
              <w:right w:val="single" w:sz="1" w:space="0" w:color="000000"/>
            </w:tcBorders>
            <w:shd w:val="clear" w:color="auto" w:fill="F4F4F4"/>
            <w:tcMar>
              <w:top w:w="60" w:type="dxa"/>
              <w:left w:w="100" w:type="dxa"/>
              <w:bottom w:w="60" w:type="dxa"/>
              <w:right w:w="100" w:type="dxa"/>
            </w:tcMar>
          </w:tcPr>
          <w:p w14:paraId="715A1F5D" w14:textId="77777777" w:rsidR="002914F1" w:rsidRDefault="00000000">
            <w:r>
              <w:rPr>
                <w:sz w:val="18"/>
                <w:szCs w:val="18"/>
              </w:rPr>
              <w:t>&lt; 99.95% triggers Priority 1 incident</w:t>
            </w:r>
          </w:p>
        </w:tc>
      </w:tr>
      <w:tr w:rsidR="002914F1" w14:paraId="5D17D89B" w14:textId="77777777">
        <w:tc>
          <w:tcPr>
            <w:tcW w:w="2600" w:type="dxa"/>
            <w:tcBorders>
              <w:top w:val="single" w:sz="1" w:space="0" w:color="000000"/>
              <w:left w:val="single" w:sz="1" w:space="0" w:color="000000"/>
              <w:bottom w:val="single" w:sz="1" w:space="0" w:color="000000"/>
              <w:right w:val="single" w:sz="1" w:space="0" w:color="000000"/>
            </w:tcBorders>
            <w:shd w:val="clear" w:color="auto" w:fill="FFFFFF"/>
            <w:tcMar>
              <w:top w:w="60" w:type="dxa"/>
              <w:left w:w="100" w:type="dxa"/>
              <w:bottom w:w="60" w:type="dxa"/>
              <w:right w:w="100" w:type="dxa"/>
            </w:tcMar>
          </w:tcPr>
          <w:p w14:paraId="1A01895A" w14:textId="77777777" w:rsidR="002914F1" w:rsidRDefault="00000000">
            <w:r>
              <w:rPr>
                <w:sz w:val="18"/>
                <w:szCs w:val="18"/>
              </w:rPr>
              <w:t>Incident Response</w:t>
            </w:r>
          </w:p>
        </w:tc>
        <w:tc>
          <w:tcPr>
            <w:tcW w:w="2800" w:type="dxa"/>
            <w:tcBorders>
              <w:top w:val="single" w:sz="1" w:space="0" w:color="000000"/>
              <w:left w:val="single" w:sz="1" w:space="0" w:color="000000"/>
              <w:bottom w:val="single" w:sz="1" w:space="0" w:color="000000"/>
              <w:right w:val="single" w:sz="1" w:space="0" w:color="000000"/>
            </w:tcBorders>
            <w:shd w:val="clear" w:color="auto" w:fill="FFFFFF"/>
            <w:tcMar>
              <w:top w:w="60" w:type="dxa"/>
              <w:left w:w="100" w:type="dxa"/>
              <w:bottom w:w="60" w:type="dxa"/>
              <w:right w:w="100" w:type="dxa"/>
            </w:tcMar>
          </w:tcPr>
          <w:p w14:paraId="47FF1491" w14:textId="77777777" w:rsidR="002914F1" w:rsidRDefault="00000000">
            <w:r>
              <w:rPr>
                <w:sz w:val="18"/>
                <w:szCs w:val="18"/>
              </w:rPr>
              <w:t>Critical incidents resolved within 3 hours</w:t>
            </w:r>
          </w:p>
        </w:tc>
        <w:tc>
          <w:tcPr>
            <w:tcW w:w="3400" w:type="dxa"/>
            <w:tcBorders>
              <w:top w:val="single" w:sz="1" w:space="0" w:color="000000"/>
              <w:left w:val="single" w:sz="1" w:space="0" w:color="000000"/>
              <w:bottom w:val="single" w:sz="1" w:space="0" w:color="000000"/>
              <w:right w:val="single" w:sz="1" w:space="0" w:color="000000"/>
            </w:tcBorders>
            <w:shd w:val="clear" w:color="auto" w:fill="FFFFFF"/>
            <w:tcMar>
              <w:top w:w="60" w:type="dxa"/>
              <w:left w:w="100" w:type="dxa"/>
              <w:bottom w:w="60" w:type="dxa"/>
              <w:right w:w="100" w:type="dxa"/>
            </w:tcMar>
          </w:tcPr>
          <w:p w14:paraId="1FC4D479" w14:textId="77777777" w:rsidR="002914F1" w:rsidRDefault="00000000">
            <w:r>
              <w:rPr>
                <w:sz w:val="18"/>
                <w:szCs w:val="18"/>
              </w:rPr>
              <w:t>SLA breach triggers CISO review</w:t>
            </w:r>
          </w:p>
        </w:tc>
      </w:tr>
      <w:tr w:rsidR="002914F1" w14:paraId="3DC4FA00" w14:textId="77777777">
        <w:tc>
          <w:tcPr>
            <w:tcW w:w="2600" w:type="dxa"/>
            <w:tcBorders>
              <w:top w:val="single" w:sz="1" w:space="0" w:color="000000"/>
              <w:left w:val="single" w:sz="1" w:space="0" w:color="000000"/>
              <w:bottom w:val="single" w:sz="1" w:space="0" w:color="000000"/>
              <w:right w:val="single" w:sz="1" w:space="0" w:color="000000"/>
            </w:tcBorders>
            <w:shd w:val="clear" w:color="auto" w:fill="F4F4F4"/>
            <w:tcMar>
              <w:top w:w="60" w:type="dxa"/>
              <w:left w:w="100" w:type="dxa"/>
              <w:bottom w:w="60" w:type="dxa"/>
              <w:right w:w="100" w:type="dxa"/>
            </w:tcMar>
          </w:tcPr>
          <w:p w14:paraId="76DDAA6A" w14:textId="77777777" w:rsidR="002914F1" w:rsidRDefault="00000000">
            <w:r>
              <w:rPr>
                <w:sz w:val="18"/>
                <w:szCs w:val="18"/>
              </w:rPr>
              <w:t>Vulnerability Patching</w:t>
            </w:r>
          </w:p>
        </w:tc>
        <w:tc>
          <w:tcPr>
            <w:tcW w:w="2800" w:type="dxa"/>
            <w:tcBorders>
              <w:top w:val="single" w:sz="1" w:space="0" w:color="000000"/>
              <w:left w:val="single" w:sz="1" w:space="0" w:color="000000"/>
              <w:bottom w:val="single" w:sz="1" w:space="0" w:color="000000"/>
              <w:right w:val="single" w:sz="1" w:space="0" w:color="000000"/>
            </w:tcBorders>
            <w:shd w:val="clear" w:color="auto" w:fill="F4F4F4"/>
            <w:tcMar>
              <w:top w:w="60" w:type="dxa"/>
              <w:left w:w="100" w:type="dxa"/>
              <w:bottom w:w="60" w:type="dxa"/>
              <w:right w:w="100" w:type="dxa"/>
            </w:tcMar>
          </w:tcPr>
          <w:p w14:paraId="30DFAB3B" w14:textId="77777777" w:rsidR="002914F1" w:rsidRDefault="00000000">
            <w:r>
              <w:rPr>
                <w:sz w:val="18"/>
                <w:szCs w:val="18"/>
              </w:rPr>
              <w:t>Critical CVEs patched within 48 hours</w:t>
            </w:r>
          </w:p>
        </w:tc>
        <w:tc>
          <w:tcPr>
            <w:tcW w:w="3400" w:type="dxa"/>
            <w:tcBorders>
              <w:top w:val="single" w:sz="1" w:space="0" w:color="000000"/>
              <w:left w:val="single" w:sz="1" w:space="0" w:color="000000"/>
              <w:bottom w:val="single" w:sz="1" w:space="0" w:color="000000"/>
              <w:right w:val="single" w:sz="1" w:space="0" w:color="000000"/>
            </w:tcBorders>
            <w:shd w:val="clear" w:color="auto" w:fill="F4F4F4"/>
            <w:tcMar>
              <w:top w:w="60" w:type="dxa"/>
              <w:left w:w="100" w:type="dxa"/>
              <w:bottom w:w="60" w:type="dxa"/>
              <w:right w:w="100" w:type="dxa"/>
            </w:tcMar>
          </w:tcPr>
          <w:p w14:paraId="0FB8C0B1" w14:textId="77777777" w:rsidR="002914F1" w:rsidRDefault="00000000">
            <w:r>
              <w:rPr>
                <w:sz w:val="18"/>
                <w:szCs w:val="18"/>
              </w:rPr>
              <w:t>&gt; 48h triggers risk acceptance process</w:t>
            </w:r>
          </w:p>
        </w:tc>
      </w:tr>
      <w:tr w:rsidR="002914F1" w14:paraId="26E5D146" w14:textId="77777777">
        <w:tc>
          <w:tcPr>
            <w:tcW w:w="2600" w:type="dxa"/>
            <w:tcBorders>
              <w:top w:val="single" w:sz="1" w:space="0" w:color="000000"/>
              <w:left w:val="single" w:sz="1" w:space="0" w:color="000000"/>
              <w:bottom w:val="single" w:sz="1" w:space="0" w:color="000000"/>
              <w:right w:val="single" w:sz="1" w:space="0" w:color="000000"/>
            </w:tcBorders>
            <w:shd w:val="clear" w:color="auto" w:fill="FFFFFF"/>
            <w:tcMar>
              <w:top w:w="60" w:type="dxa"/>
              <w:left w:w="100" w:type="dxa"/>
              <w:bottom w:w="60" w:type="dxa"/>
              <w:right w:w="100" w:type="dxa"/>
            </w:tcMar>
          </w:tcPr>
          <w:p w14:paraId="48B7B894" w14:textId="77777777" w:rsidR="002914F1" w:rsidRDefault="00000000">
            <w:r>
              <w:rPr>
                <w:sz w:val="18"/>
                <w:szCs w:val="18"/>
              </w:rPr>
              <w:t>Security Awareness</w:t>
            </w:r>
          </w:p>
        </w:tc>
        <w:tc>
          <w:tcPr>
            <w:tcW w:w="2800" w:type="dxa"/>
            <w:tcBorders>
              <w:top w:val="single" w:sz="1" w:space="0" w:color="000000"/>
              <w:left w:val="single" w:sz="1" w:space="0" w:color="000000"/>
              <w:bottom w:val="single" w:sz="1" w:space="0" w:color="000000"/>
              <w:right w:val="single" w:sz="1" w:space="0" w:color="000000"/>
            </w:tcBorders>
            <w:shd w:val="clear" w:color="auto" w:fill="FFFFFF"/>
            <w:tcMar>
              <w:top w:w="60" w:type="dxa"/>
              <w:left w:w="100" w:type="dxa"/>
              <w:bottom w:w="60" w:type="dxa"/>
              <w:right w:w="100" w:type="dxa"/>
            </w:tcMar>
          </w:tcPr>
          <w:p w14:paraId="4B30D2CB" w14:textId="77777777" w:rsidR="002914F1" w:rsidRDefault="00000000">
            <w:r>
              <w:rPr>
                <w:sz w:val="18"/>
                <w:szCs w:val="18"/>
              </w:rPr>
              <w:t>100% staff training per quarter</w:t>
            </w:r>
          </w:p>
        </w:tc>
        <w:tc>
          <w:tcPr>
            <w:tcW w:w="3400" w:type="dxa"/>
            <w:tcBorders>
              <w:top w:val="single" w:sz="1" w:space="0" w:color="000000"/>
              <w:left w:val="single" w:sz="1" w:space="0" w:color="000000"/>
              <w:bottom w:val="single" w:sz="1" w:space="0" w:color="000000"/>
              <w:right w:val="single" w:sz="1" w:space="0" w:color="000000"/>
            </w:tcBorders>
            <w:shd w:val="clear" w:color="auto" w:fill="FFFFFF"/>
            <w:tcMar>
              <w:top w:w="60" w:type="dxa"/>
              <w:left w:w="100" w:type="dxa"/>
              <w:bottom w:w="60" w:type="dxa"/>
              <w:right w:w="100" w:type="dxa"/>
            </w:tcMar>
          </w:tcPr>
          <w:p w14:paraId="2B138519" w14:textId="77777777" w:rsidR="002914F1" w:rsidRDefault="00000000">
            <w:r>
              <w:rPr>
                <w:sz w:val="18"/>
                <w:szCs w:val="18"/>
              </w:rPr>
              <w:t>&lt; 95% triggers department escalation</w:t>
            </w:r>
          </w:p>
        </w:tc>
      </w:tr>
      <w:tr w:rsidR="002914F1" w14:paraId="31F173F9" w14:textId="77777777">
        <w:tc>
          <w:tcPr>
            <w:tcW w:w="2600" w:type="dxa"/>
            <w:tcBorders>
              <w:top w:val="single" w:sz="1" w:space="0" w:color="000000"/>
              <w:left w:val="single" w:sz="1" w:space="0" w:color="000000"/>
              <w:bottom w:val="single" w:sz="1" w:space="0" w:color="000000"/>
              <w:right w:val="single" w:sz="1" w:space="0" w:color="000000"/>
            </w:tcBorders>
            <w:shd w:val="clear" w:color="auto" w:fill="F4F4F4"/>
            <w:tcMar>
              <w:top w:w="60" w:type="dxa"/>
              <w:left w:w="100" w:type="dxa"/>
              <w:bottom w:w="60" w:type="dxa"/>
              <w:right w:w="100" w:type="dxa"/>
            </w:tcMar>
          </w:tcPr>
          <w:p w14:paraId="599A1EF4" w14:textId="77777777" w:rsidR="002914F1" w:rsidRDefault="00000000">
            <w:r>
              <w:rPr>
                <w:sz w:val="18"/>
                <w:szCs w:val="18"/>
              </w:rPr>
              <w:t>DORA ICT Reporting</w:t>
            </w:r>
          </w:p>
        </w:tc>
        <w:tc>
          <w:tcPr>
            <w:tcW w:w="2800" w:type="dxa"/>
            <w:tcBorders>
              <w:top w:val="single" w:sz="1" w:space="0" w:color="000000"/>
              <w:left w:val="single" w:sz="1" w:space="0" w:color="000000"/>
              <w:bottom w:val="single" w:sz="1" w:space="0" w:color="000000"/>
              <w:right w:val="single" w:sz="1" w:space="0" w:color="000000"/>
            </w:tcBorders>
            <w:shd w:val="clear" w:color="auto" w:fill="F4F4F4"/>
            <w:tcMar>
              <w:top w:w="60" w:type="dxa"/>
              <w:left w:w="100" w:type="dxa"/>
              <w:bottom w:w="60" w:type="dxa"/>
              <w:right w:w="100" w:type="dxa"/>
            </w:tcMar>
          </w:tcPr>
          <w:p w14:paraId="08A25D25" w14:textId="77777777" w:rsidR="002914F1" w:rsidRDefault="00000000">
            <w:r>
              <w:rPr>
                <w:sz w:val="18"/>
                <w:szCs w:val="18"/>
              </w:rPr>
              <w:t>Major incidents reported within 72 hours</w:t>
            </w:r>
          </w:p>
        </w:tc>
        <w:tc>
          <w:tcPr>
            <w:tcW w:w="3400" w:type="dxa"/>
            <w:tcBorders>
              <w:top w:val="single" w:sz="1" w:space="0" w:color="000000"/>
              <w:left w:val="single" w:sz="1" w:space="0" w:color="000000"/>
              <w:bottom w:val="single" w:sz="1" w:space="0" w:color="000000"/>
              <w:right w:val="single" w:sz="1" w:space="0" w:color="000000"/>
            </w:tcBorders>
            <w:shd w:val="clear" w:color="auto" w:fill="F4F4F4"/>
            <w:tcMar>
              <w:top w:w="60" w:type="dxa"/>
              <w:left w:w="100" w:type="dxa"/>
              <w:bottom w:w="60" w:type="dxa"/>
              <w:right w:w="100" w:type="dxa"/>
            </w:tcMar>
          </w:tcPr>
          <w:p w14:paraId="57DC1A80" w14:textId="77777777" w:rsidR="002914F1" w:rsidRDefault="00000000">
            <w:r>
              <w:rPr>
                <w:sz w:val="18"/>
                <w:szCs w:val="18"/>
              </w:rPr>
              <w:t>Any breach triggers regulator notification</w:t>
            </w:r>
          </w:p>
        </w:tc>
      </w:tr>
    </w:tbl>
    <w:p w14:paraId="302CEE60" w14:textId="77777777" w:rsidR="008A798B" w:rsidRDefault="008A798B" w:rsidP="00F25E8C">
      <w:pPr>
        <w:spacing w:before="30" w:after="160"/>
        <w:rPr>
          <w:i/>
          <w:iCs/>
          <w:sz w:val="18"/>
          <w:szCs w:val="18"/>
        </w:rPr>
      </w:pPr>
    </w:p>
    <w:p w14:paraId="61573B02" w14:textId="77777777" w:rsidR="008A798B" w:rsidRPr="008A798B" w:rsidRDefault="008A798B" w:rsidP="008A798B">
      <w:pPr>
        <w:spacing w:before="30" w:after="160"/>
        <w:rPr>
          <w:b/>
          <w:bCs/>
          <w:sz w:val="24"/>
          <w:szCs w:val="24"/>
        </w:rPr>
      </w:pPr>
      <w:r w:rsidRPr="008A798B">
        <w:rPr>
          <w:b/>
          <w:bCs/>
          <w:sz w:val="24"/>
          <w:szCs w:val="24"/>
        </w:rPr>
        <w:t>F. GDPR Alignment for FinSure Bank</w:t>
      </w:r>
    </w:p>
    <w:p w14:paraId="6A7F932A" w14:textId="77777777" w:rsidR="008A798B" w:rsidRPr="008A798B" w:rsidRDefault="008A798B" w:rsidP="008A798B">
      <w:pPr>
        <w:spacing w:before="30" w:after="160"/>
      </w:pPr>
      <w:r w:rsidRPr="008A798B">
        <w:t xml:space="preserve">GDPR directly shapes how FSB must design its cloud-first and BYOD-enabled architecture. </w:t>
      </w:r>
      <w:r w:rsidRPr="008A798B">
        <w:rPr>
          <w:b/>
          <w:bCs/>
        </w:rPr>
        <w:t>Article 25 (Privacy by Design and Default)</w:t>
      </w:r>
      <w:r w:rsidRPr="008A798B">
        <w:t xml:space="preserve"> requires that personal data processing is minimised and embedded into system design. The Zero Trust controls proposed in Phase C — including RBAC, micro</w:t>
      </w:r>
      <w:r w:rsidRPr="008A798B">
        <w:noBreakHyphen/>
        <w:t>segmentation, and phishing</w:t>
      </w:r>
      <w:r w:rsidRPr="008A798B">
        <w:noBreakHyphen/>
        <w:t>resistant MFA — operationalise this requirement by ensuring least</w:t>
      </w:r>
      <w:r w:rsidRPr="008A798B">
        <w:noBreakHyphen/>
        <w:t>privilege access and continuous verification.</w:t>
      </w:r>
    </w:p>
    <w:p w14:paraId="3B3DB17D" w14:textId="77777777" w:rsidR="008A798B" w:rsidRPr="008A798B" w:rsidRDefault="008A798B" w:rsidP="008A798B">
      <w:pPr>
        <w:spacing w:before="30" w:after="160"/>
      </w:pPr>
      <w:r w:rsidRPr="008A798B">
        <w:rPr>
          <w:b/>
          <w:bCs/>
        </w:rPr>
        <w:t>Article 32</w:t>
      </w:r>
      <w:r w:rsidRPr="008A798B">
        <w:t xml:space="preserve"> mandates “appropriate technical and organisational measures” to ensure confidentiality, integrity, and availability. ISO/IEC 27001:2022 controls adopted by FSB, such as encryption (A.8.24), threat intelligence (A.5.7), and data leakage prevention (A.8.12), provide auditable evidence of compliance.</w:t>
      </w:r>
    </w:p>
    <w:p w14:paraId="6EEF54FF" w14:textId="40CC90B0" w:rsidR="008A798B" w:rsidRDefault="008A798B" w:rsidP="008A798B">
      <w:pPr>
        <w:spacing w:before="30" w:after="160"/>
      </w:pPr>
      <w:r w:rsidRPr="008A798B">
        <w:rPr>
          <w:b/>
          <w:bCs/>
        </w:rPr>
        <w:t>Article 33</w:t>
      </w:r>
      <w:r w:rsidRPr="008A798B">
        <w:t xml:space="preserve"> requires breach notification within 72 hours. This aligns with DORA’s incident reporting obligations and your SLA table, which states: “Major incidents reported within 72 hours.”</w:t>
      </w:r>
    </w:p>
    <w:p w14:paraId="3047AD7A" w14:textId="77777777" w:rsidR="002914F1" w:rsidRDefault="00000000">
      <w:pPr>
        <w:spacing w:before="300" w:after="120"/>
      </w:pPr>
      <w:r>
        <w:rPr>
          <w:b/>
          <w:bCs/>
          <w:sz w:val="24"/>
          <w:szCs w:val="24"/>
        </w:rPr>
        <w:t>IV. CRITIQUE: WHY EVOLVING STANDARDS ARE GOOD PRACTICE</w:t>
      </w:r>
    </w:p>
    <w:p w14:paraId="79AAAE5B" w14:textId="438DB11D" w:rsidR="002914F1" w:rsidRDefault="00000000" w:rsidP="005734D0">
      <w:pPr>
        <w:spacing w:before="60" w:after="80"/>
        <w:jc w:val="both"/>
      </w:pPr>
      <w:r>
        <w:t>The periodic revision of regulatory standards is frequently characterised as an administrative burden — a recertification cycle that diverts resources from operational activity. This characterisation fundamentally misapprehends the nature of information security governance: in a domain defined by perpetual adversarial innovation, static standards are, by definition, progressively inadequate.</w:t>
      </w:r>
    </w:p>
    <w:p w14:paraId="23EFE481" w14:textId="77777777" w:rsidR="002914F1" w:rsidRPr="009B49F1" w:rsidRDefault="00000000">
      <w:pPr>
        <w:spacing w:before="200" w:after="80"/>
      </w:pPr>
      <w:r w:rsidRPr="009B49F1">
        <w:rPr>
          <w:b/>
          <w:bCs/>
        </w:rPr>
        <w:t>A. Regulatory Evolution as a Response to Threat Landscape Change</w:t>
      </w:r>
    </w:p>
    <w:p w14:paraId="25CE84F4" w14:textId="3C70843B" w:rsidR="002914F1" w:rsidRDefault="00000000" w:rsidP="005734D0">
      <w:pPr>
        <w:spacing w:before="60" w:after="80"/>
        <w:jc w:val="both"/>
      </w:pPr>
      <w:r>
        <w:t>The introduction of DORA in January 2025 represents the most significant evolution in EU financial sector ICT regulation since GDPR [7]. Whilst GDPR focused on individual data rights and "privacy by design", DORA mandates "resilience by design" — requiring financial entities and their ICT third-party providers to demonstrate operational resilience through mandatory testing, incident classification, and supply chain risk management. This progression reflects regulators' recognition that systemic financial stability risk now has a significant digital operational dimension.</w:t>
      </w:r>
    </w:p>
    <w:p w14:paraId="6EF924F2" w14:textId="4D8C9BAB" w:rsidR="002914F1" w:rsidRDefault="00000000" w:rsidP="005734D0">
      <w:pPr>
        <w:spacing w:before="60" w:after="80"/>
        <w:jc w:val="both"/>
      </w:pPr>
      <w:r>
        <w:t>Similarly, the 2022 revision of ISO/IEC 27001 introduced controls for threat intelligence (A.5.7), cloud security (A.5.23), and data leakage prevention (A.8.12) — none of which appeared in the 2013 edition — directly addressing the attack vectors that have proliferated in the intervening decade. Standards that do not evolve create "compliance theatre": organisations achieve certification against outdated criteria whilst remaining substantively vulnerable to contemporary attacks.</w:t>
      </w:r>
    </w:p>
    <w:p w14:paraId="670B5784" w14:textId="77777777" w:rsidR="002914F1" w:rsidRPr="009B49F1" w:rsidRDefault="00000000">
      <w:pPr>
        <w:spacing w:before="200" w:after="80"/>
      </w:pPr>
      <w:r w:rsidRPr="009B49F1">
        <w:rPr>
          <w:b/>
          <w:bCs/>
        </w:rPr>
        <w:t>B. Strategic Benefits of Updated Standards</w:t>
      </w:r>
    </w:p>
    <w:p w14:paraId="7FFC732C" w14:textId="19F809D4" w:rsidR="002914F1" w:rsidRDefault="00000000" w:rsidP="005734D0">
      <w:pPr>
        <w:spacing w:before="60" w:after="80"/>
        <w:jc w:val="both"/>
      </w:pPr>
      <w:r>
        <w:rPr>
          <w:b/>
          <w:bCs/>
        </w:rPr>
        <w:lastRenderedPageBreak/>
        <w:t xml:space="preserve">Harmonisation: </w:t>
      </w:r>
      <w:r>
        <w:t>Updated international standards reduce administrative complexity for multinational institutions. ISO 27001:2022's alignment with other management system standards through the Annex SL High Level Structure enables integrated management systems, reducing audit duplication [1].</w:t>
      </w:r>
    </w:p>
    <w:p w14:paraId="0210E685" w14:textId="5B9DBDF1" w:rsidR="002914F1" w:rsidRDefault="00000000" w:rsidP="005734D0">
      <w:pPr>
        <w:spacing w:before="60" w:after="80"/>
        <w:jc w:val="both"/>
      </w:pPr>
      <w:r>
        <w:rPr>
          <w:b/>
          <w:bCs/>
        </w:rPr>
        <w:t xml:space="preserve">Supply Chain Accountability: </w:t>
      </w:r>
      <w:r>
        <w:t>DORA's Critical ICT Third-Party Provider (CTPP) provisions directly impose obligations on cloud service providers, enabling FSB to enforce security standards throughout its supply chain with the force of law rather than contractual goodwill alone [7].</w:t>
      </w:r>
    </w:p>
    <w:p w14:paraId="5D6830C4" w14:textId="77777777" w:rsidR="002914F1" w:rsidRDefault="00000000">
      <w:pPr>
        <w:spacing w:before="60" w:after="80"/>
        <w:jc w:val="both"/>
      </w:pPr>
      <w:r>
        <w:rPr>
          <w:b/>
          <w:bCs/>
        </w:rPr>
        <w:t xml:space="preserve">Trust as Competitive Differentiator: </w:t>
      </w:r>
      <w:r>
        <w:t>Demonstrable compliance with current global standards constitutes a genuine competitive advantage. ISO 27001 certification and DORA compliance provide externally verifiable signals of security maturity that influence customer acquisition and institutional partnership decisions [9].</w:t>
      </w:r>
    </w:p>
    <w:p w14:paraId="50F369D7" w14:textId="77777777" w:rsidR="002914F1" w:rsidRPr="009B49F1" w:rsidRDefault="00000000">
      <w:pPr>
        <w:spacing w:before="200" w:after="80"/>
      </w:pPr>
      <w:r w:rsidRPr="009B49F1">
        <w:rPr>
          <w:b/>
          <w:bCs/>
        </w:rPr>
        <w:t>C. Limitations and Critical Perspective</w:t>
      </w:r>
    </w:p>
    <w:p w14:paraId="4919F81F" w14:textId="76B012C3" w:rsidR="002914F1" w:rsidRDefault="00000000" w:rsidP="005734D0">
      <w:pPr>
        <w:spacing w:before="60" w:after="80"/>
        <w:jc w:val="both"/>
      </w:pPr>
      <w:r>
        <w:t>A balanced critique must acknowledge that the pace of regulatory evolution creates "compliance fatigue" — particularly for smaller digital banks lacking the compliance infrastructure of systemically important institutions. The coexistence of GDPR, DORA, NIS2 Directive, PSD2, and FCA guidance produces an occasionally contradictory regulatory environment demanding specialist interpretation. Furthermore, regulatory lag — the interval between the emergence of a novel threat and the publication of corresponding guidance — means that even current standards may inadequately address the most contemporary vectors. Neither GDPR nor DORA adequately addresses quantum computing threats to existing cryptographic standards such as RSA and ECC. Institutions such as FSB should therefore treat regulatory compliance as a minimum floor rather than a security ceiling, supplementing mandatory obligations with proactive threat intelligence and participation in sector information-sharing forums such as FS-ISAC.</w:t>
      </w:r>
    </w:p>
    <w:p w14:paraId="7D34F785" w14:textId="77777777" w:rsidR="00706DFA" w:rsidRPr="00706DFA" w:rsidRDefault="00706DFA" w:rsidP="00706DFA">
      <w:pPr>
        <w:spacing w:before="60" w:after="80"/>
        <w:jc w:val="both"/>
        <w:rPr>
          <w:b/>
          <w:bCs/>
        </w:rPr>
      </w:pPr>
      <w:r w:rsidRPr="00706DFA">
        <w:rPr>
          <w:b/>
          <w:bCs/>
        </w:rPr>
        <w:t>D. Compliance Fatigue and Strategic Trade</w:t>
      </w:r>
      <w:r w:rsidRPr="00706DFA">
        <w:rPr>
          <w:b/>
          <w:bCs/>
        </w:rPr>
        <w:noBreakHyphen/>
        <w:t>offs</w:t>
      </w:r>
    </w:p>
    <w:p w14:paraId="740893DD" w14:textId="77777777" w:rsidR="00706DFA" w:rsidRPr="00706DFA" w:rsidRDefault="00706DFA" w:rsidP="00706DFA">
      <w:pPr>
        <w:spacing w:before="60" w:after="80"/>
        <w:jc w:val="both"/>
      </w:pPr>
      <w:r w:rsidRPr="00706DFA">
        <w:t>While evolving standards strengthen resilience, they impose a disproportionate burden on smaller digital banks. The coexistence of GDPR, DORA, NIS2, PSD2, and FCA guidance creates overlapping obligations that require specialist interpretation. This supports your earlier point that “the coexistence of GDPR, DORA, NIS2… produces an occasionally contradictory regulatory environment.”</w:t>
      </w:r>
    </w:p>
    <w:p w14:paraId="470E7610" w14:textId="02E0DB72" w:rsidR="00706DFA" w:rsidRDefault="00706DFA" w:rsidP="005734D0">
      <w:pPr>
        <w:spacing w:before="60" w:after="80"/>
        <w:jc w:val="both"/>
      </w:pPr>
      <w:r w:rsidRPr="00706DFA">
        <w:t>PCI</w:t>
      </w:r>
      <w:r w:rsidRPr="00706DFA">
        <w:noBreakHyphen/>
        <w:t>DSS v4.0 illustrates this evolution: stronger authentication, expanded scoping, and continuous testing requirements significantly increase operational overhead. Yet stagnation is riskier — quantum computing threatens RSA and ECC, and neither GDPR nor DORA currently mandates post</w:t>
      </w:r>
      <w:r w:rsidRPr="00706DFA">
        <w:noBreakHyphen/>
        <w:t xml:space="preserve">quantum cryptography. FSB must therefore treat compliance as a </w:t>
      </w:r>
      <w:r w:rsidRPr="00706DFA">
        <w:rPr>
          <w:b/>
          <w:bCs/>
        </w:rPr>
        <w:t>minimum floor</w:t>
      </w:r>
      <w:r w:rsidRPr="00706DFA">
        <w:t>, not a ceiling, supplementing it with proactive threat intelligence and sector collaboration (e.g., FS</w:t>
      </w:r>
      <w:r w:rsidRPr="00706DFA">
        <w:noBreakHyphen/>
        <w:t>ISAC).</w:t>
      </w:r>
    </w:p>
    <w:p w14:paraId="0450A830" w14:textId="77777777" w:rsidR="002914F1" w:rsidRPr="009B49F1" w:rsidRDefault="00000000">
      <w:pPr>
        <w:spacing w:before="300" w:after="120"/>
        <w:rPr>
          <w:sz w:val="28"/>
          <w:szCs w:val="28"/>
        </w:rPr>
      </w:pPr>
      <w:r w:rsidRPr="009B49F1">
        <w:rPr>
          <w:b/>
          <w:bCs/>
          <w:sz w:val="28"/>
          <w:szCs w:val="28"/>
        </w:rPr>
        <w:t>V. CONTINGENCY PLANNING AND BUSINESS CONTINUITY</w:t>
      </w:r>
    </w:p>
    <w:p w14:paraId="2DC5B15C" w14:textId="2BD4B387" w:rsidR="002914F1" w:rsidRDefault="00000000" w:rsidP="005734D0">
      <w:pPr>
        <w:spacing w:before="60" w:after="80"/>
        <w:jc w:val="both"/>
      </w:pPr>
      <w:r>
        <w:t>For FSB, "disaster recovery" must be reframed as ICT Readiness for Business Continuity (IRBC), aligned with ISO/IEC 27031:2025 and integrated with a Business Continuity Management System (BCMS) compliant with ISO 22301 [10], [11]. This ensures ICT recovery capabilities are tested against realistic business disruption scenarios, not merely technical restoration exercises.</w:t>
      </w:r>
    </w:p>
    <w:p w14:paraId="5A6AF10E" w14:textId="5BCCADE9" w:rsidR="002914F1" w:rsidRDefault="00000000" w:rsidP="005734D0">
      <w:pPr>
        <w:spacing w:before="60" w:after="80"/>
        <w:jc w:val="both"/>
      </w:pPr>
      <w:r>
        <w:t>Business Impact Analysis (BIA) must classify FSB systems by criticality: payment processing (Tier 1, Recovery Time Objective &lt; 1 hour, Recovery Point Objective 15 minutes); customer data systems (Tier 2, RTO &lt; 4 hours, RPO 1 hour); and analytics platforms (Tier 3, RTO &lt; 24 hours). Immutable, air-gapped backup storage — such as AWS S3 Object Lock — provides ransomware-resistant data protection. An Incident Response Plan (IRP) aligned with DORA Article 18 must be rehearsed quarterly through tabletop exercises, and annual Threat-Led Penetration Testing (TLPT) compliant with DORA Article 26 must simulate realistic adversary scenarios against FSB's most critical systems [7].</w:t>
      </w:r>
    </w:p>
    <w:p w14:paraId="53AE86BE" w14:textId="77777777" w:rsidR="002914F1" w:rsidRPr="009B49F1" w:rsidRDefault="00000000">
      <w:pPr>
        <w:spacing w:before="300" w:after="120"/>
        <w:rPr>
          <w:sz w:val="28"/>
          <w:szCs w:val="28"/>
        </w:rPr>
      </w:pPr>
      <w:r w:rsidRPr="009B49F1">
        <w:rPr>
          <w:b/>
          <w:bCs/>
          <w:sz w:val="28"/>
          <w:szCs w:val="28"/>
        </w:rPr>
        <w:t>VI. CONCLUSION</w:t>
      </w:r>
    </w:p>
    <w:p w14:paraId="04FE65AF" w14:textId="5E039459" w:rsidR="002914F1" w:rsidRDefault="00000000">
      <w:pPr>
        <w:spacing w:before="60" w:after="80"/>
        <w:jc w:val="both"/>
      </w:pPr>
      <w:r>
        <w:t>FinSure Bank stands at a critical strategic inflection point. Its cloud-first architecture and BYOD-enabled workforce are powerful drivers of innovation, but without a unified governance framework</w:t>
      </w:r>
      <w:r w:rsidR="005734D0">
        <w:t>,</w:t>
      </w:r>
      <w:r>
        <w:t xml:space="preserve"> they are equally potent vectors of institutional risk. The "A to Z" roadmap proposed — anchored in </w:t>
      </w:r>
      <w:r>
        <w:lastRenderedPageBreak/>
        <w:t>ISO/IEC 27001:2022, operationalised through ITIL 4's Service Value System, and technically grounded in Zero Trust Architecture — provides a systematic pathway from FSB's current fragmented posture to one of security maturity.</w:t>
      </w:r>
      <w:r w:rsidR="009B49F1">
        <w:t xml:space="preserve"> </w:t>
      </w:r>
      <w:r>
        <w:t>The critical analysis of regulatory evolution has demonstrated that the updating of standards such as ISO 27001 and the introduction of DORA are not administrative burdens but strategic necessities. They supply chain accountability, jurisdictional harmonisation, and consumer trust as co-equal benefits alongside risk reduction. FSB's leadership must treat security certification as a starting point, not a destination: the threat landscape demands continuous security evolution, and the frameworks presented herein provide precisely that capability.</w:t>
      </w:r>
    </w:p>
    <w:p w14:paraId="2E8FA8C4" w14:textId="77777777" w:rsidR="002914F1" w:rsidRDefault="002914F1">
      <w:pPr>
        <w:spacing w:before="40" w:after="40"/>
      </w:pPr>
    </w:p>
    <w:p w14:paraId="584A37E6" w14:textId="77777777" w:rsidR="002914F1" w:rsidRDefault="00000000">
      <w:pPr>
        <w:spacing w:before="300" w:after="120"/>
      </w:pPr>
      <w:r>
        <w:rPr>
          <w:b/>
          <w:bCs/>
          <w:sz w:val="24"/>
          <w:szCs w:val="24"/>
        </w:rPr>
        <w:t>REFERENCES</w:t>
      </w:r>
    </w:p>
    <w:p w14:paraId="324F6472" w14:textId="77777777" w:rsidR="002914F1" w:rsidRDefault="00000000">
      <w:pPr>
        <w:spacing w:before="60" w:after="80"/>
        <w:jc w:val="both"/>
      </w:pPr>
      <w:r>
        <w:t>[1]</w:t>
      </w:r>
      <w:r>
        <w:tab/>
        <w:t>ISO/IEC 27001:2022, Information Security, Cybersecurity and Privacy Protection — Information Security Management Systems — Requirements. Geneva: ISO, 2022.</w:t>
      </w:r>
    </w:p>
    <w:p w14:paraId="2ACD46DA" w14:textId="77777777" w:rsidR="002914F1" w:rsidRDefault="00000000">
      <w:pPr>
        <w:spacing w:before="60" w:after="80"/>
        <w:jc w:val="both"/>
      </w:pPr>
      <w:r>
        <w:t>[2]</w:t>
      </w:r>
      <w:r>
        <w:tab/>
        <w:t>ISO/IEC 27017:2015, Code of Practice for Information Security Controls Based on ISO/IEC 27002 for Cloud Services. Geneva: ISO, 2015.</w:t>
      </w:r>
    </w:p>
    <w:p w14:paraId="2023E014" w14:textId="77777777" w:rsidR="002914F1" w:rsidRDefault="00000000">
      <w:pPr>
        <w:spacing w:before="60" w:after="80"/>
        <w:jc w:val="both"/>
      </w:pPr>
      <w:r>
        <w:t>[3]</w:t>
      </w:r>
      <w:r>
        <w:tab/>
        <w:t>ISO/IEC 27018:2019, Code of Practice for Protection of Personally Identifiable Information in Public Clouds. Geneva: ISO, 2019.</w:t>
      </w:r>
    </w:p>
    <w:p w14:paraId="1B5832AA" w14:textId="77777777" w:rsidR="002914F1" w:rsidRDefault="00000000">
      <w:pPr>
        <w:spacing w:before="60" w:after="80"/>
        <w:jc w:val="both"/>
      </w:pPr>
      <w:r>
        <w:t>[4]</w:t>
      </w:r>
      <w:r>
        <w:tab/>
        <w:t>AXELOS, ITIL Foundation: ITIL 4 Edition. London: TSO, 2019.</w:t>
      </w:r>
    </w:p>
    <w:p w14:paraId="219C5D9B" w14:textId="77777777" w:rsidR="002914F1" w:rsidRDefault="00000000">
      <w:pPr>
        <w:spacing w:before="60" w:after="80"/>
        <w:jc w:val="both"/>
      </w:pPr>
      <w:r>
        <w:t>[5]</w:t>
      </w:r>
      <w:r>
        <w:tab/>
        <w:t>National Institute of Standards and Technology, NIST Special Publication 800-207: Zero Trust Architecture. Gaithersburg, MD: NIST, 2020.</w:t>
      </w:r>
    </w:p>
    <w:p w14:paraId="06BFBF7B" w14:textId="77777777" w:rsidR="002914F1" w:rsidRDefault="00000000">
      <w:pPr>
        <w:spacing w:before="60" w:after="80"/>
        <w:jc w:val="both"/>
      </w:pPr>
      <w:r>
        <w:t>[6]</w:t>
      </w:r>
      <w:r>
        <w:tab/>
        <w:t>National Institute of Standards and Technology, NIST Cybersecurity Framework (CSF) 2.0. Gaithersburg, MD: NIST, 2024.</w:t>
      </w:r>
    </w:p>
    <w:p w14:paraId="05217FB2" w14:textId="77777777" w:rsidR="002914F1" w:rsidRDefault="00000000">
      <w:pPr>
        <w:spacing w:before="60" w:after="80"/>
        <w:jc w:val="both"/>
      </w:pPr>
      <w:r>
        <w:t>[7]</w:t>
      </w:r>
      <w:r>
        <w:tab/>
        <w:t>European Parliament, Regulation (EU) 2022/2554 on Digital Operational Resilience for the Financial Sector (DORA). Official Journal of the European Union, L 333, pp. 1–79, 2022.</w:t>
      </w:r>
    </w:p>
    <w:p w14:paraId="712C7101" w14:textId="77777777" w:rsidR="002914F1" w:rsidRDefault="00000000">
      <w:pPr>
        <w:spacing w:before="60" w:after="80"/>
        <w:jc w:val="both"/>
      </w:pPr>
      <w:r>
        <w:t>[8]</w:t>
      </w:r>
      <w:r>
        <w:tab/>
        <w:t>A. Shostack, Threat Modeling: Designing for Security. Indianapolis, IN: Wiley, 2014.</w:t>
      </w:r>
    </w:p>
    <w:p w14:paraId="50F82D0C" w14:textId="77777777" w:rsidR="002914F1" w:rsidRDefault="00000000">
      <w:pPr>
        <w:spacing w:before="60" w:after="80"/>
        <w:jc w:val="both"/>
      </w:pPr>
      <w:r>
        <w:t>[9]</w:t>
      </w:r>
      <w:r>
        <w:tab/>
        <w:t>World Economic Forum, Global Cybersecurity Outlook 2025. Cologny/Geneva: WEF, 2025.</w:t>
      </w:r>
    </w:p>
    <w:p w14:paraId="5BE4FE99" w14:textId="77777777" w:rsidR="002914F1" w:rsidRDefault="00000000">
      <w:pPr>
        <w:spacing w:before="60" w:after="80"/>
        <w:jc w:val="both"/>
      </w:pPr>
      <w:r>
        <w:t>[10]</w:t>
      </w:r>
      <w:r>
        <w:tab/>
        <w:t>ISO 22301:2019, Security and Resilience — Business Continuity Management Systems — Requirements. Geneva: ISO, 2019.</w:t>
      </w:r>
    </w:p>
    <w:p w14:paraId="7B081A3B" w14:textId="77777777" w:rsidR="002914F1" w:rsidRDefault="00000000">
      <w:pPr>
        <w:spacing w:before="60" w:after="80"/>
        <w:jc w:val="both"/>
      </w:pPr>
      <w:r>
        <w:t>[11]</w:t>
      </w:r>
      <w:r>
        <w:tab/>
        <w:t>ISO/IEC 27031:2025, Cybersecurity — ICT Readiness for Business Continuity. Geneva: ISO, 2025.</w:t>
      </w:r>
    </w:p>
    <w:p w14:paraId="00E343CC" w14:textId="77777777" w:rsidR="002914F1" w:rsidRDefault="00000000">
      <w:pPr>
        <w:spacing w:before="60" w:after="80"/>
        <w:jc w:val="both"/>
      </w:pPr>
      <w:r>
        <w:t>[12]</w:t>
      </w:r>
      <w:r>
        <w:tab/>
        <w:t>Regulation (EU) 2016/679 (GDPR). Official Journal of the European Union, L 119, pp. 1–88, 2016.</w:t>
      </w:r>
    </w:p>
    <w:p w14:paraId="29AC8E0D" w14:textId="77777777" w:rsidR="002914F1" w:rsidRDefault="00000000">
      <w:pPr>
        <w:spacing w:before="60" w:after="80"/>
        <w:jc w:val="both"/>
      </w:pPr>
      <w:r>
        <w:t>[13]</w:t>
      </w:r>
      <w:r>
        <w:tab/>
        <w:t>Symmetric Intelligence, BYOD and Mobile Security in Financial Services 2025. [Online]. Available: https://www.symmetricintelligence.com. [Accessed: Mar. 2026].</w:t>
      </w:r>
    </w:p>
    <w:p w14:paraId="5BD25141" w14:textId="77777777" w:rsidR="002914F1" w:rsidRDefault="00000000">
      <w:pPr>
        <w:spacing w:before="60" w:after="80"/>
        <w:jc w:val="both"/>
      </w:pPr>
      <w:r>
        <w:t>[14]</w:t>
      </w:r>
      <w:r>
        <w:tab/>
        <w:t>K. Scarfone and P. Mell, "An Analysis of CVSS Version 2," in Proc. 2009 Workshop on Measurement-Based Experimental Research, Methodology and Tools, 2009, pp. 1–6.</w:t>
      </w:r>
    </w:p>
    <w:p w14:paraId="2E84095D" w14:textId="77777777" w:rsidR="002914F1" w:rsidRDefault="00000000">
      <w:pPr>
        <w:spacing w:before="60" w:after="80"/>
        <w:jc w:val="both"/>
      </w:pPr>
      <w:r>
        <w:t>[15]</w:t>
      </w:r>
      <w:r>
        <w:tab/>
        <w:t>G. Stoneburner, A. Goguen, and A. Feringa, "Risk Management Guide for Information Technology Systems," NIST Special Publication 800-30, NIST, 2002.</w:t>
      </w:r>
    </w:p>
    <w:p w14:paraId="5C9315EE" w14:textId="77777777" w:rsidR="00927A79" w:rsidRDefault="00927A79" w:rsidP="00927A79">
      <w:pPr>
        <w:spacing w:before="60" w:after="80"/>
        <w:jc w:val="both"/>
      </w:pPr>
      <w:r>
        <w:t>[16] I. Alharkan and N. Aslam, “Zero Trust Architecture for Cloud Banking Environments,” IEEE Access, vol. 9, pp. 150–165, 2021.</w:t>
      </w:r>
    </w:p>
    <w:p w14:paraId="21861E8D" w14:textId="77777777" w:rsidR="00927A79" w:rsidRDefault="00927A79" w:rsidP="00927A79">
      <w:pPr>
        <w:spacing w:before="60" w:after="80"/>
        <w:jc w:val="both"/>
      </w:pPr>
      <w:r>
        <w:t>[17] B. Morrow, “BYOD Security Challenges in Financial Services,” Journal of Digital Forensics, Security &amp; Law, vol. 7, no. 2, pp. 23–35, 2012.</w:t>
      </w:r>
    </w:p>
    <w:p w14:paraId="35F84435" w14:textId="77777777" w:rsidR="00927A79" w:rsidRDefault="00927A79" w:rsidP="00927A79">
      <w:pPr>
        <w:spacing w:before="60" w:after="80"/>
        <w:jc w:val="both"/>
      </w:pPr>
      <w:r>
        <w:t>[18] H. Susanto, M. Almunawar, and Y. Tuan, “ISO 27001 Implementation Challenges for SMEs,” International Journal of Computer Science and Network Security, vol. 11, no. 5, pp. 1–7, 2011.</w:t>
      </w:r>
    </w:p>
    <w:p w14:paraId="53EF2250" w14:textId="6BBC8617" w:rsidR="00927A79" w:rsidRDefault="00927A79" w:rsidP="00927A79">
      <w:pPr>
        <w:spacing w:before="60" w:after="80"/>
        <w:jc w:val="both"/>
      </w:pPr>
      <w:r>
        <w:t>[19] A. Alshaikh, “Information Security Governance: A Systematic Literature Review,” Computers &amp; Security, vol. 96, pp. 101–123, 2020.</w:t>
      </w:r>
    </w:p>
    <w:sectPr w:rsidR="00927A79">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7F43A3"/>
    <w:multiLevelType w:val="hybridMultilevel"/>
    <w:tmpl w:val="1430DCB2"/>
    <w:lvl w:ilvl="0" w:tplc="472847E6">
      <w:start w:val="1"/>
      <w:numFmt w:val="bullet"/>
      <w:lvlText w:val="•"/>
      <w:lvlJc w:val="left"/>
      <w:pPr>
        <w:ind w:left="560" w:hanging="280"/>
      </w:pPr>
    </w:lvl>
    <w:lvl w:ilvl="1" w:tplc="C7488F56">
      <w:numFmt w:val="decimal"/>
      <w:lvlText w:val=""/>
      <w:lvlJc w:val="left"/>
    </w:lvl>
    <w:lvl w:ilvl="2" w:tplc="48E87CB2">
      <w:numFmt w:val="decimal"/>
      <w:lvlText w:val=""/>
      <w:lvlJc w:val="left"/>
    </w:lvl>
    <w:lvl w:ilvl="3" w:tplc="183CF940">
      <w:numFmt w:val="decimal"/>
      <w:lvlText w:val=""/>
      <w:lvlJc w:val="left"/>
    </w:lvl>
    <w:lvl w:ilvl="4" w:tplc="AA3EA654">
      <w:numFmt w:val="decimal"/>
      <w:lvlText w:val=""/>
      <w:lvlJc w:val="left"/>
    </w:lvl>
    <w:lvl w:ilvl="5" w:tplc="8A8E0E5A">
      <w:numFmt w:val="decimal"/>
      <w:lvlText w:val=""/>
      <w:lvlJc w:val="left"/>
    </w:lvl>
    <w:lvl w:ilvl="6" w:tplc="D72C7462">
      <w:numFmt w:val="decimal"/>
      <w:lvlText w:val=""/>
      <w:lvlJc w:val="left"/>
    </w:lvl>
    <w:lvl w:ilvl="7" w:tplc="31D28BD2">
      <w:numFmt w:val="decimal"/>
      <w:lvlText w:val=""/>
      <w:lvlJc w:val="left"/>
    </w:lvl>
    <w:lvl w:ilvl="8" w:tplc="677C68FE">
      <w:numFmt w:val="decimal"/>
      <w:lvlText w:val=""/>
      <w:lvlJc w:val="left"/>
    </w:lvl>
  </w:abstractNum>
  <w:abstractNum w:abstractNumId="1" w15:restartNumberingAfterBreak="0">
    <w:nsid w:val="638B0DD5"/>
    <w:multiLevelType w:val="hybridMultilevel"/>
    <w:tmpl w:val="FF7283B6"/>
    <w:lvl w:ilvl="0" w:tplc="842AD476">
      <w:start w:val="1"/>
      <w:numFmt w:val="bullet"/>
      <w:lvlText w:val="●"/>
      <w:lvlJc w:val="left"/>
      <w:pPr>
        <w:ind w:left="720" w:hanging="360"/>
      </w:pPr>
    </w:lvl>
    <w:lvl w:ilvl="1" w:tplc="6FEC198C">
      <w:start w:val="1"/>
      <w:numFmt w:val="bullet"/>
      <w:lvlText w:val="○"/>
      <w:lvlJc w:val="left"/>
      <w:pPr>
        <w:ind w:left="1440" w:hanging="360"/>
      </w:pPr>
    </w:lvl>
    <w:lvl w:ilvl="2" w:tplc="6308A4EA">
      <w:start w:val="1"/>
      <w:numFmt w:val="bullet"/>
      <w:lvlText w:val="■"/>
      <w:lvlJc w:val="left"/>
      <w:pPr>
        <w:ind w:left="2160" w:hanging="360"/>
      </w:pPr>
    </w:lvl>
    <w:lvl w:ilvl="3" w:tplc="321E0580">
      <w:start w:val="1"/>
      <w:numFmt w:val="bullet"/>
      <w:lvlText w:val="●"/>
      <w:lvlJc w:val="left"/>
      <w:pPr>
        <w:ind w:left="2880" w:hanging="360"/>
      </w:pPr>
    </w:lvl>
    <w:lvl w:ilvl="4" w:tplc="62A0054E">
      <w:start w:val="1"/>
      <w:numFmt w:val="bullet"/>
      <w:lvlText w:val="○"/>
      <w:lvlJc w:val="left"/>
      <w:pPr>
        <w:ind w:left="3600" w:hanging="360"/>
      </w:pPr>
    </w:lvl>
    <w:lvl w:ilvl="5" w:tplc="D408F004">
      <w:start w:val="1"/>
      <w:numFmt w:val="bullet"/>
      <w:lvlText w:val="■"/>
      <w:lvlJc w:val="left"/>
      <w:pPr>
        <w:ind w:left="4320" w:hanging="360"/>
      </w:pPr>
    </w:lvl>
    <w:lvl w:ilvl="6" w:tplc="9126CB86">
      <w:start w:val="1"/>
      <w:numFmt w:val="bullet"/>
      <w:lvlText w:val="●"/>
      <w:lvlJc w:val="left"/>
      <w:pPr>
        <w:ind w:left="5040" w:hanging="360"/>
      </w:pPr>
    </w:lvl>
    <w:lvl w:ilvl="7" w:tplc="7BC239FC">
      <w:start w:val="1"/>
      <w:numFmt w:val="bullet"/>
      <w:lvlText w:val="●"/>
      <w:lvlJc w:val="left"/>
      <w:pPr>
        <w:ind w:left="5760" w:hanging="360"/>
      </w:pPr>
    </w:lvl>
    <w:lvl w:ilvl="8" w:tplc="D10AE628">
      <w:start w:val="1"/>
      <w:numFmt w:val="bullet"/>
      <w:lvlText w:val="●"/>
      <w:lvlJc w:val="left"/>
      <w:pPr>
        <w:ind w:left="6480" w:hanging="360"/>
      </w:pPr>
    </w:lvl>
  </w:abstractNum>
  <w:abstractNum w:abstractNumId="2" w15:restartNumberingAfterBreak="0">
    <w:nsid w:val="7D10337C"/>
    <w:multiLevelType w:val="hybridMultilevel"/>
    <w:tmpl w:val="B3FC37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06994355">
    <w:abstractNumId w:val="1"/>
    <w:lvlOverride w:ilvl="0">
      <w:startOverride w:val="1"/>
    </w:lvlOverride>
  </w:num>
  <w:num w:numId="2" w16cid:durableId="1925802526">
    <w:abstractNumId w:val="0"/>
    <w:lvlOverride w:ilvl="0">
      <w:startOverride w:val="1"/>
    </w:lvlOverride>
  </w:num>
  <w:num w:numId="3" w16cid:durableId="4521353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14F1"/>
    <w:rsid w:val="00082EA3"/>
    <w:rsid w:val="00087FCE"/>
    <w:rsid w:val="001A08DA"/>
    <w:rsid w:val="002914F1"/>
    <w:rsid w:val="002B43C6"/>
    <w:rsid w:val="002B6E44"/>
    <w:rsid w:val="0030140F"/>
    <w:rsid w:val="00302794"/>
    <w:rsid w:val="00306F95"/>
    <w:rsid w:val="003178C3"/>
    <w:rsid w:val="003249DA"/>
    <w:rsid w:val="0046032D"/>
    <w:rsid w:val="005024D4"/>
    <w:rsid w:val="00551EF0"/>
    <w:rsid w:val="005734D0"/>
    <w:rsid w:val="00606C42"/>
    <w:rsid w:val="0061344A"/>
    <w:rsid w:val="006540D2"/>
    <w:rsid w:val="00706DFA"/>
    <w:rsid w:val="00740D28"/>
    <w:rsid w:val="00773E25"/>
    <w:rsid w:val="007B79DC"/>
    <w:rsid w:val="00895F09"/>
    <w:rsid w:val="008A798B"/>
    <w:rsid w:val="008B2E59"/>
    <w:rsid w:val="00907B01"/>
    <w:rsid w:val="00927A79"/>
    <w:rsid w:val="00963213"/>
    <w:rsid w:val="009B49F1"/>
    <w:rsid w:val="00AD6C52"/>
    <w:rsid w:val="00AD6FD7"/>
    <w:rsid w:val="00BA3894"/>
    <w:rsid w:val="00BE406B"/>
    <w:rsid w:val="00C96970"/>
    <w:rsid w:val="00DC3049"/>
    <w:rsid w:val="00E06BDF"/>
    <w:rsid w:val="00F25E8C"/>
    <w:rsid w:val="00F34338"/>
    <w:rsid w:val="00FE4584"/>
    <w:rsid w:val="00FF44EA"/>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741399"/>
  <w15:docId w15:val="{A2A4853F-10B4-4D40-B693-85B05F477D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2"/>
        <w:szCs w:val="22"/>
        <w:lang w:val="en-IN" w:eastAsia="en-IN" w:bidi="gu-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00" w:after="120"/>
      <w:outlineLvl w:val="0"/>
    </w:pPr>
    <w:rPr>
      <w:b/>
      <w:bCs/>
      <w:sz w:val="24"/>
      <w:szCs w:val="24"/>
    </w:rPr>
  </w:style>
  <w:style w:type="paragraph" w:styleId="Heading2">
    <w:name w:val="heading 2"/>
    <w:uiPriority w:val="9"/>
    <w:semiHidden/>
    <w:unhideWhenUsed/>
    <w:qFormat/>
    <w:pPr>
      <w:spacing w:before="200" w:after="80"/>
      <w:outlineLvl w:val="1"/>
    </w:pPr>
    <w:rPr>
      <w:b/>
      <w:bCs/>
      <w:i/>
      <w:iCs/>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table" w:styleId="TableGrid">
    <w:name w:val="Table Grid"/>
    <w:basedOn w:val="TableNormal"/>
    <w:uiPriority w:val="39"/>
    <w:rsid w:val="002B43C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B6E44"/>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2B6E44"/>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
    <w:name w:val="Grid Table 4"/>
    <w:basedOn w:val="TableNormal"/>
    <w:uiPriority w:val="49"/>
    <w:rsid w:val="002B6E44"/>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3">
    <w:name w:val="Grid Table 4 Accent 3"/>
    <w:basedOn w:val="TableNormal"/>
    <w:uiPriority w:val="49"/>
    <w:rsid w:val="002B6E44"/>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3">
    <w:name w:val="List Table 3"/>
    <w:basedOn w:val="TableNormal"/>
    <w:uiPriority w:val="48"/>
    <w:rsid w:val="00E06BDF"/>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GridTable5Dark-Accent3">
    <w:name w:val="Grid Table 5 Dark Accent 3"/>
    <w:basedOn w:val="TableNormal"/>
    <w:uiPriority w:val="50"/>
    <w:rsid w:val="00E06BDF"/>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42507F-72E6-4071-83AA-63B7845B3C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9</Pages>
  <Words>3461</Words>
  <Characters>19732</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hetvi patel</cp:lastModifiedBy>
  <cp:revision>15</cp:revision>
  <dcterms:created xsi:type="dcterms:W3CDTF">2026-04-05T16:57:00Z</dcterms:created>
  <dcterms:modified xsi:type="dcterms:W3CDTF">2026-04-28T10:22:00Z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4faaf9f1-4e1a-4c2c-9642-27e940ca54e5</vt:lpwstr>
  </property>
</Properties>
</file>