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98E1D5" w14:textId="77777777" w:rsidR="001F73D5" w:rsidRDefault="001F73D5" w:rsidP="001F73D5">
      <w:r>
        <w:rPr>
          <w:noProof/>
        </w:rPr>
        <w:drawing>
          <wp:inline distT="0" distB="0" distL="0" distR="0" wp14:anchorId="1AC9C072" wp14:editId="48E8A656">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31C5662" w14:textId="77777777" w:rsidR="001F73D5" w:rsidRPr="001F73D5" w:rsidRDefault="001F73D5" w:rsidP="001F73D5">
      <w:pPr>
        <w:rPr>
          <w:rFonts w:ascii="Times New Roman" w:hAnsi="Times New Roman" w:cs="Times New Roman"/>
          <w:sz w:val="18"/>
          <w:szCs w:val="18"/>
        </w:rPr>
      </w:pPr>
    </w:p>
    <w:p w14:paraId="012ADBAD" w14:textId="77777777" w:rsidR="001F73D5" w:rsidRPr="001F73D5" w:rsidRDefault="001F73D5" w:rsidP="001F73D5">
      <w:pPr>
        <w:rPr>
          <w:rFonts w:ascii="Times New Roman" w:hAnsi="Times New Roman"/>
          <w:b/>
          <w:bCs/>
          <w:sz w:val="36"/>
          <w:szCs w:val="36"/>
        </w:rPr>
      </w:pPr>
      <w:r w:rsidRPr="001F73D5">
        <w:rPr>
          <w:rFonts w:ascii="Times New Roman" w:hAnsi="Times New Roman" w:cs="Times New Roman"/>
          <w:b/>
          <w:sz w:val="36"/>
          <w:szCs w:val="36"/>
        </w:rPr>
        <w:t xml:space="preserve">GRADUATE CERTIFICATE in </w:t>
      </w:r>
      <w:r w:rsidRPr="001F73D5">
        <w:rPr>
          <w:rFonts w:ascii="Times New Roman" w:hAnsi="Times New Roman"/>
          <w:b/>
          <w:bCs/>
          <w:sz w:val="36"/>
          <w:szCs w:val="36"/>
        </w:rPr>
        <w:t>Consolidation of Social Work Practice</w:t>
      </w:r>
    </w:p>
    <w:p w14:paraId="643A28CE" w14:textId="77777777" w:rsidR="001F73D5" w:rsidRPr="001F73D5" w:rsidRDefault="001F73D5" w:rsidP="001F73D5">
      <w:pPr>
        <w:ind w:right="-957"/>
        <w:rPr>
          <w:rFonts w:ascii="Times New Roman" w:hAnsi="Times New Roman" w:cs="Times New Roman"/>
          <w:b/>
          <w:sz w:val="36"/>
          <w:szCs w:val="18"/>
        </w:rPr>
      </w:pPr>
      <w:r w:rsidRPr="001F73D5">
        <w:rPr>
          <w:rFonts w:ascii="Times New Roman" w:hAnsi="Times New Roman" w:cs="Times New Roman"/>
          <w:b/>
          <w:sz w:val="36"/>
          <w:szCs w:val="18"/>
        </w:rPr>
        <w:t>LEVEL 6 - 60 Credits</w:t>
      </w:r>
    </w:p>
    <w:p w14:paraId="263C4014" w14:textId="77777777" w:rsidR="001F73D5" w:rsidRPr="001F73D5" w:rsidRDefault="001F73D5" w:rsidP="001F73D5">
      <w:pPr>
        <w:ind w:right="-957"/>
        <w:rPr>
          <w:rFonts w:ascii="Times New Roman" w:hAnsi="Times New Roman" w:cs="Times New Roman"/>
          <w:b/>
          <w:sz w:val="36"/>
          <w:szCs w:val="18"/>
        </w:rPr>
      </w:pPr>
      <w:r w:rsidRPr="001F73D5">
        <w:rPr>
          <w:rFonts w:ascii="Times New Roman" w:hAnsi="Times New Roman" w:cs="Times New Roman"/>
          <w:b/>
          <w:sz w:val="36"/>
          <w:szCs w:val="18"/>
        </w:rPr>
        <w:t>BMPF6044</w:t>
      </w:r>
    </w:p>
    <w:p w14:paraId="70730B04" w14:textId="77777777" w:rsidR="001F73D5" w:rsidRPr="001F73D5" w:rsidRDefault="001F73D5" w:rsidP="001F73D5">
      <w:pPr>
        <w:ind w:right="-957"/>
        <w:rPr>
          <w:rFonts w:ascii="Times New Roman" w:hAnsi="Times New Roman" w:cs="Times New Roman"/>
          <w:b/>
          <w:sz w:val="36"/>
          <w:szCs w:val="18"/>
        </w:rPr>
      </w:pPr>
    </w:p>
    <w:p w14:paraId="087A8ACC" w14:textId="77777777" w:rsidR="001F73D5" w:rsidRPr="001F73D5" w:rsidRDefault="001F73D5" w:rsidP="001F73D5">
      <w:pPr>
        <w:ind w:right="-957"/>
        <w:rPr>
          <w:rFonts w:ascii="Times New Roman" w:hAnsi="Times New Roman" w:cs="Times New Roman"/>
          <w:b/>
          <w:sz w:val="12"/>
          <w:szCs w:val="2"/>
        </w:rPr>
      </w:pPr>
    </w:p>
    <w:p w14:paraId="602B6EC7" w14:textId="77777777" w:rsidR="001F73D5" w:rsidRPr="001F73D5" w:rsidRDefault="001F73D5" w:rsidP="001F73D5">
      <w:pPr>
        <w:ind w:right="-957"/>
        <w:rPr>
          <w:rFonts w:ascii="Times New Roman" w:hAnsi="Times New Roman" w:cs="Times New Roman"/>
          <w:b/>
          <w:sz w:val="36"/>
          <w:szCs w:val="18"/>
        </w:rPr>
      </w:pPr>
      <w:r w:rsidRPr="001F73D5">
        <w:rPr>
          <w:rFonts w:ascii="Times New Roman" w:hAnsi="Times New Roman" w:cs="Times New Roman"/>
          <w:b/>
          <w:sz w:val="36"/>
          <w:szCs w:val="18"/>
        </w:rPr>
        <w:t>LEARNER PORTFOLIO</w:t>
      </w:r>
    </w:p>
    <w:p w14:paraId="7D45AABF" w14:textId="77777777" w:rsidR="001F73D5" w:rsidRPr="001F73D5" w:rsidRDefault="001F73D5" w:rsidP="001F73D5">
      <w:pPr>
        <w:ind w:right="-957"/>
        <w:rPr>
          <w:rFonts w:ascii="Times New Roman" w:hAnsi="Times New Roman" w:cs="Times New Roman"/>
          <w:b/>
          <w:bCs/>
          <w:sz w:val="36"/>
          <w:szCs w:val="36"/>
        </w:rPr>
      </w:pPr>
      <w:r w:rsidRPr="001F73D5">
        <w:rPr>
          <w:rFonts w:ascii="Times New Roman" w:hAnsi="Times New Roman" w:cs="Times New Roman"/>
          <w:b/>
          <w:bCs/>
          <w:sz w:val="36"/>
          <w:szCs w:val="36"/>
        </w:rPr>
        <w:t>(PORTH AGORED and UNIVERSITY OF WALES TRINITY SAINT DAVID)</w:t>
      </w:r>
    </w:p>
    <w:p w14:paraId="74B45526" w14:textId="77777777" w:rsidR="001F73D5" w:rsidRPr="001F73D5" w:rsidRDefault="001F73D5" w:rsidP="001F73D5">
      <w:pPr>
        <w:ind w:right="-957"/>
        <w:rPr>
          <w:rFonts w:ascii="Times New Roman" w:hAnsi="Times New Roman" w:cs="Times New Roman"/>
          <w:b/>
          <w:sz w:val="8"/>
          <w:szCs w:val="2"/>
        </w:rPr>
      </w:pPr>
    </w:p>
    <w:p w14:paraId="45338512" w14:textId="77777777" w:rsidR="001F73D5" w:rsidRPr="001F73D5" w:rsidRDefault="001F73D5" w:rsidP="001F73D5">
      <w:pPr>
        <w:ind w:right="-957"/>
        <w:rPr>
          <w:rFonts w:ascii="Times New Roman" w:hAnsi="Times New Roman" w:cs="Times New Roman"/>
          <w:b/>
          <w:sz w:val="36"/>
          <w:szCs w:val="1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1F73D5" w:rsidRPr="001F73D5" w14:paraId="26D6A207" w14:textId="77777777" w:rsidTr="00EC13E6">
        <w:tc>
          <w:tcPr>
            <w:tcW w:w="10368" w:type="dxa"/>
          </w:tcPr>
          <w:p w14:paraId="6484DD87" w14:textId="77777777" w:rsidR="001F73D5" w:rsidRPr="001F73D5" w:rsidRDefault="001F73D5" w:rsidP="00EC13E6">
            <w:pPr>
              <w:ind w:right="-957"/>
              <w:rPr>
                <w:rFonts w:ascii="Times New Roman" w:hAnsi="Times New Roman" w:cs="Times New Roman"/>
                <w:b/>
                <w:sz w:val="36"/>
                <w:szCs w:val="18"/>
              </w:rPr>
            </w:pPr>
            <w:r w:rsidRPr="001F73D5">
              <w:rPr>
                <w:rFonts w:ascii="Times New Roman" w:hAnsi="Times New Roman" w:cs="Times New Roman"/>
                <w:b/>
                <w:sz w:val="36"/>
                <w:szCs w:val="18"/>
              </w:rPr>
              <w:t xml:space="preserve">Learner’s name: Phil Pybus </w:t>
            </w:r>
          </w:p>
          <w:p w14:paraId="583363A6" w14:textId="77777777" w:rsidR="001F73D5" w:rsidRPr="001F73D5" w:rsidRDefault="001F73D5" w:rsidP="00EC13E6">
            <w:pPr>
              <w:ind w:right="-957"/>
              <w:rPr>
                <w:rFonts w:ascii="Times New Roman" w:hAnsi="Times New Roman" w:cs="Times New Roman"/>
                <w:b/>
                <w:sz w:val="36"/>
                <w:szCs w:val="18"/>
              </w:rPr>
            </w:pPr>
          </w:p>
          <w:p w14:paraId="4682CED1" w14:textId="77777777" w:rsidR="001F73D5" w:rsidRPr="001F73D5" w:rsidRDefault="001F73D5" w:rsidP="00EC13E6">
            <w:pPr>
              <w:ind w:right="-957"/>
              <w:rPr>
                <w:rFonts w:ascii="Times New Roman" w:hAnsi="Times New Roman" w:cs="Times New Roman"/>
                <w:b/>
                <w:sz w:val="36"/>
                <w:szCs w:val="18"/>
              </w:rPr>
            </w:pPr>
            <w:r w:rsidRPr="001F73D5">
              <w:rPr>
                <w:rFonts w:ascii="Times New Roman" w:hAnsi="Times New Roman" w:cs="Times New Roman"/>
                <w:b/>
                <w:sz w:val="36"/>
                <w:szCs w:val="18"/>
              </w:rPr>
              <w:t xml:space="preserve">Email </w:t>
            </w:r>
            <w:proofErr w:type="gramStart"/>
            <w:r w:rsidRPr="001F73D5">
              <w:rPr>
                <w:rFonts w:ascii="Times New Roman" w:hAnsi="Times New Roman" w:cs="Times New Roman"/>
                <w:b/>
                <w:sz w:val="36"/>
                <w:szCs w:val="18"/>
              </w:rPr>
              <w:t>address:phil.pybus@wrexham.gov.uk</w:t>
            </w:r>
            <w:proofErr w:type="gramEnd"/>
          </w:p>
          <w:p w14:paraId="2344F6E7" w14:textId="77777777" w:rsidR="001F73D5" w:rsidRPr="001F73D5" w:rsidRDefault="001F73D5" w:rsidP="00EC13E6">
            <w:pPr>
              <w:ind w:right="-957"/>
              <w:rPr>
                <w:rFonts w:ascii="Times New Roman" w:hAnsi="Times New Roman" w:cs="Times New Roman"/>
                <w:b/>
                <w:sz w:val="36"/>
                <w:szCs w:val="18"/>
              </w:rPr>
            </w:pPr>
          </w:p>
          <w:p w14:paraId="27C0C0A1" w14:textId="77777777" w:rsidR="001F73D5" w:rsidRPr="001F73D5" w:rsidRDefault="001F73D5" w:rsidP="00EC13E6">
            <w:pPr>
              <w:ind w:right="-957"/>
              <w:rPr>
                <w:rFonts w:ascii="Times New Roman" w:hAnsi="Times New Roman" w:cs="Times New Roman"/>
                <w:b/>
                <w:sz w:val="36"/>
                <w:szCs w:val="18"/>
              </w:rPr>
            </w:pPr>
            <w:r w:rsidRPr="001F73D5">
              <w:rPr>
                <w:rFonts w:ascii="Times New Roman" w:hAnsi="Times New Roman" w:cs="Times New Roman"/>
                <w:b/>
                <w:sz w:val="36"/>
                <w:szCs w:val="18"/>
              </w:rPr>
              <w:t>Learner’s University Registration Number:</w:t>
            </w:r>
          </w:p>
          <w:p w14:paraId="28AAA99F" w14:textId="77777777" w:rsidR="001F73D5" w:rsidRPr="001F73D5" w:rsidRDefault="001F73D5" w:rsidP="00EC13E6">
            <w:pPr>
              <w:ind w:right="-957"/>
              <w:rPr>
                <w:rFonts w:ascii="Times New Roman" w:hAnsi="Times New Roman" w:cs="Times New Roman"/>
                <w:b/>
                <w:sz w:val="36"/>
                <w:szCs w:val="18"/>
              </w:rPr>
            </w:pPr>
            <w:r w:rsidRPr="001F73D5">
              <w:rPr>
                <w:rFonts w:ascii="Times New Roman" w:hAnsi="Times New Roman" w:cs="Times New Roman"/>
                <w:b/>
                <w:sz w:val="36"/>
                <w:szCs w:val="18"/>
              </w:rPr>
              <w:t>2425519</w:t>
            </w:r>
          </w:p>
          <w:p w14:paraId="3639F707" w14:textId="77777777" w:rsidR="001F73D5" w:rsidRPr="001F73D5" w:rsidRDefault="001F73D5" w:rsidP="00EC13E6">
            <w:pPr>
              <w:ind w:right="-957"/>
              <w:rPr>
                <w:rFonts w:ascii="Times New Roman" w:hAnsi="Times New Roman" w:cs="Times New Roman"/>
                <w:b/>
                <w:sz w:val="36"/>
                <w:szCs w:val="18"/>
              </w:rPr>
            </w:pPr>
          </w:p>
          <w:p w14:paraId="68C69F35" w14:textId="77777777" w:rsidR="001F73D5" w:rsidRPr="001F73D5" w:rsidRDefault="001F73D5" w:rsidP="00EC13E6">
            <w:pPr>
              <w:ind w:right="-957"/>
              <w:rPr>
                <w:rFonts w:ascii="Times New Roman" w:hAnsi="Times New Roman" w:cs="Times New Roman"/>
                <w:b/>
                <w:sz w:val="36"/>
                <w:szCs w:val="18"/>
              </w:rPr>
            </w:pPr>
            <w:r w:rsidRPr="001F73D5">
              <w:rPr>
                <w:rFonts w:ascii="Times New Roman" w:hAnsi="Times New Roman" w:cs="Times New Roman"/>
                <w:b/>
                <w:sz w:val="36"/>
                <w:szCs w:val="18"/>
              </w:rPr>
              <w:t>Cohort: 21onwards</w:t>
            </w:r>
          </w:p>
        </w:tc>
      </w:tr>
    </w:tbl>
    <w:p w14:paraId="62741801" w14:textId="105C3D6C" w:rsidR="001F73D5" w:rsidRPr="001F73D5" w:rsidRDefault="001F73D5" w:rsidP="001F73D5">
      <w:pPr>
        <w:ind w:right="-957"/>
        <w:rPr>
          <w:rFonts w:ascii="Times New Roman" w:hAnsi="Times New Roman" w:cs="Times New Roman"/>
          <w:b/>
          <w:sz w:val="36"/>
          <w:szCs w:val="18"/>
        </w:rPr>
      </w:pPr>
      <w:r w:rsidRPr="001F73D5">
        <w:rPr>
          <w:rFonts w:ascii="Times New Roman" w:hAnsi="Times New Roman" w:cs="Times New Roman"/>
          <w:b/>
          <w:sz w:val="36"/>
          <w:szCs w:val="18"/>
        </w:rPr>
        <w:t xml:space="preserve"> </w:t>
      </w:r>
    </w:p>
    <w:p w14:paraId="2E967950" w14:textId="1EA30B88" w:rsidR="00306B6F" w:rsidRDefault="00503C56" w:rsidP="00503C56">
      <w:pPr>
        <w:pStyle w:val="Heading1"/>
        <w:jc w:val="center"/>
        <w:rPr>
          <w:sz w:val="32"/>
          <w:szCs w:val="32"/>
        </w:rPr>
      </w:pPr>
      <w:r w:rsidRPr="00503C56">
        <w:rPr>
          <w:sz w:val="32"/>
          <w:szCs w:val="32"/>
        </w:rPr>
        <w:lastRenderedPageBreak/>
        <w:t xml:space="preserve">Task 4 – Adult Safeguarding in Wales </w:t>
      </w:r>
    </w:p>
    <w:p w14:paraId="5B7EDA5D" w14:textId="274D1E30" w:rsidR="00667A1F" w:rsidRPr="00667A1F" w:rsidRDefault="00667A1F" w:rsidP="009B3E95">
      <w:pPr>
        <w:spacing w:line="360" w:lineRule="auto"/>
        <w:jc w:val="both"/>
        <w:rPr>
          <w:rFonts w:ascii="Arial" w:hAnsi="Arial" w:cs="Arial"/>
          <w:b/>
          <w:bCs/>
          <w:sz w:val="22"/>
          <w:szCs w:val="22"/>
        </w:rPr>
      </w:pPr>
      <w:r w:rsidRPr="00667A1F">
        <w:rPr>
          <w:rFonts w:ascii="Arial" w:hAnsi="Arial" w:cs="Arial"/>
          <w:b/>
          <w:bCs/>
          <w:sz w:val="22"/>
          <w:szCs w:val="22"/>
        </w:rPr>
        <w:t>Introduction</w:t>
      </w:r>
    </w:p>
    <w:p w14:paraId="1FC81EC4" w14:textId="77777777" w:rsidR="005B4BA0" w:rsidRPr="003701FB" w:rsidRDefault="00667A1F" w:rsidP="009B3E95">
      <w:pPr>
        <w:spacing w:line="360" w:lineRule="auto"/>
        <w:jc w:val="both"/>
        <w:rPr>
          <w:rFonts w:ascii="Arial" w:hAnsi="Arial" w:cs="Arial"/>
          <w:sz w:val="22"/>
          <w:szCs w:val="22"/>
        </w:rPr>
      </w:pPr>
      <w:r w:rsidRPr="00667A1F">
        <w:rPr>
          <w:rFonts w:ascii="Arial" w:hAnsi="Arial" w:cs="Arial"/>
          <w:sz w:val="22"/>
          <w:szCs w:val="22"/>
        </w:rPr>
        <w:t>Adult safeguarding in Wales is framed by the Social Services and Well-being (Wales) Act 2014 (SSWBA), with Part 7 establishing a rights-based model centred on promoting well-being. This shift reflects a move toward empowering individuals by embedding autonomy and voice at the heart of practice (Clements, 2022). However, this creates professional tension; practitioners must balance an individual’s freedom to make choices with the responsibility to recognise when cumulative harm or coercion requires intervention. This is particularly visible in substance misuse or mental health crises, where practitioners must navigate the “Dignity of Risk” alongside statutory duties like the Duty to Report.</w:t>
      </w:r>
    </w:p>
    <w:p w14:paraId="149F5401" w14:textId="6D942445" w:rsidR="00667A1F" w:rsidRPr="00667A1F" w:rsidRDefault="00667A1F" w:rsidP="009B3E95">
      <w:pPr>
        <w:spacing w:line="360" w:lineRule="auto"/>
        <w:jc w:val="both"/>
        <w:rPr>
          <w:rFonts w:ascii="Arial" w:hAnsi="Arial" w:cs="Arial"/>
          <w:b/>
          <w:bCs/>
          <w:sz w:val="22"/>
          <w:szCs w:val="22"/>
        </w:rPr>
      </w:pPr>
      <w:r w:rsidRPr="00667A1F">
        <w:rPr>
          <w:rFonts w:ascii="Arial" w:hAnsi="Arial" w:cs="Arial"/>
          <w:b/>
          <w:bCs/>
          <w:sz w:val="22"/>
          <w:szCs w:val="22"/>
        </w:rPr>
        <w:t xml:space="preserve">The Legislative &amp; Policy Framework </w:t>
      </w:r>
    </w:p>
    <w:p w14:paraId="3F6654B3" w14:textId="77777777" w:rsidR="00667A1F" w:rsidRPr="00667A1F" w:rsidRDefault="00667A1F" w:rsidP="009B3E95">
      <w:pPr>
        <w:spacing w:line="360" w:lineRule="auto"/>
        <w:jc w:val="both"/>
        <w:rPr>
          <w:rFonts w:ascii="Arial" w:hAnsi="Arial" w:cs="Arial"/>
          <w:sz w:val="22"/>
          <w:szCs w:val="22"/>
        </w:rPr>
      </w:pPr>
      <w:r w:rsidRPr="00667A1F">
        <w:rPr>
          <w:rFonts w:ascii="Arial" w:hAnsi="Arial" w:cs="Arial"/>
          <w:sz w:val="22"/>
          <w:szCs w:val="22"/>
        </w:rPr>
        <w:t>The Welsh framework operationalises statutory duties through the Wales Safeguarding Procedures (2019), a national digital resource ensuring consistent thresholds and multi-agency collaboration across the six Regional Safeguarding Boards (Welsh Government, 2019). These Boards provide statutory oversight and review responses through Adult Practice Reviews (APRs).</w:t>
      </w:r>
    </w:p>
    <w:p w14:paraId="53CC228E" w14:textId="0A997F3B" w:rsidR="00667A1F" w:rsidRPr="00667A1F" w:rsidRDefault="00667A1F" w:rsidP="009B3E95">
      <w:pPr>
        <w:spacing w:line="360" w:lineRule="auto"/>
        <w:jc w:val="both"/>
        <w:rPr>
          <w:rFonts w:ascii="Arial" w:hAnsi="Arial" w:cs="Arial"/>
          <w:sz w:val="22"/>
          <w:szCs w:val="22"/>
        </w:rPr>
      </w:pPr>
      <w:r w:rsidRPr="00667A1F">
        <w:rPr>
          <w:rFonts w:ascii="Arial" w:hAnsi="Arial" w:cs="Arial"/>
          <w:sz w:val="22"/>
          <w:szCs w:val="22"/>
        </w:rPr>
        <w:t>A defining feature is the “Three-Part Test</w:t>
      </w:r>
      <w:proofErr w:type="gramStart"/>
      <w:r w:rsidRPr="00667A1F">
        <w:rPr>
          <w:rFonts w:ascii="Arial" w:hAnsi="Arial" w:cs="Arial"/>
          <w:sz w:val="22"/>
          <w:szCs w:val="22"/>
        </w:rPr>
        <w:t>” .</w:t>
      </w:r>
      <w:proofErr w:type="gramEnd"/>
      <w:r w:rsidRPr="00667A1F">
        <w:rPr>
          <w:rFonts w:ascii="Arial" w:hAnsi="Arial" w:cs="Arial"/>
          <w:sz w:val="22"/>
          <w:szCs w:val="22"/>
        </w:rPr>
        <w:t xml:space="preserve"> Under Section 126, an adult is deemed "at risk" only if they have care and support needs, are experiencing or at risk of abuse or neglect, and cannot protect themselves </w:t>
      </w:r>
      <w:r w:rsidRPr="00667A1F">
        <w:rPr>
          <w:rFonts w:ascii="Arial" w:hAnsi="Arial" w:cs="Arial"/>
          <w:i/>
          <w:iCs/>
          <w:sz w:val="22"/>
          <w:szCs w:val="22"/>
        </w:rPr>
        <w:t>because</w:t>
      </w:r>
      <w:r w:rsidRPr="00667A1F">
        <w:rPr>
          <w:rFonts w:ascii="Arial" w:hAnsi="Arial" w:cs="Arial"/>
          <w:sz w:val="22"/>
          <w:szCs w:val="22"/>
        </w:rPr>
        <w:t> of those needs (Clements, 2022). This framework also establishes the Duty to Report under Section 128, mandating partners to inform the local authority of suspected risks. Furthermore, the Adult Protection and Support Order (APSO), set out in Section 127, provides a unique mechanism enabling authorised officers to speak with an adult in private where coercion inhibits disclosure. Clements (2022) highlights that APSOs avoid the paternalism of earlier legislation by facilitating engagement without removing autonomy. However, Ferguson (2017) argues that reliance on procedural thresholds risks overlooking structural inequalities—poverty and social exclusion—that shape vulnerability. Applied to contexts like "cuckooing" or exploitation, Welsh safeguarding requires both statutory precision and a justice-oriented professional stance (Ferguson and Woodward, 2009).</w:t>
      </w:r>
    </w:p>
    <w:p w14:paraId="59567F05" w14:textId="647AD828" w:rsidR="00667A1F" w:rsidRPr="00667A1F" w:rsidRDefault="00667A1F" w:rsidP="009B3E95">
      <w:pPr>
        <w:spacing w:line="360" w:lineRule="auto"/>
        <w:jc w:val="both"/>
        <w:rPr>
          <w:rFonts w:ascii="Arial" w:hAnsi="Arial" w:cs="Arial"/>
          <w:b/>
          <w:bCs/>
          <w:sz w:val="22"/>
          <w:szCs w:val="22"/>
        </w:rPr>
      </w:pPr>
      <w:r w:rsidRPr="00667A1F">
        <w:rPr>
          <w:rFonts w:ascii="Arial" w:hAnsi="Arial" w:cs="Arial"/>
          <w:b/>
          <w:bCs/>
          <w:sz w:val="22"/>
          <w:szCs w:val="22"/>
        </w:rPr>
        <w:t xml:space="preserve">Indicators &amp; Professional Curiosity </w:t>
      </w:r>
    </w:p>
    <w:p w14:paraId="6653D00F" w14:textId="77777777" w:rsidR="00667A1F" w:rsidRPr="00667A1F" w:rsidRDefault="00667A1F" w:rsidP="009B3E95">
      <w:pPr>
        <w:spacing w:line="360" w:lineRule="auto"/>
        <w:jc w:val="both"/>
        <w:rPr>
          <w:rFonts w:ascii="Arial" w:hAnsi="Arial" w:cs="Arial"/>
          <w:sz w:val="22"/>
          <w:szCs w:val="22"/>
        </w:rPr>
      </w:pPr>
      <w:r w:rsidRPr="00667A1F">
        <w:rPr>
          <w:rFonts w:ascii="Arial" w:hAnsi="Arial" w:cs="Arial"/>
          <w:sz w:val="22"/>
          <w:szCs w:val="22"/>
        </w:rPr>
        <w:t xml:space="preserve">Recognising harm is a statutory requirement under Section 126. The Procedures categorise abuse into physical, psychological, financial, and neglect—defined as a failure to meet basic needs which impairs well-being. However, Dominelli (2020) observes that these indicators are </w:t>
      </w:r>
      <w:r w:rsidRPr="00667A1F">
        <w:rPr>
          <w:rFonts w:ascii="Arial" w:hAnsi="Arial" w:cs="Arial"/>
          <w:sz w:val="22"/>
          <w:szCs w:val="22"/>
        </w:rPr>
        <w:lastRenderedPageBreak/>
        <w:t>often interpreted through a lens of stigma; for those with co-occurring needs, signs of exploitation may be "overshadowed" by professional assumptions about “chaotic” lifestyles.</w:t>
      </w:r>
    </w:p>
    <w:p w14:paraId="3861C935" w14:textId="77777777" w:rsidR="00667A1F" w:rsidRPr="00667A1F" w:rsidRDefault="00667A1F" w:rsidP="009B3E95">
      <w:pPr>
        <w:spacing w:line="360" w:lineRule="auto"/>
        <w:jc w:val="both"/>
        <w:rPr>
          <w:rFonts w:ascii="Arial" w:hAnsi="Arial" w:cs="Arial"/>
          <w:sz w:val="22"/>
          <w:szCs w:val="22"/>
        </w:rPr>
      </w:pPr>
      <w:r w:rsidRPr="00667A1F">
        <w:rPr>
          <w:rFonts w:ascii="Arial" w:hAnsi="Arial" w:cs="Arial"/>
          <w:sz w:val="22"/>
          <w:szCs w:val="22"/>
        </w:rPr>
        <w:t>Effective safeguarding therefore requires "professional curiosity." Taylor (2017) describes this as “respectful uncertainty”—the willingness to question surface explanations. In substance misuse contexts, injuries dismissed as clumsiness or missed appointments may instead signal criminal exploitation. Without curiosity, these signs become "normalised" within addiction narratives, leaving hidden harm undetected (Ferguson and Woodward, 2009). An Anti-Oppressive Practice (AOP) approach strengthens this stance by ensuring the adult’s “Voice and Control” remains central, uncovering risk masked by substance use.</w:t>
      </w:r>
    </w:p>
    <w:p w14:paraId="1A70D677" w14:textId="3DDD53B2" w:rsidR="00667A1F" w:rsidRPr="00667A1F" w:rsidRDefault="00667A1F" w:rsidP="009B3E95">
      <w:pPr>
        <w:spacing w:line="360" w:lineRule="auto"/>
        <w:jc w:val="both"/>
        <w:rPr>
          <w:rFonts w:ascii="Arial" w:hAnsi="Arial" w:cs="Arial"/>
          <w:b/>
          <w:bCs/>
          <w:sz w:val="22"/>
          <w:szCs w:val="22"/>
        </w:rPr>
      </w:pPr>
      <w:r w:rsidRPr="00667A1F">
        <w:rPr>
          <w:rFonts w:ascii="Arial" w:hAnsi="Arial" w:cs="Arial"/>
          <w:b/>
          <w:bCs/>
          <w:sz w:val="22"/>
          <w:szCs w:val="22"/>
        </w:rPr>
        <w:t>The Co-occurring Framework: Efficacy and Discourse</w:t>
      </w:r>
    </w:p>
    <w:p w14:paraId="75E04F65" w14:textId="77777777" w:rsidR="00667A1F" w:rsidRPr="00667A1F" w:rsidRDefault="00667A1F" w:rsidP="009B3E95">
      <w:pPr>
        <w:spacing w:line="360" w:lineRule="auto"/>
        <w:jc w:val="both"/>
        <w:rPr>
          <w:rFonts w:ascii="Arial" w:hAnsi="Arial" w:cs="Arial"/>
          <w:sz w:val="22"/>
          <w:szCs w:val="22"/>
        </w:rPr>
      </w:pPr>
      <w:r w:rsidRPr="00667A1F">
        <w:rPr>
          <w:rFonts w:ascii="Arial" w:hAnsi="Arial" w:cs="Arial"/>
          <w:sz w:val="22"/>
          <w:szCs w:val="22"/>
        </w:rPr>
        <w:t>The Co-occurring Mental Health and Substance Misuse Framework (2022) offers a “No Wrong Door” model, aligning with Dominelli’s (2020) AOP principles by ensuring adults are not cycled between services without support. Yet, APRs repeatedly demonstrate an ‘implementation gap,’ where the threshold for “care and support needs” becomes a point of gatekeeping. Clements (2022) highlights that adults with co-occurring needs frequently fall into a “service vacuum,” excluded from mental health services due to substance use while marginalised within addiction systems due to unaddressed mental distress.</w:t>
      </w:r>
    </w:p>
    <w:p w14:paraId="75E86922" w14:textId="77777777" w:rsidR="005B4BA0" w:rsidRPr="003701FB" w:rsidRDefault="00667A1F" w:rsidP="009B3E95">
      <w:pPr>
        <w:spacing w:line="360" w:lineRule="auto"/>
        <w:jc w:val="both"/>
        <w:rPr>
          <w:rFonts w:ascii="Arial" w:hAnsi="Arial" w:cs="Arial"/>
          <w:sz w:val="22"/>
          <w:szCs w:val="22"/>
        </w:rPr>
      </w:pPr>
      <w:r w:rsidRPr="00667A1F">
        <w:rPr>
          <w:rFonts w:ascii="Arial" w:hAnsi="Arial" w:cs="Arial"/>
          <w:sz w:val="22"/>
          <w:szCs w:val="22"/>
        </w:rPr>
        <w:t>This reflects a discourse between legalism and radical social work. While the Three-Part Test provides a statutory mechanism, Ferguson (2017) argues that such tools cannot mitigate the structural austerity that shapes vulnerability. Dominelli (2020) notes that safeguarding carries inherent power imbalances; in substance misuse, the risk is that intervention becomes surveillance rather than empowerment. This is visible in crises where “diagnostic overshadowing” occurs—where psychiatric labels obscure signs of coercive control. To move beyond procedural compliance, practitioners must exercise sustained professional curiosity to ensure that the intersection of addiction and distress does not lead to a dilution of statutory duty.</w:t>
      </w:r>
    </w:p>
    <w:p w14:paraId="3912AD74" w14:textId="70163190" w:rsidR="00667A1F" w:rsidRPr="00667A1F" w:rsidRDefault="00667A1F" w:rsidP="009B3E95">
      <w:pPr>
        <w:spacing w:line="360" w:lineRule="auto"/>
        <w:jc w:val="both"/>
        <w:rPr>
          <w:rFonts w:ascii="Arial" w:hAnsi="Arial" w:cs="Arial"/>
          <w:b/>
          <w:bCs/>
          <w:sz w:val="22"/>
          <w:szCs w:val="22"/>
        </w:rPr>
      </w:pPr>
      <w:r w:rsidRPr="00667A1F">
        <w:rPr>
          <w:rFonts w:ascii="Arial" w:hAnsi="Arial" w:cs="Arial"/>
          <w:b/>
          <w:bCs/>
          <w:sz w:val="22"/>
          <w:szCs w:val="22"/>
        </w:rPr>
        <w:t>Preferred Outcomes and the Carer’s Role</w:t>
      </w:r>
    </w:p>
    <w:p w14:paraId="1C951C66" w14:textId="77777777" w:rsidR="00667A1F" w:rsidRPr="00667A1F" w:rsidRDefault="00667A1F" w:rsidP="009B3E95">
      <w:pPr>
        <w:spacing w:line="360" w:lineRule="auto"/>
        <w:jc w:val="both"/>
        <w:rPr>
          <w:rFonts w:ascii="Arial" w:hAnsi="Arial" w:cs="Arial"/>
          <w:sz w:val="22"/>
          <w:szCs w:val="22"/>
        </w:rPr>
      </w:pPr>
      <w:r w:rsidRPr="00667A1F">
        <w:rPr>
          <w:rFonts w:ascii="Arial" w:hAnsi="Arial" w:cs="Arial"/>
          <w:sz w:val="22"/>
          <w:szCs w:val="22"/>
        </w:rPr>
        <w:t xml:space="preserve">In Wales, the "What Matters" conversation is the cornerstone of practice, shifting focus to achieving an adult’s Preferred Outcomes (Social Care Wales, 2020). The SSWBA mandates that practitioners facilitate "voice and control," which respects an adult's right to take risks, even when choices appear "unwise." This person-centred approach extends to carers, recognised as vital partners. However, practitioners must remain curious regarding the carer’s role; high-stress environments can transform support into unintended neglect or "compassion </w:t>
      </w:r>
      <w:r w:rsidRPr="00667A1F">
        <w:rPr>
          <w:rFonts w:ascii="Arial" w:hAnsi="Arial" w:cs="Arial"/>
          <w:sz w:val="22"/>
          <w:szCs w:val="22"/>
        </w:rPr>
        <w:lastRenderedPageBreak/>
        <w:t>fatigue" (Dominelli, 2020), requiring a balance between supporting the carer and protecting the adult’s autonomy.</w:t>
      </w:r>
    </w:p>
    <w:p w14:paraId="1F6F460E" w14:textId="751381D0" w:rsidR="00667A1F" w:rsidRDefault="00667A1F" w:rsidP="009B3E95">
      <w:pPr>
        <w:pStyle w:val="NormalWeb"/>
        <w:shd w:val="clear" w:color="auto" w:fill="FAFAFA"/>
        <w:spacing w:before="0" w:beforeAutospacing="0" w:after="0" w:afterAutospacing="0" w:line="360" w:lineRule="auto"/>
        <w:jc w:val="both"/>
        <w:rPr>
          <w:rFonts w:ascii="Arial" w:eastAsiaTheme="majorEastAsia" w:hAnsi="Arial" w:cs="Arial"/>
          <w:b/>
          <w:bCs/>
          <w:sz w:val="22"/>
          <w:szCs w:val="22"/>
        </w:rPr>
      </w:pPr>
      <w:r w:rsidRPr="00667A1F">
        <w:rPr>
          <w:rFonts w:ascii="Arial" w:eastAsiaTheme="majorEastAsia" w:hAnsi="Arial" w:cs="Arial"/>
          <w:b/>
          <w:bCs/>
          <w:sz w:val="22"/>
          <w:szCs w:val="22"/>
        </w:rPr>
        <w:t xml:space="preserve">Comparative Analysis: Adult vs. Child Safeguarding </w:t>
      </w:r>
    </w:p>
    <w:p w14:paraId="6B0A9D9D" w14:textId="77777777" w:rsidR="009B3E95" w:rsidRPr="003701FB" w:rsidRDefault="009B3E95" w:rsidP="009B3E95">
      <w:pPr>
        <w:pStyle w:val="NormalWeb"/>
        <w:shd w:val="clear" w:color="auto" w:fill="FAFAFA"/>
        <w:spacing w:before="0" w:beforeAutospacing="0" w:after="0" w:afterAutospacing="0" w:line="360" w:lineRule="auto"/>
        <w:jc w:val="both"/>
        <w:rPr>
          <w:rFonts w:ascii="Arial" w:eastAsiaTheme="majorEastAsia" w:hAnsi="Arial" w:cs="Arial"/>
          <w:b/>
          <w:bCs/>
          <w:sz w:val="22"/>
          <w:szCs w:val="22"/>
        </w:rPr>
      </w:pPr>
    </w:p>
    <w:p w14:paraId="7178C866" w14:textId="49944EA6" w:rsidR="00B83648" w:rsidRPr="00B83648" w:rsidRDefault="00B83648" w:rsidP="009B3E95">
      <w:pPr>
        <w:spacing w:line="360" w:lineRule="auto"/>
        <w:jc w:val="both"/>
        <w:rPr>
          <w:rFonts w:ascii="Arial" w:hAnsi="Arial" w:cs="Arial"/>
          <w:sz w:val="22"/>
          <w:szCs w:val="22"/>
        </w:rPr>
      </w:pPr>
      <w:r w:rsidRPr="00B83648">
        <w:rPr>
          <w:rFonts w:ascii="Arial" w:hAnsi="Arial" w:cs="Arial"/>
          <w:sz w:val="22"/>
          <w:szCs w:val="22"/>
        </w:rPr>
        <w:t xml:space="preserve">The primary distinction between adult and child safeguarding in Wales lies in the balance of autonomy and protection. Children’s safeguarding, governed by </w:t>
      </w:r>
      <w:r w:rsidR="000523C2">
        <w:rPr>
          <w:rFonts w:ascii="Arial" w:hAnsi="Arial" w:cs="Arial"/>
          <w:sz w:val="22"/>
          <w:szCs w:val="22"/>
        </w:rPr>
        <w:t xml:space="preserve">both SSWBA 2014 and </w:t>
      </w:r>
      <w:r w:rsidRPr="00B83648">
        <w:rPr>
          <w:rFonts w:ascii="Arial" w:hAnsi="Arial" w:cs="Arial"/>
          <w:sz w:val="22"/>
          <w:szCs w:val="22"/>
        </w:rPr>
        <w:t>the Children Act 1989, mandates intervention where a child suffers or is likely to suffer significant harm, enabling emergency protection or care orders regardless of consent. This reflects the state’s </w:t>
      </w:r>
      <w:proofErr w:type="spellStart"/>
      <w:r w:rsidRPr="00B83648">
        <w:rPr>
          <w:rFonts w:ascii="Arial" w:hAnsi="Arial" w:cs="Arial"/>
          <w:sz w:val="22"/>
          <w:szCs w:val="22"/>
        </w:rPr>
        <w:t>Parens</w:t>
      </w:r>
      <w:proofErr w:type="spellEnd"/>
      <w:r w:rsidRPr="00B83648">
        <w:rPr>
          <w:rFonts w:ascii="Arial" w:hAnsi="Arial" w:cs="Arial"/>
          <w:sz w:val="22"/>
          <w:szCs w:val="22"/>
        </w:rPr>
        <w:t xml:space="preserve"> Patriae duty to protect minors, where welfare overrides individual choice.</w:t>
      </w:r>
    </w:p>
    <w:p w14:paraId="78AB7430" w14:textId="64954D05" w:rsidR="000523C2" w:rsidRPr="003701FB" w:rsidRDefault="00B83648" w:rsidP="009B3E95">
      <w:pPr>
        <w:spacing w:line="360" w:lineRule="auto"/>
        <w:jc w:val="both"/>
        <w:rPr>
          <w:rFonts w:ascii="Arial" w:hAnsi="Arial" w:cs="Arial"/>
          <w:sz w:val="22"/>
          <w:szCs w:val="22"/>
        </w:rPr>
      </w:pPr>
      <w:r w:rsidRPr="00B83648">
        <w:rPr>
          <w:rFonts w:ascii="Arial" w:hAnsi="Arial" w:cs="Arial"/>
          <w:sz w:val="22"/>
          <w:szCs w:val="22"/>
        </w:rPr>
        <w:t>Adult safeguarding, conversely, is shaped by the </w:t>
      </w:r>
      <w:r w:rsidRPr="007136CC">
        <w:rPr>
          <w:rFonts w:ascii="Arial" w:hAnsi="Arial" w:cs="Arial"/>
          <w:sz w:val="22"/>
          <w:szCs w:val="22"/>
        </w:rPr>
        <w:t>SSWBA 2014</w:t>
      </w:r>
      <w:r w:rsidRPr="00B83648">
        <w:rPr>
          <w:rFonts w:ascii="Arial" w:hAnsi="Arial" w:cs="Arial"/>
          <w:sz w:val="22"/>
          <w:szCs w:val="22"/>
        </w:rPr>
        <w:t> and grounded in the </w:t>
      </w:r>
      <w:r w:rsidRPr="007136CC">
        <w:rPr>
          <w:rFonts w:ascii="Arial" w:hAnsi="Arial" w:cs="Arial"/>
          <w:sz w:val="22"/>
          <w:szCs w:val="22"/>
        </w:rPr>
        <w:t>Human Rights Act 1998</w:t>
      </w:r>
      <w:r w:rsidRPr="00B83648">
        <w:rPr>
          <w:rFonts w:ascii="Arial" w:hAnsi="Arial" w:cs="Arial"/>
          <w:sz w:val="22"/>
          <w:szCs w:val="22"/>
        </w:rPr>
        <w:t> and </w:t>
      </w:r>
      <w:r w:rsidRPr="007136CC">
        <w:rPr>
          <w:rFonts w:ascii="Arial" w:hAnsi="Arial" w:cs="Arial"/>
          <w:sz w:val="22"/>
          <w:szCs w:val="22"/>
        </w:rPr>
        <w:t>Mental Capacity Act 2005</w:t>
      </w:r>
      <w:r w:rsidRPr="00B83648">
        <w:rPr>
          <w:rFonts w:ascii="Arial" w:hAnsi="Arial" w:cs="Arial"/>
          <w:sz w:val="22"/>
          <w:szCs w:val="22"/>
        </w:rPr>
        <w:t>, protecting an adult’s right to make </w:t>
      </w:r>
      <w:r w:rsidRPr="007136CC">
        <w:rPr>
          <w:rFonts w:ascii="Arial" w:hAnsi="Arial" w:cs="Arial"/>
          <w:sz w:val="22"/>
          <w:szCs w:val="22"/>
        </w:rPr>
        <w:t>“unwise decisions”</w:t>
      </w:r>
      <w:r w:rsidRPr="00B83648">
        <w:rPr>
          <w:rFonts w:ascii="Arial" w:hAnsi="Arial" w:cs="Arial"/>
          <w:sz w:val="22"/>
          <w:szCs w:val="22"/>
        </w:rPr>
        <w:t> (</w:t>
      </w:r>
      <w:r w:rsidRPr="007136CC">
        <w:rPr>
          <w:rFonts w:ascii="Arial" w:hAnsi="Arial" w:cs="Arial"/>
          <w:sz w:val="22"/>
          <w:szCs w:val="22"/>
        </w:rPr>
        <w:t>Clements, 2022</w:t>
      </w:r>
      <w:r w:rsidRPr="00B83648">
        <w:rPr>
          <w:rFonts w:ascii="Arial" w:hAnsi="Arial" w:cs="Arial"/>
          <w:sz w:val="22"/>
          <w:szCs w:val="22"/>
        </w:rPr>
        <w:t>). Welsh guidance reinforces this by embedding ECHR Articles (2, 3, 5, 6, 8) into practice </w:t>
      </w:r>
      <w:r w:rsidRPr="007136CC">
        <w:rPr>
          <w:rFonts w:ascii="Arial" w:hAnsi="Arial" w:cs="Arial"/>
          <w:sz w:val="22"/>
          <w:szCs w:val="22"/>
        </w:rPr>
        <w:t>Gov Wales</w:t>
      </w:r>
      <w:r w:rsidRPr="00B83648">
        <w:rPr>
          <w:rFonts w:ascii="Arial" w:hAnsi="Arial" w:cs="Arial"/>
          <w:sz w:val="22"/>
          <w:szCs w:val="22"/>
        </w:rPr>
        <w:t>. Adults must meet the </w:t>
      </w:r>
      <w:r w:rsidRPr="007136CC">
        <w:rPr>
          <w:rFonts w:ascii="Arial" w:hAnsi="Arial" w:cs="Arial"/>
          <w:sz w:val="22"/>
          <w:szCs w:val="22"/>
        </w:rPr>
        <w:t>Three-Part Test</w:t>
      </w:r>
      <w:r w:rsidRPr="00B83648">
        <w:rPr>
          <w:rFonts w:ascii="Arial" w:hAnsi="Arial" w:cs="Arial"/>
          <w:sz w:val="22"/>
          <w:szCs w:val="22"/>
        </w:rPr>
        <w:t> under </w:t>
      </w:r>
      <w:r w:rsidRPr="007136CC">
        <w:rPr>
          <w:rFonts w:ascii="Arial" w:hAnsi="Arial" w:cs="Arial"/>
          <w:sz w:val="22"/>
          <w:szCs w:val="22"/>
        </w:rPr>
        <w:t>Section 126</w:t>
      </w:r>
      <w:r w:rsidRPr="00B83648">
        <w:rPr>
          <w:rFonts w:ascii="Arial" w:hAnsi="Arial" w:cs="Arial"/>
          <w:sz w:val="22"/>
          <w:szCs w:val="22"/>
        </w:rPr>
        <w:t>, and benefit from Welsh-specific tools like the </w:t>
      </w:r>
      <w:r w:rsidRPr="007136CC">
        <w:rPr>
          <w:rFonts w:ascii="Arial" w:hAnsi="Arial" w:cs="Arial"/>
          <w:sz w:val="22"/>
          <w:szCs w:val="22"/>
        </w:rPr>
        <w:t>APSO</w:t>
      </w:r>
      <w:r w:rsidRPr="00B83648">
        <w:rPr>
          <w:rFonts w:ascii="Arial" w:hAnsi="Arial" w:cs="Arial"/>
          <w:sz w:val="22"/>
          <w:szCs w:val="22"/>
        </w:rPr>
        <w:t>, enabling private engagement without removing autonomy. While both systems mitigate harm, the adult framework prioritises </w:t>
      </w:r>
      <w:r w:rsidRPr="007136CC">
        <w:rPr>
          <w:rFonts w:ascii="Arial" w:hAnsi="Arial" w:cs="Arial"/>
          <w:sz w:val="22"/>
          <w:szCs w:val="22"/>
        </w:rPr>
        <w:t>"Voice and Control,"</w:t>
      </w:r>
      <w:r w:rsidRPr="00B83648">
        <w:rPr>
          <w:rFonts w:ascii="Arial" w:hAnsi="Arial" w:cs="Arial"/>
          <w:sz w:val="22"/>
          <w:szCs w:val="22"/>
        </w:rPr>
        <w:t> whereas children’s safeguarding prioritises protective intervention (</w:t>
      </w:r>
      <w:r w:rsidRPr="007136CC">
        <w:rPr>
          <w:rFonts w:ascii="Arial" w:hAnsi="Arial" w:cs="Arial"/>
          <w:sz w:val="22"/>
          <w:szCs w:val="22"/>
        </w:rPr>
        <w:t>Ferguson, 2017</w:t>
      </w:r>
      <w:r w:rsidRPr="00B83648">
        <w:rPr>
          <w:rFonts w:ascii="Arial" w:hAnsi="Arial" w:cs="Arial"/>
          <w:sz w:val="22"/>
          <w:szCs w:val="22"/>
        </w:rPr>
        <w:t>).</w:t>
      </w:r>
    </w:p>
    <w:p w14:paraId="2DFFC5C8" w14:textId="4E168757" w:rsidR="00683102" w:rsidRPr="00683102" w:rsidRDefault="00683102" w:rsidP="009B3E95">
      <w:pPr>
        <w:spacing w:line="360" w:lineRule="auto"/>
        <w:jc w:val="both"/>
        <w:rPr>
          <w:rFonts w:ascii="Arial" w:hAnsi="Arial" w:cs="Arial"/>
          <w:b/>
          <w:bCs/>
          <w:sz w:val="22"/>
          <w:szCs w:val="22"/>
        </w:rPr>
      </w:pPr>
      <w:r w:rsidRPr="00683102">
        <w:rPr>
          <w:rFonts w:ascii="Arial" w:hAnsi="Arial" w:cs="Arial"/>
          <w:b/>
          <w:bCs/>
          <w:sz w:val="22"/>
          <w:szCs w:val="22"/>
        </w:rPr>
        <w:t>Conclusion</w:t>
      </w:r>
    </w:p>
    <w:p w14:paraId="11D09A25" w14:textId="11927012" w:rsidR="00683102" w:rsidRDefault="00683102" w:rsidP="009B3E95">
      <w:pPr>
        <w:spacing w:line="360" w:lineRule="auto"/>
        <w:jc w:val="both"/>
        <w:rPr>
          <w:rFonts w:ascii="Arial" w:hAnsi="Arial" w:cs="Arial"/>
          <w:sz w:val="22"/>
          <w:szCs w:val="22"/>
        </w:rPr>
      </w:pPr>
      <w:r w:rsidRPr="00683102">
        <w:rPr>
          <w:rFonts w:ascii="Arial" w:hAnsi="Arial" w:cs="Arial"/>
          <w:sz w:val="22"/>
          <w:szCs w:val="22"/>
        </w:rPr>
        <w:t>Ultimately, reconciling the dichotomy between statutory protection and individual autonomy requires a hegemonic shift in practice. Professionals must move beyond procedural compliance to embrace personal accountability, balancing a rights-based approach with a radical commitment to social justice. Only through this synthesis can Welsh safeguarding truly empower all adults at risk.</w:t>
      </w:r>
    </w:p>
    <w:p w14:paraId="34EE8109" w14:textId="77777777" w:rsidR="008B759C" w:rsidRPr="00667A1F" w:rsidRDefault="008B759C" w:rsidP="009B3E95">
      <w:pPr>
        <w:spacing w:line="360" w:lineRule="auto"/>
        <w:jc w:val="both"/>
        <w:rPr>
          <w:rFonts w:ascii="Arial" w:hAnsi="Arial" w:cs="Arial"/>
          <w:sz w:val="22"/>
          <w:szCs w:val="22"/>
        </w:rPr>
      </w:pPr>
    </w:p>
    <w:p w14:paraId="73C079D2" w14:textId="77777777" w:rsidR="00192DC6" w:rsidRDefault="009B3E95" w:rsidP="00192DC6">
      <w:pPr>
        <w:pStyle w:val="NormalWeb"/>
        <w:shd w:val="clear" w:color="auto" w:fill="FAFAFA"/>
        <w:spacing w:before="30" w:beforeAutospacing="0" w:after="60" w:afterAutospacing="0" w:line="300" w:lineRule="atLeast"/>
        <w:rPr>
          <w:sz w:val="20"/>
          <w:szCs w:val="20"/>
        </w:rPr>
      </w:pPr>
      <w:r w:rsidRPr="00D317F6">
        <w:rPr>
          <w:sz w:val="20"/>
          <w:szCs w:val="20"/>
        </w:rPr>
        <w:t xml:space="preserve">Word Count </w:t>
      </w:r>
      <w:r w:rsidR="00D317F6" w:rsidRPr="00D317F6">
        <w:rPr>
          <w:sz w:val="20"/>
          <w:szCs w:val="20"/>
        </w:rPr>
        <w:t>– 953</w:t>
      </w:r>
    </w:p>
    <w:p w14:paraId="527ABB56" w14:textId="77777777" w:rsidR="00192DC6" w:rsidRDefault="00192DC6" w:rsidP="00192DC6">
      <w:pPr>
        <w:pStyle w:val="NormalWeb"/>
        <w:shd w:val="clear" w:color="auto" w:fill="FAFAFA"/>
        <w:spacing w:before="30" w:beforeAutospacing="0" w:after="60" w:afterAutospacing="0" w:line="300" w:lineRule="atLeast"/>
        <w:rPr>
          <w:sz w:val="20"/>
          <w:szCs w:val="20"/>
        </w:rPr>
      </w:pPr>
    </w:p>
    <w:p w14:paraId="2936CF8D" w14:textId="77777777" w:rsidR="00192DC6" w:rsidRDefault="00192DC6" w:rsidP="00192DC6">
      <w:pPr>
        <w:pStyle w:val="NormalWeb"/>
        <w:shd w:val="clear" w:color="auto" w:fill="FAFAFA"/>
        <w:spacing w:before="30" w:beforeAutospacing="0" w:after="60" w:afterAutospacing="0" w:line="300" w:lineRule="atLeast"/>
        <w:rPr>
          <w:sz w:val="20"/>
          <w:szCs w:val="20"/>
        </w:rPr>
      </w:pPr>
    </w:p>
    <w:p w14:paraId="44CA15E4" w14:textId="77777777" w:rsidR="00192DC6" w:rsidRDefault="00192DC6" w:rsidP="00192DC6">
      <w:pPr>
        <w:pStyle w:val="NormalWeb"/>
        <w:shd w:val="clear" w:color="auto" w:fill="FAFAFA"/>
        <w:spacing w:before="30" w:beforeAutospacing="0" w:after="60" w:afterAutospacing="0" w:line="300" w:lineRule="atLeast"/>
        <w:rPr>
          <w:sz w:val="20"/>
          <w:szCs w:val="20"/>
        </w:rPr>
      </w:pPr>
    </w:p>
    <w:p w14:paraId="54D344BB" w14:textId="77777777" w:rsidR="00192DC6" w:rsidRDefault="00192DC6" w:rsidP="00192DC6">
      <w:pPr>
        <w:pStyle w:val="NormalWeb"/>
        <w:shd w:val="clear" w:color="auto" w:fill="FAFAFA"/>
        <w:spacing w:before="30" w:beforeAutospacing="0" w:after="60" w:afterAutospacing="0" w:line="300" w:lineRule="atLeast"/>
        <w:rPr>
          <w:sz w:val="20"/>
          <w:szCs w:val="20"/>
        </w:rPr>
      </w:pPr>
    </w:p>
    <w:p w14:paraId="5CA45CE6" w14:textId="77777777" w:rsidR="00192DC6" w:rsidRDefault="00192DC6" w:rsidP="00192DC6">
      <w:pPr>
        <w:pStyle w:val="NormalWeb"/>
        <w:shd w:val="clear" w:color="auto" w:fill="FAFAFA"/>
        <w:spacing w:before="30" w:beforeAutospacing="0" w:after="60" w:afterAutospacing="0" w:line="300" w:lineRule="atLeast"/>
        <w:rPr>
          <w:sz w:val="20"/>
          <w:szCs w:val="20"/>
        </w:rPr>
      </w:pPr>
    </w:p>
    <w:p w14:paraId="3A58FCB8" w14:textId="77777777" w:rsidR="00192DC6" w:rsidRDefault="00192DC6" w:rsidP="00192DC6">
      <w:pPr>
        <w:pStyle w:val="NormalWeb"/>
        <w:shd w:val="clear" w:color="auto" w:fill="FAFAFA"/>
        <w:spacing w:before="30" w:beforeAutospacing="0" w:after="60" w:afterAutospacing="0" w:line="300" w:lineRule="atLeast"/>
        <w:rPr>
          <w:sz w:val="20"/>
          <w:szCs w:val="20"/>
        </w:rPr>
      </w:pPr>
    </w:p>
    <w:p w14:paraId="7BA06795" w14:textId="77777777" w:rsidR="00192DC6" w:rsidRDefault="00192DC6" w:rsidP="00192DC6">
      <w:pPr>
        <w:pStyle w:val="NormalWeb"/>
        <w:shd w:val="clear" w:color="auto" w:fill="FAFAFA"/>
        <w:spacing w:before="30" w:beforeAutospacing="0" w:after="60" w:afterAutospacing="0" w:line="300" w:lineRule="atLeast"/>
        <w:rPr>
          <w:sz w:val="20"/>
          <w:szCs w:val="20"/>
        </w:rPr>
      </w:pPr>
    </w:p>
    <w:p w14:paraId="0C62DD1F" w14:textId="77777777" w:rsidR="00192DC6" w:rsidRDefault="00192DC6" w:rsidP="00192DC6">
      <w:pPr>
        <w:pStyle w:val="NormalWeb"/>
        <w:shd w:val="clear" w:color="auto" w:fill="FAFAFA"/>
        <w:spacing w:before="30" w:beforeAutospacing="0" w:after="60" w:afterAutospacing="0" w:line="300" w:lineRule="atLeast"/>
        <w:rPr>
          <w:sz w:val="20"/>
          <w:szCs w:val="20"/>
        </w:rPr>
      </w:pPr>
    </w:p>
    <w:p w14:paraId="40F36966" w14:textId="0CA5B7B0" w:rsidR="007D4B20" w:rsidRPr="00192DC6" w:rsidRDefault="007D4B20" w:rsidP="00192DC6">
      <w:pPr>
        <w:spacing w:line="360" w:lineRule="auto"/>
        <w:jc w:val="both"/>
        <w:rPr>
          <w:rFonts w:ascii="Arial" w:hAnsi="Arial" w:cs="Arial"/>
          <w:sz w:val="22"/>
          <w:szCs w:val="22"/>
        </w:rPr>
      </w:pPr>
    </w:p>
    <w:sectPr w:rsidR="007D4B20" w:rsidRPr="00192D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05468F"/>
    <w:multiLevelType w:val="multilevel"/>
    <w:tmpl w:val="2C66B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2B7BF5"/>
    <w:multiLevelType w:val="multilevel"/>
    <w:tmpl w:val="64A69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4B6AC4"/>
    <w:multiLevelType w:val="multilevel"/>
    <w:tmpl w:val="7A1AC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225BC0"/>
    <w:multiLevelType w:val="multilevel"/>
    <w:tmpl w:val="31C26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9D2C99"/>
    <w:multiLevelType w:val="multilevel"/>
    <w:tmpl w:val="408A7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6C6E37"/>
    <w:multiLevelType w:val="multilevel"/>
    <w:tmpl w:val="148A4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7975637">
    <w:abstractNumId w:val="1"/>
  </w:num>
  <w:num w:numId="2" w16cid:durableId="2135441240">
    <w:abstractNumId w:val="4"/>
  </w:num>
  <w:num w:numId="3" w16cid:durableId="254021966">
    <w:abstractNumId w:val="2"/>
  </w:num>
  <w:num w:numId="4" w16cid:durableId="480847299">
    <w:abstractNumId w:val="0"/>
  </w:num>
  <w:num w:numId="5" w16cid:durableId="552621361">
    <w:abstractNumId w:val="3"/>
  </w:num>
  <w:num w:numId="6" w16cid:durableId="16490914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B6F"/>
    <w:rsid w:val="00026282"/>
    <w:rsid w:val="000523C2"/>
    <w:rsid w:val="000565B6"/>
    <w:rsid w:val="0006169D"/>
    <w:rsid w:val="000B39C7"/>
    <w:rsid w:val="001254DF"/>
    <w:rsid w:val="00186146"/>
    <w:rsid w:val="00192DC6"/>
    <w:rsid w:val="001D5185"/>
    <w:rsid w:val="001F73D5"/>
    <w:rsid w:val="00232A6E"/>
    <w:rsid w:val="00306B6F"/>
    <w:rsid w:val="003701FB"/>
    <w:rsid w:val="003B7EE5"/>
    <w:rsid w:val="00467430"/>
    <w:rsid w:val="00503C56"/>
    <w:rsid w:val="005657A3"/>
    <w:rsid w:val="005B4BA0"/>
    <w:rsid w:val="005D2E13"/>
    <w:rsid w:val="00667A1F"/>
    <w:rsid w:val="00683102"/>
    <w:rsid w:val="007136CC"/>
    <w:rsid w:val="007443C9"/>
    <w:rsid w:val="007C1D97"/>
    <w:rsid w:val="007D4B20"/>
    <w:rsid w:val="008B759C"/>
    <w:rsid w:val="008C23A0"/>
    <w:rsid w:val="008D2DE6"/>
    <w:rsid w:val="009B3E95"/>
    <w:rsid w:val="00A435E3"/>
    <w:rsid w:val="00B05CBB"/>
    <w:rsid w:val="00B4393F"/>
    <w:rsid w:val="00B6053A"/>
    <w:rsid w:val="00B83648"/>
    <w:rsid w:val="00C077D1"/>
    <w:rsid w:val="00C455A7"/>
    <w:rsid w:val="00C52DC2"/>
    <w:rsid w:val="00C917BE"/>
    <w:rsid w:val="00CF01AE"/>
    <w:rsid w:val="00D317F6"/>
    <w:rsid w:val="00E07FE8"/>
    <w:rsid w:val="00E27D1B"/>
    <w:rsid w:val="00ED690A"/>
    <w:rsid w:val="00F447AD"/>
    <w:rsid w:val="00F84310"/>
    <w:rsid w:val="00FC2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C7606"/>
  <w15:chartTrackingRefBased/>
  <w15:docId w15:val="{1EE00EB7-0640-4412-B7BE-C88869B15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B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6B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6B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6B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6B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6B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6B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6B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6B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6B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6B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6B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6B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6B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6B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6B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6B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6B6F"/>
    <w:rPr>
      <w:rFonts w:eastAsiaTheme="majorEastAsia" w:cstheme="majorBidi"/>
      <w:color w:val="272727" w:themeColor="text1" w:themeTint="D8"/>
    </w:rPr>
  </w:style>
  <w:style w:type="paragraph" w:styleId="Title">
    <w:name w:val="Title"/>
    <w:basedOn w:val="Normal"/>
    <w:next w:val="Normal"/>
    <w:link w:val="TitleChar"/>
    <w:uiPriority w:val="10"/>
    <w:qFormat/>
    <w:rsid w:val="00306B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6B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6B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6B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6B6F"/>
    <w:pPr>
      <w:spacing w:before="160"/>
      <w:jc w:val="center"/>
    </w:pPr>
    <w:rPr>
      <w:i/>
      <w:iCs/>
      <w:color w:val="404040" w:themeColor="text1" w:themeTint="BF"/>
    </w:rPr>
  </w:style>
  <w:style w:type="character" w:customStyle="1" w:styleId="QuoteChar">
    <w:name w:val="Quote Char"/>
    <w:basedOn w:val="DefaultParagraphFont"/>
    <w:link w:val="Quote"/>
    <w:uiPriority w:val="29"/>
    <w:rsid w:val="00306B6F"/>
    <w:rPr>
      <w:i/>
      <w:iCs/>
      <w:color w:val="404040" w:themeColor="text1" w:themeTint="BF"/>
    </w:rPr>
  </w:style>
  <w:style w:type="paragraph" w:styleId="ListParagraph">
    <w:name w:val="List Paragraph"/>
    <w:basedOn w:val="Normal"/>
    <w:uiPriority w:val="34"/>
    <w:qFormat/>
    <w:rsid w:val="00306B6F"/>
    <w:pPr>
      <w:ind w:left="720"/>
      <w:contextualSpacing/>
    </w:pPr>
  </w:style>
  <w:style w:type="character" w:styleId="IntenseEmphasis">
    <w:name w:val="Intense Emphasis"/>
    <w:basedOn w:val="DefaultParagraphFont"/>
    <w:uiPriority w:val="21"/>
    <w:qFormat/>
    <w:rsid w:val="00306B6F"/>
    <w:rPr>
      <w:i/>
      <w:iCs/>
      <w:color w:val="0F4761" w:themeColor="accent1" w:themeShade="BF"/>
    </w:rPr>
  </w:style>
  <w:style w:type="paragraph" w:styleId="IntenseQuote">
    <w:name w:val="Intense Quote"/>
    <w:basedOn w:val="Normal"/>
    <w:next w:val="Normal"/>
    <w:link w:val="IntenseQuoteChar"/>
    <w:uiPriority w:val="30"/>
    <w:qFormat/>
    <w:rsid w:val="00306B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6B6F"/>
    <w:rPr>
      <w:i/>
      <w:iCs/>
      <w:color w:val="0F4761" w:themeColor="accent1" w:themeShade="BF"/>
    </w:rPr>
  </w:style>
  <w:style w:type="character" w:styleId="IntenseReference">
    <w:name w:val="Intense Reference"/>
    <w:basedOn w:val="DefaultParagraphFont"/>
    <w:uiPriority w:val="32"/>
    <w:qFormat/>
    <w:rsid w:val="00306B6F"/>
    <w:rPr>
      <w:b/>
      <w:bCs/>
      <w:smallCaps/>
      <w:color w:val="0F4761" w:themeColor="accent1" w:themeShade="BF"/>
      <w:spacing w:val="5"/>
    </w:rPr>
  </w:style>
  <w:style w:type="character" w:styleId="Emphasis">
    <w:name w:val="Emphasis"/>
    <w:basedOn w:val="DefaultParagraphFont"/>
    <w:uiPriority w:val="20"/>
    <w:qFormat/>
    <w:rsid w:val="00ED690A"/>
    <w:rPr>
      <w:i/>
      <w:iCs/>
    </w:rPr>
  </w:style>
  <w:style w:type="paragraph" w:styleId="NormalWeb">
    <w:name w:val="Normal (Web)"/>
    <w:basedOn w:val="Normal"/>
    <w:uiPriority w:val="99"/>
    <w:unhideWhenUsed/>
    <w:rsid w:val="005D2E1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76bdi0">
    <w:name w:val="___a76bdi0"/>
    <w:basedOn w:val="DefaultParagraphFont"/>
    <w:rsid w:val="005D2E13"/>
  </w:style>
  <w:style w:type="character" w:customStyle="1" w:styleId="1jturu6">
    <w:name w:val="___1jturu6"/>
    <w:basedOn w:val="DefaultParagraphFont"/>
    <w:rsid w:val="005D2E13"/>
  </w:style>
  <w:style w:type="character" w:customStyle="1" w:styleId="1vi0vkd">
    <w:name w:val="___1vi0vkd"/>
    <w:basedOn w:val="DefaultParagraphFont"/>
    <w:rsid w:val="007443C9"/>
  </w:style>
  <w:style w:type="character" w:styleId="Hyperlink">
    <w:name w:val="Hyperlink"/>
    <w:basedOn w:val="DefaultParagraphFont"/>
    <w:uiPriority w:val="99"/>
    <w:unhideWhenUsed/>
    <w:rsid w:val="007443C9"/>
    <w:rPr>
      <w:color w:val="467886" w:themeColor="hyperlink"/>
      <w:u w:val="single"/>
    </w:rPr>
  </w:style>
  <w:style w:type="character" w:styleId="UnresolvedMention">
    <w:name w:val="Unresolved Mention"/>
    <w:basedOn w:val="DefaultParagraphFont"/>
    <w:uiPriority w:val="99"/>
    <w:semiHidden/>
    <w:unhideWhenUsed/>
    <w:rsid w:val="007443C9"/>
    <w:rPr>
      <w:color w:val="605E5C"/>
      <w:shd w:val="clear" w:color="auto" w:fill="E1DFDD"/>
    </w:rPr>
  </w:style>
  <w:style w:type="character" w:styleId="Strong">
    <w:name w:val="Strong"/>
    <w:basedOn w:val="DefaultParagraphFont"/>
    <w:uiPriority w:val="22"/>
    <w:qFormat/>
    <w:rsid w:val="00A435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F6AD9820481C47915963A0E76EFC25" ma:contentTypeVersion="5" ma:contentTypeDescription="Create a new document." ma:contentTypeScope="" ma:versionID="2c0627f8ef9234362484a5cea8e5e1d9">
  <xsd:schema xmlns:xsd="http://www.w3.org/2001/XMLSchema" xmlns:xs="http://www.w3.org/2001/XMLSchema" xmlns:p="http://schemas.microsoft.com/office/2006/metadata/properties" xmlns:ns3="5480b724-9f67-4efc-ba60-54e0abc06203" targetNamespace="http://schemas.microsoft.com/office/2006/metadata/properties" ma:root="true" ma:fieldsID="2b4089ea1ed1f88d70983deddc7431e6" ns3:_="">
    <xsd:import namespace="5480b724-9f67-4efc-ba60-54e0abc0620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80b724-9f67-4efc-ba60-54e0abc0620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480b724-9f67-4efc-ba60-54e0abc06203" xsi:nil="true"/>
  </documentManagement>
</p:properties>
</file>

<file path=customXml/itemProps1.xml><?xml version="1.0" encoding="utf-8"?>
<ds:datastoreItem xmlns:ds="http://schemas.openxmlformats.org/officeDocument/2006/customXml" ds:itemID="{95258297-D815-4476-BB26-42723AD6D2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80b724-9f67-4efc-ba60-54e0abc062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DC55A2-DD2B-48A6-9578-CB0863301EC2}">
  <ds:schemaRefs>
    <ds:schemaRef ds:uri="http://schemas.microsoft.com/sharepoint/v3/contenttype/forms"/>
  </ds:schemaRefs>
</ds:datastoreItem>
</file>

<file path=customXml/itemProps3.xml><?xml version="1.0" encoding="utf-8"?>
<ds:datastoreItem xmlns:ds="http://schemas.openxmlformats.org/officeDocument/2006/customXml" ds:itemID="{7C7A1661-7819-44FF-B35B-63C6C31DC131}">
  <ds:schemaRefs>
    <ds:schemaRef ds:uri="http://schemas.microsoft.com/office/2006/metadata/properties"/>
    <ds:schemaRef ds:uri="http://schemas.microsoft.com/office/infopath/2007/PartnerControls"/>
    <ds:schemaRef ds:uri="5480b724-9f67-4efc-ba60-54e0abc0620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994</Words>
  <Characters>6306</Characters>
  <Application>Microsoft Office Word</Application>
  <DocSecurity>0</DocSecurity>
  <Lines>122</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Pybus</dc:creator>
  <cp:keywords/>
  <dc:description/>
  <cp:lastModifiedBy>Phil Pybus</cp:lastModifiedBy>
  <cp:revision>2</cp:revision>
  <dcterms:created xsi:type="dcterms:W3CDTF">2026-02-23T15:30:00Z</dcterms:created>
  <dcterms:modified xsi:type="dcterms:W3CDTF">2026-02-23T15:30:00Z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0x010100A8F6AD9820481C47915963A0E76EFC25</vt:lpwstr>
  </property>
</Properties>
</file>