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DF569" w14:textId="77777777" w:rsidR="00CE7F12" w:rsidRDefault="00CE7F12" w:rsidP="00A27CCA">
      <w:pPr>
        <w:pStyle w:val="Heading1"/>
      </w:pPr>
    </w:p>
    <w:p w14:paraId="1330C46D" w14:textId="77777777" w:rsidR="00417952" w:rsidRDefault="00417952">
      <w:r>
        <w:rPr>
          <w:noProof/>
        </w:rPr>
        <w:drawing>
          <wp:inline distT="0" distB="0" distL="0" distR="0" wp14:anchorId="1599A894" wp14:editId="6FF272A8">
            <wp:extent cx="2895600" cy="567055"/>
            <wp:effectExtent l="0" t="0" r="0" b="4445"/>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95600" cy="567055"/>
                    </a:xfrm>
                    <a:prstGeom prst="rect">
                      <a:avLst/>
                    </a:prstGeom>
                    <a:noFill/>
                  </pic:spPr>
                </pic:pic>
              </a:graphicData>
            </a:graphic>
          </wp:inline>
        </w:drawing>
      </w:r>
    </w:p>
    <w:p w14:paraId="14E6B16F" w14:textId="77777777" w:rsidR="00417952" w:rsidRDefault="00417952"/>
    <w:p w14:paraId="7F215A0B" w14:textId="0B599137" w:rsidR="00B32868" w:rsidRDefault="00B32868"/>
    <w:p w14:paraId="0624B324" w14:textId="48F91C7B" w:rsidR="00434634" w:rsidRPr="00B245A9" w:rsidRDefault="00434634" w:rsidP="00B245A9">
      <w:pPr>
        <w:jc w:val="center"/>
        <w:rPr>
          <w:rFonts w:ascii="Arial" w:hAnsi="Arial" w:cs="Arial"/>
          <w:b/>
          <w:bCs/>
          <w:sz w:val="44"/>
          <w:szCs w:val="44"/>
        </w:rPr>
      </w:pPr>
    </w:p>
    <w:p w14:paraId="17C68190" w14:textId="01DFA9D1" w:rsidR="00434634" w:rsidRDefault="00434634" w:rsidP="00B245A9">
      <w:pPr>
        <w:jc w:val="center"/>
        <w:rPr>
          <w:rFonts w:ascii="Arial" w:hAnsi="Arial" w:cs="Arial"/>
          <w:b/>
          <w:bCs/>
          <w:sz w:val="44"/>
          <w:szCs w:val="44"/>
        </w:rPr>
      </w:pPr>
      <w:r w:rsidRPr="00B245A9">
        <w:rPr>
          <w:rFonts w:ascii="Arial" w:hAnsi="Arial" w:cs="Arial"/>
          <w:b/>
          <w:bCs/>
          <w:sz w:val="44"/>
          <w:szCs w:val="44"/>
        </w:rPr>
        <w:t>Analysis on HR department</w:t>
      </w:r>
      <w:r w:rsidR="00EA08F6" w:rsidRPr="00B245A9">
        <w:rPr>
          <w:rFonts w:ascii="Arial" w:hAnsi="Arial" w:cs="Arial"/>
          <w:b/>
          <w:bCs/>
          <w:sz w:val="44"/>
          <w:szCs w:val="44"/>
        </w:rPr>
        <w:t xml:space="preserve"> involvement</w:t>
      </w:r>
      <w:r w:rsidRPr="00B245A9">
        <w:rPr>
          <w:rFonts w:ascii="Arial" w:hAnsi="Arial" w:cs="Arial"/>
          <w:b/>
          <w:bCs/>
          <w:sz w:val="44"/>
          <w:szCs w:val="44"/>
        </w:rPr>
        <w:t xml:space="preserve"> in </w:t>
      </w:r>
      <w:r w:rsidR="008707E2" w:rsidRPr="00B245A9">
        <w:rPr>
          <w:rFonts w:ascii="Arial" w:hAnsi="Arial" w:cs="Arial"/>
          <w:b/>
          <w:bCs/>
          <w:sz w:val="44"/>
          <w:szCs w:val="44"/>
        </w:rPr>
        <w:t xml:space="preserve">International </w:t>
      </w:r>
      <w:r w:rsidRPr="00B245A9">
        <w:rPr>
          <w:rFonts w:ascii="Arial" w:hAnsi="Arial" w:cs="Arial"/>
          <w:b/>
          <w:bCs/>
          <w:sz w:val="44"/>
          <w:szCs w:val="44"/>
        </w:rPr>
        <w:t xml:space="preserve">M&amp;A </w:t>
      </w:r>
      <w:r w:rsidR="008707E2" w:rsidRPr="00B245A9">
        <w:rPr>
          <w:rFonts w:ascii="Arial" w:hAnsi="Arial" w:cs="Arial"/>
          <w:b/>
          <w:bCs/>
          <w:sz w:val="44"/>
          <w:szCs w:val="44"/>
        </w:rPr>
        <w:t xml:space="preserve">between </w:t>
      </w:r>
      <w:r w:rsidR="00B245A9" w:rsidRPr="00B245A9">
        <w:rPr>
          <w:rFonts w:ascii="Arial" w:hAnsi="Arial" w:cs="Arial"/>
          <w:b/>
          <w:bCs/>
          <w:sz w:val="44"/>
          <w:szCs w:val="44"/>
        </w:rPr>
        <w:t xml:space="preserve">Pembina Pipeline and </w:t>
      </w:r>
      <w:proofErr w:type="spellStart"/>
      <w:r w:rsidR="00B245A9" w:rsidRPr="00B245A9">
        <w:rPr>
          <w:rFonts w:ascii="Arial" w:hAnsi="Arial" w:cs="Arial"/>
          <w:b/>
          <w:bCs/>
          <w:sz w:val="44"/>
          <w:szCs w:val="44"/>
        </w:rPr>
        <w:t>TotalEnergies</w:t>
      </w:r>
      <w:proofErr w:type="spellEnd"/>
      <w:r w:rsidR="00B245A9" w:rsidRPr="00B245A9">
        <w:rPr>
          <w:rFonts w:ascii="Arial" w:hAnsi="Arial" w:cs="Arial"/>
          <w:b/>
          <w:bCs/>
          <w:sz w:val="44"/>
          <w:szCs w:val="44"/>
        </w:rPr>
        <w:t xml:space="preserve"> Se</w:t>
      </w:r>
    </w:p>
    <w:p w14:paraId="7C826407" w14:textId="31446E16" w:rsidR="00025BC2" w:rsidRDefault="00025BC2" w:rsidP="00B245A9">
      <w:pPr>
        <w:jc w:val="center"/>
        <w:rPr>
          <w:rFonts w:ascii="Arial" w:hAnsi="Arial" w:cs="Arial"/>
          <w:b/>
          <w:bCs/>
          <w:sz w:val="44"/>
          <w:szCs w:val="44"/>
        </w:rPr>
      </w:pPr>
    </w:p>
    <w:p w14:paraId="2940110B" w14:textId="77777777" w:rsidR="00025BC2" w:rsidRPr="00B245A9" w:rsidRDefault="00025BC2" w:rsidP="00B245A9">
      <w:pPr>
        <w:jc w:val="center"/>
        <w:rPr>
          <w:rFonts w:ascii="Arial" w:hAnsi="Arial" w:cs="Arial"/>
          <w:b/>
          <w:bCs/>
          <w:sz w:val="44"/>
          <w:szCs w:val="44"/>
        </w:rPr>
      </w:pPr>
    </w:p>
    <w:p w14:paraId="0682F110" w14:textId="6866B57F" w:rsidR="00434634" w:rsidRDefault="00434634"/>
    <w:p w14:paraId="474DBC4D" w14:textId="55488788" w:rsidR="00434634" w:rsidRDefault="00434634"/>
    <w:p w14:paraId="5A845228" w14:textId="77777777" w:rsidR="00CB22CA" w:rsidRDefault="00CB22CA"/>
    <w:p w14:paraId="70AF8489" w14:textId="77777777" w:rsidR="00CB22CA" w:rsidRPr="00025BC2" w:rsidRDefault="00CB22CA" w:rsidP="00025BC2">
      <w:pPr>
        <w:jc w:val="center"/>
        <w:rPr>
          <w:rFonts w:ascii="Arial" w:hAnsi="Arial" w:cs="Arial"/>
          <w:sz w:val="28"/>
          <w:szCs w:val="28"/>
        </w:rPr>
      </w:pPr>
      <w:r w:rsidRPr="00025BC2">
        <w:rPr>
          <w:rFonts w:ascii="Arial" w:hAnsi="Arial" w:cs="Arial"/>
          <w:b/>
          <w:bCs/>
          <w:sz w:val="28"/>
          <w:szCs w:val="28"/>
        </w:rPr>
        <w:t>Student name:</w:t>
      </w:r>
      <w:r w:rsidRPr="00025BC2">
        <w:rPr>
          <w:rFonts w:ascii="Arial" w:hAnsi="Arial" w:cs="Arial"/>
          <w:sz w:val="28"/>
          <w:szCs w:val="28"/>
        </w:rPr>
        <w:t xml:space="preserve"> Vasilka Sarandalieva</w:t>
      </w:r>
    </w:p>
    <w:p w14:paraId="187C5EE7" w14:textId="77777777" w:rsidR="00CB22CA" w:rsidRPr="00025BC2" w:rsidRDefault="00CB22CA" w:rsidP="00025BC2">
      <w:pPr>
        <w:jc w:val="center"/>
        <w:rPr>
          <w:rFonts w:ascii="Arial" w:hAnsi="Arial" w:cs="Arial"/>
          <w:sz w:val="28"/>
          <w:szCs w:val="28"/>
        </w:rPr>
      </w:pPr>
      <w:r w:rsidRPr="00025BC2">
        <w:rPr>
          <w:rFonts w:ascii="Arial" w:hAnsi="Arial" w:cs="Arial"/>
          <w:b/>
          <w:bCs/>
          <w:sz w:val="28"/>
          <w:szCs w:val="28"/>
        </w:rPr>
        <w:t>Student number:</w:t>
      </w:r>
      <w:r w:rsidRPr="00025BC2">
        <w:rPr>
          <w:rFonts w:ascii="Arial" w:hAnsi="Arial" w:cs="Arial"/>
          <w:sz w:val="28"/>
          <w:szCs w:val="28"/>
        </w:rPr>
        <w:t>2113113</w:t>
      </w:r>
    </w:p>
    <w:p w14:paraId="76518361" w14:textId="3964A1FD" w:rsidR="00CB22CA" w:rsidRPr="00025BC2" w:rsidRDefault="00CB22CA" w:rsidP="00025BC2">
      <w:pPr>
        <w:jc w:val="center"/>
        <w:rPr>
          <w:rFonts w:ascii="Arial" w:hAnsi="Arial" w:cs="Arial"/>
          <w:sz w:val="28"/>
          <w:szCs w:val="28"/>
        </w:rPr>
      </w:pPr>
      <w:r w:rsidRPr="00025BC2">
        <w:rPr>
          <w:rFonts w:ascii="Arial" w:hAnsi="Arial" w:cs="Arial"/>
          <w:b/>
          <w:bCs/>
          <w:sz w:val="28"/>
          <w:szCs w:val="28"/>
        </w:rPr>
        <w:t>Module:</w:t>
      </w:r>
      <w:r w:rsidRPr="00025BC2">
        <w:rPr>
          <w:rFonts w:ascii="Arial" w:hAnsi="Arial" w:cs="Arial"/>
          <w:sz w:val="28"/>
          <w:szCs w:val="28"/>
        </w:rPr>
        <w:t xml:space="preserve"> </w:t>
      </w:r>
      <w:r w:rsidR="00ED3518" w:rsidRPr="00025BC2">
        <w:rPr>
          <w:rFonts w:ascii="Arial" w:hAnsi="Arial" w:cs="Arial"/>
          <w:sz w:val="28"/>
          <w:szCs w:val="28"/>
        </w:rPr>
        <w:t>Developing Relationships and Workplace Achievement</w:t>
      </w:r>
    </w:p>
    <w:p w14:paraId="302A1AAC" w14:textId="7CC575F0" w:rsidR="00CB22CA" w:rsidRPr="00025BC2" w:rsidRDefault="00CB22CA" w:rsidP="00025BC2">
      <w:pPr>
        <w:jc w:val="center"/>
        <w:rPr>
          <w:rFonts w:ascii="Arial" w:hAnsi="Arial" w:cs="Arial"/>
          <w:sz w:val="28"/>
          <w:szCs w:val="28"/>
        </w:rPr>
      </w:pPr>
      <w:r w:rsidRPr="00025BC2">
        <w:rPr>
          <w:rFonts w:ascii="Arial" w:hAnsi="Arial" w:cs="Arial"/>
          <w:b/>
          <w:bCs/>
          <w:sz w:val="28"/>
          <w:szCs w:val="28"/>
        </w:rPr>
        <w:t>Modul code:</w:t>
      </w:r>
      <w:r w:rsidRPr="00025BC2">
        <w:rPr>
          <w:rFonts w:ascii="Arial" w:hAnsi="Arial" w:cs="Arial"/>
          <w:sz w:val="28"/>
          <w:szCs w:val="28"/>
        </w:rPr>
        <w:t xml:space="preserve"> BMSW510</w:t>
      </w:r>
      <w:r w:rsidR="00ED3518" w:rsidRPr="00025BC2">
        <w:rPr>
          <w:rFonts w:ascii="Arial" w:hAnsi="Arial" w:cs="Arial"/>
          <w:sz w:val="28"/>
          <w:szCs w:val="28"/>
        </w:rPr>
        <w:t>2</w:t>
      </w:r>
    </w:p>
    <w:p w14:paraId="3699E435" w14:textId="0403FF22" w:rsidR="00434634" w:rsidRPr="00025BC2" w:rsidRDefault="00CB22CA" w:rsidP="00025BC2">
      <w:pPr>
        <w:jc w:val="center"/>
        <w:rPr>
          <w:rFonts w:ascii="Arial" w:hAnsi="Arial" w:cs="Arial"/>
          <w:sz w:val="28"/>
          <w:szCs w:val="28"/>
        </w:rPr>
      </w:pPr>
      <w:r w:rsidRPr="00025BC2">
        <w:rPr>
          <w:rFonts w:ascii="Arial" w:hAnsi="Arial" w:cs="Arial"/>
          <w:b/>
          <w:bCs/>
          <w:sz w:val="28"/>
          <w:szCs w:val="28"/>
        </w:rPr>
        <w:t>Lecture name:</w:t>
      </w:r>
      <w:r w:rsidRPr="00025BC2">
        <w:rPr>
          <w:rFonts w:ascii="Arial" w:hAnsi="Arial" w:cs="Arial"/>
          <w:sz w:val="28"/>
          <w:szCs w:val="28"/>
        </w:rPr>
        <w:t xml:space="preserve"> </w:t>
      </w:r>
      <w:r w:rsidR="00025BC2" w:rsidRPr="00025BC2">
        <w:rPr>
          <w:rFonts w:ascii="Arial" w:hAnsi="Arial" w:cs="Arial"/>
          <w:sz w:val="28"/>
          <w:szCs w:val="28"/>
        </w:rPr>
        <w:t xml:space="preserve">Zahra </w:t>
      </w:r>
      <w:proofErr w:type="spellStart"/>
      <w:r w:rsidR="00025BC2" w:rsidRPr="00025BC2">
        <w:rPr>
          <w:rFonts w:ascii="Arial" w:hAnsi="Arial" w:cs="Arial"/>
          <w:sz w:val="28"/>
          <w:szCs w:val="28"/>
        </w:rPr>
        <w:t>Mohammadnazari</w:t>
      </w:r>
      <w:proofErr w:type="spellEnd"/>
    </w:p>
    <w:p w14:paraId="1FE54D86" w14:textId="3ADBC4D4" w:rsidR="00434634" w:rsidRDefault="00434634"/>
    <w:p w14:paraId="1C1AC6DE" w14:textId="4A4C01EC" w:rsidR="00434634" w:rsidRDefault="00434634"/>
    <w:p w14:paraId="60F29B51" w14:textId="563D516F" w:rsidR="00434634" w:rsidRDefault="00434634"/>
    <w:p w14:paraId="0969F575" w14:textId="40FA2CB8" w:rsidR="00434634" w:rsidRDefault="00434634"/>
    <w:p w14:paraId="6F338E3C" w14:textId="27E49247" w:rsidR="00434634" w:rsidRDefault="00434634"/>
    <w:p w14:paraId="06CC78A6" w14:textId="6D3D3D63" w:rsidR="00434634" w:rsidRDefault="00434634"/>
    <w:p w14:paraId="6168EAEF" w14:textId="1109C94A" w:rsidR="00434634" w:rsidRDefault="00434634"/>
    <w:p w14:paraId="3F7BD607" w14:textId="77777777" w:rsidR="00434634" w:rsidRPr="00B32868" w:rsidRDefault="00434634"/>
    <w:sdt>
      <w:sdtPr>
        <w:rPr>
          <w:rFonts w:asciiTheme="minorHAnsi" w:eastAsiaTheme="minorHAnsi" w:hAnsiTheme="minorHAnsi" w:cstheme="minorBidi"/>
          <w:color w:val="auto"/>
          <w:sz w:val="22"/>
          <w:szCs w:val="22"/>
          <w:lang w:val="en-GB"/>
        </w:rPr>
        <w:id w:val="1849747237"/>
        <w:docPartObj>
          <w:docPartGallery w:val="Table of Contents"/>
          <w:docPartUnique/>
        </w:docPartObj>
      </w:sdtPr>
      <w:sdtEndPr>
        <w:rPr>
          <w:b/>
          <w:bCs/>
          <w:noProof/>
        </w:rPr>
      </w:sdtEndPr>
      <w:sdtContent>
        <w:p w14:paraId="26E1A72A" w14:textId="4F742E49" w:rsidR="00533891" w:rsidRDefault="00533891">
          <w:pPr>
            <w:pStyle w:val="TOCHeading"/>
          </w:pPr>
          <w:r>
            <w:t>Table of Contents</w:t>
          </w:r>
        </w:p>
        <w:p w14:paraId="0FAD7B9D" w14:textId="244A96B0" w:rsidR="001C6CCC" w:rsidRDefault="0053389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0395144" w:history="1">
            <w:r w:rsidR="001C6CCC" w:rsidRPr="002C4CAA">
              <w:rPr>
                <w:rStyle w:val="Hyperlink"/>
                <w:noProof/>
              </w:rPr>
              <w:t>Abstract</w:t>
            </w:r>
            <w:r w:rsidR="001C6CCC">
              <w:rPr>
                <w:noProof/>
                <w:webHidden/>
              </w:rPr>
              <w:tab/>
            </w:r>
            <w:r w:rsidR="001C6CCC">
              <w:rPr>
                <w:noProof/>
                <w:webHidden/>
              </w:rPr>
              <w:fldChar w:fldCharType="begin"/>
            </w:r>
            <w:r w:rsidR="001C6CCC">
              <w:rPr>
                <w:noProof/>
                <w:webHidden/>
              </w:rPr>
              <w:instrText xml:space="preserve"> PAGEREF _Toc130395144 \h </w:instrText>
            </w:r>
            <w:r w:rsidR="001C6CCC">
              <w:rPr>
                <w:noProof/>
                <w:webHidden/>
              </w:rPr>
            </w:r>
            <w:r w:rsidR="001C6CCC">
              <w:rPr>
                <w:noProof/>
                <w:webHidden/>
              </w:rPr>
              <w:fldChar w:fldCharType="separate"/>
            </w:r>
            <w:r w:rsidR="001C6CCC">
              <w:rPr>
                <w:noProof/>
                <w:webHidden/>
              </w:rPr>
              <w:t>2</w:t>
            </w:r>
            <w:r w:rsidR="001C6CCC">
              <w:rPr>
                <w:noProof/>
                <w:webHidden/>
              </w:rPr>
              <w:fldChar w:fldCharType="end"/>
            </w:r>
          </w:hyperlink>
        </w:p>
        <w:p w14:paraId="0D6C01F1" w14:textId="6C09F8B4" w:rsidR="001C6CCC" w:rsidRDefault="001C6CCC">
          <w:pPr>
            <w:pStyle w:val="TOC1"/>
            <w:tabs>
              <w:tab w:val="right" w:leader="dot" w:pos="9016"/>
            </w:tabs>
            <w:rPr>
              <w:rFonts w:eastAsiaTheme="minorEastAsia"/>
              <w:noProof/>
              <w:lang w:eastAsia="en-GB"/>
            </w:rPr>
          </w:pPr>
          <w:hyperlink w:anchor="_Toc130395145" w:history="1">
            <w:r w:rsidRPr="002C4CAA">
              <w:rPr>
                <w:rStyle w:val="Hyperlink"/>
                <w:noProof/>
              </w:rPr>
              <w:t>Introduction</w:t>
            </w:r>
            <w:r>
              <w:rPr>
                <w:noProof/>
                <w:webHidden/>
              </w:rPr>
              <w:tab/>
            </w:r>
            <w:r>
              <w:rPr>
                <w:noProof/>
                <w:webHidden/>
              </w:rPr>
              <w:fldChar w:fldCharType="begin"/>
            </w:r>
            <w:r>
              <w:rPr>
                <w:noProof/>
                <w:webHidden/>
              </w:rPr>
              <w:instrText xml:space="preserve"> PAGEREF _Toc130395145 \h </w:instrText>
            </w:r>
            <w:r>
              <w:rPr>
                <w:noProof/>
                <w:webHidden/>
              </w:rPr>
            </w:r>
            <w:r>
              <w:rPr>
                <w:noProof/>
                <w:webHidden/>
              </w:rPr>
              <w:fldChar w:fldCharType="separate"/>
            </w:r>
            <w:r>
              <w:rPr>
                <w:noProof/>
                <w:webHidden/>
              </w:rPr>
              <w:t>3</w:t>
            </w:r>
            <w:r>
              <w:rPr>
                <w:noProof/>
                <w:webHidden/>
              </w:rPr>
              <w:fldChar w:fldCharType="end"/>
            </w:r>
          </w:hyperlink>
        </w:p>
        <w:p w14:paraId="03932E1B" w14:textId="0111D3E0" w:rsidR="001C6CCC" w:rsidRDefault="001C6CCC">
          <w:pPr>
            <w:pStyle w:val="TOC2"/>
            <w:tabs>
              <w:tab w:val="right" w:leader="dot" w:pos="9016"/>
            </w:tabs>
            <w:rPr>
              <w:rFonts w:eastAsiaTheme="minorEastAsia"/>
              <w:noProof/>
              <w:lang w:eastAsia="en-GB"/>
            </w:rPr>
          </w:pPr>
          <w:hyperlink w:anchor="_Toc130395146" w:history="1">
            <w:r w:rsidRPr="002C4CAA">
              <w:rPr>
                <w:rStyle w:val="Hyperlink"/>
                <w:noProof/>
              </w:rPr>
              <w:t>Pembina Pipeline Corporation</w:t>
            </w:r>
            <w:r>
              <w:rPr>
                <w:noProof/>
                <w:webHidden/>
              </w:rPr>
              <w:tab/>
            </w:r>
            <w:r>
              <w:rPr>
                <w:noProof/>
                <w:webHidden/>
              </w:rPr>
              <w:fldChar w:fldCharType="begin"/>
            </w:r>
            <w:r>
              <w:rPr>
                <w:noProof/>
                <w:webHidden/>
              </w:rPr>
              <w:instrText xml:space="preserve"> PAGEREF _Toc130395146 \h </w:instrText>
            </w:r>
            <w:r>
              <w:rPr>
                <w:noProof/>
                <w:webHidden/>
              </w:rPr>
            </w:r>
            <w:r>
              <w:rPr>
                <w:noProof/>
                <w:webHidden/>
              </w:rPr>
              <w:fldChar w:fldCharType="separate"/>
            </w:r>
            <w:r>
              <w:rPr>
                <w:noProof/>
                <w:webHidden/>
              </w:rPr>
              <w:t>3</w:t>
            </w:r>
            <w:r>
              <w:rPr>
                <w:noProof/>
                <w:webHidden/>
              </w:rPr>
              <w:fldChar w:fldCharType="end"/>
            </w:r>
          </w:hyperlink>
        </w:p>
        <w:p w14:paraId="405C7416" w14:textId="0577EE21" w:rsidR="001C6CCC" w:rsidRDefault="001C6CCC">
          <w:pPr>
            <w:pStyle w:val="TOC2"/>
            <w:tabs>
              <w:tab w:val="right" w:leader="dot" w:pos="9016"/>
            </w:tabs>
            <w:rPr>
              <w:rFonts w:eastAsiaTheme="minorEastAsia"/>
              <w:noProof/>
              <w:lang w:eastAsia="en-GB"/>
            </w:rPr>
          </w:pPr>
          <w:hyperlink w:anchor="_Toc130395147" w:history="1">
            <w:r w:rsidRPr="002C4CAA">
              <w:rPr>
                <w:rStyle w:val="Hyperlink"/>
                <w:noProof/>
              </w:rPr>
              <w:t>Total Energies Se</w:t>
            </w:r>
            <w:r>
              <w:rPr>
                <w:noProof/>
                <w:webHidden/>
              </w:rPr>
              <w:tab/>
            </w:r>
            <w:r>
              <w:rPr>
                <w:noProof/>
                <w:webHidden/>
              </w:rPr>
              <w:fldChar w:fldCharType="begin"/>
            </w:r>
            <w:r>
              <w:rPr>
                <w:noProof/>
                <w:webHidden/>
              </w:rPr>
              <w:instrText xml:space="preserve"> PAGEREF _Toc130395147 \h </w:instrText>
            </w:r>
            <w:r>
              <w:rPr>
                <w:noProof/>
                <w:webHidden/>
              </w:rPr>
            </w:r>
            <w:r>
              <w:rPr>
                <w:noProof/>
                <w:webHidden/>
              </w:rPr>
              <w:fldChar w:fldCharType="separate"/>
            </w:r>
            <w:r>
              <w:rPr>
                <w:noProof/>
                <w:webHidden/>
              </w:rPr>
              <w:t>4</w:t>
            </w:r>
            <w:r>
              <w:rPr>
                <w:noProof/>
                <w:webHidden/>
              </w:rPr>
              <w:fldChar w:fldCharType="end"/>
            </w:r>
          </w:hyperlink>
        </w:p>
        <w:p w14:paraId="35DE4543" w14:textId="210789CA" w:rsidR="001C6CCC" w:rsidRDefault="001C6CCC">
          <w:pPr>
            <w:pStyle w:val="TOC1"/>
            <w:tabs>
              <w:tab w:val="right" w:leader="dot" w:pos="9016"/>
            </w:tabs>
            <w:rPr>
              <w:rFonts w:eastAsiaTheme="minorEastAsia"/>
              <w:noProof/>
              <w:lang w:eastAsia="en-GB"/>
            </w:rPr>
          </w:pPr>
          <w:hyperlink w:anchor="_Toc130395148" w:history="1">
            <w:r w:rsidRPr="002C4CAA">
              <w:rPr>
                <w:rStyle w:val="Hyperlink"/>
                <w:noProof/>
              </w:rPr>
              <w:t>Section 1: Part 1 Cultural Analysis of Canada and France</w:t>
            </w:r>
            <w:r>
              <w:rPr>
                <w:noProof/>
                <w:webHidden/>
              </w:rPr>
              <w:tab/>
            </w:r>
            <w:r>
              <w:rPr>
                <w:noProof/>
                <w:webHidden/>
              </w:rPr>
              <w:fldChar w:fldCharType="begin"/>
            </w:r>
            <w:r>
              <w:rPr>
                <w:noProof/>
                <w:webHidden/>
              </w:rPr>
              <w:instrText xml:space="preserve"> PAGEREF _Toc130395148 \h </w:instrText>
            </w:r>
            <w:r>
              <w:rPr>
                <w:noProof/>
                <w:webHidden/>
              </w:rPr>
            </w:r>
            <w:r>
              <w:rPr>
                <w:noProof/>
                <w:webHidden/>
              </w:rPr>
              <w:fldChar w:fldCharType="separate"/>
            </w:r>
            <w:r>
              <w:rPr>
                <w:noProof/>
                <w:webHidden/>
              </w:rPr>
              <w:t>5</w:t>
            </w:r>
            <w:r>
              <w:rPr>
                <w:noProof/>
                <w:webHidden/>
              </w:rPr>
              <w:fldChar w:fldCharType="end"/>
            </w:r>
          </w:hyperlink>
        </w:p>
        <w:p w14:paraId="2B13E9F1" w14:textId="7E3C54FE" w:rsidR="001C6CCC" w:rsidRDefault="001C6CCC">
          <w:pPr>
            <w:pStyle w:val="TOC2"/>
            <w:tabs>
              <w:tab w:val="right" w:leader="dot" w:pos="9016"/>
            </w:tabs>
            <w:rPr>
              <w:rFonts w:eastAsiaTheme="minorEastAsia"/>
              <w:noProof/>
              <w:lang w:eastAsia="en-GB"/>
            </w:rPr>
          </w:pPr>
          <w:hyperlink w:anchor="_Toc130395149" w:history="1">
            <w:r w:rsidRPr="002C4CAA">
              <w:rPr>
                <w:rStyle w:val="Hyperlink"/>
                <w:noProof/>
              </w:rPr>
              <w:t>1.1 Organisational culture and its impact</w:t>
            </w:r>
            <w:r>
              <w:rPr>
                <w:noProof/>
                <w:webHidden/>
              </w:rPr>
              <w:tab/>
            </w:r>
            <w:r>
              <w:rPr>
                <w:noProof/>
                <w:webHidden/>
              </w:rPr>
              <w:fldChar w:fldCharType="begin"/>
            </w:r>
            <w:r>
              <w:rPr>
                <w:noProof/>
                <w:webHidden/>
              </w:rPr>
              <w:instrText xml:space="preserve"> PAGEREF _Toc130395149 \h </w:instrText>
            </w:r>
            <w:r>
              <w:rPr>
                <w:noProof/>
                <w:webHidden/>
              </w:rPr>
            </w:r>
            <w:r>
              <w:rPr>
                <w:noProof/>
                <w:webHidden/>
              </w:rPr>
              <w:fldChar w:fldCharType="separate"/>
            </w:r>
            <w:r>
              <w:rPr>
                <w:noProof/>
                <w:webHidden/>
              </w:rPr>
              <w:t>5</w:t>
            </w:r>
            <w:r>
              <w:rPr>
                <w:noProof/>
                <w:webHidden/>
              </w:rPr>
              <w:fldChar w:fldCharType="end"/>
            </w:r>
          </w:hyperlink>
        </w:p>
        <w:p w14:paraId="36028AC8" w14:textId="63E43191" w:rsidR="001C6CCC" w:rsidRDefault="001C6CCC">
          <w:pPr>
            <w:pStyle w:val="TOC3"/>
            <w:tabs>
              <w:tab w:val="left" w:pos="1320"/>
              <w:tab w:val="right" w:leader="dot" w:pos="9016"/>
            </w:tabs>
            <w:rPr>
              <w:rFonts w:eastAsiaTheme="minorEastAsia"/>
              <w:noProof/>
              <w:lang w:eastAsia="en-GB"/>
            </w:rPr>
          </w:pPr>
          <w:hyperlink w:anchor="_Toc130395150" w:history="1">
            <w:r w:rsidRPr="002C4CAA">
              <w:rPr>
                <w:rStyle w:val="Hyperlink"/>
                <w:noProof/>
              </w:rPr>
              <w:t>1.1.1</w:t>
            </w:r>
            <w:r>
              <w:rPr>
                <w:rFonts w:eastAsiaTheme="minorEastAsia"/>
                <w:noProof/>
                <w:lang w:eastAsia="en-GB"/>
              </w:rPr>
              <w:tab/>
            </w:r>
            <w:r w:rsidRPr="002C4CAA">
              <w:rPr>
                <w:rStyle w:val="Hyperlink"/>
                <w:noProof/>
              </w:rPr>
              <w:t>Power Distance</w:t>
            </w:r>
            <w:r>
              <w:rPr>
                <w:noProof/>
                <w:webHidden/>
              </w:rPr>
              <w:tab/>
            </w:r>
            <w:r>
              <w:rPr>
                <w:noProof/>
                <w:webHidden/>
              </w:rPr>
              <w:fldChar w:fldCharType="begin"/>
            </w:r>
            <w:r>
              <w:rPr>
                <w:noProof/>
                <w:webHidden/>
              </w:rPr>
              <w:instrText xml:space="preserve"> PAGEREF _Toc130395150 \h </w:instrText>
            </w:r>
            <w:r>
              <w:rPr>
                <w:noProof/>
                <w:webHidden/>
              </w:rPr>
            </w:r>
            <w:r>
              <w:rPr>
                <w:noProof/>
                <w:webHidden/>
              </w:rPr>
              <w:fldChar w:fldCharType="separate"/>
            </w:r>
            <w:r>
              <w:rPr>
                <w:noProof/>
                <w:webHidden/>
              </w:rPr>
              <w:t>6</w:t>
            </w:r>
            <w:r>
              <w:rPr>
                <w:noProof/>
                <w:webHidden/>
              </w:rPr>
              <w:fldChar w:fldCharType="end"/>
            </w:r>
          </w:hyperlink>
        </w:p>
        <w:p w14:paraId="1A92F865" w14:textId="6BADE670" w:rsidR="001C6CCC" w:rsidRDefault="001C6CCC">
          <w:pPr>
            <w:pStyle w:val="TOC3"/>
            <w:tabs>
              <w:tab w:val="left" w:pos="1320"/>
              <w:tab w:val="right" w:leader="dot" w:pos="9016"/>
            </w:tabs>
            <w:rPr>
              <w:rFonts w:eastAsiaTheme="minorEastAsia"/>
              <w:noProof/>
              <w:lang w:eastAsia="en-GB"/>
            </w:rPr>
          </w:pPr>
          <w:hyperlink w:anchor="_Toc130395151" w:history="1">
            <w:r w:rsidRPr="002C4CAA">
              <w:rPr>
                <w:rStyle w:val="Hyperlink"/>
                <w:noProof/>
              </w:rPr>
              <w:t>1.1.2</w:t>
            </w:r>
            <w:r>
              <w:rPr>
                <w:rFonts w:eastAsiaTheme="minorEastAsia"/>
                <w:noProof/>
                <w:lang w:eastAsia="en-GB"/>
              </w:rPr>
              <w:tab/>
            </w:r>
            <w:r w:rsidRPr="002C4CAA">
              <w:rPr>
                <w:rStyle w:val="Hyperlink"/>
                <w:noProof/>
              </w:rPr>
              <w:t>Individualism</w:t>
            </w:r>
            <w:r>
              <w:rPr>
                <w:noProof/>
                <w:webHidden/>
              </w:rPr>
              <w:tab/>
            </w:r>
            <w:r>
              <w:rPr>
                <w:noProof/>
                <w:webHidden/>
              </w:rPr>
              <w:fldChar w:fldCharType="begin"/>
            </w:r>
            <w:r>
              <w:rPr>
                <w:noProof/>
                <w:webHidden/>
              </w:rPr>
              <w:instrText xml:space="preserve"> PAGEREF _Toc130395151 \h </w:instrText>
            </w:r>
            <w:r>
              <w:rPr>
                <w:noProof/>
                <w:webHidden/>
              </w:rPr>
            </w:r>
            <w:r>
              <w:rPr>
                <w:noProof/>
                <w:webHidden/>
              </w:rPr>
              <w:fldChar w:fldCharType="separate"/>
            </w:r>
            <w:r>
              <w:rPr>
                <w:noProof/>
                <w:webHidden/>
              </w:rPr>
              <w:t>6</w:t>
            </w:r>
            <w:r>
              <w:rPr>
                <w:noProof/>
                <w:webHidden/>
              </w:rPr>
              <w:fldChar w:fldCharType="end"/>
            </w:r>
          </w:hyperlink>
        </w:p>
        <w:p w14:paraId="134FF716" w14:textId="6E6BBD4F" w:rsidR="001C6CCC" w:rsidRDefault="001C6CCC">
          <w:pPr>
            <w:pStyle w:val="TOC3"/>
            <w:tabs>
              <w:tab w:val="left" w:pos="1320"/>
              <w:tab w:val="right" w:leader="dot" w:pos="9016"/>
            </w:tabs>
            <w:rPr>
              <w:rFonts w:eastAsiaTheme="minorEastAsia"/>
              <w:noProof/>
              <w:lang w:eastAsia="en-GB"/>
            </w:rPr>
          </w:pPr>
          <w:hyperlink w:anchor="_Toc130395152" w:history="1">
            <w:r w:rsidRPr="002C4CAA">
              <w:rPr>
                <w:rStyle w:val="Hyperlink"/>
                <w:noProof/>
              </w:rPr>
              <w:t>1.1.3</w:t>
            </w:r>
            <w:r>
              <w:rPr>
                <w:rFonts w:eastAsiaTheme="minorEastAsia"/>
                <w:noProof/>
                <w:lang w:eastAsia="en-GB"/>
              </w:rPr>
              <w:tab/>
            </w:r>
            <w:r w:rsidRPr="002C4CAA">
              <w:rPr>
                <w:rStyle w:val="Hyperlink"/>
                <w:noProof/>
              </w:rPr>
              <w:t>Masculinity</w:t>
            </w:r>
            <w:r>
              <w:rPr>
                <w:noProof/>
                <w:webHidden/>
              </w:rPr>
              <w:tab/>
            </w:r>
            <w:r>
              <w:rPr>
                <w:noProof/>
                <w:webHidden/>
              </w:rPr>
              <w:fldChar w:fldCharType="begin"/>
            </w:r>
            <w:r>
              <w:rPr>
                <w:noProof/>
                <w:webHidden/>
              </w:rPr>
              <w:instrText xml:space="preserve"> PAGEREF _Toc130395152 \h </w:instrText>
            </w:r>
            <w:r>
              <w:rPr>
                <w:noProof/>
                <w:webHidden/>
              </w:rPr>
            </w:r>
            <w:r>
              <w:rPr>
                <w:noProof/>
                <w:webHidden/>
              </w:rPr>
              <w:fldChar w:fldCharType="separate"/>
            </w:r>
            <w:r>
              <w:rPr>
                <w:noProof/>
                <w:webHidden/>
              </w:rPr>
              <w:t>7</w:t>
            </w:r>
            <w:r>
              <w:rPr>
                <w:noProof/>
                <w:webHidden/>
              </w:rPr>
              <w:fldChar w:fldCharType="end"/>
            </w:r>
          </w:hyperlink>
        </w:p>
        <w:p w14:paraId="7DC6C9E6" w14:textId="5543B0E6" w:rsidR="001C6CCC" w:rsidRDefault="001C6CCC">
          <w:pPr>
            <w:pStyle w:val="TOC3"/>
            <w:tabs>
              <w:tab w:val="left" w:pos="1320"/>
              <w:tab w:val="right" w:leader="dot" w:pos="9016"/>
            </w:tabs>
            <w:rPr>
              <w:rFonts w:eastAsiaTheme="minorEastAsia"/>
              <w:noProof/>
              <w:lang w:eastAsia="en-GB"/>
            </w:rPr>
          </w:pPr>
          <w:hyperlink w:anchor="_Toc130395153" w:history="1">
            <w:r w:rsidRPr="002C4CAA">
              <w:rPr>
                <w:rStyle w:val="Hyperlink"/>
                <w:noProof/>
              </w:rPr>
              <w:t>1.1.4</w:t>
            </w:r>
            <w:r>
              <w:rPr>
                <w:rFonts w:eastAsiaTheme="minorEastAsia"/>
                <w:noProof/>
                <w:lang w:eastAsia="en-GB"/>
              </w:rPr>
              <w:tab/>
            </w:r>
            <w:r w:rsidRPr="002C4CAA">
              <w:rPr>
                <w:rStyle w:val="Hyperlink"/>
                <w:noProof/>
              </w:rPr>
              <w:t>Uncertainty Avoidance</w:t>
            </w:r>
            <w:r>
              <w:rPr>
                <w:noProof/>
                <w:webHidden/>
              </w:rPr>
              <w:tab/>
            </w:r>
            <w:r>
              <w:rPr>
                <w:noProof/>
                <w:webHidden/>
              </w:rPr>
              <w:fldChar w:fldCharType="begin"/>
            </w:r>
            <w:r>
              <w:rPr>
                <w:noProof/>
                <w:webHidden/>
              </w:rPr>
              <w:instrText xml:space="preserve"> PAGEREF _Toc130395153 \h </w:instrText>
            </w:r>
            <w:r>
              <w:rPr>
                <w:noProof/>
                <w:webHidden/>
              </w:rPr>
            </w:r>
            <w:r>
              <w:rPr>
                <w:noProof/>
                <w:webHidden/>
              </w:rPr>
              <w:fldChar w:fldCharType="separate"/>
            </w:r>
            <w:r>
              <w:rPr>
                <w:noProof/>
                <w:webHidden/>
              </w:rPr>
              <w:t>7</w:t>
            </w:r>
            <w:r>
              <w:rPr>
                <w:noProof/>
                <w:webHidden/>
              </w:rPr>
              <w:fldChar w:fldCharType="end"/>
            </w:r>
          </w:hyperlink>
        </w:p>
        <w:p w14:paraId="4E3C84A0" w14:textId="1D42190E" w:rsidR="001C6CCC" w:rsidRDefault="001C6CCC">
          <w:pPr>
            <w:pStyle w:val="TOC3"/>
            <w:tabs>
              <w:tab w:val="left" w:pos="1320"/>
              <w:tab w:val="right" w:leader="dot" w:pos="9016"/>
            </w:tabs>
            <w:rPr>
              <w:rFonts w:eastAsiaTheme="minorEastAsia"/>
              <w:noProof/>
              <w:lang w:eastAsia="en-GB"/>
            </w:rPr>
          </w:pPr>
          <w:hyperlink w:anchor="_Toc130395154" w:history="1">
            <w:r w:rsidRPr="002C4CAA">
              <w:rPr>
                <w:rStyle w:val="Hyperlink"/>
                <w:rFonts w:ascii="Arial" w:hAnsi="Arial" w:cs="Arial"/>
                <w:noProof/>
              </w:rPr>
              <w:t>1.1.5</w:t>
            </w:r>
            <w:r>
              <w:rPr>
                <w:rFonts w:eastAsiaTheme="minorEastAsia"/>
                <w:noProof/>
                <w:lang w:eastAsia="en-GB"/>
              </w:rPr>
              <w:tab/>
            </w:r>
            <w:r w:rsidRPr="002C4CAA">
              <w:rPr>
                <w:rStyle w:val="Hyperlink"/>
                <w:noProof/>
              </w:rPr>
              <w:t>Long Term Orientation</w:t>
            </w:r>
            <w:r>
              <w:rPr>
                <w:noProof/>
                <w:webHidden/>
              </w:rPr>
              <w:tab/>
            </w:r>
            <w:r>
              <w:rPr>
                <w:noProof/>
                <w:webHidden/>
              </w:rPr>
              <w:fldChar w:fldCharType="begin"/>
            </w:r>
            <w:r>
              <w:rPr>
                <w:noProof/>
                <w:webHidden/>
              </w:rPr>
              <w:instrText xml:space="preserve"> PAGEREF _Toc130395154 \h </w:instrText>
            </w:r>
            <w:r>
              <w:rPr>
                <w:noProof/>
                <w:webHidden/>
              </w:rPr>
            </w:r>
            <w:r>
              <w:rPr>
                <w:noProof/>
                <w:webHidden/>
              </w:rPr>
              <w:fldChar w:fldCharType="separate"/>
            </w:r>
            <w:r>
              <w:rPr>
                <w:noProof/>
                <w:webHidden/>
              </w:rPr>
              <w:t>7</w:t>
            </w:r>
            <w:r>
              <w:rPr>
                <w:noProof/>
                <w:webHidden/>
              </w:rPr>
              <w:fldChar w:fldCharType="end"/>
            </w:r>
          </w:hyperlink>
        </w:p>
        <w:p w14:paraId="02B8C293" w14:textId="72220847" w:rsidR="001C6CCC" w:rsidRDefault="001C6CCC">
          <w:pPr>
            <w:pStyle w:val="TOC3"/>
            <w:tabs>
              <w:tab w:val="left" w:pos="1320"/>
              <w:tab w:val="right" w:leader="dot" w:pos="9016"/>
            </w:tabs>
            <w:rPr>
              <w:rFonts w:eastAsiaTheme="minorEastAsia"/>
              <w:noProof/>
              <w:lang w:eastAsia="en-GB"/>
            </w:rPr>
          </w:pPr>
          <w:hyperlink w:anchor="_Toc130395155" w:history="1">
            <w:r w:rsidRPr="002C4CAA">
              <w:rPr>
                <w:rStyle w:val="Hyperlink"/>
                <w:noProof/>
              </w:rPr>
              <w:t>1.1.6</w:t>
            </w:r>
            <w:r>
              <w:rPr>
                <w:rFonts w:eastAsiaTheme="minorEastAsia"/>
                <w:noProof/>
                <w:lang w:eastAsia="en-GB"/>
              </w:rPr>
              <w:tab/>
            </w:r>
            <w:r w:rsidRPr="002C4CAA">
              <w:rPr>
                <w:rStyle w:val="Hyperlink"/>
                <w:noProof/>
              </w:rPr>
              <w:t>Indulgence</w:t>
            </w:r>
            <w:r>
              <w:rPr>
                <w:noProof/>
                <w:webHidden/>
              </w:rPr>
              <w:tab/>
            </w:r>
            <w:r>
              <w:rPr>
                <w:noProof/>
                <w:webHidden/>
              </w:rPr>
              <w:fldChar w:fldCharType="begin"/>
            </w:r>
            <w:r>
              <w:rPr>
                <w:noProof/>
                <w:webHidden/>
              </w:rPr>
              <w:instrText xml:space="preserve"> PAGEREF _Toc130395155 \h </w:instrText>
            </w:r>
            <w:r>
              <w:rPr>
                <w:noProof/>
                <w:webHidden/>
              </w:rPr>
            </w:r>
            <w:r>
              <w:rPr>
                <w:noProof/>
                <w:webHidden/>
              </w:rPr>
              <w:fldChar w:fldCharType="separate"/>
            </w:r>
            <w:r>
              <w:rPr>
                <w:noProof/>
                <w:webHidden/>
              </w:rPr>
              <w:t>7</w:t>
            </w:r>
            <w:r>
              <w:rPr>
                <w:noProof/>
                <w:webHidden/>
              </w:rPr>
              <w:fldChar w:fldCharType="end"/>
            </w:r>
          </w:hyperlink>
        </w:p>
        <w:p w14:paraId="050D29B8" w14:textId="48B2B48E" w:rsidR="001C6CCC" w:rsidRDefault="001C6CCC">
          <w:pPr>
            <w:pStyle w:val="TOC1"/>
            <w:tabs>
              <w:tab w:val="right" w:leader="dot" w:pos="9016"/>
            </w:tabs>
            <w:rPr>
              <w:rFonts w:eastAsiaTheme="minorEastAsia"/>
              <w:noProof/>
              <w:lang w:eastAsia="en-GB"/>
            </w:rPr>
          </w:pPr>
          <w:hyperlink w:anchor="_Toc130395156" w:history="1">
            <w:r w:rsidRPr="002C4CAA">
              <w:rPr>
                <w:rStyle w:val="Hyperlink"/>
                <w:noProof/>
              </w:rPr>
              <w:t>Section 1: Part 2 Institutional analysis of Canada and France</w:t>
            </w:r>
            <w:r>
              <w:rPr>
                <w:noProof/>
                <w:webHidden/>
              </w:rPr>
              <w:tab/>
            </w:r>
            <w:r>
              <w:rPr>
                <w:noProof/>
                <w:webHidden/>
              </w:rPr>
              <w:fldChar w:fldCharType="begin"/>
            </w:r>
            <w:r>
              <w:rPr>
                <w:noProof/>
                <w:webHidden/>
              </w:rPr>
              <w:instrText xml:space="preserve"> PAGEREF _Toc130395156 \h </w:instrText>
            </w:r>
            <w:r>
              <w:rPr>
                <w:noProof/>
                <w:webHidden/>
              </w:rPr>
            </w:r>
            <w:r>
              <w:rPr>
                <w:noProof/>
                <w:webHidden/>
              </w:rPr>
              <w:fldChar w:fldCharType="separate"/>
            </w:r>
            <w:r>
              <w:rPr>
                <w:noProof/>
                <w:webHidden/>
              </w:rPr>
              <w:t>8</w:t>
            </w:r>
            <w:r>
              <w:rPr>
                <w:noProof/>
                <w:webHidden/>
              </w:rPr>
              <w:fldChar w:fldCharType="end"/>
            </w:r>
          </w:hyperlink>
        </w:p>
        <w:p w14:paraId="650620AE" w14:textId="383D6B64" w:rsidR="001C6CCC" w:rsidRDefault="001C6CCC">
          <w:pPr>
            <w:pStyle w:val="TOC2"/>
            <w:tabs>
              <w:tab w:val="right" w:leader="dot" w:pos="9016"/>
            </w:tabs>
            <w:rPr>
              <w:rFonts w:eastAsiaTheme="minorEastAsia"/>
              <w:noProof/>
              <w:lang w:eastAsia="en-GB"/>
            </w:rPr>
          </w:pPr>
          <w:hyperlink w:anchor="_Toc130395157" w:history="1">
            <w:r w:rsidRPr="002C4CAA">
              <w:rPr>
                <w:rStyle w:val="Hyperlink"/>
                <w:noProof/>
              </w:rPr>
              <w:t>2.1 Institutional approach to International Human Resources Management (IHRM)</w:t>
            </w:r>
            <w:r>
              <w:rPr>
                <w:noProof/>
                <w:webHidden/>
              </w:rPr>
              <w:tab/>
            </w:r>
            <w:r>
              <w:rPr>
                <w:noProof/>
                <w:webHidden/>
              </w:rPr>
              <w:fldChar w:fldCharType="begin"/>
            </w:r>
            <w:r>
              <w:rPr>
                <w:noProof/>
                <w:webHidden/>
              </w:rPr>
              <w:instrText xml:space="preserve"> PAGEREF _Toc130395157 \h </w:instrText>
            </w:r>
            <w:r>
              <w:rPr>
                <w:noProof/>
                <w:webHidden/>
              </w:rPr>
            </w:r>
            <w:r>
              <w:rPr>
                <w:noProof/>
                <w:webHidden/>
              </w:rPr>
              <w:fldChar w:fldCharType="separate"/>
            </w:r>
            <w:r>
              <w:rPr>
                <w:noProof/>
                <w:webHidden/>
              </w:rPr>
              <w:t>8</w:t>
            </w:r>
            <w:r>
              <w:rPr>
                <w:noProof/>
                <w:webHidden/>
              </w:rPr>
              <w:fldChar w:fldCharType="end"/>
            </w:r>
          </w:hyperlink>
        </w:p>
        <w:p w14:paraId="3720A3D2" w14:textId="79586444" w:rsidR="001C6CCC" w:rsidRDefault="001C6CCC">
          <w:pPr>
            <w:pStyle w:val="TOC2"/>
            <w:tabs>
              <w:tab w:val="right" w:leader="dot" w:pos="9016"/>
            </w:tabs>
            <w:rPr>
              <w:rFonts w:eastAsiaTheme="minorEastAsia"/>
              <w:noProof/>
              <w:lang w:eastAsia="en-GB"/>
            </w:rPr>
          </w:pPr>
          <w:hyperlink w:anchor="_Toc130395158" w:history="1">
            <w:r w:rsidRPr="002C4CAA">
              <w:rPr>
                <w:rStyle w:val="Hyperlink"/>
                <w:noProof/>
              </w:rPr>
              <w:t>2.2 Impact on IHRM Practices</w:t>
            </w:r>
            <w:r>
              <w:rPr>
                <w:noProof/>
                <w:webHidden/>
              </w:rPr>
              <w:tab/>
            </w:r>
            <w:r>
              <w:rPr>
                <w:noProof/>
                <w:webHidden/>
              </w:rPr>
              <w:fldChar w:fldCharType="begin"/>
            </w:r>
            <w:r>
              <w:rPr>
                <w:noProof/>
                <w:webHidden/>
              </w:rPr>
              <w:instrText xml:space="preserve"> PAGEREF _Toc130395158 \h </w:instrText>
            </w:r>
            <w:r>
              <w:rPr>
                <w:noProof/>
                <w:webHidden/>
              </w:rPr>
            </w:r>
            <w:r>
              <w:rPr>
                <w:noProof/>
                <w:webHidden/>
              </w:rPr>
              <w:fldChar w:fldCharType="separate"/>
            </w:r>
            <w:r>
              <w:rPr>
                <w:noProof/>
                <w:webHidden/>
              </w:rPr>
              <w:t>10</w:t>
            </w:r>
            <w:r>
              <w:rPr>
                <w:noProof/>
                <w:webHidden/>
              </w:rPr>
              <w:fldChar w:fldCharType="end"/>
            </w:r>
          </w:hyperlink>
        </w:p>
        <w:p w14:paraId="7A397A10" w14:textId="6E75C20F" w:rsidR="001C6CCC" w:rsidRDefault="001C6CCC">
          <w:pPr>
            <w:pStyle w:val="TOC1"/>
            <w:tabs>
              <w:tab w:val="right" w:leader="dot" w:pos="9016"/>
            </w:tabs>
            <w:rPr>
              <w:rFonts w:eastAsiaTheme="minorEastAsia"/>
              <w:noProof/>
              <w:lang w:eastAsia="en-GB"/>
            </w:rPr>
          </w:pPr>
          <w:hyperlink w:anchor="_Toc130395159" w:history="1">
            <w:r w:rsidRPr="002C4CAA">
              <w:rPr>
                <w:rStyle w:val="Hyperlink"/>
                <w:noProof/>
              </w:rPr>
              <w:t>Section 2: Part 1 M&amp;A Rationale and Integration  Strategy</w:t>
            </w:r>
            <w:r>
              <w:rPr>
                <w:noProof/>
                <w:webHidden/>
              </w:rPr>
              <w:tab/>
            </w:r>
            <w:r>
              <w:rPr>
                <w:noProof/>
                <w:webHidden/>
              </w:rPr>
              <w:fldChar w:fldCharType="begin"/>
            </w:r>
            <w:r>
              <w:rPr>
                <w:noProof/>
                <w:webHidden/>
              </w:rPr>
              <w:instrText xml:space="preserve"> PAGEREF _Toc130395159 \h </w:instrText>
            </w:r>
            <w:r>
              <w:rPr>
                <w:noProof/>
                <w:webHidden/>
              </w:rPr>
            </w:r>
            <w:r>
              <w:rPr>
                <w:noProof/>
                <w:webHidden/>
              </w:rPr>
              <w:fldChar w:fldCharType="separate"/>
            </w:r>
            <w:r>
              <w:rPr>
                <w:noProof/>
                <w:webHidden/>
              </w:rPr>
              <w:t>11</w:t>
            </w:r>
            <w:r>
              <w:rPr>
                <w:noProof/>
                <w:webHidden/>
              </w:rPr>
              <w:fldChar w:fldCharType="end"/>
            </w:r>
          </w:hyperlink>
        </w:p>
        <w:p w14:paraId="0A0CC2A9" w14:textId="5278569E" w:rsidR="001C6CCC" w:rsidRDefault="001C6CCC">
          <w:pPr>
            <w:pStyle w:val="TOC1"/>
            <w:tabs>
              <w:tab w:val="right" w:leader="dot" w:pos="9016"/>
            </w:tabs>
            <w:rPr>
              <w:rFonts w:eastAsiaTheme="minorEastAsia"/>
              <w:noProof/>
              <w:lang w:eastAsia="en-GB"/>
            </w:rPr>
          </w:pPr>
          <w:hyperlink w:anchor="_Toc130395160" w:history="1">
            <w:r w:rsidRPr="002C4CAA">
              <w:rPr>
                <w:rStyle w:val="Hyperlink"/>
                <w:noProof/>
              </w:rPr>
              <w:t>Section 2, Part 2 – Role of IHRM in implementing effective M&amp;A</w:t>
            </w:r>
            <w:r>
              <w:rPr>
                <w:noProof/>
                <w:webHidden/>
              </w:rPr>
              <w:tab/>
            </w:r>
            <w:r>
              <w:rPr>
                <w:noProof/>
                <w:webHidden/>
              </w:rPr>
              <w:fldChar w:fldCharType="begin"/>
            </w:r>
            <w:r>
              <w:rPr>
                <w:noProof/>
                <w:webHidden/>
              </w:rPr>
              <w:instrText xml:space="preserve"> PAGEREF _Toc130395160 \h </w:instrText>
            </w:r>
            <w:r>
              <w:rPr>
                <w:noProof/>
                <w:webHidden/>
              </w:rPr>
            </w:r>
            <w:r>
              <w:rPr>
                <w:noProof/>
                <w:webHidden/>
              </w:rPr>
              <w:fldChar w:fldCharType="separate"/>
            </w:r>
            <w:r>
              <w:rPr>
                <w:noProof/>
                <w:webHidden/>
              </w:rPr>
              <w:t>12</w:t>
            </w:r>
            <w:r>
              <w:rPr>
                <w:noProof/>
                <w:webHidden/>
              </w:rPr>
              <w:fldChar w:fldCharType="end"/>
            </w:r>
          </w:hyperlink>
        </w:p>
        <w:p w14:paraId="269470D6" w14:textId="22A7DB7E" w:rsidR="001C6CCC" w:rsidRDefault="001C6CCC">
          <w:pPr>
            <w:pStyle w:val="TOC1"/>
            <w:tabs>
              <w:tab w:val="right" w:leader="dot" w:pos="9016"/>
            </w:tabs>
            <w:rPr>
              <w:rFonts w:eastAsiaTheme="minorEastAsia"/>
              <w:noProof/>
              <w:lang w:eastAsia="en-GB"/>
            </w:rPr>
          </w:pPr>
          <w:hyperlink w:anchor="_Toc130395161" w:history="1">
            <w:r w:rsidRPr="002C4CAA">
              <w:rPr>
                <w:rStyle w:val="Hyperlink"/>
                <w:noProof/>
              </w:rPr>
              <w:t>Conclusion and recommendations</w:t>
            </w:r>
            <w:r>
              <w:rPr>
                <w:noProof/>
                <w:webHidden/>
              </w:rPr>
              <w:tab/>
            </w:r>
            <w:r>
              <w:rPr>
                <w:noProof/>
                <w:webHidden/>
              </w:rPr>
              <w:fldChar w:fldCharType="begin"/>
            </w:r>
            <w:r>
              <w:rPr>
                <w:noProof/>
                <w:webHidden/>
              </w:rPr>
              <w:instrText xml:space="preserve"> PAGEREF _Toc130395161 \h </w:instrText>
            </w:r>
            <w:r>
              <w:rPr>
                <w:noProof/>
                <w:webHidden/>
              </w:rPr>
            </w:r>
            <w:r>
              <w:rPr>
                <w:noProof/>
                <w:webHidden/>
              </w:rPr>
              <w:fldChar w:fldCharType="separate"/>
            </w:r>
            <w:r>
              <w:rPr>
                <w:noProof/>
                <w:webHidden/>
              </w:rPr>
              <w:t>13</w:t>
            </w:r>
            <w:r>
              <w:rPr>
                <w:noProof/>
                <w:webHidden/>
              </w:rPr>
              <w:fldChar w:fldCharType="end"/>
            </w:r>
          </w:hyperlink>
        </w:p>
        <w:p w14:paraId="27B9985C" w14:textId="379031AC" w:rsidR="001C6CCC" w:rsidRDefault="001C6CCC">
          <w:pPr>
            <w:pStyle w:val="TOC1"/>
            <w:tabs>
              <w:tab w:val="right" w:leader="dot" w:pos="9016"/>
            </w:tabs>
            <w:rPr>
              <w:rFonts w:eastAsiaTheme="minorEastAsia"/>
              <w:noProof/>
              <w:lang w:eastAsia="en-GB"/>
            </w:rPr>
          </w:pPr>
          <w:hyperlink w:anchor="_Toc130395162" w:history="1">
            <w:r w:rsidRPr="002C4CAA">
              <w:rPr>
                <w:rStyle w:val="Hyperlink"/>
                <w:noProof/>
              </w:rPr>
              <w:t>References</w:t>
            </w:r>
            <w:r>
              <w:rPr>
                <w:noProof/>
                <w:webHidden/>
              </w:rPr>
              <w:tab/>
            </w:r>
            <w:r>
              <w:rPr>
                <w:noProof/>
                <w:webHidden/>
              </w:rPr>
              <w:fldChar w:fldCharType="begin"/>
            </w:r>
            <w:r>
              <w:rPr>
                <w:noProof/>
                <w:webHidden/>
              </w:rPr>
              <w:instrText xml:space="preserve"> PAGEREF _Toc130395162 \h </w:instrText>
            </w:r>
            <w:r>
              <w:rPr>
                <w:noProof/>
                <w:webHidden/>
              </w:rPr>
            </w:r>
            <w:r>
              <w:rPr>
                <w:noProof/>
                <w:webHidden/>
              </w:rPr>
              <w:fldChar w:fldCharType="separate"/>
            </w:r>
            <w:r>
              <w:rPr>
                <w:noProof/>
                <w:webHidden/>
              </w:rPr>
              <w:t>14</w:t>
            </w:r>
            <w:r>
              <w:rPr>
                <w:noProof/>
                <w:webHidden/>
              </w:rPr>
              <w:fldChar w:fldCharType="end"/>
            </w:r>
          </w:hyperlink>
        </w:p>
        <w:p w14:paraId="39D6D0D9" w14:textId="1616DA5D" w:rsidR="00533891" w:rsidRDefault="00533891">
          <w:r>
            <w:rPr>
              <w:b/>
              <w:bCs/>
              <w:noProof/>
            </w:rPr>
            <w:fldChar w:fldCharType="end"/>
          </w:r>
        </w:p>
      </w:sdtContent>
    </w:sdt>
    <w:p w14:paraId="71B11117" w14:textId="6B06081E" w:rsidR="00CE7F12" w:rsidRDefault="00CE7F12">
      <w:pPr>
        <w:rPr>
          <w:rFonts w:asciiTheme="majorHAnsi" w:eastAsiaTheme="majorEastAsia" w:hAnsiTheme="majorHAnsi" w:cstheme="majorBidi"/>
          <w:color w:val="2F5496" w:themeColor="accent1" w:themeShade="BF"/>
          <w:sz w:val="32"/>
          <w:szCs w:val="32"/>
        </w:rPr>
      </w:pPr>
    </w:p>
    <w:p w14:paraId="6172556A" w14:textId="7A43C0B6" w:rsidR="00533891" w:rsidRDefault="00533891">
      <w:pPr>
        <w:rPr>
          <w:rFonts w:asciiTheme="majorHAnsi" w:eastAsiaTheme="majorEastAsia" w:hAnsiTheme="majorHAnsi" w:cstheme="majorBidi"/>
          <w:color w:val="2F5496" w:themeColor="accent1" w:themeShade="BF"/>
          <w:sz w:val="32"/>
          <w:szCs w:val="32"/>
        </w:rPr>
      </w:pPr>
    </w:p>
    <w:p w14:paraId="1444F3F7" w14:textId="6A907D4E" w:rsidR="00533891" w:rsidRDefault="00533891">
      <w:pPr>
        <w:rPr>
          <w:rFonts w:asciiTheme="majorHAnsi" w:eastAsiaTheme="majorEastAsia" w:hAnsiTheme="majorHAnsi" w:cstheme="majorBidi"/>
          <w:color w:val="2F5496" w:themeColor="accent1" w:themeShade="BF"/>
          <w:sz w:val="32"/>
          <w:szCs w:val="32"/>
        </w:rPr>
      </w:pPr>
    </w:p>
    <w:p w14:paraId="31C0BAAC" w14:textId="34230F61" w:rsidR="00533891" w:rsidRDefault="00533891">
      <w:pPr>
        <w:rPr>
          <w:rFonts w:asciiTheme="majorHAnsi" w:eastAsiaTheme="majorEastAsia" w:hAnsiTheme="majorHAnsi" w:cstheme="majorBidi"/>
          <w:color w:val="2F5496" w:themeColor="accent1" w:themeShade="BF"/>
          <w:sz w:val="32"/>
          <w:szCs w:val="32"/>
        </w:rPr>
      </w:pPr>
    </w:p>
    <w:p w14:paraId="5020C38B" w14:textId="58A23B83" w:rsidR="00CA4F1C" w:rsidRDefault="00CA4F1C">
      <w:pPr>
        <w:pStyle w:val="TableofFigures"/>
        <w:tabs>
          <w:tab w:val="right" w:leader="dot" w:pos="9016"/>
        </w:tabs>
        <w:rPr>
          <w:rFonts w:eastAsiaTheme="minorEastAsia"/>
          <w:noProof/>
          <w:lang w:eastAsia="en-GB"/>
        </w:rPr>
      </w:pPr>
      <w:r>
        <w:rPr>
          <w:rFonts w:asciiTheme="majorHAnsi" w:eastAsiaTheme="majorEastAsia" w:hAnsiTheme="majorHAnsi" w:cstheme="majorBidi"/>
          <w:color w:val="2F5496" w:themeColor="accent1" w:themeShade="BF"/>
          <w:sz w:val="32"/>
          <w:szCs w:val="32"/>
        </w:rPr>
        <w:fldChar w:fldCharType="begin"/>
      </w:r>
      <w:r>
        <w:rPr>
          <w:rFonts w:asciiTheme="majorHAnsi" w:eastAsiaTheme="majorEastAsia" w:hAnsiTheme="majorHAnsi" w:cstheme="majorBidi"/>
          <w:color w:val="2F5496" w:themeColor="accent1" w:themeShade="BF"/>
          <w:sz w:val="32"/>
          <w:szCs w:val="32"/>
        </w:rPr>
        <w:instrText xml:space="preserve"> TOC \h \z \c "Figure" </w:instrText>
      </w:r>
      <w:r>
        <w:rPr>
          <w:rFonts w:asciiTheme="majorHAnsi" w:eastAsiaTheme="majorEastAsia" w:hAnsiTheme="majorHAnsi" w:cstheme="majorBidi"/>
          <w:color w:val="2F5496" w:themeColor="accent1" w:themeShade="BF"/>
          <w:sz w:val="32"/>
          <w:szCs w:val="32"/>
        </w:rPr>
        <w:fldChar w:fldCharType="separate"/>
      </w:r>
      <w:hyperlink w:anchor="_Toc129528224" w:history="1">
        <w:r w:rsidRPr="00AD17F0">
          <w:rPr>
            <w:rStyle w:val="Hyperlink"/>
            <w:noProof/>
          </w:rPr>
          <w:t>Figure 1 Oil and gas sector image map</w:t>
        </w:r>
        <w:r>
          <w:rPr>
            <w:noProof/>
            <w:webHidden/>
          </w:rPr>
          <w:tab/>
        </w:r>
        <w:r>
          <w:rPr>
            <w:noProof/>
            <w:webHidden/>
          </w:rPr>
          <w:fldChar w:fldCharType="begin"/>
        </w:r>
        <w:r>
          <w:rPr>
            <w:noProof/>
            <w:webHidden/>
          </w:rPr>
          <w:instrText xml:space="preserve"> PAGEREF _Toc129528224 \h </w:instrText>
        </w:r>
        <w:r>
          <w:rPr>
            <w:noProof/>
            <w:webHidden/>
          </w:rPr>
        </w:r>
        <w:r>
          <w:rPr>
            <w:noProof/>
            <w:webHidden/>
          </w:rPr>
          <w:fldChar w:fldCharType="separate"/>
        </w:r>
        <w:r>
          <w:rPr>
            <w:noProof/>
            <w:webHidden/>
          </w:rPr>
          <w:t>3</w:t>
        </w:r>
        <w:r>
          <w:rPr>
            <w:noProof/>
            <w:webHidden/>
          </w:rPr>
          <w:fldChar w:fldCharType="end"/>
        </w:r>
      </w:hyperlink>
    </w:p>
    <w:p w14:paraId="13FA8783" w14:textId="59508E99" w:rsidR="00CA4F1C" w:rsidRDefault="0017782C">
      <w:pPr>
        <w:pStyle w:val="TableofFigures"/>
        <w:tabs>
          <w:tab w:val="right" w:leader="dot" w:pos="9016"/>
        </w:tabs>
        <w:rPr>
          <w:rFonts w:eastAsiaTheme="minorEastAsia"/>
          <w:noProof/>
          <w:lang w:eastAsia="en-GB"/>
        </w:rPr>
      </w:pPr>
      <w:hyperlink w:anchor="_Toc129528225" w:history="1">
        <w:r w:rsidR="00CA4F1C" w:rsidRPr="00AD17F0">
          <w:rPr>
            <w:rStyle w:val="Hyperlink"/>
            <w:noProof/>
          </w:rPr>
          <w:t>Figure 2 Brief Overview of Pembina Pipeline</w:t>
        </w:r>
        <w:r w:rsidR="00CA4F1C">
          <w:rPr>
            <w:noProof/>
            <w:webHidden/>
          </w:rPr>
          <w:tab/>
        </w:r>
        <w:r w:rsidR="00CA4F1C">
          <w:rPr>
            <w:noProof/>
            <w:webHidden/>
          </w:rPr>
          <w:fldChar w:fldCharType="begin"/>
        </w:r>
        <w:r w:rsidR="00CA4F1C">
          <w:rPr>
            <w:noProof/>
            <w:webHidden/>
          </w:rPr>
          <w:instrText xml:space="preserve"> PAGEREF _Toc129528225 \h </w:instrText>
        </w:r>
        <w:r w:rsidR="00CA4F1C">
          <w:rPr>
            <w:noProof/>
            <w:webHidden/>
          </w:rPr>
        </w:r>
        <w:r w:rsidR="00CA4F1C">
          <w:rPr>
            <w:noProof/>
            <w:webHidden/>
          </w:rPr>
          <w:fldChar w:fldCharType="separate"/>
        </w:r>
        <w:r w:rsidR="00CA4F1C">
          <w:rPr>
            <w:noProof/>
            <w:webHidden/>
          </w:rPr>
          <w:t>4</w:t>
        </w:r>
        <w:r w:rsidR="00CA4F1C">
          <w:rPr>
            <w:noProof/>
            <w:webHidden/>
          </w:rPr>
          <w:fldChar w:fldCharType="end"/>
        </w:r>
      </w:hyperlink>
    </w:p>
    <w:p w14:paraId="0D2D622B" w14:textId="6B0BF66D" w:rsidR="00CA4F1C" w:rsidRDefault="0017782C">
      <w:pPr>
        <w:pStyle w:val="TableofFigures"/>
        <w:tabs>
          <w:tab w:val="right" w:leader="dot" w:pos="9016"/>
        </w:tabs>
        <w:rPr>
          <w:rFonts w:eastAsiaTheme="minorEastAsia"/>
          <w:noProof/>
          <w:lang w:eastAsia="en-GB"/>
        </w:rPr>
      </w:pPr>
      <w:hyperlink w:anchor="_Toc129528226" w:history="1">
        <w:r w:rsidR="00CA4F1C" w:rsidRPr="00AD17F0">
          <w:rPr>
            <w:rStyle w:val="Hyperlink"/>
            <w:noProof/>
          </w:rPr>
          <w:t>Figure 3 Brief overview of TotalEnergies SE</w:t>
        </w:r>
        <w:r w:rsidR="00CA4F1C">
          <w:rPr>
            <w:noProof/>
            <w:webHidden/>
          </w:rPr>
          <w:tab/>
        </w:r>
        <w:r w:rsidR="00CA4F1C">
          <w:rPr>
            <w:noProof/>
            <w:webHidden/>
          </w:rPr>
          <w:fldChar w:fldCharType="begin"/>
        </w:r>
        <w:r w:rsidR="00CA4F1C">
          <w:rPr>
            <w:noProof/>
            <w:webHidden/>
          </w:rPr>
          <w:instrText xml:space="preserve"> PAGEREF _Toc129528226 \h </w:instrText>
        </w:r>
        <w:r w:rsidR="00CA4F1C">
          <w:rPr>
            <w:noProof/>
            <w:webHidden/>
          </w:rPr>
        </w:r>
        <w:r w:rsidR="00CA4F1C">
          <w:rPr>
            <w:noProof/>
            <w:webHidden/>
          </w:rPr>
          <w:fldChar w:fldCharType="separate"/>
        </w:r>
        <w:r w:rsidR="00CA4F1C">
          <w:rPr>
            <w:noProof/>
            <w:webHidden/>
          </w:rPr>
          <w:t>5</w:t>
        </w:r>
        <w:r w:rsidR="00CA4F1C">
          <w:rPr>
            <w:noProof/>
            <w:webHidden/>
          </w:rPr>
          <w:fldChar w:fldCharType="end"/>
        </w:r>
      </w:hyperlink>
    </w:p>
    <w:p w14:paraId="211BBA3B" w14:textId="18C5E3D1" w:rsidR="00CA4F1C" w:rsidRDefault="0017782C">
      <w:pPr>
        <w:pStyle w:val="TableofFigures"/>
        <w:tabs>
          <w:tab w:val="right" w:leader="dot" w:pos="9016"/>
        </w:tabs>
        <w:rPr>
          <w:rFonts w:eastAsiaTheme="minorEastAsia"/>
          <w:noProof/>
          <w:lang w:eastAsia="en-GB"/>
        </w:rPr>
      </w:pPr>
      <w:hyperlink w:anchor="_Toc129528227" w:history="1">
        <w:r w:rsidR="00CA4F1C" w:rsidRPr="00AD17F0">
          <w:rPr>
            <w:rStyle w:val="Hyperlink"/>
            <w:noProof/>
          </w:rPr>
          <w:t>Figure 4 Hofstede analysis for Canada and France</w:t>
        </w:r>
        <w:r w:rsidR="00CA4F1C">
          <w:rPr>
            <w:noProof/>
            <w:webHidden/>
          </w:rPr>
          <w:tab/>
        </w:r>
        <w:r w:rsidR="00CA4F1C">
          <w:rPr>
            <w:noProof/>
            <w:webHidden/>
          </w:rPr>
          <w:fldChar w:fldCharType="begin"/>
        </w:r>
        <w:r w:rsidR="00CA4F1C">
          <w:rPr>
            <w:noProof/>
            <w:webHidden/>
          </w:rPr>
          <w:instrText xml:space="preserve"> PAGEREF _Toc129528227 \h </w:instrText>
        </w:r>
        <w:r w:rsidR="00CA4F1C">
          <w:rPr>
            <w:noProof/>
            <w:webHidden/>
          </w:rPr>
        </w:r>
        <w:r w:rsidR="00CA4F1C">
          <w:rPr>
            <w:noProof/>
            <w:webHidden/>
          </w:rPr>
          <w:fldChar w:fldCharType="separate"/>
        </w:r>
        <w:r w:rsidR="00CA4F1C">
          <w:rPr>
            <w:noProof/>
            <w:webHidden/>
          </w:rPr>
          <w:t>6</w:t>
        </w:r>
        <w:r w:rsidR="00CA4F1C">
          <w:rPr>
            <w:noProof/>
            <w:webHidden/>
          </w:rPr>
          <w:fldChar w:fldCharType="end"/>
        </w:r>
      </w:hyperlink>
    </w:p>
    <w:p w14:paraId="3FC41C29" w14:textId="24E7425A" w:rsidR="00CA4F1C" w:rsidRDefault="0017782C">
      <w:pPr>
        <w:pStyle w:val="TableofFigures"/>
        <w:tabs>
          <w:tab w:val="right" w:leader="dot" w:pos="9016"/>
        </w:tabs>
        <w:rPr>
          <w:rFonts w:eastAsiaTheme="minorEastAsia"/>
          <w:noProof/>
          <w:lang w:eastAsia="en-GB"/>
        </w:rPr>
      </w:pPr>
      <w:hyperlink w:anchor="_Toc129528228" w:history="1">
        <w:r w:rsidR="00CA4F1C" w:rsidRPr="00AD17F0">
          <w:rPr>
            <w:rStyle w:val="Hyperlink"/>
            <w:noProof/>
          </w:rPr>
          <w:t>Figure 5 Neo-Institutional and PES analysis</w:t>
        </w:r>
        <w:r w:rsidR="00CA4F1C">
          <w:rPr>
            <w:noProof/>
            <w:webHidden/>
          </w:rPr>
          <w:tab/>
        </w:r>
        <w:r w:rsidR="00CA4F1C">
          <w:rPr>
            <w:noProof/>
            <w:webHidden/>
          </w:rPr>
          <w:fldChar w:fldCharType="begin"/>
        </w:r>
        <w:r w:rsidR="00CA4F1C">
          <w:rPr>
            <w:noProof/>
            <w:webHidden/>
          </w:rPr>
          <w:instrText xml:space="preserve"> PAGEREF _Toc129528228 \h </w:instrText>
        </w:r>
        <w:r w:rsidR="00CA4F1C">
          <w:rPr>
            <w:noProof/>
            <w:webHidden/>
          </w:rPr>
        </w:r>
        <w:r w:rsidR="00CA4F1C">
          <w:rPr>
            <w:noProof/>
            <w:webHidden/>
          </w:rPr>
          <w:fldChar w:fldCharType="separate"/>
        </w:r>
        <w:r w:rsidR="00CA4F1C">
          <w:rPr>
            <w:noProof/>
            <w:webHidden/>
          </w:rPr>
          <w:t>9</w:t>
        </w:r>
        <w:r w:rsidR="00CA4F1C">
          <w:rPr>
            <w:noProof/>
            <w:webHidden/>
          </w:rPr>
          <w:fldChar w:fldCharType="end"/>
        </w:r>
      </w:hyperlink>
    </w:p>
    <w:p w14:paraId="6179299C" w14:textId="5C2CD63D" w:rsidR="00CA4F1C" w:rsidRDefault="0017782C">
      <w:pPr>
        <w:pStyle w:val="TableofFigures"/>
        <w:tabs>
          <w:tab w:val="right" w:leader="dot" w:pos="9016"/>
        </w:tabs>
        <w:rPr>
          <w:rFonts w:eastAsiaTheme="minorEastAsia"/>
          <w:noProof/>
          <w:lang w:eastAsia="en-GB"/>
        </w:rPr>
      </w:pPr>
      <w:hyperlink w:anchor="_Toc129528229" w:history="1">
        <w:r w:rsidR="00CA4F1C" w:rsidRPr="00AD17F0">
          <w:rPr>
            <w:rStyle w:val="Hyperlink"/>
            <w:noProof/>
          </w:rPr>
          <w:t>Figure 6 Isomorphic pressure (DiMaggo and Powell,1983)</w:t>
        </w:r>
        <w:r w:rsidR="00CA4F1C">
          <w:rPr>
            <w:noProof/>
            <w:webHidden/>
          </w:rPr>
          <w:tab/>
        </w:r>
        <w:r w:rsidR="00CA4F1C">
          <w:rPr>
            <w:noProof/>
            <w:webHidden/>
          </w:rPr>
          <w:fldChar w:fldCharType="begin"/>
        </w:r>
        <w:r w:rsidR="00CA4F1C">
          <w:rPr>
            <w:noProof/>
            <w:webHidden/>
          </w:rPr>
          <w:instrText xml:space="preserve"> PAGEREF _Toc129528229 \h </w:instrText>
        </w:r>
        <w:r w:rsidR="00CA4F1C">
          <w:rPr>
            <w:noProof/>
            <w:webHidden/>
          </w:rPr>
        </w:r>
        <w:r w:rsidR="00CA4F1C">
          <w:rPr>
            <w:noProof/>
            <w:webHidden/>
          </w:rPr>
          <w:fldChar w:fldCharType="separate"/>
        </w:r>
        <w:r w:rsidR="00CA4F1C">
          <w:rPr>
            <w:noProof/>
            <w:webHidden/>
          </w:rPr>
          <w:t>10</w:t>
        </w:r>
        <w:r w:rsidR="00CA4F1C">
          <w:rPr>
            <w:noProof/>
            <w:webHidden/>
          </w:rPr>
          <w:fldChar w:fldCharType="end"/>
        </w:r>
      </w:hyperlink>
    </w:p>
    <w:p w14:paraId="003E21EA" w14:textId="58C7B7E7" w:rsidR="00CA4F1C" w:rsidRDefault="0017782C">
      <w:pPr>
        <w:pStyle w:val="TableofFigures"/>
        <w:tabs>
          <w:tab w:val="right" w:leader="dot" w:pos="9016"/>
        </w:tabs>
        <w:rPr>
          <w:rFonts w:eastAsiaTheme="minorEastAsia"/>
          <w:noProof/>
          <w:lang w:eastAsia="en-GB"/>
        </w:rPr>
      </w:pPr>
      <w:hyperlink w:anchor="_Toc129528230" w:history="1">
        <w:r w:rsidR="00CA4F1C" w:rsidRPr="00AD17F0">
          <w:rPr>
            <w:rStyle w:val="Hyperlink"/>
            <w:noProof/>
          </w:rPr>
          <w:t>Figure 7 Acquisition Integration Approaches (Haspeslag and Jemison,1991)</w:t>
        </w:r>
        <w:r w:rsidR="00CA4F1C">
          <w:rPr>
            <w:noProof/>
            <w:webHidden/>
          </w:rPr>
          <w:tab/>
        </w:r>
        <w:r w:rsidR="00CA4F1C">
          <w:rPr>
            <w:noProof/>
            <w:webHidden/>
          </w:rPr>
          <w:fldChar w:fldCharType="begin"/>
        </w:r>
        <w:r w:rsidR="00CA4F1C">
          <w:rPr>
            <w:noProof/>
            <w:webHidden/>
          </w:rPr>
          <w:instrText xml:space="preserve"> PAGEREF _Toc129528230 \h </w:instrText>
        </w:r>
        <w:r w:rsidR="00CA4F1C">
          <w:rPr>
            <w:noProof/>
            <w:webHidden/>
          </w:rPr>
        </w:r>
        <w:r w:rsidR="00CA4F1C">
          <w:rPr>
            <w:noProof/>
            <w:webHidden/>
          </w:rPr>
          <w:fldChar w:fldCharType="separate"/>
        </w:r>
        <w:r w:rsidR="00CA4F1C">
          <w:rPr>
            <w:noProof/>
            <w:webHidden/>
          </w:rPr>
          <w:t>11</w:t>
        </w:r>
        <w:r w:rsidR="00CA4F1C">
          <w:rPr>
            <w:noProof/>
            <w:webHidden/>
          </w:rPr>
          <w:fldChar w:fldCharType="end"/>
        </w:r>
      </w:hyperlink>
    </w:p>
    <w:p w14:paraId="6AA7B21F" w14:textId="7C7DB73C" w:rsidR="00CA4F1C" w:rsidRDefault="0017782C">
      <w:pPr>
        <w:pStyle w:val="TableofFigures"/>
        <w:tabs>
          <w:tab w:val="right" w:leader="dot" w:pos="9016"/>
        </w:tabs>
        <w:rPr>
          <w:rFonts w:eastAsiaTheme="minorEastAsia"/>
          <w:noProof/>
          <w:lang w:eastAsia="en-GB"/>
        </w:rPr>
      </w:pPr>
      <w:hyperlink w:anchor="_Toc129528231" w:history="1">
        <w:r w:rsidR="00CA4F1C" w:rsidRPr="00AD17F0">
          <w:rPr>
            <w:rStyle w:val="Hyperlink"/>
            <w:noProof/>
          </w:rPr>
          <w:t>Figure 8 HR Challenges in pre and post stage</w:t>
        </w:r>
        <w:r w:rsidR="00CA4F1C">
          <w:rPr>
            <w:noProof/>
            <w:webHidden/>
          </w:rPr>
          <w:tab/>
        </w:r>
        <w:r w:rsidR="00CA4F1C">
          <w:rPr>
            <w:noProof/>
            <w:webHidden/>
          </w:rPr>
          <w:fldChar w:fldCharType="begin"/>
        </w:r>
        <w:r w:rsidR="00CA4F1C">
          <w:rPr>
            <w:noProof/>
            <w:webHidden/>
          </w:rPr>
          <w:instrText xml:space="preserve"> PAGEREF _Toc129528231 \h </w:instrText>
        </w:r>
        <w:r w:rsidR="00CA4F1C">
          <w:rPr>
            <w:noProof/>
            <w:webHidden/>
          </w:rPr>
        </w:r>
        <w:r w:rsidR="00CA4F1C">
          <w:rPr>
            <w:noProof/>
            <w:webHidden/>
          </w:rPr>
          <w:fldChar w:fldCharType="separate"/>
        </w:r>
        <w:r w:rsidR="00CA4F1C">
          <w:rPr>
            <w:noProof/>
            <w:webHidden/>
          </w:rPr>
          <w:t>12</w:t>
        </w:r>
        <w:r w:rsidR="00CA4F1C">
          <w:rPr>
            <w:noProof/>
            <w:webHidden/>
          </w:rPr>
          <w:fldChar w:fldCharType="end"/>
        </w:r>
      </w:hyperlink>
    </w:p>
    <w:p w14:paraId="3E693E3B" w14:textId="74D8F02F" w:rsidR="00CA4F1C" w:rsidRDefault="0017782C">
      <w:pPr>
        <w:pStyle w:val="TableofFigures"/>
        <w:tabs>
          <w:tab w:val="right" w:leader="dot" w:pos="9016"/>
        </w:tabs>
        <w:rPr>
          <w:rFonts w:eastAsiaTheme="minorEastAsia"/>
          <w:noProof/>
          <w:lang w:eastAsia="en-GB"/>
        </w:rPr>
      </w:pPr>
      <w:hyperlink w:anchor="_Toc129528232" w:history="1">
        <w:r w:rsidR="00CA4F1C" w:rsidRPr="00AD17F0">
          <w:rPr>
            <w:rStyle w:val="Hyperlink"/>
            <w:noProof/>
          </w:rPr>
          <w:t>Figure 9 HR Resolution for targeting possible challenges</w:t>
        </w:r>
        <w:r w:rsidR="00CA4F1C">
          <w:rPr>
            <w:noProof/>
            <w:webHidden/>
          </w:rPr>
          <w:tab/>
        </w:r>
        <w:r w:rsidR="00CA4F1C">
          <w:rPr>
            <w:noProof/>
            <w:webHidden/>
          </w:rPr>
          <w:fldChar w:fldCharType="begin"/>
        </w:r>
        <w:r w:rsidR="00CA4F1C">
          <w:rPr>
            <w:noProof/>
            <w:webHidden/>
          </w:rPr>
          <w:instrText xml:space="preserve"> PAGEREF _Toc129528232 \h </w:instrText>
        </w:r>
        <w:r w:rsidR="00CA4F1C">
          <w:rPr>
            <w:noProof/>
            <w:webHidden/>
          </w:rPr>
        </w:r>
        <w:r w:rsidR="00CA4F1C">
          <w:rPr>
            <w:noProof/>
            <w:webHidden/>
          </w:rPr>
          <w:fldChar w:fldCharType="separate"/>
        </w:r>
        <w:r w:rsidR="00CA4F1C">
          <w:rPr>
            <w:noProof/>
            <w:webHidden/>
          </w:rPr>
          <w:t>13</w:t>
        </w:r>
        <w:r w:rsidR="00CA4F1C">
          <w:rPr>
            <w:noProof/>
            <w:webHidden/>
          </w:rPr>
          <w:fldChar w:fldCharType="end"/>
        </w:r>
      </w:hyperlink>
    </w:p>
    <w:p w14:paraId="4011CC56" w14:textId="66854608" w:rsidR="00E4055F" w:rsidRDefault="00CA4F1C">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fldChar w:fldCharType="end"/>
      </w:r>
    </w:p>
    <w:p w14:paraId="6C0CA0CA" w14:textId="3B814FA2" w:rsidR="00E4055F" w:rsidRDefault="00E4055F">
      <w:pPr>
        <w:rPr>
          <w:rFonts w:asciiTheme="majorHAnsi" w:eastAsiaTheme="majorEastAsia" w:hAnsiTheme="majorHAnsi" w:cstheme="majorBidi"/>
          <w:color w:val="2F5496" w:themeColor="accent1" w:themeShade="BF"/>
          <w:sz w:val="32"/>
          <w:szCs w:val="32"/>
        </w:rPr>
      </w:pPr>
    </w:p>
    <w:p w14:paraId="5817B40A" w14:textId="15B16AEC" w:rsidR="00533891" w:rsidRDefault="009F4B18" w:rsidP="001C6CCC">
      <w:pPr>
        <w:pStyle w:val="Heading1"/>
      </w:pPr>
      <w:bookmarkStart w:id="0" w:name="_Toc130395144"/>
      <w:r>
        <w:t>Abstract</w:t>
      </w:r>
      <w:bookmarkEnd w:id="0"/>
    </w:p>
    <w:p w14:paraId="520CCCE8" w14:textId="77777777" w:rsidR="007319D0" w:rsidRDefault="007319D0">
      <w:pPr>
        <w:rPr>
          <w:rFonts w:asciiTheme="majorHAnsi" w:eastAsiaTheme="majorEastAsia" w:hAnsiTheme="majorHAnsi" w:cstheme="majorBidi"/>
          <w:color w:val="2F5496" w:themeColor="accent1" w:themeShade="BF"/>
          <w:sz w:val="32"/>
          <w:szCs w:val="32"/>
        </w:rPr>
      </w:pPr>
    </w:p>
    <w:p w14:paraId="3E912B92" w14:textId="3D29973E" w:rsidR="009F4B18" w:rsidRPr="00A13065" w:rsidRDefault="00C85F9A" w:rsidP="009F4B18">
      <w:pPr>
        <w:spacing w:line="360" w:lineRule="auto"/>
        <w:jc w:val="both"/>
        <w:rPr>
          <w:rFonts w:ascii="Arial" w:eastAsiaTheme="majorEastAsia" w:hAnsi="Arial" w:cs="Arial"/>
          <w:color w:val="000000" w:themeColor="text1"/>
        </w:rPr>
      </w:pPr>
      <w:r w:rsidRPr="00C85F9A">
        <w:rPr>
          <w:rFonts w:ascii="Arial" w:hAnsi="Arial" w:cs="Arial"/>
        </w:rPr>
        <w:t xml:space="preserve">As part of HR team for international M&amp;A deal between Pembina Pipeline and </w:t>
      </w:r>
      <w:proofErr w:type="spellStart"/>
      <w:r w:rsidRPr="00C85F9A">
        <w:rPr>
          <w:rFonts w:ascii="Arial" w:hAnsi="Arial" w:cs="Arial"/>
        </w:rPr>
        <w:t>TotalEnergies</w:t>
      </w:r>
      <w:proofErr w:type="spellEnd"/>
      <w:r w:rsidRPr="00C85F9A">
        <w:rPr>
          <w:rFonts w:ascii="Arial" w:hAnsi="Arial" w:cs="Arial"/>
        </w:rPr>
        <w:t xml:space="preserve"> SE, the purpose of this report is to help both companies reach rational cross-border decision.</w:t>
      </w:r>
      <w:r w:rsidR="007319D0">
        <w:rPr>
          <w:rFonts w:ascii="Arial" w:hAnsi="Arial" w:cs="Arial"/>
        </w:rPr>
        <w:t xml:space="preserve"> </w:t>
      </w:r>
      <w:r w:rsidR="00CA3DC2">
        <w:rPr>
          <w:rFonts w:ascii="Arial" w:hAnsi="Arial" w:cs="Arial"/>
        </w:rPr>
        <w:t xml:space="preserve">The report present a brief overview of </w:t>
      </w:r>
      <w:r w:rsidR="00BC3734">
        <w:rPr>
          <w:rFonts w:ascii="Arial" w:hAnsi="Arial" w:cs="Arial"/>
        </w:rPr>
        <w:t xml:space="preserve">both companies as </w:t>
      </w:r>
      <w:r w:rsidR="00D743B3">
        <w:rPr>
          <w:rFonts w:ascii="Arial" w:hAnsi="Arial" w:cs="Arial"/>
        </w:rPr>
        <w:t>established d</w:t>
      </w:r>
      <w:r w:rsidR="00242F6B">
        <w:rPr>
          <w:rFonts w:ascii="Arial" w:hAnsi="Arial" w:cs="Arial"/>
        </w:rPr>
        <w:t xml:space="preserve">ate, segment of </w:t>
      </w:r>
      <w:r w:rsidR="000E6072">
        <w:rPr>
          <w:rFonts w:ascii="Arial" w:hAnsi="Arial" w:cs="Arial"/>
        </w:rPr>
        <w:t>operating, m</w:t>
      </w:r>
      <w:r w:rsidR="000E6072" w:rsidRPr="000E6072">
        <w:rPr>
          <w:rFonts w:ascii="Arial" w:hAnsi="Arial" w:cs="Arial"/>
        </w:rPr>
        <w:t>arket share</w:t>
      </w:r>
      <w:r w:rsidR="000E6072">
        <w:rPr>
          <w:rFonts w:ascii="Arial" w:hAnsi="Arial" w:cs="Arial"/>
        </w:rPr>
        <w:t>, n</w:t>
      </w:r>
      <w:r w:rsidR="000E6072" w:rsidRPr="000E6072">
        <w:rPr>
          <w:rFonts w:ascii="Arial" w:hAnsi="Arial" w:cs="Arial"/>
        </w:rPr>
        <w:t xml:space="preserve">umber of employees </w:t>
      </w:r>
      <w:r w:rsidR="00613641">
        <w:rPr>
          <w:rFonts w:ascii="Arial" w:hAnsi="Arial" w:cs="Arial"/>
        </w:rPr>
        <w:t xml:space="preserve">, </w:t>
      </w:r>
      <w:r w:rsidR="000E6072">
        <w:rPr>
          <w:rFonts w:ascii="Arial" w:hAnsi="Arial" w:cs="Arial"/>
        </w:rPr>
        <w:t>c</w:t>
      </w:r>
      <w:r w:rsidR="000E6072" w:rsidRPr="000E6072">
        <w:rPr>
          <w:rFonts w:ascii="Arial" w:hAnsi="Arial" w:cs="Arial"/>
        </w:rPr>
        <w:t>ompetitors</w:t>
      </w:r>
      <w:r w:rsidR="00613641">
        <w:rPr>
          <w:rFonts w:ascii="Arial" w:hAnsi="Arial" w:cs="Arial"/>
        </w:rPr>
        <w:t>, p</w:t>
      </w:r>
      <w:r w:rsidR="000E6072" w:rsidRPr="000E6072">
        <w:rPr>
          <w:rFonts w:ascii="Arial" w:hAnsi="Arial" w:cs="Arial"/>
        </w:rPr>
        <w:t>roduct</w:t>
      </w:r>
      <w:r w:rsidR="00613641">
        <w:rPr>
          <w:rFonts w:ascii="Arial" w:hAnsi="Arial" w:cs="Arial"/>
        </w:rPr>
        <w:t>s, c</w:t>
      </w:r>
      <w:r w:rsidR="000E6072" w:rsidRPr="000E6072">
        <w:rPr>
          <w:rFonts w:ascii="Arial" w:hAnsi="Arial" w:cs="Arial"/>
        </w:rPr>
        <w:t>ustomers</w:t>
      </w:r>
      <w:r w:rsidR="00613641">
        <w:rPr>
          <w:rFonts w:ascii="Arial" w:hAnsi="Arial" w:cs="Arial"/>
        </w:rPr>
        <w:t xml:space="preserve">. </w:t>
      </w:r>
      <w:r w:rsidR="00FB6240">
        <w:rPr>
          <w:rFonts w:ascii="Arial" w:hAnsi="Arial" w:cs="Arial"/>
        </w:rPr>
        <w:t>A</w:t>
      </w:r>
      <w:r w:rsidR="00FB6240" w:rsidRPr="00FB6240">
        <w:rPr>
          <w:rFonts w:ascii="Arial" w:hAnsi="Arial" w:cs="Arial"/>
        </w:rPr>
        <w:t>n analysis on the HR  department’s involvement in the different phases of the  merger and acquisition.</w:t>
      </w:r>
      <w:r w:rsidR="002A5464">
        <w:rPr>
          <w:rFonts w:ascii="Arial" w:hAnsi="Arial" w:cs="Arial"/>
        </w:rPr>
        <w:t xml:space="preserve"> </w:t>
      </w:r>
      <w:r w:rsidR="009F4B18" w:rsidRPr="009F4B18">
        <w:rPr>
          <w:rFonts w:ascii="Arial" w:eastAsiaTheme="majorEastAsia" w:hAnsi="Arial" w:cs="Arial"/>
          <w:color w:val="000000" w:themeColor="text1"/>
        </w:rPr>
        <w:t xml:space="preserve">For purposes of this will be conduct Hofstede cultural analyse, </w:t>
      </w:r>
      <w:r w:rsidR="001130FE">
        <w:rPr>
          <w:rFonts w:ascii="Arial" w:eastAsiaTheme="majorEastAsia" w:hAnsi="Arial" w:cs="Arial"/>
          <w:color w:val="000000" w:themeColor="text1"/>
        </w:rPr>
        <w:t>i</w:t>
      </w:r>
      <w:r w:rsidR="001130FE" w:rsidRPr="001130FE">
        <w:rPr>
          <w:rFonts w:ascii="Arial" w:eastAsiaTheme="majorEastAsia" w:hAnsi="Arial" w:cs="Arial"/>
          <w:color w:val="000000" w:themeColor="text1"/>
        </w:rPr>
        <w:t xml:space="preserve">n which a factor analysis structure shows how a society's culture impacts its members' values and their </w:t>
      </w:r>
      <w:r w:rsidR="00AE69FE" w:rsidRPr="001130FE">
        <w:rPr>
          <w:rFonts w:ascii="Arial" w:eastAsiaTheme="majorEastAsia" w:hAnsi="Arial" w:cs="Arial"/>
          <w:color w:val="000000" w:themeColor="text1"/>
        </w:rPr>
        <w:t>behaviour</w:t>
      </w:r>
      <w:r w:rsidR="001130FE" w:rsidRPr="001130FE">
        <w:rPr>
          <w:rFonts w:ascii="Arial" w:eastAsiaTheme="majorEastAsia" w:hAnsi="Arial" w:cs="Arial"/>
          <w:color w:val="000000" w:themeColor="text1"/>
        </w:rPr>
        <w:t>.</w:t>
      </w:r>
      <w:r w:rsidR="00230C32">
        <w:rPr>
          <w:rFonts w:ascii="Arial" w:eastAsiaTheme="majorEastAsia" w:hAnsi="Arial" w:cs="Arial"/>
          <w:color w:val="000000" w:themeColor="text1"/>
        </w:rPr>
        <w:t xml:space="preserve"> In addition, </w:t>
      </w:r>
      <w:r w:rsidR="009F4B18" w:rsidRPr="009F4B18">
        <w:rPr>
          <w:rFonts w:ascii="Arial" w:eastAsiaTheme="majorEastAsia" w:hAnsi="Arial" w:cs="Arial"/>
          <w:color w:val="000000" w:themeColor="text1"/>
        </w:rPr>
        <w:t>Neo-Institutional</w:t>
      </w:r>
      <w:r w:rsidR="00304C6F">
        <w:rPr>
          <w:rFonts w:ascii="Arial" w:eastAsiaTheme="majorEastAsia" w:hAnsi="Arial" w:cs="Arial"/>
          <w:color w:val="000000" w:themeColor="text1"/>
        </w:rPr>
        <w:t xml:space="preserve"> </w:t>
      </w:r>
      <w:r w:rsidR="00E7625E" w:rsidRPr="00E7625E">
        <w:rPr>
          <w:rFonts w:ascii="Arial" w:eastAsiaTheme="majorEastAsia" w:hAnsi="Arial" w:cs="Arial"/>
          <w:color w:val="000000" w:themeColor="text1"/>
        </w:rPr>
        <w:t>framework incorporates institutional mandates to make an organization seem legitimat</w:t>
      </w:r>
      <w:r w:rsidR="00230C32">
        <w:rPr>
          <w:rFonts w:ascii="Arial" w:eastAsiaTheme="majorEastAsia" w:hAnsi="Arial" w:cs="Arial"/>
          <w:color w:val="000000" w:themeColor="text1"/>
        </w:rPr>
        <w:t>e</w:t>
      </w:r>
      <w:r w:rsidR="00E7625E" w:rsidRPr="00E7625E">
        <w:rPr>
          <w:rFonts w:ascii="Arial" w:eastAsiaTheme="majorEastAsia" w:hAnsi="Arial" w:cs="Arial"/>
          <w:color w:val="000000" w:themeColor="text1"/>
        </w:rPr>
        <w:t>. In the following paragraphs will be perusing Canada and France institutional pillars and how the structure of these two societies varies in that context.</w:t>
      </w:r>
      <w:r w:rsidR="009F4B18" w:rsidRPr="009F4B18">
        <w:rPr>
          <w:rFonts w:ascii="Arial" w:eastAsiaTheme="majorEastAsia" w:hAnsi="Arial" w:cs="Arial"/>
          <w:color w:val="000000" w:themeColor="text1"/>
        </w:rPr>
        <w:t xml:space="preserve"> </w:t>
      </w:r>
      <w:r w:rsidR="0016680E" w:rsidRPr="009F4B18">
        <w:rPr>
          <w:rFonts w:ascii="Arial" w:eastAsiaTheme="majorEastAsia" w:hAnsi="Arial" w:cs="Arial"/>
          <w:color w:val="000000" w:themeColor="text1"/>
        </w:rPr>
        <w:t>Moreover</w:t>
      </w:r>
      <w:r w:rsidR="009F4B18" w:rsidRPr="009F4B18">
        <w:rPr>
          <w:rFonts w:ascii="Arial" w:eastAsiaTheme="majorEastAsia" w:hAnsi="Arial" w:cs="Arial"/>
          <w:color w:val="000000" w:themeColor="text1"/>
        </w:rPr>
        <w:t>, will be discussed isomorphic pressure and impact of IHRM practises in this cross-border process. Furthermore, rational and integration strategy.</w:t>
      </w:r>
    </w:p>
    <w:p w14:paraId="3F0B95F1" w14:textId="3A841219" w:rsidR="009F4B18" w:rsidRDefault="009F4B18" w:rsidP="009F4B18">
      <w:pPr>
        <w:spacing w:line="360" w:lineRule="auto"/>
        <w:jc w:val="both"/>
        <w:rPr>
          <w:rFonts w:ascii="Arial" w:eastAsiaTheme="majorEastAsia" w:hAnsi="Arial" w:cs="Arial"/>
          <w:color w:val="000000" w:themeColor="text1"/>
        </w:rPr>
      </w:pPr>
    </w:p>
    <w:p w14:paraId="77B710DC" w14:textId="450EC893" w:rsidR="009F4B18" w:rsidRDefault="009F4B18" w:rsidP="009F4B18">
      <w:pPr>
        <w:spacing w:line="360" w:lineRule="auto"/>
        <w:jc w:val="both"/>
        <w:rPr>
          <w:rFonts w:ascii="Arial" w:eastAsiaTheme="majorEastAsia" w:hAnsi="Arial" w:cs="Arial"/>
          <w:color w:val="000000" w:themeColor="text1"/>
        </w:rPr>
      </w:pPr>
    </w:p>
    <w:p w14:paraId="05CC0350" w14:textId="7EA7C117" w:rsidR="009F4B18" w:rsidRDefault="009F4B18" w:rsidP="009F4B18">
      <w:pPr>
        <w:spacing w:line="360" w:lineRule="auto"/>
        <w:jc w:val="both"/>
        <w:rPr>
          <w:rFonts w:ascii="Arial" w:eastAsiaTheme="majorEastAsia" w:hAnsi="Arial" w:cs="Arial"/>
          <w:color w:val="000000" w:themeColor="text1"/>
        </w:rPr>
      </w:pPr>
    </w:p>
    <w:p w14:paraId="04A795EE" w14:textId="2C2F87A1" w:rsidR="009F4B18" w:rsidRDefault="009F4B18" w:rsidP="009F4B18">
      <w:pPr>
        <w:spacing w:line="360" w:lineRule="auto"/>
        <w:jc w:val="both"/>
        <w:rPr>
          <w:rFonts w:ascii="Arial" w:eastAsiaTheme="majorEastAsia" w:hAnsi="Arial" w:cs="Arial"/>
          <w:color w:val="000000" w:themeColor="text1"/>
        </w:rPr>
      </w:pPr>
    </w:p>
    <w:p w14:paraId="3672FFDC" w14:textId="74CE62A0" w:rsidR="009F4B18" w:rsidRDefault="009F4B18" w:rsidP="009F4B18">
      <w:pPr>
        <w:spacing w:line="360" w:lineRule="auto"/>
        <w:jc w:val="both"/>
        <w:rPr>
          <w:rFonts w:ascii="Arial" w:eastAsiaTheme="majorEastAsia" w:hAnsi="Arial" w:cs="Arial"/>
          <w:color w:val="000000" w:themeColor="text1"/>
        </w:rPr>
      </w:pPr>
    </w:p>
    <w:p w14:paraId="2CAA8DCF" w14:textId="260F1771" w:rsidR="009F4B18" w:rsidRDefault="009F4B18" w:rsidP="009F4B18">
      <w:pPr>
        <w:spacing w:line="360" w:lineRule="auto"/>
        <w:jc w:val="both"/>
        <w:rPr>
          <w:rFonts w:ascii="Arial" w:eastAsiaTheme="majorEastAsia" w:hAnsi="Arial" w:cs="Arial"/>
          <w:color w:val="000000" w:themeColor="text1"/>
        </w:rPr>
      </w:pPr>
    </w:p>
    <w:p w14:paraId="2C030A57" w14:textId="77777777" w:rsidR="009F4B18" w:rsidRPr="009F4B18" w:rsidRDefault="009F4B18" w:rsidP="009F4B18">
      <w:pPr>
        <w:spacing w:line="360" w:lineRule="auto"/>
        <w:jc w:val="both"/>
        <w:rPr>
          <w:rFonts w:ascii="Arial" w:eastAsiaTheme="majorEastAsia" w:hAnsi="Arial" w:cs="Arial"/>
          <w:color w:val="000000" w:themeColor="text1"/>
        </w:rPr>
      </w:pPr>
    </w:p>
    <w:p w14:paraId="475BE8BE" w14:textId="2BFC95B2" w:rsidR="009F4B18" w:rsidRDefault="009F4B18">
      <w:pPr>
        <w:rPr>
          <w:rFonts w:asciiTheme="majorHAnsi" w:eastAsiaTheme="majorEastAsia" w:hAnsiTheme="majorHAnsi" w:cstheme="majorBidi"/>
          <w:color w:val="2F5496" w:themeColor="accent1" w:themeShade="BF"/>
          <w:sz w:val="32"/>
          <w:szCs w:val="32"/>
        </w:rPr>
      </w:pPr>
    </w:p>
    <w:p w14:paraId="14078AE2" w14:textId="64A39BAA" w:rsidR="009F4B18" w:rsidRDefault="009F4B18">
      <w:pPr>
        <w:rPr>
          <w:rFonts w:asciiTheme="majorHAnsi" w:eastAsiaTheme="majorEastAsia" w:hAnsiTheme="majorHAnsi" w:cstheme="majorBidi"/>
          <w:color w:val="2F5496" w:themeColor="accent1" w:themeShade="BF"/>
          <w:sz w:val="32"/>
          <w:szCs w:val="32"/>
        </w:rPr>
      </w:pPr>
    </w:p>
    <w:p w14:paraId="7397A571" w14:textId="3C99D84B" w:rsidR="009F4B18" w:rsidRDefault="009F4B18">
      <w:pPr>
        <w:rPr>
          <w:rFonts w:asciiTheme="majorHAnsi" w:eastAsiaTheme="majorEastAsia" w:hAnsiTheme="majorHAnsi" w:cstheme="majorBidi"/>
          <w:color w:val="2F5496" w:themeColor="accent1" w:themeShade="BF"/>
          <w:sz w:val="32"/>
          <w:szCs w:val="32"/>
        </w:rPr>
      </w:pPr>
    </w:p>
    <w:p w14:paraId="750B94A0" w14:textId="1261660A" w:rsidR="009F4B18" w:rsidRDefault="009F4B18">
      <w:pPr>
        <w:rPr>
          <w:rFonts w:asciiTheme="majorHAnsi" w:eastAsiaTheme="majorEastAsia" w:hAnsiTheme="majorHAnsi" w:cstheme="majorBidi"/>
          <w:color w:val="2F5496" w:themeColor="accent1" w:themeShade="BF"/>
          <w:sz w:val="32"/>
          <w:szCs w:val="32"/>
        </w:rPr>
      </w:pPr>
    </w:p>
    <w:p w14:paraId="3D943AF7" w14:textId="4892B098" w:rsidR="009F4B18" w:rsidRDefault="009F4B18">
      <w:pPr>
        <w:rPr>
          <w:rFonts w:asciiTheme="majorHAnsi" w:eastAsiaTheme="majorEastAsia" w:hAnsiTheme="majorHAnsi" w:cstheme="majorBidi"/>
          <w:color w:val="2F5496" w:themeColor="accent1" w:themeShade="BF"/>
          <w:sz w:val="32"/>
          <w:szCs w:val="32"/>
        </w:rPr>
      </w:pPr>
    </w:p>
    <w:p w14:paraId="3E8D9E3F" w14:textId="3018EC95" w:rsidR="009F4B18" w:rsidRDefault="009F4B18">
      <w:pPr>
        <w:rPr>
          <w:rFonts w:asciiTheme="majorHAnsi" w:eastAsiaTheme="majorEastAsia" w:hAnsiTheme="majorHAnsi" w:cstheme="majorBidi"/>
          <w:color w:val="2F5496" w:themeColor="accent1" w:themeShade="BF"/>
          <w:sz w:val="32"/>
          <w:szCs w:val="32"/>
        </w:rPr>
      </w:pPr>
    </w:p>
    <w:p w14:paraId="1C369794" w14:textId="77777777" w:rsidR="009F4B18" w:rsidRDefault="009F4B18">
      <w:pPr>
        <w:rPr>
          <w:rFonts w:asciiTheme="majorHAnsi" w:eastAsiaTheme="majorEastAsia" w:hAnsiTheme="majorHAnsi" w:cstheme="majorBidi"/>
          <w:color w:val="2F5496" w:themeColor="accent1" w:themeShade="BF"/>
          <w:sz w:val="32"/>
          <w:szCs w:val="32"/>
        </w:rPr>
      </w:pPr>
    </w:p>
    <w:p w14:paraId="217B43E6" w14:textId="6B4C85AC" w:rsidR="00A27CCA" w:rsidRDefault="00A27CCA" w:rsidP="00A27CCA">
      <w:pPr>
        <w:pStyle w:val="Heading1"/>
      </w:pPr>
      <w:bookmarkStart w:id="1" w:name="_Toc130395145"/>
      <w:r>
        <w:t>Introduction</w:t>
      </w:r>
      <w:bookmarkEnd w:id="1"/>
    </w:p>
    <w:p w14:paraId="2B228BC1" w14:textId="6758288D" w:rsidR="00A27CCA" w:rsidRDefault="00A27CCA" w:rsidP="00A27CCA"/>
    <w:p w14:paraId="3C18A754" w14:textId="77777777" w:rsidR="00A27CCA" w:rsidRPr="00A27CCA" w:rsidRDefault="00A27CCA" w:rsidP="00A27CCA"/>
    <w:p w14:paraId="0821344C" w14:textId="09A899A7" w:rsidR="00DE6A19" w:rsidRDefault="00AD76FB" w:rsidP="00862BD8">
      <w:pPr>
        <w:spacing w:line="360" w:lineRule="auto"/>
        <w:jc w:val="both"/>
      </w:pPr>
      <w:r w:rsidRPr="00862BD8">
        <w:rPr>
          <w:rFonts w:ascii="Arial" w:hAnsi="Arial" w:cs="Arial"/>
        </w:rPr>
        <w:t>The oil and gas industry is a major contributor to the global economy. It encompasses activities such as exploration, production, refining, transport, storage and marketing of petroleum products. Oil and gas are used for a variety of purposes including fuel for transportation, heating, cooking and electricity generation</w:t>
      </w:r>
      <w:r w:rsidR="00280BA5">
        <w:rPr>
          <w:rFonts w:ascii="Arial" w:hAnsi="Arial" w:cs="Arial"/>
        </w:rPr>
        <w:t xml:space="preserve"> (</w:t>
      </w:r>
      <w:r w:rsidR="00F521A4">
        <w:rPr>
          <w:rFonts w:ascii="Arial" w:hAnsi="Arial" w:cs="Arial"/>
        </w:rPr>
        <w:t>FigTree,2019).</w:t>
      </w:r>
      <w:r w:rsidRPr="00862BD8">
        <w:rPr>
          <w:rFonts w:ascii="Arial" w:hAnsi="Arial" w:cs="Arial"/>
        </w:rPr>
        <w:t xml:space="preserve"> The industry also produces chemicals used in many everyday items from plastics to pharmaceuticals. The oil and gas industry is composed of several segments that include upstream (exploration &amp; production), midstream (transportation &amp; storage) and downstream (refining &amp; marketing)</w:t>
      </w:r>
      <w:r w:rsidR="0001379E">
        <w:rPr>
          <w:rFonts w:ascii="Arial" w:hAnsi="Arial" w:cs="Arial"/>
        </w:rPr>
        <w:t xml:space="preserve"> (Darko,2014).</w:t>
      </w:r>
      <w:r w:rsidRPr="00862BD8">
        <w:rPr>
          <w:rFonts w:ascii="Arial" w:hAnsi="Arial" w:cs="Arial"/>
        </w:rPr>
        <w:t xml:space="preserve"> Each segment has its own unique set of risks associated with it. The global demand for oil and gas continues to grow at an unprecedented rate due to population growth, urbanization and economic development around the world. </w:t>
      </w:r>
    </w:p>
    <w:p w14:paraId="72B794FC" w14:textId="77777777" w:rsidR="00454364" w:rsidRDefault="00757A07" w:rsidP="00454364">
      <w:pPr>
        <w:keepNext/>
        <w:spacing w:line="360" w:lineRule="auto"/>
        <w:jc w:val="both"/>
      </w:pPr>
      <w:r>
        <w:rPr>
          <w:noProof/>
        </w:rPr>
        <w:drawing>
          <wp:inline distT="0" distB="0" distL="0" distR="0" wp14:anchorId="054365F4" wp14:editId="148EECAB">
            <wp:extent cx="3467100" cy="273285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98392" cy="2757515"/>
                    </a:xfrm>
                    <a:prstGeom prst="rect">
                      <a:avLst/>
                    </a:prstGeom>
                    <a:noFill/>
                    <a:ln>
                      <a:noFill/>
                    </a:ln>
                  </pic:spPr>
                </pic:pic>
              </a:graphicData>
            </a:graphic>
          </wp:inline>
        </w:drawing>
      </w:r>
    </w:p>
    <w:p w14:paraId="5C3A85EA" w14:textId="61D2FFE4" w:rsidR="00E32BAA" w:rsidRDefault="00454364" w:rsidP="00454364">
      <w:pPr>
        <w:pStyle w:val="Caption"/>
        <w:jc w:val="both"/>
      </w:pPr>
      <w:bookmarkStart w:id="2" w:name="_Toc129527378"/>
      <w:bookmarkStart w:id="3" w:name="_Toc129527421"/>
      <w:bookmarkStart w:id="4" w:name="_Toc129527456"/>
      <w:bookmarkStart w:id="5" w:name="_Toc129528224"/>
      <w:r>
        <w:t xml:space="preserve">Figure </w:t>
      </w:r>
      <w:fldSimple w:instr=" SEQ Figure \* ARABIC ">
        <w:r w:rsidR="00665E48">
          <w:rPr>
            <w:noProof/>
          </w:rPr>
          <w:t>1</w:t>
        </w:r>
      </w:fldSimple>
      <w:r>
        <w:t xml:space="preserve"> Oil and gas sector image map</w:t>
      </w:r>
      <w:bookmarkEnd w:id="2"/>
      <w:bookmarkEnd w:id="3"/>
      <w:bookmarkEnd w:id="4"/>
      <w:bookmarkEnd w:id="5"/>
    </w:p>
    <w:p w14:paraId="7D4A2F0D" w14:textId="21FBF2AC" w:rsidR="00D81B1D" w:rsidRDefault="00D81B1D" w:rsidP="00D81B1D"/>
    <w:p w14:paraId="59996828" w14:textId="77777777" w:rsidR="00D81B1D" w:rsidRPr="00D81B1D" w:rsidRDefault="00D81B1D" w:rsidP="00D81B1D"/>
    <w:p w14:paraId="23504ED9" w14:textId="49297F3C" w:rsidR="007700F7" w:rsidRDefault="007700F7" w:rsidP="007700F7">
      <w:pPr>
        <w:pStyle w:val="Heading2"/>
      </w:pPr>
      <w:bookmarkStart w:id="6" w:name="_Toc130395146"/>
      <w:r>
        <w:t>Pembina Pipeline Corporation</w:t>
      </w:r>
      <w:bookmarkEnd w:id="6"/>
    </w:p>
    <w:p w14:paraId="19B98D7C" w14:textId="2897A414" w:rsidR="007700F7" w:rsidRDefault="007700F7" w:rsidP="009A05D9">
      <w:pPr>
        <w:spacing w:line="360" w:lineRule="auto"/>
        <w:jc w:val="both"/>
        <w:rPr>
          <w:rFonts w:ascii="Arial" w:hAnsi="Arial" w:cs="Arial"/>
        </w:rPr>
      </w:pPr>
    </w:p>
    <w:p w14:paraId="65D226DF" w14:textId="7C1889E0" w:rsidR="00A27CCA" w:rsidRDefault="00DA466E" w:rsidP="009A05D9">
      <w:pPr>
        <w:spacing w:line="360" w:lineRule="auto"/>
        <w:jc w:val="both"/>
        <w:rPr>
          <w:rFonts w:ascii="Arial" w:hAnsi="Arial" w:cs="Arial"/>
        </w:rPr>
      </w:pPr>
      <w:r w:rsidRPr="00DA466E">
        <w:rPr>
          <w:rFonts w:ascii="Arial" w:hAnsi="Arial" w:cs="Arial"/>
        </w:rPr>
        <w:t>The Pembina Pipeline Corporation has been providing customers with midstream and energy transportation services for more than 65 years.</w:t>
      </w:r>
      <w:r w:rsidR="00BF0F43">
        <w:rPr>
          <w:rFonts w:ascii="Arial" w:hAnsi="Arial" w:cs="Arial"/>
        </w:rPr>
        <w:t xml:space="preserve"> (Pembina</w:t>
      </w:r>
      <w:r w:rsidR="00023FCB">
        <w:rPr>
          <w:rFonts w:ascii="Arial" w:hAnsi="Arial" w:cs="Arial"/>
        </w:rPr>
        <w:t>,2020).</w:t>
      </w:r>
      <w:r w:rsidR="00D4511A">
        <w:rPr>
          <w:rFonts w:ascii="Arial" w:hAnsi="Arial" w:cs="Arial"/>
        </w:rPr>
        <w:t xml:space="preserve"> </w:t>
      </w:r>
      <w:r w:rsidR="00D4511A" w:rsidRPr="00D4511A">
        <w:rPr>
          <w:rFonts w:ascii="Arial" w:hAnsi="Arial" w:cs="Arial"/>
        </w:rPr>
        <w:t xml:space="preserve">The Pembina Pipeline Corp. offers midstream and transportation services. Pipelines, Facilities, Marketing and New </w:t>
      </w:r>
      <w:r w:rsidR="00D4511A" w:rsidRPr="00D4511A">
        <w:rPr>
          <w:rFonts w:ascii="Arial" w:hAnsi="Arial" w:cs="Arial"/>
        </w:rPr>
        <w:lastRenderedPageBreak/>
        <w:t xml:space="preserve">Ventures, and Corporate make up its operating divisions. The Pipelines segment consists of conventional, oil sands, and transmission pipeline networks, as well as supporting infrastructure, storage, and </w:t>
      </w:r>
      <w:r w:rsidR="000C4EAB" w:rsidRPr="00D4511A">
        <w:rPr>
          <w:rFonts w:ascii="Arial" w:hAnsi="Arial" w:cs="Arial"/>
        </w:rPr>
        <w:t>spread</w:t>
      </w:r>
      <w:r w:rsidR="000C4EAB">
        <w:rPr>
          <w:rFonts w:ascii="Arial" w:hAnsi="Arial" w:cs="Arial"/>
        </w:rPr>
        <w:t xml:space="preserve"> </w:t>
      </w:r>
      <w:r w:rsidR="00D4511A" w:rsidRPr="00D4511A">
        <w:rPr>
          <w:rFonts w:ascii="Arial" w:hAnsi="Arial" w:cs="Arial"/>
        </w:rPr>
        <w:t>operations for crude oil. The Facilities division includes the processing, fractionation, and supporting infrastructure needed to provide natural gas and NGL services to the company's clients. The Marketing and New Ventures division engages in value-added commodity marketing activities, such as purchasing and reselling goods and maximising storage possibilities. The business was established on September 29, 1954, and has its headquarters in Calgary, Canada</w:t>
      </w:r>
      <w:r w:rsidR="00A455BD">
        <w:rPr>
          <w:rFonts w:ascii="Arial" w:hAnsi="Arial" w:cs="Arial"/>
        </w:rPr>
        <w:t xml:space="preserve"> (</w:t>
      </w:r>
      <w:r w:rsidR="00A05B2C">
        <w:rPr>
          <w:rFonts w:ascii="Arial" w:hAnsi="Arial" w:cs="Arial"/>
        </w:rPr>
        <w:t>Forbes,2023).</w:t>
      </w:r>
    </w:p>
    <w:p w14:paraId="32924C47" w14:textId="77777777" w:rsidR="002A6E30" w:rsidRDefault="002A6E30" w:rsidP="009A05D9">
      <w:pPr>
        <w:spacing w:line="360" w:lineRule="auto"/>
        <w:jc w:val="both"/>
        <w:rPr>
          <w:rFonts w:ascii="Arial" w:hAnsi="Arial" w:cs="Arial"/>
        </w:rPr>
      </w:pPr>
    </w:p>
    <w:tbl>
      <w:tblPr>
        <w:tblStyle w:val="TableGrid"/>
        <w:tblW w:w="0" w:type="auto"/>
        <w:tblLook w:val="04A0" w:firstRow="1" w:lastRow="0" w:firstColumn="1" w:lastColumn="0" w:noHBand="0" w:noVBand="1"/>
      </w:tblPr>
      <w:tblGrid>
        <w:gridCol w:w="1783"/>
        <w:gridCol w:w="1893"/>
        <w:gridCol w:w="1942"/>
        <w:gridCol w:w="1846"/>
        <w:gridCol w:w="1552"/>
      </w:tblGrid>
      <w:tr w:rsidR="005F6251" w14:paraId="0B02A1C4" w14:textId="77777777" w:rsidTr="00B256DB">
        <w:tc>
          <w:tcPr>
            <w:tcW w:w="1783" w:type="dxa"/>
          </w:tcPr>
          <w:p w14:paraId="032F9B9F" w14:textId="77777777" w:rsidR="005F6251" w:rsidRPr="002479B5" w:rsidRDefault="005F6251" w:rsidP="00B256DB">
            <w:pPr>
              <w:rPr>
                <w:b/>
                <w:bCs/>
              </w:rPr>
            </w:pPr>
            <w:bookmarkStart w:id="7" w:name="_Hlk130393949"/>
            <w:r w:rsidRPr="002479B5">
              <w:rPr>
                <w:b/>
                <w:bCs/>
              </w:rPr>
              <w:t>Market share</w:t>
            </w:r>
          </w:p>
        </w:tc>
        <w:tc>
          <w:tcPr>
            <w:tcW w:w="1893" w:type="dxa"/>
          </w:tcPr>
          <w:p w14:paraId="5471DB7B" w14:textId="77777777" w:rsidR="005F6251" w:rsidRPr="002479B5" w:rsidRDefault="005F6251" w:rsidP="00B256DB">
            <w:pPr>
              <w:rPr>
                <w:b/>
                <w:bCs/>
              </w:rPr>
            </w:pPr>
            <w:r w:rsidRPr="002479B5">
              <w:rPr>
                <w:b/>
                <w:bCs/>
              </w:rPr>
              <w:t xml:space="preserve">Number of employees </w:t>
            </w:r>
          </w:p>
        </w:tc>
        <w:tc>
          <w:tcPr>
            <w:tcW w:w="1942" w:type="dxa"/>
          </w:tcPr>
          <w:p w14:paraId="2EFDEAC8" w14:textId="77777777" w:rsidR="005F6251" w:rsidRPr="002479B5" w:rsidRDefault="005F6251" w:rsidP="00B256DB">
            <w:pPr>
              <w:rPr>
                <w:b/>
                <w:bCs/>
              </w:rPr>
            </w:pPr>
            <w:r w:rsidRPr="002479B5">
              <w:rPr>
                <w:b/>
                <w:bCs/>
              </w:rPr>
              <w:t>Competitors</w:t>
            </w:r>
          </w:p>
        </w:tc>
        <w:tc>
          <w:tcPr>
            <w:tcW w:w="1846" w:type="dxa"/>
          </w:tcPr>
          <w:p w14:paraId="5E24D71E" w14:textId="77777777" w:rsidR="005F6251" w:rsidRPr="002479B5" w:rsidRDefault="005F6251" w:rsidP="00B256DB">
            <w:pPr>
              <w:rPr>
                <w:b/>
                <w:bCs/>
              </w:rPr>
            </w:pPr>
            <w:r w:rsidRPr="002479B5">
              <w:rPr>
                <w:b/>
                <w:bCs/>
              </w:rPr>
              <w:t>Product</w:t>
            </w:r>
          </w:p>
        </w:tc>
        <w:tc>
          <w:tcPr>
            <w:tcW w:w="1552" w:type="dxa"/>
          </w:tcPr>
          <w:p w14:paraId="465D7948" w14:textId="77777777" w:rsidR="005F6251" w:rsidRPr="002479B5" w:rsidRDefault="005F6251" w:rsidP="00B256DB">
            <w:pPr>
              <w:rPr>
                <w:b/>
                <w:bCs/>
              </w:rPr>
            </w:pPr>
            <w:r>
              <w:rPr>
                <w:b/>
                <w:bCs/>
              </w:rPr>
              <w:t>Customers</w:t>
            </w:r>
          </w:p>
        </w:tc>
      </w:tr>
      <w:bookmarkEnd w:id="7"/>
      <w:tr w:rsidR="005F6251" w:rsidRPr="007A3FA0" w14:paraId="352E2833" w14:textId="77777777" w:rsidTr="00B256DB">
        <w:tc>
          <w:tcPr>
            <w:tcW w:w="1783" w:type="dxa"/>
          </w:tcPr>
          <w:p w14:paraId="7F04912D" w14:textId="77777777" w:rsidR="005F6251" w:rsidRDefault="005F6251" w:rsidP="00B256DB">
            <w:pPr>
              <w:rPr>
                <w:rFonts w:ascii="Arial" w:hAnsi="Arial" w:cs="Arial"/>
              </w:rPr>
            </w:pPr>
          </w:p>
          <w:p w14:paraId="6D42554B" w14:textId="77777777" w:rsidR="005F6251" w:rsidRDefault="005F6251" w:rsidP="00B256DB">
            <w:pPr>
              <w:rPr>
                <w:rFonts w:ascii="Arial" w:hAnsi="Arial" w:cs="Arial"/>
              </w:rPr>
            </w:pPr>
          </w:p>
          <w:p w14:paraId="24CF1875" w14:textId="3FA75045" w:rsidR="005F6251" w:rsidRPr="007A3FA0" w:rsidRDefault="005F6251" w:rsidP="00B256DB">
            <w:pPr>
              <w:rPr>
                <w:rFonts w:ascii="Arial" w:hAnsi="Arial" w:cs="Arial"/>
              </w:rPr>
            </w:pPr>
            <w:r>
              <w:rPr>
                <w:rFonts w:ascii="Arial" w:hAnsi="Arial" w:cs="Arial"/>
              </w:rPr>
              <w:t>$1</w:t>
            </w:r>
            <w:r w:rsidR="00E72DAF">
              <w:rPr>
                <w:rFonts w:ascii="Arial" w:hAnsi="Arial" w:cs="Arial"/>
              </w:rPr>
              <w:t>57</w:t>
            </w:r>
            <w:r w:rsidR="007B11C5">
              <w:rPr>
                <w:rFonts w:ascii="Arial" w:hAnsi="Arial" w:cs="Arial"/>
              </w:rPr>
              <w:t>.75</w:t>
            </w:r>
            <w:r>
              <w:rPr>
                <w:rFonts w:ascii="Arial" w:hAnsi="Arial" w:cs="Arial"/>
              </w:rPr>
              <w:t xml:space="preserve"> Billion</w:t>
            </w:r>
          </w:p>
        </w:tc>
        <w:tc>
          <w:tcPr>
            <w:tcW w:w="1893" w:type="dxa"/>
          </w:tcPr>
          <w:p w14:paraId="37E9FDDF" w14:textId="77777777" w:rsidR="005F6251" w:rsidRPr="007A3FA0" w:rsidRDefault="005F6251" w:rsidP="00B256DB">
            <w:pPr>
              <w:rPr>
                <w:rFonts w:ascii="Arial" w:hAnsi="Arial" w:cs="Arial"/>
              </w:rPr>
            </w:pPr>
            <w:r w:rsidRPr="007A3FA0">
              <w:rPr>
                <w:rFonts w:ascii="Arial" w:hAnsi="Arial" w:cs="Arial"/>
              </w:rPr>
              <w:t xml:space="preserve">        </w:t>
            </w:r>
          </w:p>
          <w:p w14:paraId="26BD24C9" w14:textId="77777777" w:rsidR="005F6251" w:rsidRDefault="005F6251" w:rsidP="00B256DB">
            <w:pPr>
              <w:rPr>
                <w:rFonts w:ascii="Arial" w:hAnsi="Arial" w:cs="Arial"/>
              </w:rPr>
            </w:pPr>
            <w:r w:rsidRPr="007A3FA0">
              <w:rPr>
                <w:rFonts w:ascii="Arial" w:hAnsi="Arial" w:cs="Arial"/>
              </w:rPr>
              <w:t xml:space="preserve">            </w:t>
            </w:r>
          </w:p>
          <w:p w14:paraId="41390584" w14:textId="75ED1B67" w:rsidR="005F6251" w:rsidRPr="007A3FA0" w:rsidRDefault="005F6251" w:rsidP="00B256DB">
            <w:pPr>
              <w:rPr>
                <w:rFonts w:ascii="Arial" w:hAnsi="Arial" w:cs="Arial"/>
              </w:rPr>
            </w:pPr>
            <w:r>
              <w:rPr>
                <w:rFonts w:ascii="Arial" w:hAnsi="Arial" w:cs="Arial"/>
              </w:rPr>
              <w:t xml:space="preserve">        </w:t>
            </w:r>
            <w:r w:rsidRPr="007A3FA0">
              <w:rPr>
                <w:rFonts w:ascii="Arial" w:hAnsi="Arial" w:cs="Arial"/>
              </w:rPr>
              <w:t>1</w:t>
            </w:r>
            <w:r w:rsidR="007B11C5">
              <w:rPr>
                <w:rFonts w:ascii="Arial" w:hAnsi="Arial" w:cs="Arial"/>
              </w:rPr>
              <w:t>00,000</w:t>
            </w:r>
          </w:p>
        </w:tc>
        <w:tc>
          <w:tcPr>
            <w:tcW w:w="1942" w:type="dxa"/>
          </w:tcPr>
          <w:p w14:paraId="43957245" w14:textId="77777777" w:rsidR="005F6251" w:rsidRPr="007A3FA0" w:rsidRDefault="005F6251" w:rsidP="00B256DB">
            <w:pPr>
              <w:rPr>
                <w:rFonts w:ascii="Arial" w:hAnsi="Arial" w:cs="Arial"/>
              </w:rPr>
            </w:pPr>
            <w:r w:rsidRPr="007A3FA0">
              <w:rPr>
                <w:rFonts w:ascii="Arial" w:hAnsi="Arial" w:cs="Arial"/>
              </w:rPr>
              <w:t>DCP Midstream LP</w:t>
            </w:r>
          </w:p>
          <w:p w14:paraId="574D8852" w14:textId="77777777" w:rsidR="005F6251" w:rsidRPr="007A3FA0" w:rsidRDefault="005F6251" w:rsidP="00B256DB">
            <w:pPr>
              <w:rPr>
                <w:rFonts w:ascii="Arial" w:hAnsi="Arial" w:cs="Arial"/>
              </w:rPr>
            </w:pPr>
            <w:r w:rsidRPr="007A3FA0">
              <w:rPr>
                <w:rFonts w:ascii="Arial" w:hAnsi="Arial" w:cs="Arial"/>
              </w:rPr>
              <w:t>Canadian Utilities Ltd</w:t>
            </w:r>
          </w:p>
          <w:p w14:paraId="5473A806" w14:textId="77777777" w:rsidR="005F6251" w:rsidRPr="007A3FA0" w:rsidRDefault="005F6251" w:rsidP="00B256DB">
            <w:pPr>
              <w:rPr>
                <w:rFonts w:ascii="Arial" w:hAnsi="Arial" w:cs="Arial"/>
              </w:rPr>
            </w:pPr>
            <w:r w:rsidRPr="007A3FA0">
              <w:rPr>
                <w:rFonts w:ascii="Arial" w:hAnsi="Arial" w:cs="Arial"/>
              </w:rPr>
              <w:t>Inter Pipeline Ltd</w:t>
            </w:r>
          </w:p>
          <w:p w14:paraId="7401E025" w14:textId="77777777" w:rsidR="005F6251" w:rsidRPr="007A3FA0" w:rsidRDefault="005F6251" w:rsidP="00B256DB">
            <w:pPr>
              <w:rPr>
                <w:rFonts w:ascii="Arial" w:hAnsi="Arial" w:cs="Arial"/>
              </w:rPr>
            </w:pPr>
            <w:r w:rsidRPr="007A3FA0">
              <w:rPr>
                <w:rFonts w:ascii="Arial" w:hAnsi="Arial" w:cs="Arial"/>
              </w:rPr>
              <w:t>Frontera Energy Corp</w:t>
            </w:r>
          </w:p>
        </w:tc>
        <w:tc>
          <w:tcPr>
            <w:tcW w:w="1846" w:type="dxa"/>
          </w:tcPr>
          <w:p w14:paraId="7534F4D1" w14:textId="78E3C4BC" w:rsidR="004D78BF" w:rsidRPr="007A3FA0" w:rsidRDefault="004D78BF" w:rsidP="004D78BF">
            <w:pPr>
              <w:rPr>
                <w:rFonts w:ascii="Arial" w:hAnsi="Arial" w:cs="Arial"/>
              </w:rPr>
            </w:pPr>
            <w:r w:rsidRPr="004D78BF">
              <w:rPr>
                <w:rFonts w:ascii="Arial" w:hAnsi="Arial" w:cs="Arial"/>
              </w:rPr>
              <w:t>Fuels, lubricants, bitumen, natural gas, special fluids and fuel additives, power and solar photovoltaic solutions</w:t>
            </w:r>
            <w:r w:rsidRPr="004D78BF">
              <w:rPr>
                <w:rFonts w:ascii="Arial" w:hAnsi="Arial" w:cs="Arial"/>
              </w:rPr>
              <w:tab/>
            </w:r>
          </w:p>
          <w:p w14:paraId="45327A98" w14:textId="6F4E081D" w:rsidR="005F6251" w:rsidRPr="007A3FA0" w:rsidRDefault="005F6251" w:rsidP="004D78BF">
            <w:pPr>
              <w:rPr>
                <w:rFonts w:ascii="Arial" w:hAnsi="Arial" w:cs="Arial"/>
              </w:rPr>
            </w:pPr>
          </w:p>
        </w:tc>
        <w:tc>
          <w:tcPr>
            <w:tcW w:w="1552" w:type="dxa"/>
          </w:tcPr>
          <w:p w14:paraId="61E61C2E" w14:textId="77777777" w:rsidR="004D78BF" w:rsidRPr="004D78BF" w:rsidRDefault="004D78BF" w:rsidP="004D78BF">
            <w:pPr>
              <w:keepNext/>
              <w:rPr>
                <w:rFonts w:ascii="Arial" w:hAnsi="Arial" w:cs="Arial"/>
              </w:rPr>
            </w:pPr>
            <w:r w:rsidRPr="004D78BF">
              <w:rPr>
                <w:rFonts w:ascii="Arial" w:hAnsi="Arial" w:cs="Arial"/>
              </w:rPr>
              <w:t>Private aviation</w:t>
            </w:r>
          </w:p>
          <w:p w14:paraId="53D3F63D" w14:textId="77777777" w:rsidR="004D78BF" w:rsidRPr="004D78BF" w:rsidRDefault="004D78BF" w:rsidP="004D78BF">
            <w:pPr>
              <w:keepNext/>
              <w:rPr>
                <w:rFonts w:ascii="Arial" w:hAnsi="Arial" w:cs="Arial"/>
              </w:rPr>
            </w:pPr>
            <w:r w:rsidRPr="004D78BF">
              <w:rPr>
                <w:rFonts w:ascii="Arial" w:hAnsi="Arial" w:cs="Arial"/>
              </w:rPr>
              <w:t>Home heating</w:t>
            </w:r>
          </w:p>
          <w:p w14:paraId="059A60B9" w14:textId="77777777" w:rsidR="004D78BF" w:rsidRPr="004D78BF" w:rsidRDefault="004D78BF" w:rsidP="004D78BF">
            <w:pPr>
              <w:keepNext/>
              <w:rPr>
                <w:rFonts w:ascii="Arial" w:hAnsi="Arial" w:cs="Arial"/>
              </w:rPr>
            </w:pPr>
            <w:r w:rsidRPr="004D78BF">
              <w:rPr>
                <w:rFonts w:ascii="Arial" w:hAnsi="Arial" w:cs="Arial"/>
              </w:rPr>
              <w:t>Natural gas and power</w:t>
            </w:r>
          </w:p>
          <w:p w14:paraId="0E7D5587" w14:textId="77777777" w:rsidR="004D78BF" w:rsidRPr="004D78BF" w:rsidRDefault="004D78BF" w:rsidP="004D78BF">
            <w:pPr>
              <w:keepNext/>
              <w:rPr>
                <w:rFonts w:ascii="Arial" w:hAnsi="Arial" w:cs="Arial"/>
              </w:rPr>
            </w:pPr>
            <w:r w:rsidRPr="004D78BF">
              <w:rPr>
                <w:rFonts w:ascii="Arial" w:hAnsi="Arial" w:cs="Arial"/>
              </w:rPr>
              <w:t>Solar solutions</w:t>
            </w:r>
          </w:p>
          <w:p w14:paraId="7946D7FC" w14:textId="77777777" w:rsidR="004D78BF" w:rsidRPr="004D78BF" w:rsidRDefault="004D78BF" w:rsidP="004D78BF">
            <w:pPr>
              <w:keepNext/>
              <w:rPr>
                <w:rFonts w:ascii="Arial" w:hAnsi="Arial" w:cs="Arial"/>
              </w:rPr>
            </w:pPr>
            <w:r w:rsidRPr="004D78BF">
              <w:rPr>
                <w:rFonts w:ascii="Arial" w:hAnsi="Arial" w:cs="Arial"/>
              </w:rPr>
              <w:t>Service stations</w:t>
            </w:r>
          </w:p>
          <w:p w14:paraId="2D83D279" w14:textId="2DD8C460" w:rsidR="005F6251" w:rsidRPr="007A3FA0" w:rsidRDefault="004D78BF" w:rsidP="004D78BF">
            <w:pPr>
              <w:keepNext/>
              <w:rPr>
                <w:rFonts w:ascii="Arial" w:hAnsi="Arial" w:cs="Arial"/>
              </w:rPr>
            </w:pPr>
            <w:r w:rsidRPr="004D78BF">
              <w:rPr>
                <w:rFonts w:ascii="Arial" w:hAnsi="Arial" w:cs="Arial"/>
              </w:rPr>
              <w:t>Car wash</w:t>
            </w:r>
          </w:p>
        </w:tc>
      </w:tr>
    </w:tbl>
    <w:p w14:paraId="546A0799" w14:textId="1C25F078" w:rsidR="00742127" w:rsidRDefault="006A2511" w:rsidP="006A2511">
      <w:pPr>
        <w:pStyle w:val="Caption"/>
        <w:rPr>
          <w:rFonts w:ascii="Arial" w:hAnsi="Arial" w:cs="Arial"/>
        </w:rPr>
      </w:pPr>
      <w:bookmarkStart w:id="8" w:name="_Toc129527379"/>
      <w:bookmarkStart w:id="9" w:name="_Toc129527422"/>
      <w:bookmarkStart w:id="10" w:name="_Toc129527457"/>
      <w:bookmarkStart w:id="11" w:name="_Toc129528225"/>
      <w:r>
        <w:t xml:space="preserve">Figure </w:t>
      </w:r>
      <w:fldSimple w:instr=" SEQ Figure \* ARABIC ">
        <w:r w:rsidR="00665E48">
          <w:rPr>
            <w:noProof/>
          </w:rPr>
          <w:t>2</w:t>
        </w:r>
      </w:fldSimple>
      <w:r>
        <w:t xml:space="preserve"> Brief Overview of Pembina Pipeline</w:t>
      </w:r>
      <w:bookmarkEnd w:id="8"/>
      <w:bookmarkEnd w:id="9"/>
      <w:bookmarkEnd w:id="10"/>
      <w:bookmarkEnd w:id="11"/>
    </w:p>
    <w:p w14:paraId="1730F459" w14:textId="56DBBBE9" w:rsidR="00623C67" w:rsidRDefault="00623C67" w:rsidP="009A05D9">
      <w:pPr>
        <w:spacing w:line="360" w:lineRule="auto"/>
        <w:jc w:val="both"/>
        <w:rPr>
          <w:rFonts w:ascii="Arial" w:hAnsi="Arial" w:cs="Arial"/>
        </w:rPr>
      </w:pPr>
    </w:p>
    <w:p w14:paraId="7001D0E6" w14:textId="58D0B501" w:rsidR="00D81B1D" w:rsidRDefault="00D81B1D" w:rsidP="00173597">
      <w:pPr>
        <w:pStyle w:val="Heading2"/>
      </w:pPr>
      <w:bookmarkStart w:id="12" w:name="_Toc130395147"/>
      <w:r>
        <w:t>Total Energies Se</w:t>
      </w:r>
      <w:bookmarkEnd w:id="12"/>
    </w:p>
    <w:p w14:paraId="2681212A" w14:textId="77777777" w:rsidR="00173597" w:rsidRDefault="00173597" w:rsidP="009A05D9">
      <w:pPr>
        <w:spacing w:line="360" w:lineRule="auto"/>
        <w:jc w:val="both"/>
        <w:rPr>
          <w:rFonts w:ascii="Arial" w:hAnsi="Arial" w:cs="Arial"/>
        </w:rPr>
      </w:pPr>
    </w:p>
    <w:p w14:paraId="30B516BA" w14:textId="2552EC6C" w:rsidR="00DD7DD9" w:rsidRDefault="00575A54" w:rsidP="009A05D9">
      <w:pPr>
        <w:spacing w:line="360" w:lineRule="auto"/>
        <w:jc w:val="both"/>
        <w:rPr>
          <w:rFonts w:ascii="Arial" w:hAnsi="Arial" w:cs="Arial"/>
        </w:rPr>
      </w:pPr>
      <w:r>
        <w:rPr>
          <w:rFonts w:ascii="Arial" w:hAnsi="Arial" w:cs="Arial"/>
        </w:rPr>
        <w:t xml:space="preserve">The company </w:t>
      </w:r>
      <w:r w:rsidR="00BE0214" w:rsidRPr="00BE0214">
        <w:rPr>
          <w:rFonts w:ascii="Arial" w:hAnsi="Arial" w:cs="Arial"/>
        </w:rPr>
        <w:t>was founded in 1924 with the goal of enabling France to play a significant role in the big oil and gas adventure, and it has always been motivated by a true pioneering spirit. Some of the world's most fruitful fields have been found by it</w:t>
      </w:r>
      <w:r w:rsidR="00FB7537">
        <w:rPr>
          <w:rFonts w:ascii="Arial" w:hAnsi="Arial" w:cs="Arial"/>
        </w:rPr>
        <w:t xml:space="preserve"> </w:t>
      </w:r>
      <w:r w:rsidR="00C42AF6">
        <w:rPr>
          <w:rFonts w:ascii="Arial" w:hAnsi="Arial" w:cs="Arial"/>
        </w:rPr>
        <w:t>(</w:t>
      </w:r>
      <w:r w:rsidR="00FB7537">
        <w:rPr>
          <w:rFonts w:ascii="Arial" w:hAnsi="Arial" w:cs="Arial"/>
        </w:rPr>
        <w:t xml:space="preserve">Totalenergies,2023). </w:t>
      </w:r>
      <w:r w:rsidR="00DD7DD9" w:rsidRPr="00DD7DD9">
        <w:rPr>
          <w:rFonts w:ascii="Arial" w:hAnsi="Arial" w:cs="Arial"/>
        </w:rPr>
        <w:t xml:space="preserve">The integrated worldwide multi-energy corporation </w:t>
      </w:r>
      <w:r w:rsidR="00083C86" w:rsidRPr="00DD7DD9">
        <w:rPr>
          <w:rFonts w:ascii="Arial" w:hAnsi="Arial" w:cs="Arial"/>
        </w:rPr>
        <w:t>Total Energies</w:t>
      </w:r>
      <w:r w:rsidR="00DD7DD9" w:rsidRPr="00DD7DD9">
        <w:rPr>
          <w:rFonts w:ascii="Arial" w:hAnsi="Arial" w:cs="Arial"/>
        </w:rPr>
        <w:t xml:space="preserve"> SE, formerly known as Total SE, produces energy from renewable sources, oil and biofuels, natural gas and green gases, and other sources. Drilling, oil and gas production, processing, shipping, refining, petrochemical manufacture, storage, and distribution of petroleum products and speciality chemicals are all done by this company. It works in the field of renewable energy and engages in gas trading and power generating. </w:t>
      </w:r>
      <w:r w:rsidR="00083C86" w:rsidRPr="00DD7DD9">
        <w:rPr>
          <w:rFonts w:ascii="Arial" w:hAnsi="Arial" w:cs="Arial"/>
        </w:rPr>
        <w:t>Total Energies</w:t>
      </w:r>
      <w:r w:rsidR="00DD7DD9" w:rsidRPr="00DD7DD9">
        <w:rPr>
          <w:rFonts w:ascii="Arial" w:hAnsi="Arial" w:cs="Arial"/>
        </w:rPr>
        <w:t xml:space="preserve"> trades on multiple derivative markets, charters ships, and provides feedstock to chemical factories. The business provides consumer services to the manufacturing, transportation, automotive, aerospace, energy, and housing sectors. It conducts business in North and South America as well as Asia-Pacific, Africa, Europe, and the Middle East.</w:t>
      </w:r>
    </w:p>
    <w:p w14:paraId="7944A30E" w14:textId="67CEB0EA" w:rsidR="002A6E30" w:rsidRDefault="002A6E30" w:rsidP="009A05D9">
      <w:pPr>
        <w:spacing w:line="360" w:lineRule="auto"/>
        <w:jc w:val="both"/>
        <w:rPr>
          <w:rFonts w:ascii="Arial" w:hAnsi="Arial" w:cs="Arial"/>
        </w:rPr>
      </w:pPr>
    </w:p>
    <w:p w14:paraId="7F65E6AF" w14:textId="034FB413" w:rsidR="002A6E30" w:rsidRDefault="002A6E30" w:rsidP="009A05D9">
      <w:pPr>
        <w:spacing w:line="360" w:lineRule="auto"/>
        <w:jc w:val="both"/>
        <w:rPr>
          <w:rFonts w:ascii="Arial" w:hAnsi="Arial" w:cs="Arial"/>
        </w:rPr>
      </w:pPr>
    </w:p>
    <w:p w14:paraId="23BBF0FB" w14:textId="77777777" w:rsidR="002A6E30" w:rsidRDefault="002A6E30" w:rsidP="009A05D9">
      <w:pPr>
        <w:spacing w:line="360" w:lineRule="auto"/>
        <w:jc w:val="both"/>
        <w:rPr>
          <w:rFonts w:ascii="Arial" w:hAnsi="Arial" w:cs="Arial"/>
        </w:rPr>
      </w:pPr>
    </w:p>
    <w:tbl>
      <w:tblPr>
        <w:tblStyle w:val="TableGrid"/>
        <w:tblW w:w="0" w:type="auto"/>
        <w:tblLook w:val="04A0" w:firstRow="1" w:lastRow="0" w:firstColumn="1" w:lastColumn="0" w:noHBand="0" w:noVBand="1"/>
      </w:tblPr>
      <w:tblGrid>
        <w:gridCol w:w="1783"/>
        <w:gridCol w:w="1893"/>
        <w:gridCol w:w="1942"/>
        <w:gridCol w:w="1846"/>
        <w:gridCol w:w="1552"/>
      </w:tblGrid>
      <w:tr w:rsidR="002A6E30" w14:paraId="3C3437EF" w14:textId="77777777" w:rsidTr="00B256DB">
        <w:tc>
          <w:tcPr>
            <w:tcW w:w="1783" w:type="dxa"/>
          </w:tcPr>
          <w:p w14:paraId="34D1FF53" w14:textId="77777777" w:rsidR="002A6E30" w:rsidRPr="002479B5" w:rsidRDefault="002A6E30" w:rsidP="00B256DB">
            <w:pPr>
              <w:rPr>
                <w:b/>
                <w:bCs/>
              </w:rPr>
            </w:pPr>
            <w:r w:rsidRPr="002479B5">
              <w:rPr>
                <w:b/>
                <w:bCs/>
              </w:rPr>
              <w:t>Market share</w:t>
            </w:r>
          </w:p>
        </w:tc>
        <w:tc>
          <w:tcPr>
            <w:tcW w:w="1893" w:type="dxa"/>
          </w:tcPr>
          <w:p w14:paraId="773CD0F7" w14:textId="77777777" w:rsidR="002A6E30" w:rsidRPr="002479B5" w:rsidRDefault="002A6E30" w:rsidP="00B256DB">
            <w:pPr>
              <w:rPr>
                <w:b/>
                <w:bCs/>
              </w:rPr>
            </w:pPr>
            <w:r w:rsidRPr="002479B5">
              <w:rPr>
                <w:b/>
                <w:bCs/>
              </w:rPr>
              <w:t xml:space="preserve">Number of employees </w:t>
            </w:r>
          </w:p>
        </w:tc>
        <w:tc>
          <w:tcPr>
            <w:tcW w:w="1942" w:type="dxa"/>
          </w:tcPr>
          <w:p w14:paraId="73298E4F" w14:textId="77777777" w:rsidR="002A6E30" w:rsidRPr="002479B5" w:rsidRDefault="002A6E30" w:rsidP="00B256DB">
            <w:pPr>
              <w:rPr>
                <w:b/>
                <w:bCs/>
              </w:rPr>
            </w:pPr>
            <w:r w:rsidRPr="002479B5">
              <w:rPr>
                <w:b/>
                <w:bCs/>
              </w:rPr>
              <w:t>Competitors</w:t>
            </w:r>
          </w:p>
        </w:tc>
        <w:tc>
          <w:tcPr>
            <w:tcW w:w="1846" w:type="dxa"/>
          </w:tcPr>
          <w:p w14:paraId="1C457333" w14:textId="77777777" w:rsidR="002A6E30" w:rsidRPr="002479B5" w:rsidRDefault="002A6E30" w:rsidP="00B256DB">
            <w:pPr>
              <w:rPr>
                <w:b/>
                <w:bCs/>
              </w:rPr>
            </w:pPr>
            <w:r w:rsidRPr="002479B5">
              <w:rPr>
                <w:b/>
                <w:bCs/>
              </w:rPr>
              <w:t>Product</w:t>
            </w:r>
          </w:p>
        </w:tc>
        <w:tc>
          <w:tcPr>
            <w:tcW w:w="1552" w:type="dxa"/>
          </w:tcPr>
          <w:p w14:paraId="2F6120CD" w14:textId="77777777" w:rsidR="002A6E30" w:rsidRPr="002479B5" w:rsidRDefault="002A6E30" w:rsidP="00B256DB">
            <w:pPr>
              <w:rPr>
                <w:b/>
                <w:bCs/>
              </w:rPr>
            </w:pPr>
            <w:r>
              <w:rPr>
                <w:b/>
                <w:bCs/>
              </w:rPr>
              <w:t>Customers</w:t>
            </w:r>
          </w:p>
        </w:tc>
      </w:tr>
      <w:tr w:rsidR="002A6E30" w:rsidRPr="007A3FA0" w14:paraId="426FD657" w14:textId="77777777" w:rsidTr="00B256DB">
        <w:tc>
          <w:tcPr>
            <w:tcW w:w="1783" w:type="dxa"/>
          </w:tcPr>
          <w:p w14:paraId="3A528F09" w14:textId="77777777" w:rsidR="002A6E30" w:rsidRDefault="002A6E30" w:rsidP="00B256DB">
            <w:pPr>
              <w:rPr>
                <w:rFonts w:ascii="Arial" w:hAnsi="Arial" w:cs="Arial"/>
              </w:rPr>
            </w:pPr>
          </w:p>
          <w:p w14:paraId="0C46237D" w14:textId="77777777" w:rsidR="002A6E30" w:rsidRDefault="002A6E30" w:rsidP="00B256DB">
            <w:pPr>
              <w:rPr>
                <w:rFonts w:ascii="Arial" w:hAnsi="Arial" w:cs="Arial"/>
              </w:rPr>
            </w:pPr>
          </w:p>
          <w:p w14:paraId="79CC365E" w14:textId="7081722A" w:rsidR="002A6E30" w:rsidRPr="007A3FA0" w:rsidRDefault="002A6E30" w:rsidP="00B256DB">
            <w:pPr>
              <w:rPr>
                <w:rFonts w:ascii="Arial" w:hAnsi="Arial" w:cs="Arial"/>
              </w:rPr>
            </w:pPr>
            <w:r>
              <w:rPr>
                <w:rFonts w:ascii="Arial" w:hAnsi="Arial" w:cs="Arial"/>
              </w:rPr>
              <w:t>$1</w:t>
            </w:r>
            <w:r w:rsidR="007B11C5">
              <w:rPr>
                <w:rFonts w:ascii="Arial" w:hAnsi="Arial" w:cs="Arial"/>
              </w:rPr>
              <w:t>9.27</w:t>
            </w:r>
            <w:r>
              <w:rPr>
                <w:rFonts w:ascii="Arial" w:hAnsi="Arial" w:cs="Arial"/>
              </w:rPr>
              <w:t xml:space="preserve"> Billion</w:t>
            </w:r>
          </w:p>
        </w:tc>
        <w:tc>
          <w:tcPr>
            <w:tcW w:w="1893" w:type="dxa"/>
          </w:tcPr>
          <w:p w14:paraId="2A4EAAB0" w14:textId="77777777" w:rsidR="002A6E30" w:rsidRPr="007A3FA0" w:rsidRDefault="002A6E30" w:rsidP="00B256DB">
            <w:pPr>
              <w:rPr>
                <w:rFonts w:ascii="Arial" w:hAnsi="Arial" w:cs="Arial"/>
              </w:rPr>
            </w:pPr>
            <w:r w:rsidRPr="007A3FA0">
              <w:rPr>
                <w:rFonts w:ascii="Arial" w:hAnsi="Arial" w:cs="Arial"/>
              </w:rPr>
              <w:t xml:space="preserve">        </w:t>
            </w:r>
          </w:p>
          <w:p w14:paraId="26F6E334" w14:textId="77777777" w:rsidR="002A6E30" w:rsidRDefault="002A6E30" w:rsidP="00B256DB">
            <w:pPr>
              <w:rPr>
                <w:rFonts w:ascii="Arial" w:hAnsi="Arial" w:cs="Arial"/>
              </w:rPr>
            </w:pPr>
            <w:r w:rsidRPr="007A3FA0">
              <w:rPr>
                <w:rFonts w:ascii="Arial" w:hAnsi="Arial" w:cs="Arial"/>
              </w:rPr>
              <w:t xml:space="preserve">            </w:t>
            </w:r>
          </w:p>
          <w:p w14:paraId="6876FD62" w14:textId="74415C34" w:rsidR="002A6E30" w:rsidRPr="007A3FA0" w:rsidRDefault="002A6E30" w:rsidP="00B256DB">
            <w:pPr>
              <w:rPr>
                <w:rFonts w:ascii="Arial" w:hAnsi="Arial" w:cs="Arial"/>
              </w:rPr>
            </w:pPr>
            <w:r>
              <w:rPr>
                <w:rFonts w:ascii="Arial" w:hAnsi="Arial" w:cs="Arial"/>
              </w:rPr>
              <w:t xml:space="preserve">        </w:t>
            </w:r>
            <w:r w:rsidRPr="007A3FA0">
              <w:rPr>
                <w:rFonts w:ascii="Arial" w:hAnsi="Arial" w:cs="Arial"/>
              </w:rPr>
              <w:t>1</w:t>
            </w:r>
            <w:r w:rsidR="00411927">
              <w:rPr>
                <w:rFonts w:ascii="Arial" w:hAnsi="Arial" w:cs="Arial"/>
              </w:rPr>
              <w:t>260</w:t>
            </w:r>
          </w:p>
        </w:tc>
        <w:tc>
          <w:tcPr>
            <w:tcW w:w="1942" w:type="dxa"/>
          </w:tcPr>
          <w:p w14:paraId="37E37AFC" w14:textId="77777777" w:rsidR="002A6E30" w:rsidRDefault="002A6E30" w:rsidP="00B256DB">
            <w:pPr>
              <w:rPr>
                <w:rFonts w:ascii="Arial" w:hAnsi="Arial" w:cs="Arial"/>
              </w:rPr>
            </w:pPr>
            <w:r>
              <w:rPr>
                <w:rFonts w:ascii="Arial" w:hAnsi="Arial" w:cs="Arial"/>
              </w:rPr>
              <w:t>BP</w:t>
            </w:r>
          </w:p>
          <w:p w14:paraId="2CF1DBFB" w14:textId="77777777" w:rsidR="002A6E30" w:rsidRDefault="002A6E30" w:rsidP="00B256DB">
            <w:pPr>
              <w:rPr>
                <w:rFonts w:ascii="Arial" w:hAnsi="Arial" w:cs="Arial"/>
              </w:rPr>
            </w:pPr>
            <w:proofErr w:type="spellStart"/>
            <w:r>
              <w:rPr>
                <w:rFonts w:ascii="Arial" w:hAnsi="Arial" w:cs="Arial"/>
              </w:rPr>
              <w:t>Electricite</w:t>
            </w:r>
            <w:proofErr w:type="spellEnd"/>
            <w:r>
              <w:rPr>
                <w:rFonts w:ascii="Arial" w:hAnsi="Arial" w:cs="Arial"/>
              </w:rPr>
              <w:t xml:space="preserve"> de France</w:t>
            </w:r>
          </w:p>
          <w:p w14:paraId="5590FC22" w14:textId="77777777" w:rsidR="002A6E30" w:rsidRDefault="002A6E30" w:rsidP="00B256DB">
            <w:pPr>
              <w:rPr>
                <w:rFonts w:ascii="Arial" w:hAnsi="Arial" w:cs="Arial"/>
              </w:rPr>
            </w:pPr>
            <w:r>
              <w:rPr>
                <w:rFonts w:ascii="Arial" w:hAnsi="Arial" w:cs="Arial"/>
              </w:rPr>
              <w:t xml:space="preserve">OQ </w:t>
            </w:r>
            <w:proofErr w:type="spellStart"/>
            <w:r>
              <w:rPr>
                <w:rFonts w:ascii="Arial" w:hAnsi="Arial" w:cs="Arial"/>
              </w:rPr>
              <w:t>Cheemicals</w:t>
            </w:r>
            <w:proofErr w:type="spellEnd"/>
          </w:p>
          <w:p w14:paraId="362576EC" w14:textId="77777777" w:rsidR="002A6E30" w:rsidRDefault="002A6E30" w:rsidP="00B256DB">
            <w:pPr>
              <w:rPr>
                <w:rFonts w:ascii="Arial" w:hAnsi="Arial" w:cs="Arial"/>
              </w:rPr>
            </w:pPr>
            <w:r>
              <w:rPr>
                <w:rFonts w:ascii="Arial" w:hAnsi="Arial" w:cs="Arial"/>
              </w:rPr>
              <w:t>MOL Group</w:t>
            </w:r>
          </w:p>
          <w:p w14:paraId="56501C04" w14:textId="77777777" w:rsidR="002A6E30" w:rsidRDefault="002A6E30" w:rsidP="00B256DB">
            <w:pPr>
              <w:rPr>
                <w:rFonts w:ascii="Arial" w:hAnsi="Arial" w:cs="Arial"/>
              </w:rPr>
            </w:pPr>
            <w:r>
              <w:rPr>
                <w:rFonts w:ascii="Arial" w:hAnsi="Arial" w:cs="Arial"/>
              </w:rPr>
              <w:t>ENGIE</w:t>
            </w:r>
          </w:p>
          <w:p w14:paraId="5A4FAEF3" w14:textId="77777777" w:rsidR="002A6E30" w:rsidRPr="007A3FA0" w:rsidRDefault="002A6E30" w:rsidP="00B256DB">
            <w:pPr>
              <w:rPr>
                <w:rFonts w:ascii="Arial" w:hAnsi="Arial" w:cs="Arial"/>
              </w:rPr>
            </w:pPr>
            <w:r>
              <w:rPr>
                <w:rFonts w:ascii="Arial" w:hAnsi="Arial" w:cs="Arial"/>
              </w:rPr>
              <w:t>Shell</w:t>
            </w:r>
          </w:p>
        </w:tc>
        <w:tc>
          <w:tcPr>
            <w:tcW w:w="1846" w:type="dxa"/>
          </w:tcPr>
          <w:p w14:paraId="02DEEE58" w14:textId="77777777" w:rsidR="00743E92" w:rsidRPr="00743E92" w:rsidRDefault="00743E92" w:rsidP="00743E92">
            <w:pPr>
              <w:rPr>
                <w:rFonts w:ascii="Arial" w:hAnsi="Arial" w:cs="Arial"/>
              </w:rPr>
            </w:pPr>
            <w:r w:rsidRPr="00743E92">
              <w:rPr>
                <w:rFonts w:ascii="Arial" w:hAnsi="Arial" w:cs="Arial"/>
              </w:rPr>
              <w:t>Ethylene and Oil Storage</w:t>
            </w:r>
          </w:p>
          <w:p w14:paraId="3DF796E4" w14:textId="3D6A46A3" w:rsidR="002A6E30" w:rsidRPr="007A3FA0" w:rsidRDefault="00743E92" w:rsidP="00743E92">
            <w:pPr>
              <w:rPr>
                <w:rFonts w:ascii="Arial" w:hAnsi="Arial" w:cs="Arial"/>
              </w:rPr>
            </w:pPr>
            <w:r w:rsidRPr="00743E92">
              <w:rPr>
                <w:rFonts w:ascii="Arial" w:hAnsi="Arial" w:cs="Arial"/>
              </w:rPr>
              <w:t>Natural gas</w:t>
            </w:r>
          </w:p>
        </w:tc>
        <w:tc>
          <w:tcPr>
            <w:tcW w:w="1552" w:type="dxa"/>
          </w:tcPr>
          <w:p w14:paraId="44EC907D" w14:textId="61BFBE5D" w:rsidR="002A6E30" w:rsidRPr="007A3FA0" w:rsidRDefault="00743E92" w:rsidP="00B66425">
            <w:pPr>
              <w:keepNext/>
              <w:rPr>
                <w:rFonts w:ascii="Arial" w:hAnsi="Arial" w:cs="Arial"/>
              </w:rPr>
            </w:pPr>
            <w:r>
              <w:rPr>
                <w:rFonts w:ascii="Arial" w:hAnsi="Arial" w:cs="Arial"/>
              </w:rPr>
              <w:t xml:space="preserve">Customers are confidential due to company policies </w:t>
            </w:r>
          </w:p>
        </w:tc>
      </w:tr>
    </w:tbl>
    <w:p w14:paraId="60E43601" w14:textId="510C30A3" w:rsidR="002A6E30" w:rsidRDefault="00B66425" w:rsidP="00B66425">
      <w:pPr>
        <w:pStyle w:val="Caption"/>
        <w:rPr>
          <w:rFonts w:ascii="Arial" w:hAnsi="Arial" w:cs="Arial"/>
        </w:rPr>
      </w:pPr>
      <w:bookmarkStart w:id="13" w:name="_Toc129527380"/>
      <w:bookmarkStart w:id="14" w:name="_Toc129527423"/>
      <w:bookmarkStart w:id="15" w:name="_Toc129527458"/>
      <w:bookmarkStart w:id="16" w:name="_Toc129528226"/>
      <w:r>
        <w:t xml:space="preserve">Figure </w:t>
      </w:r>
      <w:fldSimple w:instr=" SEQ Figure \* ARABIC ">
        <w:r w:rsidR="00665E48">
          <w:rPr>
            <w:noProof/>
          </w:rPr>
          <w:t>3</w:t>
        </w:r>
      </w:fldSimple>
      <w:r>
        <w:t xml:space="preserve"> Brief overview of </w:t>
      </w:r>
      <w:proofErr w:type="spellStart"/>
      <w:r>
        <w:t>TotalEnergies</w:t>
      </w:r>
      <w:proofErr w:type="spellEnd"/>
      <w:r>
        <w:t xml:space="preserve"> SE</w:t>
      </w:r>
      <w:bookmarkEnd w:id="13"/>
      <w:bookmarkEnd w:id="14"/>
      <w:bookmarkEnd w:id="15"/>
      <w:bookmarkEnd w:id="16"/>
    </w:p>
    <w:p w14:paraId="06FC6BD0" w14:textId="705FC69A" w:rsidR="00DE44C1" w:rsidRDefault="00DE44C1" w:rsidP="009A05D9">
      <w:pPr>
        <w:spacing w:line="360" w:lineRule="auto"/>
        <w:jc w:val="both"/>
        <w:rPr>
          <w:rFonts w:ascii="Arial" w:hAnsi="Arial" w:cs="Arial"/>
        </w:rPr>
      </w:pPr>
    </w:p>
    <w:p w14:paraId="7374ABA2" w14:textId="2F156DF6" w:rsidR="00F94440" w:rsidRDefault="001A4FBA" w:rsidP="00057E06">
      <w:pPr>
        <w:pStyle w:val="Heading1"/>
      </w:pPr>
      <w:bookmarkStart w:id="17" w:name="_Toc130395148"/>
      <w:r w:rsidRPr="001A4FBA">
        <w:t xml:space="preserve">Section 1: Part 1 Cultural Analysis of </w:t>
      </w:r>
      <w:r>
        <w:t>Cana</w:t>
      </w:r>
      <w:r w:rsidR="00057E06">
        <w:t>da</w:t>
      </w:r>
      <w:r w:rsidRPr="001A4FBA">
        <w:t xml:space="preserve"> and </w:t>
      </w:r>
      <w:r w:rsidR="00057E06">
        <w:t>France</w:t>
      </w:r>
      <w:bookmarkEnd w:id="17"/>
    </w:p>
    <w:p w14:paraId="64283049" w14:textId="74D14A04" w:rsidR="00034563" w:rsidRDefault="00034563" w:rsidP="00034563"/>
    <w:p w14:paraId="1C117211" w14:textId="493674F2" w:rsidR="00034563" w:rsidRPr="00034563" w:rsidRDefault="00236CA2" w:rsidP="00034563">
      <w:pPr>
        <w:pStyle w:val="Heading2"/>
      </w:pPr>
      <w:bookmarkStart w:id="18" w:name="_Toc130395149"/>
      <w:r>
        <w:t xml:space="preserve">1.1 </w:t>
      </w:r>
      <w:r w:rsidR="00034563" w:rsidRPr="00034563">
        <w:t>Organisational culture and its impact</w:t>
      </w:r>
      <w:bookmarkEnd w:id="18"/>
    </w:p>
    <w:p w14:paraId="07364304" w14:textId="47B59684" w:rsidR="00EF564F" w:rsidRDefault="00EF564F" w:rsidP="00EF564F"/>
    <w:p w14:paraId="51791A60" w14:textId="2980A703" w:rsidR="00E7372D" w:rsidRDefault="00186F2C" w:rsidP="00E7372D">
      <w:pPr>
        <w:spacing w:line="360" w:lineRule="auto"/>
        <w:jc w:val="both"/>
        <w:rPr>
          <w:rFonts w:ascii="Arial" w:hAnsi="Arial" w:cs="Arial"/>
        </w:rPr>
      </w:pPr>
      <w:r>
        <w:rPr>
          <w:rFonts w:ascii="Arial" w:hAnsi="Arial" w:cs="Arial"/>
        </w:rPr>
        <w:t xml:space="preserve">According to </w:t>
      </w:r>
      <w:r w:rsidR="00EF564F" w:rsidRPr="008C0A09">
        <w:rPr>
          <w:rFonts w:ascii="Arial" w:hAnsi="Arial" w:cs="Arial"/>
        </w:rPr>
        <w:t>Schein (2010, p.18)</w:t>
      </w:r>
      <w:r w:rsidR="00CB2C8A" w:rsidRPr="00CB2C8A">
        <w:t xml:space="preserve"> </w:t>
      </w:r>
      <w:r w:rsidR="00CB2C8A" w:rsidRPr="00CB2C8A">
        <w:rPr>
          <w:rFonts w:ascii="Arial" w:hAnsi="Arial" w:cs="Arial"/>
        </w:rPr>
        <w:t>organization</w:t>
      </w:r>
      <w:r w:rsidR="00CB2C8A">
        <w:rPr>
          <w:rFonts w:ascii="Arial" w:hAnsi="Arial" w:cs="Arial"/>
        </w:rPr>
        <w:t>al</w:t>
      </w:r>
      <w:r w:rsidR="00CB2C8A" w:rsidRPr="00CB2C8A">
        <w:rPr>
          <w:rFonts w:ascii="Arial" w:hAnsi="Arial" w:cs="Arial"/>
        </w:rPr>
        <w:t xml:space="preserve"> culture is defined</w:t>
      </w:r>
      <w:r w:rsidR="00EF564F" w:rsidRPr="008C0A09">
        <w:rPr>
          <w:rFonts w:ascii="Arial" w:hAnsi="Arial" w:cs="Arial"/>
        </w:rPr>
        <w:t xml:space="preserve"> as</w:t>
      </w:r>
      <w:r w:rsidR="00CB2C8A">
        <w:rPr>
          <w:rFonts w:ascii="Arial" w:hAnsi="Arial" w:cs="Arial"/>
        </w:rPr>
        <w:t xml:space="preserve"> </w:t>
      </w:r>
      <w:r w:rsidR="00EF564F" w:rsidRPr="008C0A09">
        <w:rPr>
          <w:rFonts w:ascii="Arial" w:hAnsi="Arial" w:cs="Arial"/>
        </w:rPr>
        <w:t>a set of shared fundamental beliefs learned as the group solved its problems of internal integration and external adaptation, which have been successful enough to be considered valid. Hence, new members must learn how to perceive, think, and feel when faced with these problems</w:t>
      </w:r>
      <w:r w:rsidR="0082543D">
        <w:rPr>
          <w:rFonts w:ascii="Arial" w:hAnsi="Arial" w:cs="Arial"/>
        </w:rPr>
        <w:t xml:space="preserve"> </w:t>
      </w:r>
      <w:r w:rsidR="0082543D" w:rsidRPr="0082543D">
        <w:rPr>
          <w:rFonts w:ascii="Arial" w:hAnsi="Arial" w:cs="Arial"/>
        </w:rPr>
        <w:t>(Buchanan and Huczynski, 2010</w:t>
      </w:r>
      <w:r w:rsidR="0082543D">
        <w:rPr>
          <w:rFonts w:ascii="Arial" w:hAnsi="Arial" w:cs="Arial"/>
        </w:rPr>
        <w:t>).</w:t>
      </w:r>
      <w:r w:rsidR="00492A00">
        <w:rPr>
          <w:rFonts w:ascii="Arial" w:hAnsi="Arial" w:cs="Arial"/>
        </w:rPr>
        <w:t xml:space="preserve"> </w:t>
      </w:r>
      <w:r w:rsidR="00492A00" w:rsidRPr="00492A00">
        <w:rPr>
          <w:rFonts w:ascii="Arial" w:hAnsi="Arial" w:cs="Arial"/>
        </w:rPr>
        <w:t xml:space="preserve">One of the most comprehensive studies of how workplace values are influenced by culture has been conducted by Geert Hofstede in an effort to uncover how culture influences business </w:t>
      </w:r>
      <w:r w:rsidR="00E14B87" w:rsidRPr="00492A00">
        <w:rPr>
          <w:rFonts w:ascii="Arial" w:hAnsi="Arial" w:cs="Arial"/>
        </w:rPr>
        <w:t>behaviour</w:t>
      </w:r>
      <w:r w:rsidR="00492A00" w:rsidRPr="00492A00">
        <w:rPr>
          <w:rFonts w:ascii="Arial" w:hAnsi="Arial" w:cs="Arial"/>
        </w:rPr>
        <w:t>.</w:t>
      </w:r>
      <w:r w:rsidR="00197EDB">
        <w:rPr>
          <w:rFonts w:ascii="Arial" w:hAnsi="Arial" w:cs="Arial"/>
        </w:rPr>
        <w:t xml:space="preserve"> </w:t>
      </w:r>
      <w:r w:rsidR="00492A00" w:rsidRPr="00492A00">
        <w:rPr>
          <w:rFonts w:ascii="Arial" w:hAnsi="Arial" w:cs="Arial"/>
        </w:rPr>
        <w:t xml:space="preserve">In examining IBM's employee value scores between 1967 and 1973, he </w:t>
      </w:r>
      <w:r w:rsidR="00E14B87" w:rsidRPr="00492A00">
        <w:rPr>
          <w:rFonts w:ascii="Arial" w:hAnsi="Arial" w:cs="Arial"/>
        </w:rPr>
        <w:t>analysed</w:t>
      </w:r>
      <w:r w:rsidR="00492A00" w:rsidRPr="00492A00">
        <w:rPr>
          <w:rFonts w:ascii="Arial" w:hAnsi="Arial" w:cs="Arial"/>
        </w:rPr>
        <w:t xml:space="preserve"> a large database. A further result of his study of cultures was the identification of four dimensions of c</w:t>
      </w:r>
      <w:r w:rsidR="00BB2D72" w:rsidRPr="00BB2D72">
        <w:rPr>
          <w:rFonts w:ascii="Arial" w:hAnsi="Arial" w:cs="Arial"/>
        </w:rPr>
        <w:t>ulture</w:t>
      </w:r>
      <w:r w:rsidR="00D761A7">
        <w:rPr>
          <w:rFonts w:ascii="Arial" w:hAnsi="Arial" w:cs="Arial"/>
        </w:rPr>
        <w:t xml:space="preserve"> </w:t>
      </w:r>
      <w:r w:rsidR="00D761A7" w:rsidRPr="00D761A7">
        <w:rPr>
          <w:rFonts w:ascii="Arial" w:hAnsi="Arial" w:cs="Arial"/>
        </w:rPr>
        <w:t>that are influenced by national and regional cultural grouping</w:t>
      </w:r>
      <w:r w:rsidR="009B22A1">
        <w:rPr>
          <w:rFonts w:ascii="Arial" w:hAnsi="Arial" w:cs="Arial"/>
        </w:rPr>
        <w:t>s</w:t>
      </w:r>
      <w:r w:rsidR="00441519">
        <w:rPr>
          <w:rFonts w:ascii="Arial" w:hAnsi="Arial" w:cs="Arial"/>
        </w:rPr>
        <w:t xml:space="preserve"> (LI,</w:t>
      </w:r>
      <w:r w:rsidR="00D46046">
        <w:rPr>
          <w:rFonts w:ascii="Arial" w:hAnsi="Arial" w:cs="Arial"/>
        </w:rPr>
        <w:t xml:space="preserve"> </w:t>
      </w:r>
      <w:r w:rsidR="00041904">
        <w:rPr>
          <w:rFonts w:ascii="Arial" w:hAnsi="Arial" w:cs="Arial"/>
        </w:rPr>
        <w:t>2015).</w:t>
      </w:r>
    </w:p>
    <w:p w14:paraId="68D39043" w14:textId="214FB7E5" w:rsidR="00E7372D" w:rsidRPr="00E7372D" w:rsidRDefault="00E7372D" w:rsidP="00E7372D">
      <w:pPr>
        <w:spacing w:line="360" w:lineRule="auto"/>
        <w:jc w:val="both"/>
        <w:rPr>
          <w:rFonts w:ascii="Arial" w:hAnsi="Arial" w:cs="Arial"/>
        </w:rPr>
      </w:pPr>
      <w:r w:rsidRPr="00E7372D">
        <w:rPr>
          <w:rFonts w:ascii="Arial" w:hAnsi="Arial" w:cs="Arial"/>
        </w:rPr>
        <w:t> Power distance</w:t>
      </w:r>
    </w:p>
    <w:p w14:paraId="0224A2DB" w14:textId="77777777" w:rsidR="00BB2D72" w:rsidRDefault="00E7372D" w:rsidP="00E7372D">
      <w:pPr>
        <w:spacing w:line="360" w:lineRule="auto"/>
        <w:jc w:val="both"/>
        <w:rPr>
          <w:rFonts w:ascii="Arial" w:hAnsi="Arial" w:cs="Arial"/>
        </w:rPr>
      </w:pPr>
      <w:r w:rsidRPr="00E7372D">
        <w:rPr>
          <w:rFonts w:ascii="Arial" w:hAnsi="Arial" w:cs="Arial"/>
        </w:rPr>
        <w:t> Individualism</w:t>
      </w:r>
    </w:p>
    <w:p w14:paraId="4BDBAA04" w14:textId="190223D0" w:rsidR="00E7372D" w:rsidRPr="00E7372D" w:rsidRDefault="00E7372D" w:rsidP="00E7372D">
      <w:pPr>
        <w:spacing w:line="360" w:lineRule="auto"/>
        <w:jc w:val="both"/>
        <w:rPr>
          <w:rFonts w:ascii="Arial" w:hAnsi="Arial" w:cs="Arial"/>
        </w:rPr>
      </w:pPr>
      <w:r w:rsidRPr="00E7372D">
        <w:rPr>
          <w:rFonts w:ascii="Arial" w:hAnsi="Arial" w:cs="Arial"/>
        </w:rPr>
        <w:t> Uncertainty avoidance</w:t>
      </w:r>
    </w:p>
    <w:p w14:paraId="6B43A0B8" w14:textId="77777777" w:rsidR="003C4E55" w:rsidRDefault="00E7372D" w:rsidP="00E7372D">
      <w:pPr>
        <w:spacing w:line="360" w:lineRule="auto"/>
        <w:jc w:val="both"/>
        <w:rPr>
          <w:rFonts w:ascii="Arial" w:hAnsi="Arial" w:cs="Arial"/>
        </w:rPr>
      </w:pPr>
      <w:r w:rsidRPr="00E7372D">
        <w:rPr>
          <w:rFonts w:ascii="Arial" w:hAnsi="Arial" w:cs="Arial"/>
        </w:rPr>
        <w:t> Masculinity</w:t>
      </w:r>
    </w:p>
    <w:p w14:paraId="789AE82A" w14:textId="5890763D" w:rsidR="00057E06" w:rsidRDefault="003C4E55" w:rsidP="00C83FF3">
      <w:pPr>
        <w:spacing w:line="360" w:lineRule="auto"/>
        <w:jc w:val="both"/>
        <w:rPr>
          <w:rFonts w:ascii="Arial" w:hAnsi="Arial" w:cs="Arial"/>
        </w:rPr>
      </w:pPr>
      <w:r>
        <w:rPr>
          <w:rFonts w:ascii="Arial" w:hAnsi="Arial" w:cs="Arial"/>
        </w:rPr>
        <w:t xml:space="preserve">In </w:t>
      </w:r>
      <w:r w:rsidR="00EE1BE0">
        <w:rPr>
          <w:rFonts w:ascii="Arial" w:hAnsi="Arial" w:cs="Arial"/>
        </w:rPr>
        <w:t>1991, Hofstede identified</w:t>
      </w:r>
      <w:r w:rsidR="00BD4DE1">
        <w:rPr>
          <w:rFonts w:ascii="Arial" w:hAnsi="Arial" w:cs="Arial"/>
        </w:rPr>
        <w:t xml:space="preserve"> </w:t>
      </w:r>
      <w:r w:rsidR="00EE1BE0">
        <w:rPr>
          <w:rFonts w:ascii="Arial" w:hAnsi="Arial" w:cs="Arial"/>
        </w:rPr>
        <w:t xml:space="preserve">fifth </w:t>
      </w:r>
      <w:r w:rsidR="006D710B">
        <w:rPr>
          <w:rFonts w:ascii="Arial" w:hAnsi="Arial" w:cs="Arial"/>
        </w:rPr>
        <w:t>dimension:</w:t>
      </w:r>
      <w:r w:rsidR="00AC68DD">
        <w:rPr>
          <w:rFonts w:ascii="Arial" w:hAnsi="Arial" w:cs="Arial"/>
        </w:rPr>
        <w:t xml:space="preserve"> Long-Term Orientation</w:t>
      </w:r>
      <w:r w:rsidR="004E65FB">
        <w:rPr>
          <w:rFonts w:ascii="Arial" w:hAnsi="Arial" w:cs="Arial"/>
        </w:rPr>
        <w:t xml:space="preserve"> (Hofstede, 2001</w:t>
      </w:r>
      <w:r w:rsidR="00D761A7">
        <w:rPr>
          <w:rFonts w:ascii="Arial" w:hAnsi="Arial" w:cs="Arial"/>
        </w:rPr>
        <w:t>).</w:t>
      </w:r>
      <w:r w:rsidR="00B92F18">
        <w:rPr>
          <w:rFonts w:ascii="Arial" w:hAnsi="Arial" w:cs="Arial"/>
        </w:rPr>
        <w:t xml:space="preserve"> According </w:t>
      </w:r>
      <w:r w:rsidR="00B67BEB">
        <w:rPr>
          <w:rFonts w:ascii="Arial" w:hAnsi="Arial" w:cs="Arial"/>
        </w:rPr>
        <w:t>to Michael Minkov’s analysis of World Values Survey data</w:t>
      </w:r>
      <w:r w:rsidR="00BD4DE1">
        <w:rPr>
          <w:rFonts w:ascii="Arial" w:hAnsi="Arial" w:cs="Arial"/>
        </w:rPr>
        <w:t>,</w:t>
      </w:r>
      <w:r w:rsidR="001A4AEF">
        <w:rPr>
          <w:rFonts w:ascii="Arial" w:hAnsi="Arial" w:cs="Arial"/>
        </w:rPr>
        <w:t xml:space="preserve"> s</w:t>
      </w:r>
      <w:r w:rsidR="007C5C68">
        <w:rPr>
          <w:rFonts w:ascii="Arial" w:hAnsi="Arial" w:cs="Arial"/>
        </w:rPr>
        <w:t xml:space="preserve">ixth dimension called </w:t>
      </w:r>
      <w:r w:rsidR="00C83FF3" w:rsidRPr="00C83FF3">
        <w:rPr>
          <w:rFonts w:ascii="Arial" w:hAnsi="Arial" w:cs="Arial"/>
        </w:rPr>
        <w:t>Indulgence versus</w:t>
      </w:r>
      <w:r w:rsidR="00C83FF3">
        <w:rPr>
          <w:rFonts w:ascii="Arial" w:hAnsi="Arial" w:cs="Arial"/>
        </w:rPr>
        <w:t xml:space="preserve"> </w:t>
      </w:r>
      <w:r w:rsidR="00C83FF3" w:rsidRPr="00C83FF3">
        <w:rPr>
          <w:rFonts w:ascii="Arial" w:hAnsi="Arial" w:cs="Arial"/>
        </w:rPr>
        <w:t>Restraint</w:t>
      </w:r>
      <w:r w:rsidR="00F34BE0">
        <w:rPr>
          <w:rFonts w:ascii="Arial" w:hAnsi="Arial" w:cs="Arial"/>
        </w:rPr>
        <w:t>, is added in the 2010 (</w:t>
      </w:r>
      <w:r w:rsidR="00513EE7">
        <w:rPr>
          <w:rFonts w:ascii="Arial" w:hAnsi="Arial" w:cs="Arial"/>
        </w:rPr>
        <w:t xml:space="preserve">Minkov, </w:t>
      </w:r>
      <w:r w:rsidR="00827E17">
        <w:rPr>
          <w:rFonts w:ascii="Arial" w:hAnsi="Arial" w:cs="Arial"/>
        </w:rPr>
        <w:t>2011</w:t>
      </w:r>
      <w:r w:rsidR="00E76962">
        <w:rPr>
          <w:rFonts w:ascii="Arial" w:hAnsi="Arial" w:cs="Arial"/>
        </w:rPr>
        <w:t>).</w:t>
      </w:r>
    </w:p>
    <w:p w14:paraId="3914EA63" w14:textId="5243B1DB" w:rsidR="00617A4D" w:rsidRPr="008C0A09" w:rsidRDefault="00844A33" w:rsidP="00C83FF3">
      <w:pPr>
        <w:spacing w:line="360" w:lineRule="auto"/>
        <w:jc w:val="both"/>
        <w:rPr>
          <w:rFonts w:ascii="Arial" w:hAnsi="Arial" w:cs="Arial"/>
        </w:rPr>
      </w:pPr>
      <w:r w:rsidRPr="00844A33">
        <w:rPr>
          <w:rFonts w:ascii="Arial" w:hAnsi="Arial" w:cs="Arial"/>
        </w:rPr>
        <w:lastRenderedPageBreak/>
        <w:t>A Hofstede analysis has been conducted for both Canada and France in order to aid the decision-making process for a cross-border merger and acquisition involving Pembina Pipeline and Total</w:t>
      </w:r>
      <w:r w:rsidR="00A07615">
        <w:rPr>
          <w:rFonts w:ascii="Arial" w:hAnsi="Arial" w:cs="Arial"/>
        </w:rPr>
        <w:t xml:space="preserve"> </w:t>
      </w:r>
      <w:r w:rsidRPr="00844A33">
        <w:rPr>
          <w:rFonts w:ascii="Arial" w:hAnsi="Arial" w:cs="Arial"/>
        </w:rPr>
        <w:t>Energ</w:t>
      </w:r>
      <w:r w:rsidR="00A07615">
        <w:rPr>
          <w:rFonts w:ascii="Arial" w:hAnsi="Arial" w:cs="Arial"/>
        </w:rPr>
        <w:t>i</w:t>
      </w:r>
      <w:r w:rsidRPr="00844A33">
        <w:rPr>
          <w:rFonts w:ascii="Arial" w:hAnsi="Arial" w:cs="Arial"/>
        </w:rPr>
        <w:t>es</w:t>
      </w:r>
      <w:r w:rsidR="00A07615">
        <w:rPr>
          <w:rFonts w:ascii="Arial" w:hAnsi="Arial" w:cs="Arial"/>
        </w:rPr>
        <w:t xml:space="preserve"> SE</w:t>
      </w:r>
      <w:r w:rsidRPr="00844A33">
        <w:rPr>
          <w:rFonts w:ascii="Arial" w:hAnsi="Arial" w:cs="Arial"/>
        </w:rPr>
        <w:t>.</w:t>
      </w:r>
      <w:r w:rsidR="002B15B7">
        <w:rPr>
          <w:rFonts w:ascii="Arial" w:hAnsi="Arial" w:cs="Arial"/>
        </w:rPr>
        <w:t xml:space="preserve"> </w:t>
      </w:r>
      <w:r w:rsidR="002B15B7" w:rsidRPr="007B18C0">
        <w:rPr>
          <w:rFonts w:ascii="Arial" w:hAnsi="Arial" w:cs="Arial"/>
          <w:i/>
          <w:iCs/>
        </w:rPr>
        <w:t xml:space="preserve">Figure </w:t>
      </w:r>
      <w:r w:rsidR="00B66425">
        <w:rPr>
          <w:rFonts w:ascii="Arial" w:hAnsi="Arial" w:cs="Arial"/>
          <w:i/>
          <w:iCs/>
        </w:rPr>
        <w:t>4</w:t>
      </w:r>
      <w:r w:rsidR="00AA7E87">
        <w:rPr>
          <w:rFonts w:ascii="Arial" w:hAnsi="Arial" w:cs="Arial"/>
          <w:i/>
          <w:iCs/>
        </w:rPr>
        <w:t>,</w:t>
      </w:r>
      <w:r w:rsidR="00A47406">
        <w:rPr>
          <w:rFonts w:ascii="Arial" w:hAnsi="Arial" w:cs="Arial"/>
        </w:rPr>
        <w:t xml:space="preserve"> </w:t>
      </w:r>
      <w:r w:rsidR="007B18C0">
        <w:rPr>
          <w:rFonts w:ascii="Arial" w:hAnsi="Arial" w:cs="Arial"/>
        </w:rPr>
        <w:t>sh</w:t>
      </w:r>
      <w:r w:rsidR="005C5F4D">
        <w:rPr>
          <w:rFonts w:ascii="Arial" w:hAnsi="Arial" w:cs="Arial"/>
        </w:rPr>
        <w:t>ows the results of conducted Hofstede analysis.</w:t>
      </w:r>
    </w:p>
    <w:p w14:paraId="67A22CC8" w14:textId="77777777" w:rsidR="00F14470" w:rsidRDefault="00D1346C" w:rsidP="00F14470">
      <w:pPr>
        <w:keepNext/>
      </w:pPr>
      <w:r>
        <w:rPr>
          <w:noProof/>
        </w:rPr>
        <w:drawing>
          <wp:inline distT="0" distB="0" distL="0" distR="0" wp14:anchorId="16A3BA0A" wp14:editId="6184AA1B">
            <wp:extent cx="5731510" cy="3154680"/>
            <wp:effectExtent l="0" t="0" r="2540" b="7620"/>
            <wp:docPr id="161" name="Picture 16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Picture 161" descr="Chart, bar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154680"/>
                    </a:xfrm>
                    <a:prstGeom prst="rect">
                      <a:avLst/>
                    </a:prstGeom>
                  </pic:spPr>
                </pic:pic>
              </a:graphicData>
            </a:graphic>
          </wp:inline>
        </w:drawing>
      </w:r>
    </w:p>
    <w:p w14:paraId="73845A8C" w14:textId="592A4F35" w:rsidR="00057E06" w:rsidRDefault="00F14470" w:rsidP="00F14470">
      <w:pPr>
        <w:pStyle w:val="Caption"/>
      </w:pPr>
      <w:bookmarkStart w:id="19" w:name="_Toc129527381"/>
      <w:bookmarkStart w:id="20" w:name="_Toc129527424"/>
      <w:bookmarkStart w:id="21" w:name="_Toc129527459"/>
      <w:bookmarkStart w:id="22" w:name="_Toc129528227"/>
      <w:r>
        <w:t xml:space="preserve">Figure </w:t>
      </w:r>
      <w:fldSimple w:instr=" SEQ Figure \* ARABIC ">
        <w:r w:rsidR="00665E48">
          <w:rPr>
            <w:noProof/>
          </w:rPr>
          <w:t>4</w:t>
        </w:r>
      </w:fldSimple>
      <w:r>
        <w:t xml:space="preserve"> Hofstede analysis for Canada and France</w:t>
      </w:r>
      <w:bookmarkEnd w:id="19"/>
      <w:bookmarkEnd w:id="20"/>
      <w:bookmarkEnd w:id="21"/>
      <w:bookmarkEnd w:id="22"/>
    </w:p>
    <w:p w14:paraId="7413218A" w14:textId="1CFAB1A2" w:rsidR="005947F0" w:rsidRDefault="005947F0" w:rsidP="005947F0"/>
    <w:p w14:paraId="7630EB85" w14:textId="1A9A9751" w:rsidR="000A1C85" w:rsidRDefault="0057477C" w:rsidP="000A1C85">
      <w:pPr>
        <w:pStyle w:val="Heading3"/>
        <w:numPr>
          <w:ilvl w:val="2"/>
          <w:numId w:val="1"/>
        </w:numPr>
      </w:pPr>
      <w:bookmarkStart w:id="23" w:name="_Toc130395150"/>
      <w:r>
        <w:t>Power Distance</w:t>
      </w:r>
      <w:bookmarkEnd w:id="23"/>
    </w:p>
    <w:p w14:paraId="37ABB98C" w14:textId="77777777" w:rsidR="003868A1" w:rsidRPr="003868A1" w:rsidRDefault="003868A1" w:rsidP="003868A1"/>
    <w:p w14:paraId="0505670C" w14:textId="5C3789E4" w:rsidR="000A1C85" w:rsidRDefault="003868A1" w:rsidP="003868A1">
      <w:pPr>
        <w:spacing w:line="360" w:lineRule="auto"/>
        <w:jc w:val="both"/>
        <w:rPr>
          <w:rFonts w:ascii="Arial" w:hAnsi="Arial" w:cs="Arial"/>
        </w:rPr>
      </w:pPr>
      <w:r w:rsidRPr="003868A1">
        <w:rPr>
          <w:rFonts w:ascii="Arial" w:hAnsi="Arial" w:cs="Arial"/>
        </w:rPr>
        <w:t>A nation's "power distance" is the degree to which members of institutions and organizations with less power believe and accept that power is allocated unequally. Inequality in society is supported not just by the leaders, but also by the followers</w:t>
      </w:r>
      <w:r w:rsidR="00091A05">
        <w:rPr>
          <w:rFonts w:ascii="Arial" w:hAnsi="Arial" w:cs="Arial"/>
        </w:rPr>
        <w:t xml:space="preserve"> </w:t>
      </w:r>
      <w:r w:rsidR="001C0BC5">
        <w:rPr>
          <w:rFonts w:ascii="Arial" w:hAnsi="Arial" w:cs="Arial"/>
        </w:rPr>
        <w:t>(Khatri</w:t>
      </w:r>
      <w:r w:rsidR="00091A05">
        <w:rPr>
          <w:rFonts w:ascii="Arial" w:hAnsi="Arial" w:cs="Arial"/>
        </w:rPr>
        <w:t>,2009)</w:t>
      </w:r>
      <w:r w:rsidRPr="003868A1">
        <w:rPr>
          <w:rFonts w:ascii="Arial" w:hAnsi="Arial" w:cs="Arial"/>
        </w:rPr>
        <w:t>.</w:t>
      </w:r>
      <w:r w:rsidR="00F74843">
        <w:rPr>
          <w:rFonts w:ascii="Arial" w:hAnsi="Arial" w:cs="Arial"/>
        </w:rPr>
        <w:t xml:space="preserve"> As the results s</w:t>
      </w:r>
      <w:r w:rsidR="006D71CD">
        <w:rPr>
          <w:rFonts w:ascii="Arial" w:hAnsi="Arial" w:cs="Arial"/>
        </w:rPr>
        <w:t>hows,</w:t>
      </w:r>
      <w:r w:rsidR="00F74843">
        <w:rPr>
          <w:rFonts w:ascii="Arial" w:hAnsi="Arial" w:cs="Arial"/>
        </w:rPr>
        <w:t xml:space="preserve"> </w:t>
      </w:r>
      <w:r w:rsidR="006D71CD">
        <w:rPr>
          <w:rFonts w:ascii="Arial" w:hAnsi="Arial" w:cs="Arial"/>
        </w:rPr>
        <w:t>i</w:t>
      </w:r>
      <w:r w:rsidR="00F74843" w:rsidRPr="00F74843">
        <w:rPr>
          <w:rFonts w:ascii="Arial" w:hAnsi="Arial" w:cs="Arial"/>
        </w:rPr>
        <w:t>n Canadian culture, leaders and followers share and consult freely. An emphasis is placed on equality, and the direct exchange of information is preferred.</w:t>
      </w:r>
      <w:r w:rsidR="00381C9C">
        <w:rPr>
          <w:rFonts w:ascii="Arial" w:hAnsi="Arial" w:cs="Arial"/>
        </w:rPr>
        <w:t xml:space="preserve"> With</w:t>
      </w:r>
      <w:r w:rsidR="005D5D28">
        <w:rPr>
          <w:rFonts w:ascii="Arial" w:hAnsi="Arial" w:cs="Arial"/>
        </w:rPr>
        <w:t xml:space="preserve"> bigger score, </w:t>
      </w:r>
      <w:r w:rsidR="005D5D28" w:rsidRPr="005D5D28">
        <w:rPr>
          <w:rFonts w:ascii="Arial" w:hAnsi="Arial" w:cs="Arial"/>
        </w:rPr>
        <w:t>France accepts a fair amount of inadequacy, centralized power not only within companies and governments, but also geographically, with a long history of emotional dependence on parents and guardians</w:t>
      </w:r>
      <w:r w:rsidR="005D5D28">
        <w:rPr>
          <w:rFonts w:ascii="Arial" w:hAnsi="Arial" w:cs="Arial"/>
        </w:rPr>
        <w:t>.</w:t>
      </w:r>
    </w:p>
    <w:p w14:paraId="2D88EB0D" w14:textId="28AC203A" w:rsidR="00C53D59" w:rsidRDefault="00C53D59" w:rsidP="00C53D59">
      <w:pPr>
        <w:pStyle w:val="Heading3"/>
        <w:numPr>
          <w:ilvl w:val="2"/>
          <w:numId w:val="1"/>
        </w:numPr>
      </w:pPr>
      <w:bookmarkStart w:id="24" w:name="_Toc130395151"/>
      <w:r>
        <w:t>Individualism</w:t>
      </w:r>
      <w:bookmarkEnd w:id="24"/>
    </w:p>
    <w:p w14:paraId="6E5D15B4" w14:textId="77777777" w:rsidR="00C95A05" w:rsidRPr="00C95A05" w:rsidRDefault="00C95A05" w:rsidP="00C95A05"/>
    <w:p w14:paraId="61E2F9C6" w14:textId="71CCC890" w:rsidR="00C53D59" w:rsidRPr="00BE28BD" w:rsidRDefault="00C95A05" w:rsidP="00BE28BD">
      <w:pPr>
        <w:spacing w:line="360" w:lineRule="auto"/>
        <w:jc w:val="both"/>
        <w:rPr>
          <w:rFonts w:ascii="Arial" w:hAnsi="Arial" w:cs="Arial"/>
        </w:rPr>
      </w:pPr>
      <w:r w:rsidRPr="002732F8">
        <w:rPr>
          <w:rFonts w:ascii="Arial" w:hAnsi="Arial" w:cs="Arial"/>
        </w:rPr>
        <w:t>In individualistic societies, people are expected to only care about themselves and their immediate family</w:t>
      </w:r>
      <w:r w:rsidR="002732F8">
        <w:rPr>
          <w:rFonts w:ascii="Arial" w:hAnsi="Arial" w:cs="Arial"/>
        </w:rPr>
        <w:t xml:space="preserve"> </w:t>
      </w:r>
      <w:r w:rsidR="008804C1">
        <w:rPr>
          <w:rFonts w:ascii="Arial" w:hAnsi="Arial" w:cs="Arial"/>
        </w:rPr>
        <w:t>(</w:t>
      </w:r>
      <w:r w:rsidR="002732F8" w:rsidRPr="002732F8">
        <w:rPr>
          <w:rFonts w:ascii="Arial" w:hAnsi="Arial" w:cs="Arial"/>
        </w:rPr>
        <w:t>Tehrani</w:t>
      </w:r>
      <w:r w:rsidR="00397BE0">
        <w:rPr>
          <w:rFonts w:ascii="Arial" w:hAnsi="Arial" w:cs="Arial"/>
        </w:rPr>
        <w:t xml:space="preserve"> </w:t>
      </w:r>
      <w:r w:rsidR="0010347B">
        <w:rPr>
          <w:rFonts w:ascii="Arial" w:hAnsi="Arial" w:cs="Arial"/>
        </w:rPr>
        <w:t>and</w:t>
      </w:r>
      <w:r w:rsidR="003B20DC">
        <w:rPr>
          <w:rFonts w:ascii="Arial" w:hAnsi="Arial" w:cs="Arial"/>
        </w:rPr>
        <w:t xml:space="preserve"> </w:t>
      </w:r>
      <w:r w:rsidR="002732F8" w:rsidRPr="002732F8">
        <w:rPr>
          <w:rFonts w:ascii="Arial" w:hAnsi="Arial" w:cs="Arial"/>
        </w:rPr>
        <w:t>Yamini</w:t>
      </w:r>
      <w:r w:rsidR="00AE7E9B">
        <w:rPr>
          <w:rFonts w:ascii="Arial" w:hAnsi="Arial" w:cs="Arial"/>
        </w:rPr>
        <w:t xml:space="preserve">, </w:t>
      </w:r>
      <w:r w:rsidR="002732F8" w:rsidRPr="002732F8">
        <w:rPr>
          <w:rFonts w:ascii="Arial" w:hAnsi="Arial" w:cs="Arial"/>
        </w:rPr>
        <w:t>2022</w:t>
      </w:r>
      <w:r w:rsidR="00AE7E9B">
        <w:rPr>
          <w:rFonts w:ascii="Arial" w:hAnsi="Arial" w:cs="Arial"/>
        </w:rPr>
        <w:t>).</w:t>
      </w:r>
      <w:r w:rsidRPr="00A20F8D">
        <w:rPr>
          <w:rFonts w:ascii="Arial" w:hAnsi="Arial" w:cs="Arial"/>
        </w:rPr>
        <w:t xml:space="preserve"> Collectivism entails the trade of loyalty for care between members of a group.</w:t>
      </w:r>
      <w:r w:rsidR="00D05BEF">
        <w:rPr>
          <w:rFonts w:ascii="Arial" w:hAnsi="Arial" w:cs="Arial"/>
        </w:rPr>
        <w:t xml:space="preserve"> </w:t>
      </w:r>
      <w:r w:rsidR="00D05BEF" w:rsidRPr="00D05BEF">
        <w:rPr>
          <w:rFonts w:ascii="Arial" w:hAnsi="Arial" w:cs="Arial"/>
        </w:rPr>
        <w:t>Canada scores highly on individualism.</w:t>
      </w:r>
      <w:r w:rsidR="006C189F" w:rsidRPr="006C189F">
        <w:t xml:space="preserve"> </w:t>
      </w:r>
      <w:r w:rsidR="006C189F" w:rsidRPr="006C189F">
        <w:rPr>
          <w:rFonts w:ascii="Arial" w:hAnsi="Arial" w:cs="Arial"/>
        </w:rPr>
        <w:t>Family and self-care are important to everyone</w:t>
      </w:r>
      <w:r w:rsidR="00D05BEF" w:rsidRPr="00D05BEF">
        <w:rPr>
          <w:rFonts w:ascii="Arial" w:hAnsi="Arial" w:cs="Arial"/>
        </w:rPr>
        <w:t xml:space="preserve">. Similarly, employees are expected to be self-reliant and provide </w:t>
      </w:r>
      <w:r w:rsidR="00D05BEF" w:rsidRPr="00D05BEF">
        <w:rPr>
          <w:rFonts w:ascii="Arial" w:hAnsi="Arial" w:cs="Arial"/>
        </w:rPr>
        <w:lastRenderedPageBreak/>
        <w:t>more initiative from the organizational side.</w:t>
      </w:r>
      <w:r w:rsidR="00054627">
        <w:rPr>
          <w:rFonts w:ascii="Arial" w:hAnsi="Arial" w:cs="Arial"/>
        </w:rPr>
        <w:t xml:space="preserve"> </w:t>
      </w:r>
      <w:r w:rsidR="00F95BA2" w:rsidRPr="00F95BA2">
        <w:rPr>
          <w:rFonts w:ascii="Arial" w:hAnsi="Arial" w:cs="Arial"/>
        </w:rPr>
        <w:t>Despite not having a big difference in score from Canada, France demonstrates individualism as well</w:t>
      </w:r>
      <w:r w:rsidR="00F95BA2">
        <w:rPr>
          <w:rFonts w:ascii="Arial" w:hAnsi="Arial" w:cs="Arial"/>
        </w:rPr>
        <w:t>.</w:t>
      </w:r>
    </w:p>
    <w:p w14:paraId="2BE7BCF3" w14:textId="702B274E" w:rsidR="004F1792" w:rsidRDefault="004F1792" w:rsidP="004F1792">
      <w:pPr>
        <w:pStyle w:val="Heading3"/>
        <w:numPr>
          <w:ilvl w:val="2"/>
          <w:numId w:val="1"/>
        </w:numPr>
      </w:pPr>
      <w:bookmarkStart w:id="25" w:name="_Toc130395152"/>
      <w:r>
        <w:t>Masculinity</w:t>
      </w:r>
      <w:bookmarkEnd w:id="25"/>
    </w:p>
    <w:p w14:paraId="3E2AFA33" w14:textId="25534529" w:rsidR="00BE28BD" w:rsidRDefault="00BE28BD" w:rsidP="00BE28BD"/>
    <w:p w14:paraId="1B1ECAFE" w14:textId="68C33452" w:rsidR="004F1792" w:rsidRPr="00167AEB" w:rsidRDefault="00CC5436" w:rsidP="00167AEB">
      <w:pPr>
        <w:spacing w:line="360" w:lineRule="auto"/>
        <w:jc w:val="both"/>
        <w:rPr>
          <w:rFonts w:ascii="Arial" w:hAnsi="Arial" w:cs="Arial"/>
        </w:rPr>
      </w:pPr>
      <w:r w:rsidRPr="00CC5436">
        <w:rPr>
          <w:rFonts w:ascii="Arial" w:hAnsi="Arial" w:cs="Arial"/>
        </w:rPr>
        <w:t>In this dimension, high masculinity values ​​indicate that society is driven by performance and achievement</w:t>
      </w:r>
      <w:r w:rsidR="00303D32">
        <w:rPr>
          <w:rFonts w:ascii="Arial" w:hAnsi="Arial" w:cs="Arial"/>
        </w:rPr>
        <w:t xml:space="preserve"> </w:t>
      </w:r>
      <w:r w:rsidR="0089693D">
        <w:rPr>
          <w:rFonts w:ascii="Arial" w:hAnsi="Arial" w:cs="Arial"/>
        </w:rPr>
        <w:t>(</w:t>
      </w:r>
      <w:r w:rsidR="00303D32">
        <w:rPr>
          <w:rFonts w:ascii="Arial" w:hAnsi="Arial" w:cs="Arial"/>
        </w:rPr>
        <w:t xml:space="preserve">Salcedo </w:t>
      </w:r>
      <w:r w:rsidR="0010347B">
        <w:rPr>
          <w:rFonts w:ascii="Arial" w:hAnsi="Arial" w:cs="Arial"/>
        </w:rPr>
        <w:t>and</w:t>
      </w:r>
      <w:r w:rsidR="00303D32">
        <w:rPr>
          <w:rFonts w:ascii="Arial" w:hAnsi="Arial" w:cs="Arial"/>
        </w:rPr>
        <w:t xml:space="preserve"> Gupta,2021).</w:t>
      </w:r>
      <w:r w:rsidRPr="00CC5436">
        <w:rPr>
          <w:rFonts w:ascii="Arial" w:hAnsi="Arial" w:cs="Arial"/>
        </w:rPr>
        <w:t xml:space="preserve"> Both countries have low masculinity values and a good balance of work and personal life.</w:t>
      </w:r>
      <w:r>
        <w:rPr>
          <w:rFonts w:ascii="Arial" w:hAnsi="Arial" w:cs="Arial"/>
        </w:rPr>
        <w:t xml:space="preserve"> </w:t>
      </w:r>
      <w:r w:rsidR="00991CF9">
        <w:rPr>
          <w:rFonts w:ascii="Arial" w:hAnsi="Arial" w:cs="Arial"/>
        </w:rPr>
        <w:t>Spending quality personal time</w:t>
      </w:r>
      <w:r w:rsidR="00415CAC">
        <w:rPr>
          <w:rFonts w:ascii="Arial" w:hAnsi="Arial" w:cs="Arial"/>
        </w:rPr>
        <w:t>.</w:t>
      </w:r>
    </w:p>
    <w:p w14:paraId="7CB43276" w14:textId="6C16483F" w:rsidR="003D2C07" w:rsidRDefault="00144849" w:rsidP="004F1792">
      <w:pPr>
        <w:pStyle w:val="Heading3"/>
        <w:numPr>
          <w:ilvl w:val="2"/>
          <w:numId w:val="1"/>
        </w:numPr>
      </w:pPr>
      <w:bookmarkStart w:id="26" w:name="_Toc130395153"/>
      <w:r>
        <w:t xml:space="preserve">Uncertainty </w:t>
      </w:r>
      <w:r w:rsidR="00B72438">
        <w:t>Avoidance</w:t>
      </w:r>
      <w:bookmarkEnd w:id="26"/>
    </w:p>
    <w:p w14:paraId="2DDE8C94" w14:textId="77777777" w:rsidR="00075AA4" w:rsidRPr="00075AA4" w:rsidRDefault="00075AA4" w:rsidP="00075AA4">
      <w:pPr>
        <w:spacing w:line="360" w:lineRule="auto"/>
        <w:jc w:val="both"/>
        <w:rPr>
          <w:rFonts w:ascii="Arial" w:hAnsi="Arial" w:cs="Arial"/>
        </w:rPr>
      </w:pPr>
    </w:p>
    <w:p w14:paraId="7EC3C7E3" w14:textId="5CA4A5FC" w:rsidR="007E5B98" w:rsidRPr="000E5A75" w:rsidRDefault="00075AA4" w:rsidP="000E5A75">
      <w:pPr>
        <w:spacing w:line="360" w:lineRule="auto"/>
        <w:jc w:val="both"/>
        <w:rPr>
          <w:rFonts w:ascii="Arial" w:hAnsi="Arial" w:cs="Arial"/>
        </w:rPr>
      </w:pPr>
      <w:r w:rsidRPr="00591561">
        <w:rPr>
          <w:rFonts w:ascii="Arial" w:hAnsi="Arial" w:cs="Arial"/>
        </w:rPr>
        <w:t>Uncertainty Avoidance indicates how much members of a culture feel threatened by uncertain or ambiguous situations and have created institutions and beliefs to prevent them</w:t>
      </w:r>
      <w:r w:rsidR="00591561">
        <w:rPr>
          <w:rFonts w:ascii="Arial" w:hAnsi="Arial" w:cs="Arial"/>
        </w:rPr>
        <w:t xml:space="preserve"> (LI,2015).</w:t>
      </w:r>
      <w:r w:rsidR="00167AEB">
        <w:rPr>
          <w:rFonts w:ascii="Arial" w:hAnsi="Arial" w:cs="Arial"/>
        </w:rPr>
        <w:t xml:space="preserve"> </w:t>
      </w:r>
      <w:r w:rsidR="00B65CA1" w:rsidRPr="00B65CA1">
        <w:rPr>
          <w:rFonts w:ascii="Arial" w:hAnsi="Arial" w:cs="Arial"/>
        </w:rPr>
        <w:t>As a culture, Canadians are very open-minded and accept various ideas, innovations in technology, tolerate all opinions, and exercise their freedom of speech.</w:t>
      </w:r>
      <w:r w:rsidR="00816268">
        <w:rPr>
          <w:rFonts w:ascii="Arial" w:hAnsi="Arial" w:cs="Arial"/>
        </w:rPr>
        <w:t xml:space="preserve"> With very high score</w:t>
      </w:r>
      <w:r w:rsidR="000E5A75">
        <w:rPr>
          <w:rFonts w:ascii="Arial" w:hAnsi="Arial" w:cs="Arial"/>
        </w:rPr>
        <w:t xml:space="preserve"> in this dimension, i</w:t>
      </w:r>
      <w:r w:rsidR="00B65CA1" w:rsidRPr="00B65CA1">
        <w:rPr>
          <w:rFonts w:ascii="Arial" w:hAnsi="Arial" w:cs="Arial"/>
        </w:rPr>
        <w:t>t is essential for the French to have rules and laws for everything, planned and structured to be charged, before all kinds of deals from different fields, the necessary information must be gathered.</w:t>
      </w:r>
    </w:p>
    <w:p w14:paraId="1E23BCBC" w14:textId="4BFA92D4" w:rsidR="003D2C07" w:rsidRDefault="003D2C07" w:rsidP="00BB500F">
      <w:pPr>
        <w:pStyle w:val="Heading3"/>
        <w:numPr>
          <w:ilvl w:val="2"/>
          <w:numId w:val="1"/>
        </w:numPr>
        <w:spacing w:line="360" w:lineRule="auto"/>
        <w:jc w:val="both"/>
        <w:rPr>
          <w:rFonts w:ascii="Arial" w:hAnsi="Arial" w:cs="Arial"/>
          <w:sz w:val="22"/>
          <w:szCs w:val="22"/>
        </w:rPr>
      </w:pPr>
      <w:bookmarkStart w:id="27" w:name="_Toc130395154"/>
      <w:r>
        <w:t>Long Term Orientation</w:t>
      </w:r>
      <w:bookmarkEnd w:id="27"/>
      <w:r>
        <w:t xml:space="preserve"> </w:t>
      </w:r>
    </w:p>
    <w:p w14:paraId="66DFB404" w14:textId="0F92D43E" w:rsidR="00BB500F" w:rsidRDefault="00BB500F" w:rsidP="00BB500F"/>
    <w:p w14:paraId="27AB6B29" w14:textId="18E8F160" w:rsidR="002B15B7" w:rsidRPr="002B15B7" w:rsidRDefault="00BB500F" w:rsidP="002B15B7">
      <w:pPr>
        <w:spacing w:line="360" w:lineRule="auto"/>
        <w:jc w:val="both"/>
        <w:rPr>
          <w:rFonts w:ascii="Arial" w:hAnsi="Arial" w:cs="Arial"/>
        </w:rPr>
      </w:pPr>
      <w:r w:rsidRPr="00BB500F">
        <w:rPr>
          <w:rFonts w:ascii="Arial" w:hAnsi="Arial" w:cs="Arial"/>
        </w:rPr>
        <w:t>A normative society is determined by a score of 36 in this dimension</w:t>
      </w:r>
      <w:r w:rsidR="008F2796">
        <w:rPr>
          <w:rFonts w:ascii="Arial" w:hAnsi="Arial" w:cs="Arial"/>
        </w:rPr>
        <w:t xml:space="preserve"> at Canada</w:t>
      </w:r>
      <w:r w:rsidRPr="00BB500F">
        <w:rPr>
          <w:rFonts w:ascii="Arial" w:hAnsi="Arial" w:cs="Arial"/>
        </w:rPr>
        <w:t xml:space="preserve">. </w:t>
      </w:r>
      <w:r w:rsidRPr="00333A0C">
        <w:rPr>
          <w:rFonts w:ascii="Arial" w:hAnsi="Arial" w:cs="Arial"/>
        </w:rPr>
        <w:t>Normative thinking is a significant characteristic of such societies;</w:t>
      </w:r>
      <w:r w:rsidRPr="00BB500F">
        <w:rPr>
          <w:rFonts w:ascii="Arial" w:hAnsi="Arial" w:cs="Arial"/>
        </w:rPr>
        <w:t xml:space="preserve"> people there are concerned with establishing absolute truths</w:t>
      </w:r>
      <w:r w:rsidR="004179C9">
        <w:rPr>
          <w:rFonts w:ascii="Arial" w:hAnsi="Arial" w:cs="Arial"/>
        </w:rPr>
        <w:t xml:space="preserve"> (Bukowski </w:t>
      </w:r>
      <w:r w:rsidR="0010347B">
        <w:rPr>
          <w:rFonts w:ascii="Arial" w:hAnsi="Arial" w:cs="Arial"/>
        </w:rPr>
        <w:t>and</w:t>
      </w:r>
      <w:r w:rsidR="004179C9">
        <w:rPr>
          <w:rFonts w:ascii="Arial" w:hAnsi="Arial" w:cs="Arial"/>
        </w:rPr>
        <w:t xml:space="preserve"> Rudnic</w:t>
      </w:r>
      <w:r w:rsidR="00333A0C">
        <w:rPr>
          <w:rFonts w:ascii="Arial" w:hAnsi="Arial" w:cs="Arial"/>
        </w:rPr>
        <w:t>ki,2019).</w:t>
      </w:r>
      <w:r w:rsidRPr="00BB500F">
        <w:rPr>
          <w:rFonts w:ascii="Arial" w:hAnsi="Arial" w:cs="Arial"/>
        </w:rPr>
        <w:t xml:space="preserve"> Traditions are highly respected, saving for the future is relatively rare, and achieving quick results is often an objective.</w:t>
      </w:r>
      <w:r w:rsidR="00AE5ACE">
        <w:rPr>
          <w:rFonts w:ascii="Arial" w:hAnsi="Arial" w:cs="Arial"/>
        </w:rPr>
        <w:t xml:space="preserve"> </w:t>
      </w:r>
      <w:r w:rsidR="00AE5ACE" w:rsidRPr="00AE5ACE">
        <w:rPr>
          <w:rFonts w:ascii="Arial" w:hAnsi="Arial" w:cs="Arial"/>
        </w:rPr>
        <w:t>In contrast to Canada, France is characterized by a pragmatic society that believes truth is determined by many factors. Their persistence leads to success, savings, and investing. Adapt their traditions to the changing environment</w:t>
      </w:r>
      <w:r w:rsidR="001F4799">
        <w:rPr>
          <w:rFonts w:ascii="Arial" w:hAnsi="Arial" w:cs="Arial"/>
        </w:rPr>
        <w:t>.</w:t>
      </w:r>
    </w:p>
    <w:p w14:paraId="329CB5A7" w14:textId="5D742CBA" w:rsidR="00CE7F12" w:rsidRDefault="003D2C07" w:rsidP="004F1792">
      <w:pPr>
        <w:pStyle w:val="Heading3"/>
        <w:numPr>
          <w:ilvl w:val="2"/>
          <w:numId w:val="1"/>
        </w:numPr>
      </w:pPr>
      <w:bookmarkStart w:id="28" w:name="_Toc130395155"/>
      <w:r>
        <w:t>Indulgence</w:t>
      </w:r>
      <w:bookmarkEnd w:id="28"/>
    </w:p>
    <w:p w14:paraId="4CE4B6E8" w14:textId="3A5432E9" w:rsidR="00006A14" w:rsidRDefault="00006A14" w:rsidP="00006A14"/>
    <w:p w14:paraId="132CC722" w14:textId="7B8C9B47" w:rsidR="00006A14" w:rsidRDefault="00077495" w:rsidP="00006A14">
      <w:pPr>
        <w:spacing w:line="360" w:lineRule="auto"/>
        <w:jc w:val="both"/>
        <w:rPr>
          <w:rFonts w:ascii="Arial" w:hAnsi="Arial" w:cs="Arial"/>
        </w:rPr>
      </w:pPr>
      <w:r w:rsidRPr="00077495">
        <w:rPr>
          <w:rFonts w:ascii="Arial" w:hAnsi="Arial" w:cs="Arial"/>
        </w:rPr>
        <w:t>This aspect is defined as the extent to which people try to control their desires and impulses, based on how they were raised</w:t>
      </w:r>
      <w:r w:rsidR="00CF495E">
        <w:rPr>
          <w:rFonts w:ascii="Arial" w:hAnsi="Arial" w:cs="Arial"/>
        </w:rPr>
        <w:t xml:space="preserve"> (Bukowski </w:t>
      </w:r>
      <w:r w:rsidR="0010347B">
        <w:rPr>
          <w:rFonts w:ascii="Arial" w:hAnsi="Arial" w:cs="Arial"/>
        </w:rPr>
        <w:t>and</w:t>
      </w:r>
      <w:r w:rsidR="00CF495E">
        <w:rPr>
          <w:rFonts w:ascii="Arial" w:hAnsi="Arial" w:cs="Arial"/>
        </w:rPr>
        <w:t xml:space="preserve"> Rudnick</w:t>
      </w:r>
      <w:r w:rsidR="00DD564B">
        <w:rPr>
          <w:rFonts w:ascii="Arial" w:hAnsi="Arial" w:cs="Arial"/>
        </w:rPr>
        <w:t>i,2019)</w:t>
      </w:r>
      <w:r w:rsidRPr="00077495">
        <w:rPr>
          <w:rFonts w:ascii="Arial" w:hAnsi="Arial" w:cs="Arial"/>
        </w:rPr>
        <w:t>. A relatively weak control is called "Indulgence" and a relatively strong control is called "Res</w:t>
      </w:r>
      <w:r w:rsidR="008D600F">
        <w:rPr>
          <w:rFonts w:ascii="Arial" w:hAnsi="Arial" w:cs="Arial"/>
        </w:rPr>
        <w:t>traint</w:t>
      </w:r>
      <w:r w:rsidRPr="00077495">
        <w:rPr>
          <w:rFonts w:ascii="Arial" w:hAnsi="Arial" w:cs="Arial"/>
        </w:rPr>
        <w:t>". Therefore, cultures can be described as indulgent or restrictive.</w:t>
      </w:r>
      <w:r w:rsidR="00076A68">
        <w:rPr>
          <w:rFonts w:ascii="Arial" w:hAnsi="Arial" w:cs="Arial"/>
        </w:rPr>
        <w:t xml:space="preserve"> </w:t>
      </w:r>
      <w:r w:rsidR="00006A14" w:rsidRPr="00006A14">
        <w:rPr>
          <w:rFonts w:ascii="Arial" w:hAnsi="Arial" w:cs="Arial"/>
        </w:rPr>
        <w:t xml:space="preserve">A high score of 68 in this respect means that Canadian culture is classified as tolerant. People in societies with high passion scores often demonstrate a willingness to </w:t>
      </w:r>
      <w:r w:rsidR="000F6A7B" w:rsidRPr="00006A14">
        <w:rPr>
          <w:rFonts w:ascii="Arial" w:hAnsi="Arial" w:cs="Arial"/>
        </w:rPr>
        <w:t>fulfil</w:t>
      </w:r>
      <w:r w:rsidR="00006A14" w:rsidRPr="00006A14">
        <w:rPr>
          <w:rFonts w:ascii="Arial" w:hAnsi="Arial" w:cs="Arial"/>
        </w:rPr>
        <w:t xml:space="preserve"> their urges and desires to enjoy life. They possess a positive attitude and tend to be optimistic. In addition, they value free time, doing what they want, and spending </w:t>
      </w:r>
      <w:r w:rsidR="00006A14" w:rsidRPr="00006A14">
        <w:rPr>
          <w:rFonts w:ascii="Arial" w:hAnsi="Arial" w:cs="Arial"/>
        </w:rPr>
        <w:lastRenderedPageBreak/>
        <w:t>money as they see fit.</w:t>
      </w:r>
      <w:r w:rsidR="00AF42D4">
        <w:rPr>
          <w:rFonts w:ascii="Arial" w:hAnsi="Arial" w:cs="Arial"/>
        </w:rPr>
        <w:t xml:space="preserve"> </w:t>
      </w:r>
      <w:r w:rsidR="00893848">
        <w:rPr>
          <w:rFonts w:ascii="Arial" w:hAnsi="Arial" w:cs="Arial"/>
        </w:rPr>
        <w:t>France score</w:t>
      </w:r>
      <w:r w:rsidR="00D24C6A">
        <w:rPr>
          <w:rFonts w:ascii="Arial" w:hAnsi="Arial" w:cs="Arial"/>
        </w:rPr>
        <w:t xml:space="preserve"> a</w:t>
      </w:r>
      <w:r w:rsidR="00AF42D4" w:rsidRPr="00AF42D4">
        <w:rPr>
          <w:rFonts w:ascii="Arial" w:hAnsi="Arial" w:cs="Arial"/>
        </w:rPr>
        <w:t xml:space="preserve"> middle result where it concerns Indulgence versus Restraint. It is possible that the French are less relaxed and have less enjoyment of life than is widely believed based on this and their high score on Uncertainty Avoidance</w:t>
      </w:r>
      <w:r w:rsidR="00D24C6A">
        <w:rPr>
          <w:rFonts w:ascii="Arial" w:hAnsi="Arial" w:cs="Arial"/>
        </w:rPr>
        <w:t>.</w:t>
      </w:r>
    </w:p>
    <w:p w14:paraId="16CBFA4E" w14:textId="39FB336E" w:rsidR="00855E60" w:rsidRDefault="005A4245" w:rsidP="00414C9C">
      <w:pPr>
        <w:pStyle w:val="Heading1"/>
      </w:pPr>
      <w:bookmarkStart w:id="29" w:name="_Toc130395156"/>
      <w:r w:rsidRPr="005A4245">
        <w:t xml:space="preserve">Section 1: Part 2 Institutional analysis of </w:t>
      </w:r>
      <w:r w:rsidR="00414C9C">
        <w:t>Canada and France</w:t>
      </w:r>
      <w:bookmarkEnd w:id="29"/>
    </w:p>
    <w:p w14:paraId="74F0E8CA" w14:textId="4D6A533E" w:rsidR="00BA033C" w:rsidRDefault="00BA033C" w:rsidP="00BA033C"/>
    <w:p w14:paraId="0308588E" w14:textId="74710744" w:rsidR="00EC237B" w:rsidRDefault="00AD55CD" w:rsidP="00F43344">
      <w:pPr>
        <w:pStyle w:val="Heading2"/>
      </w:pPr>
      <w:bookmarkStart w:id="30" w:name="_Toc130395157"/>
      <w:r>
        <w:t xml:space="preserve">2.1 </w:t>
      </w:r>
      <w:r w:rsidR="00EC237B" w:rsidRPr="00F43344">
        <w:t xml:space="preserve">Institutional approach </w:t>
      </w:r>
      <w:r w:rsidR="00C078F3" w:rsidRPr="00F43344">
        <w:t>to Inter</w:t>
      </w:r>
      <w:r w:rsidR="00F43344" w:rsidRPr="00F43344">
        <w:t>national Human Resources Management</w:t>
      </w:r>
      <w:r>
        <w:t xml:space="preserve"> (IHRM)</w:t>
      </w:r>
      <w:bookmarkEnd w:id="30"/>
    </w:p>
    <w:p w14:paraId="2F30A8F3" w14:textId="78CE45D2" w:rsidR="00AD55CD" w:rsidRDefault="00AD55CD" w:rsidP="00AD55CD"/>
    <w:p w14:paraId="26C66C90" w14:textId="77777777" w:rsidR="00FA69CC" w:rsidRDefault="0087439A" w:rsidP="00AD55CD">
      <w:pPr>
        <w:spacing w:line="360" w:lineRule="auto"/>
        <w:jc w:val="both"/>
        <w:rPr>
          <w:rFonts w:ascii="Arial" w:hAnsi="Arial" w:cs="Arial"/>
        </w:rPr>
      </w:pPr>
      <w:r w:rsidRPr="006B4C01">
        <w:rPr>
          <w:rFonts w:ascii="Arial" w:hAnsi="Arial" w:cs="Arial"/>
        </w:rPr>
        <w:t>The Institutional Approach to International Human Resource Management (IHRM) is a theoretical perspective that examines the role organizations play in shaping IHRM practice</w:t>
      </w:r>
      <w:r w:rsidR="00EB1CAB">
        <w:t xml:space="preserve"> (</w:t>
      </w:r>
      <w:r w:rsidR="00A5603C" w:rsidRPr="00A5603C">
        <w:rPr>
          <w:rFonts w:ascii="Arial" w:hAnsi="Arial" w:cs="Arial"/>
        </w:rPr>
        <w:t>Edwards</w:t>
      </w:r>
      <w:r w:rsidR="00AF6075">
        <w:rPr>
          <w:rFonts w:ascii="Arial" w:hAnsi="Arial" w:cs="Arial"/>
        </w:rPr>
        <w:t xml:space="preserve"> et al,</w:t>
      </w:r>
      <w:r w:rsidR="00A5603C" w:rsidRPr="00A5603C">
        <w:rPr>
          <w:rFonts w:ascii="Arial" w:hAnsi="Arial" w:cs="Arial"/>
        </w:rPr>
        <w:t>2022</w:t>
      </w:r>
      <w:r w:rsidR="00AF6075">
        <w:rPr>
          <w:rFonts w:ascii="Arial" w:hAnsi="Arial" w:cs="Arial"/>
        </w:rPr>
        <w:t>)</w:t>
      </w:r>
      <w:r w:rsidRPr="006B4C01">
        <w:rPr>
          <w:rFonts w:ascii="Arial" w:hAnsi="Arial" w:cs="Arial"/>
        </w:rPr>
        <w:t>. It focuses on the external environment, such as political, economic, social and cultural forces, influencing personnel decisions and practices</w:t>
      </w:r>
      <w:r w:rsidR="00C72858">
        <w:rPr>
          <w:rFonts w:ascii="Arial" w:hAnsi="Arial" w:cs="Arial"/>
        </w:rPr>
        <w:t xml:space="preserve"> (Huu,2022)</w:t>
      </w:r>
      <w:r w:rsidRPr="006B4C01">
        <w:rPr>
          <w:rFonts w:ascii="Arial" w:hAnsi="Arial" w:cs="Arial"/>
        </w:rPr>
        <w:t xml:space="preserve">. This approach examines how the institutional systems of different countries shape HR policies and practices in terms of legal frameworks, </w:t>
      </w:r>
      <w:r w:rsidR="00A829A0" w:rsidRPr="006B4C01">
        <w:rPr>
          <w:rFonts w:ascii="Arial" w:hAnsi="Arial" w:cs="Arial"/>
        </w:rPr>
        <w:t>labour</w:t>
      </w:r>
      <w:r w:rsidRPr="006B4C01">
        <w:rPr>
          <w:rFonts w:ascii="Arial" w:hAnsi="Arial" w:cs="Arial"/>
        </w:rPr>
        <w:t xml:space="preserve"> markets and industrial relations. It also examines how multinational companies adapt their HR practices to the institutional contexts of different countries.</w:t>
      </w:r>
    </w:p>
    <w:p w14:paraId="18BF7D8A" w14:textId="2768EFF1" w:rsidR="00912EC5" w:rsidRPr="008F7965" w:rsidRDefault="00135357" w:rsidP="008F7965">
      <w:pPr>
        <w:spacing w:line="360" w:lineRule="auto"/>
        <w:jc w:val="both"/>
        <w:rPr>
          <w:rFonts w:ascii="Arial" w:hAnsi="Arial" w:cs="Arial"/>
        </w:rPr>
      </w:pPr>
      <w:r w:rsidRPr="00135357">
        <w:rPr>
          <w:rFonts w:ascii="Arial" w:hAnsi="Arial" w:cs="Arial"/>
        </w:rPr>
        <w:t>A Neo-</w:t>
      </w:r>
      <w:bookmarkStart w:id="31" w:name="_Hlk130394686"/>
      <w:r w:rsidRPr="00135357">
        <w:rPr>
          <w:rFonts w:ascii="Arial" w:hAnsi="Arial" w:cs="Arial"/>
        </w:rPr>
        <w:t>Institutional framework incorporates institutional mandates to make an organization seem legitimate, increasing the likelihood of it surviving</w:t>
      </w:r>
      <w:r>
        <w:rPr>
          <w:rFonts w:ascii="Arial" w:hAnsi="Arial" w:cs="Arial"/>
        </w:rPr>
        <w:t xml:space="preserve"> (Scott</w:t>
      </w:r>
      <w:r w:rsidR="00B21A74">
        <w:rPr>
          <w:rFonts w:ascii="Arial" w:hAnsi="Arial" w:cs="Arial"/>
        </w:rPr>
        <w:t>,2007).</w:t>
      </w:r>
      <w:r w:rsidR="003F5005">
        <w:rPr>
          <w:rFonts w:ascii="Arial" w:hAnsi="Arial" w:cs="Arial"/>
        </w:rPr>
        <w:t xml:space="preserve"> In the following paragraphs will be perusing </w:t>
      </w:r>
      <w:r w:rsidR="00130CDE">
        <w:rPr>
          <w:rFonts w:ascii="Arial" w:hAnsi="Arial" w:cs="Arial"/>
        </w:rPr>
        <w:t xml:space="preserve">Canada and France institutional pillars and how the structure of these two societies varies in that context. </w:t>
      </w:r>
      <w:bookmarkEnd w:id="31"/>
      <w:r w:rsidR="00475327">
        <w:rPr>
          <w:rFonts w:ascii="Arial" w:hAnsi="Arial" w:cs="Arial"/>
        </w:rPr>
        <w:t xml:space="preserve">This analysis is comprised of three components; regulatory component, normative one and eventually cultural- cognitive component. </w:t>
      </w:r>
      <w:r w:rsidR="008F7965">
        <w:rPr>
          <w:rFonts w:ascii="Arial" w:hAnsi="Arial" w:cs="Arial"/>
        </w:rPr>
        <w:t xml:space="preserve"> Figure 5 </w:t>
      </w:r>
      <w:r w:rsidR="007904DC">
        <w:rPr>
          <w:rFonts w:ascii="Arial" w:hAnsi="Arial" w:cs="Arial"/>
        </w:rPr>
        <w:t>Neo-institu</w:t>
      </w:r>
      <w:r w:rsidR="002406FF">
        <w:rPr>
          <w:rFonts w:ascii="Arial" w:hAnsi="Arial" w:cs="Arial"/>
        </w:rPr>
        <w:t>tional and PES analysis.</w:t>
      </w:r>
    </w:p>
    <w:p w14:paraId="7A45902C" w14:textId="43513843" w:rsidR="00912EC5" w:rsidRDefault="00741FCE" w:rsidP="000325A7">
      <w:r>
        <w:rPr>
          <w:noProof/>
        </w:rPr>
        <w:lastRenderedPageBreak/>
        <w:drawing>
          <wp:inline distT="0" distB="0" distL="0" distR="0" wp14:anchorId="1DE8489F" wp14:editId="34327961">
            <wp:extent cx="5731510" cy="4834890"/>
            <wp:effectExtent l="0" t="0" r="2540" b="381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70"/>
                    <pic:cNvPicPr/>
                  </pic:nvPicPr>
                  <pic:blipFill>
                    <a:blip r:embed="rId14">
                      <a:extLst>
                        <a:ext uri="{28A0092B-C50C-407E-A947-70E740481C1C}">
                          <a14:useLocalDpi xmlns:a14="http://schemas.microsoft.com/office/drawing/2010/main" val="0"/>
                        </a:ext>
                      </a:extLst>
                    </a:blip>
                    <a:stretch>
                      <a:fillRect/>
                    </a:stretch>
                  </pic:blipFill>
                  <pic:spPr>
                    <a:xfrm>
                      <a:off x="0" y="0"/>
                      <a:ext cx="5731510" cy="4834890"/>
                    </a:xfrm>
                    <a:prstGeom prst="rect">
                      <a:avLst/>
                    </a:prstGeom>
                  </pic:spPr>
                </pic:pic>
              </a:graphicData>
            </a:graphic>
          </wp:inline>
        </w:drawing>
      </w:r>
    </w:p>
    <w:p w14:paraId="0C9B70F4" w14:textId="77777777" w:rsidR="002A54DA" w:rsidRDefault="002B1CAA" w:rsidP="002A54DA">
      <w:pPr>
        <w:keepNext/>
      </w:pPr>
      <w:r>
        <w:rPr>
          <w:noProof/>
        </w:rPr>
        <w:drawing>
          <wp:inline distT="0" distB="0" distL="0" distR="0" wp14:anchorId="45428C01" wp14:editId="2501D6F6">
            <wp:extent cx="5494020" cy="2933700"/>
            <wp:effectExtent l="0" t="0" r="0" b="0"/>
            <wp:docPr id="172" name="Picture 172"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Picture 172" descr="Table&#10;&#10;Description automatically generated with low confidence"/>
                    <pic:cNvPicPr/>
                  </pic:nvPicPr>
                  <pic:blipFill rotWithShape="1">
                    <a:blip r:embed="rId15">
                      <a:extLst>
                        <a:ext uri="{28A0092B-C50C-407E-A947-70E740481C1C}">
                          <a14:useLocalDpi xmlns:a14="http://schemas.microsoft.com/office/drawing/2010/main" val="0"/>
                        </a:ext>
                      </a:extLst>
                    </a:blip>
                    <a:srcRect r="4143"/>
                    <a:stretch/>
                  </pic:blipFill>
                  <pic:spPr bwMode="auto">
                    <a:xfrm>
                      <a:off x="0" y="0"/>
                      <a:ext cx="5494020" cy="2933700"/>
                    </a:xfrm>
                    <a:prstGeom prst="rect">
                      <a:avLst/>
                    </a:prstGeom>
                    <a:ln>
                      <a:noFill/>
                    </a:ln>
                    <a:extLst>
                      <a:ext uri="{53640926-AAD7-44D8-BBD7-CCE9431645EC}">
                        <a14:shadowObscured xmlns:a14="http://schemas.microsoft.com/office/drawing/2010/main"/>
                      </a:ext>
                    </a:extLst>
                  </pic:spPr>
                </pic:pic>
              </a:graphicData>
            </a:graphic>
          </wp:inline>
        </w:drawing>
      </w:r>
    </w:p>
    <w:p w14:paraId="27836622" w14:textId="1A4A1EA0" w:rsidR="00912EC5" w:rsidRDefault="002A54DA" w:rsidP="002A54DA">
      <w:pPr>
        <w:pStyle w:val="Caption"/>
      </w:pPr>
      <w:bookmarkStart w:id="32" w:name="_Toc129528228"/>
      <w:r>
        <w:t xml:space="preserve">Figure </w:t>
      </w:r>
      <w:fldSimple w:instr=" SEQ Figure \* ARABIC ">
        <w:r w:rsidR="00665E48">
          <w:rPr>
            <w:noProof/>
          </w:rPr>
          <w:t>5</w:t>
        </w:r>
      </w:fldSimple>
      <w:r>
        <w:t xml:space="preserve"> Neo-Institutional and PES analysis</w:t>
      </w:r>
      <w:bookmarkEnd w:id="32"/>
    </w:p>
    <w:p w14:paraId="070D3296" w14:textId="205A47C9" w:rsidR="00741FCE" w:rsidRDefault="00741FCE" w:rsidP="000325A7"/>
    <w:p w14:paraId="4280B2B3" w14:textId="5E545E35" w:rsidR="00741FCE" w:rsidRDefault="00741FCE" w:rsidP="000325A7"/>
    <w:p w14:paraId="65AF07A5" w14:textId="77777777" w:rsidR="00741FCE" w:rsidRDefault="00741FCE" w:rsidP="000325A7"/>
    <w:p w14:paraId="4D14A4CB" w14:textId="7FDEA05F" w:rsidR="00582C28" w:rsidRPr="00582C28" w:rsidRDefault="00582C28" w:rsidP="00582C28">
      <w:pPr>
        <w:spacing w:line="360" w:lineRule="auto"/>
        <w:jc w:val="both"/>
        <w:rPr>
          <w:rFonts w:ascii="Arial" w:hAnsi="Arial" w:cs="Arial"/>
        </w:rPr>
      </w:pPr>
      <w:r w:rsidRPr="00582C28">
        <w:rPr>
          <w:rFonts w:ascii="Arial" w:hAnsi="Arial" w:cs="Arial"/>
        </w:rPr>
        <w:t>Legislation and the policies of the government are considered coercive pressure in organizational theory</w:t>
      </w:r>
      <w:r w:rsidR="000576FF">
        <w:rPr>
          <w:rFonts w:ascii="Arial" w:hAnsi="Arial" w:cs="Arial"/>
        </w:rPr>
        <w:t xml:space="preserve">, </w:t>
      </w:r>
      <w:r w:rsidRPr="00582C28">
        <w:rPr>
          <w:rFonts w:ascii="Arial" w:hAnsi="Arial" w:cs="Arial"/>
        </w:rPr>
        <w:t>because organizations wishing to gain legitimacy as a result of compliance with the law must abide by the standards of practice laid out in that legislation. This is regardless of whether those standards are appropriate or effective</w:t>
      </w:r>
      <w:r w:rsidR="00713BEB">
        <w:rPr>
          <w:rFonts w:ascii="Arial" w:hAnsi="Arial" w:cs="Arial"/>
        </w:rPr>
        <w:t xml:space="preserve"> </w:t>
      </w:r>
      <w:r w:rsidR="00713BEB" w:rsidRPr="00713BEB">
        <w:rPr>
          <w:rFonts w:ascii="Arial" w:hAnsi="Arial" w:cs="Arial"/>
        </w:rPr>
        <w:t>(DiMaggio  and Powell, 1983)</w:t>
      </w:r>
      <w:r w:rsidR="00713BEB">
        <w:rPr>
          <w:rFonts w:ascii="Arial" w:hAnsi="Arial" w:cs="Arial"/>
        </w:rPr>
        <w:t>.</w:t>
      </w:r>
      <w:r w:rsidR="00540221">
        <w:rPr>
          <w:rFonts w:ascii="Arial" w:hAnsi="Arial" w:cs="Arial"/>
        </w:rPr>
        <w:t xml:space="preserve"> </w:t>
      </w:r>
      <w:r w:rsidR="00386BDA">
        <w:rPr>
          <w:rFonts w:ascii="Arial" w:hAnsi="Arial" w:cs="Arial"/>
        </w:rPr>
        <w:t>Figure 6 show</w:t>
      </w:r>
      <w:r w:rsidR="004D0C2D">
        <w:rPr>
          <w:rFonts w:ascii="Arial" w:hAnsi="Arial" w:cs="Arial"/>
        </w:rPr>
        <w:t xml:space="preserve">s the isomorphic pressure in </w:t>
      </w:r>
      <w:r w:rsidR="00667E58">
        <w:rPr>
          <w:rFonts w:ascii="Arial" w:hAnsi="Arial" w:cs="Arial"/>
        </w:rPr>
        <w:t>cross-border M&amp;A</w:t>
      </w:r>
      <w:r w:rsidR="00E7015D">
        <w:rPr>
          <w:rFonts w:ascii="Arial" w:hAnsi="Arial" w:cs="Arial"/>
        </w:rPr>
        <w:t>.</w:t>
      </w:r>
    </w:p>
    <w:p w14:paraId="0A6EA2A5" w14:textId="77777777" w:rsidR="00FF7178" w:rsidRDefault="006712D1" w:rsidP="00FF7178">
      <w:pPr>
        <w:keepNext/>
      </w:pPr>
      <w:r>
        <w:rPr>
          <w:noProof/>
        </w:rPr>
        <w:drawing>
          <wp:inline distT="0" distB="0" distL="0" distR="0" wp14:anchorId="55A89C08" wp14:editId="2141EB02">
            <wp:extent cx="5486400" cy="3200400"/>
            <wp:effectExtent l="0" t="0" r="0" b="0"/>
            <wp:docPr id="162" name="Diagram 16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852F132" w14:textId="228A71AF" w:rsidR="00FD0947" w:rsidRDefault="00FF7178" w:rsidP="00FF7178">
      <w:pPr>
        <w:pStyle w:val="Caption"/>
      </w:pPr>
      <w:bookmarkStart w:id="33" w:name="_Toc129528229"/>
      <w:r>
        <w:t xml:space="preserve">Figure </w:t>
      </w:r>
      <w:fldSimple w:instr=" SEQ Figure \* ARABIC ">
        <w:r w:rsidR="00665E48">
          <w:rPr>
            <w:noProof/>
          </w:rPr>
          <w:t>6</w:t>
        </w:r>
      </w:fldSimple>
      <w:r>
        <w:t xml:space="preserve"> Isomorphic pressure (</w:t>
      </w:r>
      <w:proofErr w:type="spellStart"/>
      <w:r>
        <w:t>DiMaggo</w:t>
      </w:r>
      <w:proofErr w:type="spellEnd"/>
      <w:r>
        <w:t xml:space="preserve"> and Powell,1983)</w:t>
      </w:r>
      <w:bookmarkEnd w:id="33"/>
    </w:p>
    <w:p w14:paraId="189B9A50" w14:textId="77777777" w:rsidR="00386BDA" w:rsidRPr="00386BDA" w:rsidRDefault="00386BDA" w:rsidP="00386BDA"/>
    <w:p w14:paraId="3DC5C4E3" w14:textId="77777777" w:rsidR="00436605" w:rsidRDefault="00623AFE" w:rsidP="000E44E9">
      <w:pPr>
        <w:spacing w:line="360" w:lineRule="auto"/>
        <w:jc w:val="both"/>
        <w:rPr>
          <w:rStyle w:val="Heading2Char"/>
        </w:rPr>
      </w:pPr>
      <w:bookmarkStart w:id="34" w:name="_Toc130395158"/>
      <w:r>
        <w:rPr>
          <w:rStyle w:val="Heading2Char"/>
        </w:rPr>
        <w:t xml:space="preserve">2.2 </w:t>
      </w:r>
      <w:r w:rsidR="000E44E9" w:rsidRPr="00623AFE">
        <w:rPr>
          <w:rStyle w:val="Heading2Char"/>
        </w:rPr>
        <w:t>Impact on IHRM Practices</w:t>
      </w:r>
      <w:bookmarkEnd w:id="34"/>
    </w:p>
    <w:p w14:paraId="302AA4DD" w14:textId="41A3F29C" w:rsidR="000E44E9" w:rsidRDefault="000E44E9" w:rsidP="000E44E9">
      <w:pPr>
        <w:spacing w:line="360" w:lineRule="auto"/>
        <w:jc w:val="both"/>
        <w:rPr>
          <w:rFonts w:ascii="Arial" w:hAnsi="Arial" w:cs="Arial"/>
        </w:rPr>
      </w:pPr>
      <w:r w:rsidRPr="000E44E9">
        <w:rPr>
          <w:rFonts w:ascii="Arial" w:hAnsi="Arial" w:cs="Arial"/>
        </w:rPr>
        <w:t>Political, economic and social institutions</w:t>
      </w:r>
      <w:r w:rsidR="002A2C69">
        <w:rPr>
          <w:rFonts w:ascii="Arial" w:hAnsi="Arial" w:cs="Arial"/>
        </w:rPr>
        <w:t xml:space="preserve"> for cross-border</w:t>
      </w:r>
      <w:r w:rsidR="009214AF">
        <w:rPr>
          <w:rFonts w:ascii="Arial" w:hAnsi="Arial" w:cs="Arial"/>
        </w:rPr>
        <w:t xml:space="preserve"> M&amp;A,</w:t>
      </w:r>
      <w:r w:rsidRPr="000E44E9">
        <w:rPr>
          <w:rFonts w:ascii="Arial" w:hAnsi="Arial" w:cs="Arial"/>
        </w:rPr>
        <w:t xml:space="preserve"> can have an impact on IHRM practices by influencing how employers recruit employees from different countries/regions/cultures; how they manage diversity within their workforce; how they develop compensation packages tailored towards different cultures/backgrounds; how they ensure compliance with local </w:t>
      </w:r>
      <w:r w:rsidR="00436605" w:rsidRPr="000E44E9">
        <w:rPr>
          <w:rFonts w:ascii="Arial" w:hAnsi="Arial" w:cs="Arial"/>
        </w:rPr>
        <w:t>labour</w:t>
      </w:r>
      <w:r w:rsidRPr="000E44E9">
        <w:rPr>
          <w:rFonts w:ascii="Arial" w:hAnsi="Arial" w:cs="Arial"/>
        </w:rPr>
        <w:t xml:space="preserve"> laws; etc.. By understanding these institutional frameworks it becomes easier for employers to make informed decisions about their IHRM strategies when operating across multiple countries/regions/cultures</w:t>
      </w:r>
      <w:r w:rsidR="00B272F8">
        <w:rPr>
          <w:rFonts w:ascii="Arial" w:hAnsi="Arial" w:cs="Arial"/>
        </w:rPr>
        <w:t xml:space="preserve"> (</w:t>
      </w:r>
      <w:r w:rsidR="002B06FF">
        <w:rPr>
          <w:rFonts w:ascii="Arial" w:hAnsi="Arial" w:cs="Arial"/>
        </w:rPr>
        <w:t>Shen</w:t>
      </w:r>
      <w:r w:rsidR="00530451">
        <w:rPr>
          <w:rFonts w:ascii="Arial" w:hAnsi="Arial" w:cs="Arial"/>
        </w:rPr>
        <w:t>,201</w:t>
      </w:r>
      <w:r w:rsidR="002B06FF">
        <w:rPr>
          <w:rFonts w:ascii="Arial" w:hAnsi="Arial" w:cs="Arial"/>
        </w:rPr>
        <w:t>1</w:t>
      </w:r>
      <w:r w:rsidR="00530451">
        <w:rPr>
          <w:rFonts w:ascii="Arial" w:hAnsi="Arial" w:cs="Arial"/>
        </w:rPr>
        <w:t>).</w:t>
      </w:r>
      <w:r w:rsidR="00AE53AA">
        <w:rPr>
          <w:rFonts w:ascii="Arial" w:hAnsi="Arial" w:cs="Arial"/>
        </w:rPr>
        <w:t xml:space="preserve"> </w:t>
      </w:r>
    </w:p>
    <w:p w14:paraId="499F1FB7" w14:textId="77777777" w:rsidR="00FF7178" w:rsidRPr="00436605" w:rsidRDefault="00FF7178" w:rsidP="000E44E9">
      <w:pPr>
        <w:spacing w:line="360" w:lineRule="auto"/>
        <w:jc w:val="both"/>
        <w:rPr>
          <w:rFonts w:asciiTheme="majorHAnsi" w:eastAsiaTheme="majorEastAsia" w:hAnsiTheme="majorHAnsi" w:cstheme="majorBidi"/>
          <w:color w:val="2F5496" w:themeColor="accent1" w:themeShade="BF"/>
          <w:sz w:val="26"/>
          <w:szCs w:val="26"/>
        </w:rPr>
      </w:pPr>
    </w:p>
    <w:p w14:paraId="13B17317" w14:textId="77777777" w:rsidR="006A67AA" w:rsidRDefault="006A67AA" w:rsidP="006A67AA"/>
    <w:p w14:paraId="3DD53050" w14:textId="350D26C5" w:rsidR="00A1694A" w:rsidRDefault="00A1694A" w:rsidP="00DE4436">
      <w:pPr>
        <w:rPr>
          <w:rFonts w:ascii="Arial" w:hAnsi="Arial" w:cs="Arial"/>
        </w:rPr>
      </w:pPr>
    </w:p>
    <w:p w14:paraId="5495114E" w14:textId="3C0F45A6" w:rsidR="0053624B" w:rsidRDefault="00423DBD" w:rsidP="00423DBD">
      <w:pPr>
        <w:pStyle w:val="Heading1"/>
      </w:pPr>
      <w:bookmarkStart w:id="35" w:name="_Toc130395159"/>
      <w:r w:rsidRPr="00423DBD">
        <w:lastRenderedPageBreak/>
        <w:t xml:space="preserve">Section 2: </w:t>
      </w:r>
      <w:r w:rsidR="00A9003A">
        <w:t>Part 1</w:t>
      </w:r>
      <w:r w:rsidR="0080639E">
        <w:t xml:space="preserve"> </w:t>
      </w:r>
      <w:r w:rsidRPr="00423DBD">
        <w:t>M&amp;A Rationale and Integration  Strategy</w:t>
      </w:r>
      <w:bookmarkEnd w:id="35"/>
    </w:p>
    <w:p w14:paraId="30EFC06E" w14:textId="78B60E9B" w:rsidR="00DD60BF" w:rsidRDefault="00DD60BF" w:rsidP="00DD60BF"/>
    <w:p w14:paraId="4BCDB351" w14:textId="08136F05" w:rsidR="00691347" w:rsidRDefault="00DD60BF" w:rsidP="001B360E">
      <w:pPr>
        <w:spacing w:line="360" w:lineRule="auto"/>
        <w:jc w:val="both"/>
        <w:rPr>
          <w:rFonts w:ascii="Arial" w:hAnsi="Arial" w:cs="Arial"/>
        </w:rPr>
      </w:pPr>
      <w:r w:rsidRPr="001B360E">
        <w:rPr>
          <w:rFonts w:ascii="Arial" w:hAnsi="Arial" w:cs="Arial"/>
        </w:rPr>
        <w:t>Organizational growth has been fuelled by mergers and acquisitions (M&amp;A) transactions for centuries. The frequency of M&amp;A transactions has increased in modern business. M&amp;A transactions show a steep increase, mainly for</w:t>
      </w:r>
      <w:r w:rsidR="00E64C0B" w:rsidRPr="001B360E">
        <w:rPr>
          <w:rFonts w:ascii="Arial" w:hAnsi="Arial" w:cs="Arial"/>
        </w:rPr>
        <w:t xml:space="preserve"> </w:t>
      </w:r>
      <w:r w:rsidRPr="001B360E">
        <w:rPr>
          <w:rFonts w:ascii="Arial" w:hAnsi="Arial" w:cs="Arial"/>
        </w:rPr>
        <w:t>the purpose of acquiring technology</w:t>
      </w:r>
      <w:r w:rsidR="00487F1E" w:rsidRPr="001B360E">
        <w:rPr>
          <w:rFonts w:ascii="Arial" w:hAnsi="Arial" w:cs="Arial"/>
        </w:rPr>
        <w:t xml:space="preserve"> </w:t>
      </w:r>
      <w:r w:rsidR="00224A86" w:rsidRPr="001B360E">
        <w:rPr>
          <w:rFonts w:ascii="Arial" w:hAnsi="Arial" w:cs="Arial"/>
        </w:rPr>
        <w:t>(</w:t>
      </w:r>
      <w:r w:rsidR="00487F1E" w:rsidRPr="001B360E">
        <w:rPr>
          <w:rFonts w:ascii="Arial" w:hAnsi="Arial" w:cs="Arial"/>
        </w:rPr>
        <w:t>Rebner</w:t>
      </w:r>
      <w:r w:rsidR="00224A86" w:rsidRPr="001B360E">
        <w:rPr>
          <w:rFonts w:ascii="Arial" w:hAnsi="Arial" w:cs="Arial"/>
        </w:rPr>
        <w:t xml:space="preserve"> </w:t>
      </w:r>
      <w:r w:rsidR="00487F1E" w:rsidRPr="001B360E">
        <w:rPr>
          <w:rFonts w:ascii="Arial" w:hAnsi="Arial" w:cs="Arial"/>
        </w:rPr>
        <w:t>and Yeganeh</w:t>
      </w:r>
      <w:r w:rsidR="00224A86" w:rsidRPr="001B360E">
        <w:rPr>
          <w:rFonts w:ascii="Arial" w:hAnsi="Arial" w:cs="Arial"/>
        </w:rPr>
        <w:t xml:space="preserve">, 2019). </w:t>
      </w:r>
      <w:r w:rsidR="00146337" w:rsidRPr="001B360E">
        <w:rPr>
          <w:rFonts w:ascii="Arial" w:hAnsi="Arial" w:cs="Arial"/>
        </w:rPr>
        <w:t xml:space="preserve">However, </w:t>
      </w:r>
      <w:r w:rsidR="00101239" w:rsidRPr="001B360E">
        <w:rPr>
          <w:rFonts w:ascii="Arial" w:hAnsi="Arial" w:cs="Arial"/>
        </w:rPr>
        <w:t>this is primarily driven reason for Pem</w:t>
      </w:r>
      <w:r w:rsidR="009C678F" w:rsidRPr="001B360E">
        <w:rPr>
          <w:rFonts w:ascii="Arial" w:hAnsi="Arial" w:cs="Arial"/>
        </w:rPr>
        <w:t>bina Pipeline to acquire Total Energies Se.</w:t>
      </w:r>
      <w:r w:rsidR="00F17841" w:rsidRPr="001B360E">
        <w:rPr>
          <w:rFonts w:ascii="Arial" w:hAnsi="Arial" w:cs="Arial"/>
        </w:rPr>
        <w:t xml:space="preserve"> Other </w:t>
      </w:r>
      <w:r w:rsidR="00E64C0B" w:rsidRPr="001B360E">
        <w:rPr>
          <w:rFonts w:ascii="Arial" w:hAnsi="Arial" w:cs="Arial"/>
        </w:rPr>
        <w:t>acquisition rational</w:t>
      </w:r>
      <w:r w:rsidR="00DC6737">
        <w:rPr>
          <w:rFonts w:ascii="Arial" w:hAnsi="Arial" w:cs="Arial"/>
        </w:rPr>
        <w:t xml:space="preserve"> reasons</w:t>
      </w:r>
      <w:r w:rsidR="00E64C0B" w:rsidRPr="001B360E">
        <w:rPr>
          <w:rFonts w:ascii="Arial" w:hAnsi="Arial" w:cs="Arial"/>
        </w:rPr>
        <w:t xml:space="preserve"> ar</w:t>
      </w:r>
      <w:r w:rsidR="00A02338" w:rsidRPr="001B360E">
        <w:rPr>
          <w:rFonts w:ascii="Arial" w:hAnsi="Arial" w:cs="Arial"/>
        </w:rPr>
        <w:t>e:</w:t>
      </w:r>
      <w:r w:rsidR="0021349D" w:rsidRPr="001B360E">
        <w:rPr>
          <w:rFonts w:ascii="Arial" w:hAnsi="Arial" w:cs="Arial"/>
        </w:rPr>
        <w:t xml:space="preserve"> </w:t>
      </w:r>
    </w:p>
    <w:p w14:paraId="7B5B378E" w14:textId="0E7F16B0" w:rsidR="00DD60BF" w:rsidRDefault="0021349D" w:rsidP="00691347">
      <w:pPr>
        <w:pStyle w:val="ListParagraph"/>
        <w:numPr>
          <w:ilvl w:val="0"/>
          <w:numId w:val="3"/>
        </w:numPr>
        <w:spacing w:line="360" w:lineRule="auto"/>
        <w:jc w:val="both"/>
        <w:rPr>
          <w:rFonts w:ascii="Arial" w:hAnsi="Arial" w:cs="Arial"/>
        </w:rPr>
      </w:pPr>
      <w:r w:rsidRPr="00691347">
        <w:rPr>
          <w:rFonts w:ascii="Arial" w:hAnsi="Arial" w:cs="Arial"/>
        </w:rPr>
        <w:t>Geographical Diversification</w:t>
      </w:r>
    </w:p>
    <w:p w14:paraId="3C960593" w14:textId="3B0E01C6" w:rsidR="00691347" w:rsidRDefault="00905CB1" w:rsidP="00691347">
      <w:pPr>
        <w:pStyle w:val="ListParagraph"/>
        <w:numPr>
          <w:ilvl w:val="0"/>
          <w:numId w:val="3"/>
        </w:numPr>
        <w:spacing w:line="360" w:lineRule="auto"/>
        <w:jc w:val="both"/>
        <w:rPr>
          <w:rFonts w:ascii="Arial" w:hAnsi="Arial" w:cs="Arial"/>
        </w:rPr>
      </w:pPr>
      <w:r w:rsidRPr="00905CB1">
        <w:rPr>
          <w:rFonts w:ascii="Arial" w:hAnsi="Arial" w:cs="Arial"/>
        </w:rPr>
        <w:t>Cross-selling</w:t>
      </w:r>
    </w:p>
    <w:p w14:paraId="2366ED69" w14:textId="5B5CBB9C" w:rsidR="00905CB1" w:rsidRDefault="00FE3BA4" w:rsidP="00691347">
      <w:pPr>
        <w:pStyle w:val="ListParagraph"/>
        <w:numPr>
          <w:ilvl w:val="0"/>
          <w:numId w:val="3"/>
        </w:numPr>
        <w:spacing w:line="360" w:lineRule="auto"/>
        <w:jc w:val="both"/>
        <w:rPr>
          <w:rFonts w:ascii="Arial" w:hAnsi="Arial" w:cs="Arial"/>
        </w:rPr>
      </w:pPr>
      <w:r w:rsidRPr="00FE3BA4">
        <w:rPr>
          <w:rFonts w:ascii="Arial" w:hAnsi="Arial" w:cs="Arial"/>
        </w:rPr>
        <w:t xml:space="preserve">Synergies </w:t>
      </w:r>
      <w:r>
        <w:rPr>
          <w:rFonts w:ascii="Arial" w:hAnsi="Arial" w:cs="Arial"/>
        </w:rPr>
        <w:t>-</w:t>
      </w:r>
      <w:r w:rsidRPr="00FE3BA4">
        <w:rPr>
          <w:rFonts w:ascii="Arial" w:hAnsi="Arial" w:cs="Arial"/>
        </w:rPr>
        <w:t>“Value Creation”</w:t>
      </w:r>
    </w:p>
    <w:p w14:paraId="0F963727" w14:textId="429B965D" w:rsidR="00FE3BA4" w:rsidRDefault="007F5174" w:rsidP="00691347">
      <w:pPr>
        <w:pStyle w:val="ListParagraph"/>
        <w:numPr>
          <w:ilvl w:val="0"/>
          <w:numId w:val="3"/>
        </w:numPr>
        <w:spacing w:line="360" w:lineRule="auto"/>
        <w:jc w:val="both"/>
        <w:rPr>
          <w:rFonts w:ascii="Arial" w:hAnsi="Arial" w:cs="Arial"/>
        </w:rPr>
      </w:pPr>
      <w:r w:rsidRPr="007F5174">
        <w:rPr>
          <w:rFonts w:ascii="Arial" w:hAnsi="Arial" w:cs="Arial"/>
        </w:rPr>
        <w:t>Opportunism</w:t>
      </w:r>
    </w:p>
    <w:p w14:paraId="65E43591" w14:textId="6203255A" w:rsidR="0012167F" w:rsidRDefault="003A1BDD" w:rsidP="0012167F">
      <w:pPr>
        <w:spacing w:line="360" w:lineRule="auto"/>
        <w:jc w:val="both"/>
        <w:rPr>
          <w:rFonts w:ascii="Arial" w:hAnsi="Arial" w:cs="Arial"/>
        </w:rPr>
      </w:pPr>
      <w:proofErr w:type="spellStart"/>
      <w:r w:rsidRPr="003A1BDD">
        <w:rPr>
          <w:rFonts w:ascii="Arial" w:hAnsi="Arial" w:cs="Arial"/>
        </w:rPr>
        <w:t>Haspeslagh</w:t>
      </w:r>
      <w:proofErr w:type="spellEnd"/>
      <w:r w:rsidRPr="003A1BDD">
        <w:rPr>
          <w:rFonts w:ascii="Arial" w:hAnsi="Arial" w:cs="Arial"/>
        </w:rPr>
        <w:t xml:space="preserve"> and Jemison's acquisition integration approach model provides insight and guidance into choosing the most effective integration strategy. There are two significant criteria that companies should consider when planning for integration</w:t>
      </w:r>
      <w:r w:rsidR="00914A30">
        <w:rPr>
          <w:rFonts w:ascii="Arial" w:hAnsi="Arial" w:cs="Arial"/>
        </w:rPr>
        <w:t xml:space="preserve">: </w:t>
      </w:r>
      <w:r w:rsidR="000B6807" w:rsidRPr="000B6807">
        <w:rPr>
          <w:rFonts w:ascii="Arial" w:hAnsi="Arial" w:cs="Arial"/>
          <w:b/>
          <w:bCs/>
        </w:rPr>
        <w:t>Strategic</w:t>
      </w:r>
      <w:r w:rsidR="00C37535" w:rsidRPr="000B6807">
        <w:rPr>
          <w:rFonts w:ascii="Arial" w:hAnsi="Arial" w:cs="Arial"/>
          <w:b/>
          <w:bCs/>
        </w:rPr>
        <w:t xml:space="preserve"> Interdependence</w:t>
      </w:r>
      <w:r w:rsidR="000B6807">
        <w:rPr>
          <w:rFonts w:ascii="Arial" w:hAnsi="Arial" w:cs="Arial"/>
        </w:rPr>
        <w:t xml:space="preserve"> and </w:t>
      </w:r>
      <w:r w:rsidR="000B6807" w:rsidRPr="000B6807">
        <w:rPr>
          <w:rFonts w:ascii="Arial" w:hAnsi="Arial" w:cs="Arial"/>
          <w:b/>
          <w:bCs/>
        </w:rPr>
        <w:t>Organisational Autonomy</w:t>
      </w:r>
      <w:r w:rsidR="000B6807">
        <w:rPr>
          <w:rFonts w:ascii="Arial" w:hAnsi="Arial" w:cs="Arial"/>
        </w:rPr>
        <w:t xml:space="preserve"> (</w:t>
      </w:r>
      <w:proofErr w:type="spellStart"/>
      <w:r w:rsidR="00962D18">
        <w:rPr>
          <w:rFonts w:ascii="Arial" w:hAnsi="Arial" w:cs="Arial"/>
        </w:rPr>
        <w:t>Haspeslag</w:t>
      </w:r>
      <w:proofErr w:type="spellEnd"/>
      <w:r w:rsidR="00962D18">
        <w:rPr>
          <w:rFonts w:ascii="Arial" w:hAnsi="Arial" w:cs="Arial"/>
        </w:rPr>
        <w:t xml:space="preserve"> and Jemison,</w:t>
      </w:r>
      <w:r w:rsidR="00325FC0">
        <w:rPr>
          <w:rFonts w:ascii="Arial" w:hAnsi="Arial" w:cs="Arial"/>
        </w:rPr>
        <w:t>1991).</w:t>
      </w:r>
      <w:r w:rsidR="00AC45CC">
        <w:rPr>
          <w:rFonts w:ascii="Arial" w:hAnsi="Arial" w:cs="Arial"/>
        </w:rPr>
        <w:t xml:space="preserve"> Figure 7 represent </w:t>
      </w:r>
      <w:r w:rsidR="00386CEF">
        <w:rPr>
          <w:rFonts w:ascii="Arial" w:hAnsi="Arial" w:cs="Arial"/>
        </w:rPr>
        <w:t>acquisition integration approaches.</w:t>
      </w:r>
    </w:p>
    <w:p w14:paraId="2DBCC60A" w14:textId="77777777" w:rsidR="00386CEF" w:rsidRDefault="00386CEF" w:rsidP="0012167F">
      <w:pPr>
        <w:spacing w:line="360" w:lineRule="auto"/>
        <w:jc w:val="both"/>
        <w:rPr>
          <w:rFonts w:ascii="Arial" w:hAnsi="Arial" w:cs="Arial"/>
        </w:rPr>
      </w:pPr>
    </w:p>
    <w:p w14:paraId="346540A9" w14:textId="77777777" w:rsidR="00D54B7D" w:rsidRDefault="000F00D2" w:rsidP="00A202CA">
      <w:pPr>
        <w:pStyle w:val="Caption"/>
      </w:pPr>
      <w:r>
        <w:rPr>
          <w:rFonts w:ascii="Arial" w:hAnsi="Arial" w:cs="Arial"/>
          <w:noProof/>
        </w:rPr>
        <w:drawing>
          <wp:inline distT="0" distB="0" distL="0" distR="0" wp14:anchorId="221F1084" wp14:editId="761B060E">
            <wp:extent cx="4474210" cy="3709837"/>
            <wp:effectExtent l="0" t="0" r="2540" b="508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21">
                      <a:extLst>
                        <a:ext uri="{28A0092B-C50C-407E-A947-70E740481C1C}">
                          <a14:useLocalDpi xmlns:a14="http://schemas.microsoft.com/office/drawing/2010/main" val="0"/>
                        </a:ext>
                      </a:extLst>
                    </a:blip>
                    <a:stretch>
                      <a:fillRect/>
                    </a:stretch>
                  </pic:blipFill>
                  <pic:spPr>
                    <a:xfrm>
                      <a:off x="0" y="0"/>
                      <a:ext cx="4489738" cy="3722713"/>
                    </a:xfrm>
                    <a:prstGeom prst="rect">
                      <a:avLst/>
                    </a:prstGeom>
                  </pic:spPr>
                </pic:pic>
              </a:graphicData>
            </a:graphic>
          </wp:inline>
        </w:drawing>
      </w:r>
    </w:p>
    <w:p w14:paraId="53BDC40B" w14:textId="6381AE6D" w:rsidR="00FF0B73" w:rsidRDefault="00A202CA" w:rsidP="00A202CA">
      <w:pPr>
        <w:pStyle w:val="Caption"/>
      </w:pPr>
      <w:bookmarkStart w:id="36" w:name="_Toc129528230"/>
      <w:r>
        <w:t xml:space="preserve">Figure </w:t>
      </w:r>
      <w:fldSimple w:instr=" SEQ Figure \* ARABIC ">
        <w:r w:rsidR="00665E48">
          <w:rPr>
            <w:noProof/>
          </w:rPr>
          <w:t>7</w:t>
        </w:r>
      </w:fldSimple>
      <w:r>
        <w:t xml:space="preserve"> Acquisition Integration Approaches (</w:t>
      </w:r>
      <w:proofErr w:type="spellStart"/>
      <w:r>
        <w:t>Haspeslag</w:t>
      </w:r>
      <w:proofErr w:type="spellEnd"/>
      <w:r>
        <w:t xml:space="preserve"> and Jemison,1991)</w:t>
      </w:r>
      <w:bookmarkEnd w:id="36"/>
    </w:p>
    <w:p w14:paraId="04DEB490" w14:textId="6EC1BDC5" w:rsidR="00995BAB" w:rsidRDefault="00995BAB" w:rsidP="00995BAB"/>
    <w:p w14:paraId="3CDBDB2D" w14:textId="58BB7F83" w:rsidR="000F00D2" w:rsidRDefault="00E51765" w:rsidP="0012167F">
      <w:pPr>
        <w:spacing w:line="360" w:lineRule="auto"/>
        <w:jc w:val="both"/>
        <w:rPr>
          <w:rFonts w:ascii="Arial" w:hAnsi="Arial" w:cs="Arial"/>
        </w:rPr>
      </w:pPr>
      <w:r>
        <w:rPr>
          <w:rFonts w:ascii="Arial" w:hAnsi="Arial" w:cs="Arial"/>
        </w:rPr>
        <w:t xml:space="preserve">The </w:t>
      </w:r>
      <w:r w:rsidR="00D43B80">
        <w:rPr>
          <w:rFonts w:ascii="Arial" w:hAnsi="Arial" w:cs="Arial"/>
        </w:rPr>
        <w:t>company’s</w:t>
      </w:r>
      <w:r>
        <w:rPr>
          <w:rFonts w:ascii="Arial" w:hAnsi="Arial" w:cs="Arial"/>
        </w:rPr>
        <w:t xml:space="preserve"> ac</w:t>
      </w:r>
      <w:r w:rsidR="00F0403B">
        <w:rPr>
          <w:rFonts w:ascii="Arial" w:hAnsi="Arial" w:cs="Arial"/>
        </w:rPr>
        <w:t>quisition is in holding stage, because in</w:t>
      </w:r>
      <w:r w:rsidR="00F905AC">
        <w:rPr>
          <w:rFonts w:ascii="Arial" w:hAnsi="Arial" w:cs="Arial"/>
        </w:rPr>
        <w:t>tegration causes some risks including management cost</w:t>
      </w:r>
      <w:r w:rsidR="002675FB">
        <w:rPr>
          <w:rFonts w:ascii="Arial" w:hAnsi="Arial" w:cs="Arial"/>
        </w:rPr>
        <w:t>, financial risk, sharing of particular information</w:t>
      </w:r>
      <w:r w:rsidR="009C4D00">
        <w:rPr>
          <w:rFonts w:ascii="Arial" w:hAnsi="Arial" w:cs="Arial"/>
        </w:rPr>
        <w:t>.</w:t>
      </w:r>
      <w:r w:rsidR="009C4D00" w:rsidRPr="009C4D00">
        <w:t xml:space="preserve"> </w:t>
      </w:r>
      <w:r w:rsidR="009C4D00" w:rsidRPr="009C4D00">
        <w:rPr>
          <w:rFonts w:ascii="Arial" w:hAnsi="Arial" w:cs="Arial"/>
        </w:rPr>
        <w:t>They do not integrate functions and departments in practice, so integration is not in their scope</w:t>
      </w:r>
      <w:r w:rsidR="00BA1804">
        <w:rPr>
          <w:rFonts w:ascii="Arial" w:hAnsi="Arial" w:cs="Arial"/>
        </w:rPr>
        <w:t xml:space="preserve"> (</w:t>
      </w:r>
      <w:r w:rsidR="00BA1804" w:rsidRPr="00BA1804">
        <w:rPr>
          <w:rFonts w:ascii="Arial" w:hAnsi="Arial" w:cs="Arial"/>
        </w:rPr>
        <w:t>Stevchevska-Srbinoska</w:t>
      </w:r>
      <w:r w:rsidR="00AC00B2">
        <w:rPr>
          <w:rFonts w:ascii="Arial" w:hAnsi="Arial" w:cs="Arial"/>
        </w:rPr>
        <w:t>,2017)</w:t>
      </w:r>
      <w:r w:rsidR="009C4D00" w:rsidRPr="009C4D00">
        <w:rPr>
          <w:rFonts w:ascii="Arial" w:hAnsi="Arial" w:cs="Arial"/>
        </w:rPr>
        <w:t>.</w:t>
      </w:r>
      <w:r w:rsidR="00FF05D8">
        <w:rPr>
          <w:rFonts w:ascii="Arial" w:hAnsi="Arial" w:cs="Arial"/>
        </w:rPr>
        <w:t xml:space="preserve"> Furthermore</w:t>
      </w:r>
      <w:r w:rsidR="00771FDA">
        <w:rPr>
          <w:rFonts w:ascii="Arial" w:hAnsi="Arial" w:cs="Arial"/>
        </w:rPr>
        <w:t>, the strategic interdependence(low) and organizational autonomy (low)</w:t>
      </w:r>
      <w:r w:rsidR="009B360F">
        <w:rPr>
          <w:rFonts w:ascii="Arial" w:hAnsi="Arial" w:cs="Arial"/>
        </w:rPr>
        <w:t xml:space="preserve"> </w:t>
      </w:r>
      <w:r w:rsidR="001E1DB8">
        <w:rPr>
          <w:rFonts w:ascii="Arial" w:hAnsi="Arial" w:cs="Arial"/>
        </w:rPr>
        <w:t>put</w:t>
      </w:r>
      <w:r w:rsidR="00CA7F17">
        <w:rPr>
          <w:rFonts w:ascii="Arial" w:hAnsi="Arial" w:cs="Arial"/>
        </w:rPr>
        <w:t xml:space="preserve"> the decis</w:t>
      </w:r>
      <w:r w:rsidR="001E1DB8">
        <w:rPr>
          <w:rFonts w:ascii="Arial" w:hAnsi="Arial" w:cs="Arial"/>
        </w:rPr>
        <w:t>ion in holding stage of post integration.</w:t>
      </w:r>
    </w:p>
    <w:p w14:paraId="671287CF" w14:textId="1F25E584" w:rsidR="00AB75B0" w:rsidRPr="00DA0CDC" w:rsidRDefault="00B75432" w:rsidP="00DA0CDC">
      <w:pPr>
        <w:spacing w:line="360" w:lineRule="auto"/>
        <w:jc w:val="both"/>
        <w:rPr>
          <w:rFonts w:ascii="Arial" w:hAnsi="Arial" w:cs="Arial"/>
        </w:rPr>
      </w:pPr>
      <w:r>
        <w:rPr>
          <w:rFonts w:ascii="Arial" w:hAnsi="Arial" w:cs="Arial"/>
        </w:rPr>
        <w:t xml:space="preserve">In pre-acquisition </w:t>
      </w:r>
      <w:r w:rsidR="00DE2BF4">
        <w:rPr>
          <w:rFonts w:ascii="Arial" w:hAnsi="Arial" w:cs="Arial"/>
        </w:rPr>
        <w:t>integration both companies will be</w:t>
      </w:r>
      <w:r w:rsidR="00BB698D">
        <w:rPr>
          <w:rFonts w:ascii="Arial" w:hAnsi="Arial" w:cs="Arial"/>
        </w:rPr>
        <w:t xml:space="preserve"> analysing</w:t>
      </w:r>
      <w:r w:rsidR="00DE2BF4" w:rsidRPr="00DE2BF4">
        <w:t xml:space="preserve"> </w:t>
      </w:r>
      <w:r w:rsidR="00BB698D">
        <w:rPr>
          <w:rFonts w:ascii="Arial" w:hAnsi="Arial" w:cs="Arial"/>
        </w:rPr>
        <w:t>s</w:t>
      </w:r>
      <w:r w:rsidR="00DE2BF4" w:rsidRPr="00DE2BF4">
        <w:rPr>
          <w:rFonts w:ascii="Arial" w:hAnsi="Arial" w:cs="Arial"/>
        </w:rPr>
        <w:t>trategic evaluation</w:t>
      </w:r>
      <w:r w:rsidR="00BB698D">
        <w:rPr>
          <w:rFonts w:ascii="Arial" w:hAnsi="Arial" w:cs="Arial"/>
        </w:rPr>
        <w:t>, f</w:t>
      </w:r>
      <w:r w:rsidR="00DE2BF4" w:rsidRPr="00DE2BF4">
        <w:rPr>
          <w:rFonts w:ascii="Arial" w:hAnsi="Arial" w:cs="Arial"/>
        </w:rPr>
        <w:t>inancial evaluation</w:t>
      </w:r>
      <w:r w:rsidR="00BB698D">
        <w:rPr>
          <w:rFonts w:ascii="Arial" w:hAnsi="Arial" w:cs="Arial"/>
        </w:rPr>
        <w:t>, n</w:t>
      </w:r>
      <w:r w:rsidR="00DE2BF4" w:rsidRPr="00DE2BF4">
        <w:rPr>
          <w:rFonts w:ascii="Arial" w:hAnsi="Arial" w:cs="Arial"/>
        </w:rPr>
        <w:t>egotiation</w:t>
      </w:r>
      <w:r w:rsidR="00BB698D">
        <w:rPr>
          <w:rFonts w:ascii="Arial" w:hAnsi="Arial" w:cs="Arial"/>
        </w:rPr>
        <w:t xml:space="preserve"> and </w:t>
      </w:r>
      <w:r w:rsidR="00DA0CDC">
        <w:rPr>
          <w:rFonts w:ascii="Arial" w:hAnsi="Arial" w:cs="Arial"/>
        </w:rPr>
        <w:t>pl</w:t>
      </w:r>
      <w:r w:rsidR="00DE2BF4" w:rsidRPr="00DE2BF4">
        <w:rPr>
          <w:rFonts w:ascii="Arial" w:hAnsi="Arial" w:cs="Arial"/>
        </w:rPr>
        <w:t>anning for eventual  implementation</w:t>
      </w:r>
      <w:r w:rsidR="00DA0CDC">
        <w:rPr>
          <w:rFonts w:ascii="Arial" w:hAnsi="Arial" w:cs="Arial"/>
        </w:rPr>
        <w:t>.</w:t>
      </w:r>
    </w:p>
    <w:p w14:paraId="528B8514" w14:textId="4FD9A7E6" w:rsidR="00AB75B0" w:rsidRDefault="00596945" w:rsidP="00596945">
      <w:pPr>
        <w:pStyle w:val="Heading1"/>
      </w:pPr>
      <w:bookmarkStart w:id="37" w:name="_Toc130395160"/>
      <w:r w:rsidRPr="00596945">
        <w:t>Section 2, Part 2 – Role of IHRM in implementing effective M&amp;A</w:t>
      </w:r>
      <w:bookmarkEnd w:id="37"/>
    </w:p>
    <w:p w14:paraId="55CB883B" w14:textId="7C3633A5" w:rsidR="000F00D2" w:rsidRDefault="000F00D2" w:rsidP="0012167F">
      <w:pPr>
        <w:spacing w:line="360" w:lineRule="auto"/>
        <w:jc w:val="both"/>
        <w:rPr>
          <w:rFonts w:ascii="Arial" w:hAnsi="Arial" w:cs="Arial"/>
        </w:rPr>
      </w:pPr>
    </w:p>
    <w:p w14:paraId="0C754711" w14:textId="0C4B21A5" w:rsidR="001408F8" w:rsidRDefault="00351093" w:rsidP="0012167F">
      <w:pPr>
        <w:spacing w:line="360" w:lineRule="auto"/>
        <w:jc w:val="both"/>
        <w:rPr>
          <w:rFonts w:ascii="Arial" w:hAnsi="Arial" w:cs="Arial"/>
        </w:rPr>
      </w:pPr>
      <w:r w:rsidRPr="00351093">
        <w:rPr>
          <w:rFonts w:ascii="Arial" w:hAnsi="Arial" w:cs="Arial"/>
        </w:rPr>
        <w:t>Acquisition success is primarily determined by an organization's ability to handle the decision-making and integration processes. An acquisition's potential value may be determined by strategic fit considerations, while its feasibility may be determined by organizational fit considerations. The actual value created however flows directly from the company's capacity to manage the acquisition process</w:t>
      </w:r>
      <w:r w:rsidR="0003722A">
        <w:rPr>
          <w:rFonts w:ascii="Arial" w:hAnsi="Arial" w:cs="Arial"/>
        </w:rPr>
        <w:t xml:space="preserve"> (</w:t>
      </w:r>
      <w:r w:rsidR="0003722A" w:rsidRPr="0003722A">
        <w:rPr>
          <w:rFonts w:ascii="Arial" w:hAnsi="Arial" w:cs="Arial"/>
        </w:rPr>
        <w:t>Angwin and Meadows</w:t>
      </w:r>
      <w:r w:rsidR="0003722A">
        <w:rPr>
          <w:rFonts w:ascii="Arial" w:hAnsi="Arial" w:cs="Arial"/>
        </w:rPr>
        <w:t>,2015).</w:t>
      </w:r>
      <w:r w:rsidR="00C93437">
        <w:rPr>
          <w:rFonts w:ascii="Arial" w:hAnsi="Arial" w:cs="Arial"/>
        </w:rPr>
        <w:t xml:space="preserve"> </w:t>
      </w:r>
      <w:r w:rsidR="00F86EE0" w:rsidRPr="00F86EE0">
        <w:rPr>
          <w:rFonts w:ascii="Arial" w:hAnsi="Arial" w:cs="Arial"/>
        </w:rPr>
        <w:t>HR department plays a significant role in this process, as they are faced with challenges in the pre and post stages.</w:t>
      </w:r>
      <w:r w:rsidR="00034043">
        <w:rPr>
          <w:rFonts w:ascii="Arial" w:hAnsi="Arial" w:cs="Arial"/>
        </w:rPr>
        <w:t xml:space="preserve"> Figure 8 represents some of the HR challenges in pre and post stage.</w:t>
      </w:r>
    </w:p>
    <w:p w14:paraId="1F998E89" w14:textId="77777777" w:rsidR="00665E48" w:rsidRDefault="009F750E" w:rsidP="00665E48">
      <w:pPr>
        <w:keepNext/>
        <w:spacing w:line="360" w:lineRule="auto"/>
        <w:jc w:val="both"/>
      </w:pPr>
      <w:r>
        <w:rPr>
          <w:rFonts w:ascii="Arial" w:hAnsi="Arial" w:cs="Arial"/>
          <w:noProof/>
        </w:rPr>
        <w:drawing>
          <wp:inline distT="0" distB="0" distL="0" distR="0" wp14:anchorId="0EE7352D" wp14:editId="50A4DB1B">
            <wp:extent cx="5768340" cy="3596640"/>
            <wp:effectExtent l="0" t="0" r="0" b="22860"/>
            <wp:docPr id="166" name="Diagram 16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703D8985" w14:textId="5247348E" w:rsidR="001408F8" w:rsidRDefault="00665E48" w:rsidP="00665E48">
      <w:pPr>
        <w:pStyle w:val="Caption"/>
        <w:jc w:val="both"/>
      </w:pPr>
      <w:bookmarkStart w:id="38" w:name="_Toc129528231"/>
      <w:r>
        <w:t xml:space="preserve">Figure </w:t>
      </w:r>
      <w:fldSimple w:instr=" SEQ Figure \* ARABIC ">
        <w:r>
          <w:rPr>
            <w:noProof/>
          </w:rPr>
          <w:t>8</w:t>
        </w:r>
      </w:fldSimple>
      <w:r>
        <w:t xml:space="preserve"> HR Challenges in pre and post stage</w:t>
      </w:r>
      <w:bookmarkEnd w:id="38"/>
    </w:p>
    <w:p w14:paraId="142A0A79" w14:textId="03A84321" w:rsidR="00322C00" w:rsidRPr="00CF4143" w:rsidRDefault="00CF4143" w:rsidP="00CF4143">
      <w:pPr>
        <w:spacing w:line="360" w:lineRule="auto"/>
        <w:jc w:val="both"/>
        <w:rPr>
          <w:rFonts w:ascii="Arial" w:hAnsi="Arial" w:cs="Arial"/>
        </w:rPr>
      </w:pPr>
      <w:r w:rsidRPr="00CF4143">
        <w:rPr>
          <w:rFonts w:ascii="Arial" w:hAnsi="Arial" w:cs="Arial"/>
        </w:rPr>
        <w:lastRenderedPageBreak/>
        <w:t>The key to avoiding challenges is to make sure that there is alignment in values from the get-go and identify any potential challenges. There is a need to develop a transition plan to ensure those misaligned values don't cause HR issues during the acquisition process.</w:t>
      </w:r>
      <w:r>
        <w:rPr>
          <w:rFonts w:ascii="Arial" w:hAnsi="Arial" w:cs="Arial"/>
        </w:rPr>
        <w:t xml:space="preserve"> </w:t>
      </w:r>
      <w:r w:rsidR="00765D24">
        <w:rPr>
          <w:rFonts w:ascii="Arial" w:hAnsi="Arial" w:cs="Arial"/>
        </w:rPr>
        <w:t>Figure 9</w:t>
      </w:r>
      <w:r w:rsidR="00F8536A">
        <w:rPr>
          <w:rFonts w:ascii="Arial" w:hAnsi="Arial" w:cs="Arial"/>
        </w:rPr>
        <w:t xml:space="preserve"> </w:t>
      </w:r>
      <w:r w:rsidR="00036246">
        <w:rPr>
          <w:rFonts w:ascii="Arial" w:hAnsi="Arial" w:cs="Arial"/>
        </w:rPr>
        <w:t>present some resolutions for targeting possible</w:t>
      </w:r>
      <w:r w:rsidR="009316C3">
        <w:rPr>
          <w:rFonts w:ascii="Arial" w:hAnsi="Arial" w:cs="Arial"/>
        </w:rPr>
        <w:t xml:space="preserve"> HR</w:t>
      </w:r>
      <w:r w:rsidR="00036246">
        <w:rPr>
          <w:rFonts w:ascii="Arial" w:hAnsi="Arial" w:cs="Arial"/>
        </w:rPr>
        <w:t xml:space="preserve"> challenges </w:t>
      </w:r>
      <w:r w:rsidR="009316C3">
        <w:rPr>
          <w:rFonts w:ascii="Arial" w:hAnsi="Arial" w:cs="Arial"/>
        </w:rPr>
        <w:t xml:space="preserve">in pre and post stage of </w:t>
      </w:r>
      <w:r w:rsidR="00824056">
        <w:rPr>
          <w:rFonts w:ascii="Arial" w:hAnsi="Arial" w:cs="Arial"/>
        </w:rPr>
        <w:t>acquiring.</w:t>
      </w:r>
    </w:p>
    <w:p w14:paraId="5D2A70CE" w14:textId="40367B8F" w:rsidR="00322C00" w:rsidRDefault="00322C00" w:rsidP="00322C00"/>
    <w:p w14:paraId="3ABA6214" w14:textId="1B515FED" w:rsidR="00322C00" w:rsidRDefault="00322C00" w:rsidP="00322C00"/>
    <w:p w14:paraId="1BD9C597" w14:textId="77777777" w:rsidR="00322C00" w:rsidRPr="00322C00" w:rsidRDefault="00322C00" w:rsidP="00322C00"/>
    <w:p w14:paraId="58071F19" w14:textId="77777777" w:rsidR="00665E48" w:rsidRDefault="00322C00" w:rsidP="00665E48">
      <w:pPr>
        <w:keepNext/>
      </w:pPr>
      <w:r>
        <w:rPr>
          <w:noProof/>
        </w:rPr>
        <w:drawing>
          <wp:inline distT="0" distB="0" distL="0" distR="0" wp14:anchorId="674157C4" wp14:editId="40EB2452">
            <wp:extent cx="6021070" cy="3977640"/>
            <wp:effectExtent l="0" t="0" r="0" b="2286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135FA0B3" w14:textId="774C3336" w:rsidR="00322C00" w:rsidRDefault="00665E48" w:rsidP="00665E48">
      <w:pPr>
        <w:pStyle w:val="Caption"/>
      </w:pPr>
      <w:bookmarkStart w:id="39" w:name="_Toc129528232"/>
      <w:r>
        <w:t xml:space="preserve">Figure </w:t>
      </w:r>
      <w:fldSimple w:instr=" SEQ Figure \* ARABIC ">
        <w:r>
          <w:rPr>
            <w:noProof/>
          </w:rPr>
          <w:t>9</w:t>
        </w:r>
      </w:fldSimple>
      <w:r>
        <w:t xml:space="preserve"> HR Resolution for targeting possible challenges</w:t>
      </w:r>
      <w:bookmarkEnd w:id="39"/>
    </w:p>
    <w:p w14:paraId="4155851F" w14:textId="08E0D367" w:rsidR="00FA1C6F" w:rsidRDefault="00FA1C6F" w:rsidP="00FA1C6F"/>
    <w:p w14:paraId="341AC16E" w14:textId="5F8CCC9B" w:rsidR="00FA1C6F" w:rsidRDefault="00FA1C6F" w:rsidP="00FA1C6F">
      <w:pPr>
        <w:pStyle w:val="Heading1"/>
      </w:pPr>
      <w:bookmarkStart w:id="40" w:name="_Toc130395161"/>
      <w:r>
        <w:t>Conclusion and recommendations</w:t>
      </w:r>
      <w:bookmarkEnd w:id="40"/>
    </w:p>
    <w:p w14:paraId="37923026" w14:textId="369B278D" w:rsidR="00FA1C6F" w:rsidRDefault="00FA1C6F" w:rsidP="00FA1C6F"/>
    <w:p w14:paraId="79492323" w14:textId="609E693A" w:rsidR="008F0ECD" w:rsidRDefault="008F0ECD" w:rsidP="008F0ECD">
      <w:pPr>
        <w:spacing w:line="360" w:lineRule="auto"/>
        <w:jc w:val="both"/>
        <w:rPr>
          <w:rFonts w:ascii="Arial" w:hAnsi="Arial" w:cs="Arial"/>
        </w:rPr>
      </w:pPr>
      <w:r w:rsidRPr="008F0ECD">
        <w:rPr>
          <w:rFonts w:ascii="Arial" w:hAnsi="Arial" w:cs="Arial"/>
        </w:rPr>
        <w:t xml:space="preserve">The cultural and institutional analysis of Canada and France reveals a number of differences between them, including differences in language, culture, values, uncertainty avoidance, legal systems and etc. These differences suggest that HRM practices should be adapted to fit the different country contexts rather than simply being implemented as-is across both countries. This is in line with the convergence-divergence debate which suggests that HRM practices should be tailored to fit the local context in order to maximize effectiveness. The acquisition of </w:t>
      </w:r>
      <w:r w:rsidRPr="008F0ECD">
        <w:rPr>
          <w:rFonts w:ascii="Arial" w:hAnsi="Arial" w:cs="Arial"/>
        </w:rPr>
        <w:lastRenderedPageBreak/>
        <w:t>top managers is a complex process that presents many challenges. A merger or acquisition candidate needs to be evaluated and chosen carefully, and the appropriate price for an acquisition needs to be determined. M&amp;A success is certainly impacted by these decisions. Managing the myriad organizational and HR concerns that surface throughout the M&amp;A process, however, is as critical to success</w:t>
      </w:r>
      <w:r w:rsidR="00E202A9">
        <w:rPr>
          <w:rFonts w:ascii="Arial" w:hAnsi="Arial" w:cs="Arial"/>
        </w:rPr>
        <w:t xml:space="preserve"> (</w:t>
      </w:r>
      <w:r w:rsidR="00E202A9" w:rsidRPr="00E202A9">
        <w:rPr>
          <w:rFonts w:ascii="Arial" w:hAnsi="Arial" w:cs="Arial"/>
        </w:rPr>
        <w:t>Schweiger</w:t>
      </w:r>
      <w:r w:rsidR="00E202A9">
        <w:rPr>
          <w:rFonts w:ascii="Arial" w:hAnsi="Arial" w:cs="Arial"/>
        </w:rPr>
        <w:t xml:space="preserve"> </w:t>
      </w:r>
      <w:r w:rsidR="00E202A9" w:rsidRPr="00E202A9">
        <w:rPr>
          <w:rFonts w:ascii="Arial" w:hAnsi="Arial" w:cs="Arial"/>
        </w:rPr>
        <w:t>&amp; Weber</w:t>
      </w:r>
      <w:r w:rsidR="00E202A9">
        <w:rPr>
          <w:rFonts w:ascii="Arial" w:hAnsi="Arial" w:cs="Arial"/>
        </w:rPr>
        <w:t>,1992)</w:t>
      </w:r>
      <w:r w:rsidRPr="008F0ECD">
        <w:rPr>
          <w:rFonts w:ascii="Arial" w:hAnsi="Arial" w:cs="Arial"/>
        </w:rPr>
        <w:t>.</w:t>
      </w:r>
      <w:r w:rsidR="00A357D9">
        <w:rPr>
          <w:rFonts w:ascii="Arial" w:hAnsi="Arial" w:cs="Arial"/>
        </w:rPr>
        <w:t xml:space="preserve"> </w:t>
      </w:r>
      <w:r w:rsidR="0044335F">
        <w:rPr>
          <w:rFonts w:ascii="Arial" w:hAnsi="Arial" w:cs="Arial"/>
        </w:rPr>
        <w:t xml:space="preserve">For </w:t>
      </w:r>
      <w:r w:rsidR="00F63BDF">
        <w:rPr>
          <w:rFonts w:ascii="Arial" w:hAnsi="Arial" w:cs="Arial"/>
        </w:rPr>
        <w:t xml:space="preserve">successful </w:t>
      </w:r>
      <w:r w:rsidR="001663D3">
        <w:rPr>
          <w:rFonts w:ascii="Arial" w:hAnsi="Arial" w:cs="Arial"/>
        </w:rPr>
        <w:t>cross</w:t>
      </w:r>
      <w:r w:rsidR="00E71A87">
        <w:rPr>
          <w:rFonts w:ascii="Arial" w:hAnsi="Arial" w:cs="Arial"/>
        </w:rPr>
        <w:t>-border M&amp;A and fit on HR practices need to be</w:t>
      </w:r>
      <w:r w:rsidR="00083979">
        <w:rPr>
          <w:rFonts w:ascii="Arial" w:hAnsi="Arial" w:cs="Arial"/>
        </w:rPr>
        <w:t xml:space="preserve"> align a transition plan</w:t>
      </w:r>
      <w:r w:rsidR="009604FE">
        <w:rPr>
          <w:rFonts w:ascii="Arial" w:hAnsi="Arial" w:cs="Arial"/>
        </w:rPr>
        <w:t xml:space="preserve"> to face </w:t>
      </w:r>
      <w:r w:rsidR="00D3630D">
        <w:rPr>
          <w:rFonts w:ascii="Arial" w:hAnsi="Arial" w:cs="Arial"/>
        </w:rPr>
        <w:t xml:space="preserve">possible challenges. </w:t>
      </w:r>
      <w:r w:rsidR="00A30EC2">
        <w:rPr>
          <w:rFonts w:ascii="Arial" w:hAnsi="Arial" w:cs="Arial"/>
        </w:rPr>
        <w:t>Potential resolutions has been discussed earlier</w:t>
      </w:r>
      <w:r w:rsidR="00845E09">
        <w:rPr>
          <w:rFonts w:ascii="Arial" w:hAnsi="Arial" w:cs="Arial"/>
        </w:rPr>
        <w:t xml:space="preserve">, which a refer as a </w:t>
      </w:r>
      <w:r w:rsidR="00B46855">
        <w:rPr>
          <w:rFonts w:ascii="Arial" w:hAnsi="Arial" w:cs="Arial"/>
        </w:rPr>
        <w:t>recommendations</w:t>
      </w:r>
      <w:r w:rsidR="0001788F">
        <w:rPr>
          <w:rFonts w:ascii="Arial" w:hAnsi="Arial" w:cs="Arial"/>
        </w:rPr>
        <w:t xml:space="preserve"> for HR role in this process.</w:t>
      </w:r>
    </w:p>
    <w:p w14:paraId="3837CA36" w14:textId="4F5541EC" w:rsidR="00750B76" w:rsidRDefault="00750B76" w:rsidP="008F0ECD">
      <w:pPr>
        <w:spacing w:line="360" w:lineRule="auto"/>
        <w:jc w:val="both"/>
        <w:rPr>
          <w:rFonts w:ascii="Arial" w:hAnsi="Arial" w:cs="Arial"/>
        </w:rPr>
      </w:pPr>
    </w:p>
    <w:p w14:paraId="14CEDF71" w14:textId="5F5EAA52" w:rsidR="00750B76" w:rsidRDefault="00750B76" w:rsidP="008F0ECD">
      <w:pPr>
        <w:spacing w:line="360" w:lineRule="auto"/>
        <w:jc w:val="both"/>
        <w:rPr>
          <w:rFonts w:ascii="Arial" w:hAnsi="Arial" w:cs="Arial"/>
        </w:rPr>
      </w:pPr>
    </w:p>
    <w:p w14:paraId="4DB8F570" w14:textId="4BACA7DF" w:rsidR="00750B76" w:rsidRDefault="00750B76" w:rsidP="008F0ECD">
      <w:pPr>
        <w:spacing w:line="360" w:lineRule="auto"/>
        <w:jc w:val="both"/>
        <w:rPr>
          <w:rFonts w:ascii="Arial" w:hAnsi="Arial" w:cs="Arial"/>
        </w:rPr>
      </w:pPr>
    </w:p>
    <w:p w14:paraId="39B0FC37" w14:textId="55C89A87" w:rsidR="00750B76" w:rsidRDefault="00750B76" w:rsidP="008F0ECD">
      <w:pPr>
        <w:spacing w:line="360" w:lineRule="auto"/>
        <w:jc w:val="both"/>
        <w:rPr>
          <w:rFonts w:ascii="Arial" w:hAnsi="Arial" w:cs="Arial"/>
        </w:rPr>
      </w:pPr>
    </w:p>
    <w:p w14:paraId="0BDD1100" w14:textId="3AE1EC51" w:rsidR="00750B76" w:rsidRDefault="00750B76" w:rsidP="008F0ECD">
      <w:pPr>
        <w:spacing w:line="360" w:lineRule="auto"/>
        <w:jc w:val="both"/>
        <w:rPr>
          <w:rFonts w:ascii="Arial" w:hAnsi="Arial" w:cs="Arial"/>
        </w:rPr>
      </w:pPr>
    </w:p>
    <w:p w14:paraId="0833A590" w14:textId="40633963" w:rsidR="00750B76" w:rsidRDefault="00750B76" w:rsidP="008F0ECD">
      <w:pPr>
        <w:spacing w:line="360" w:lineRule="auto"/>
        <w:jc w:val="both"/>
        <w:rPr>
          <w:rFonts w:ascii="Arial" w:hAnsi="Arial" w:cs="Arial"/>
        </w:rPr>
      </w:pPr>
    </w:p>
    <w:p w14:paraId="399D6E05" w14:textId="67929499" w:rsidR="00750B76" w:rsidRDefault="00750B76" w:rsidP="008F0ECD">
      <w:pPr>
        <w:spacing w:line="360" w:lineRule="auto"/>
        <w:jc w:val="both"/>
        <w:rPr>
          <w:rFonts w:ascii="Arial" w:hAnsi="Arial" w:cs="Arial"/>
        </w:rPr>
      </w:pPr>
    </w:p>
    <w:p w14:paraId="7D5BA92A" w14:textId="4075AC90" w:rsidR="00750B76" w:rsidRDefault="00750B76" w:rsidP="008F0ECD">
      <w:pPr>
        <w:spacing w:line="360" w:lineRule="auto"/>
        <w:jc w:val="both"/>
        <w:rPr>
          <w:rFonts w:ascii="Arial" w:hAnsi="Arial" w:cs="Arial"/>
        </w:rPr>
      </w:pPr>
    </w:p>
    <w:p w14:paraId="7D69F756" w14:textId="26BCFA88" w:rsidR="00750B76" w:rsidRDefault="00750B76" w:rsidP="00750B76">
      <w:pPr>
        <w:pStyle w:val="Heading1"/>
      </w:pPr>
      <w:bookmarkStart w:id="41" w:name="_Toc130395162"/>
      <w:r>
        <w:t>References</w:t>
      </w:r>
      <w:bookmarkEnd w:id="41"/>
    </w:p>
    <w:p w14:paraId="3AE3EB14" w14:textId="54BE3688" w:rsidR="00750B76" w:rsidRDefault="00750B76" w:rsidP="00750B76"/>
    <w:p w14:paraId="52EA4BC0" w14:textId="77777777" w:rsidR="002F4853" w:rsidRPr="002F4853" w:rsidRDefault="002F4853" w:rsidP="002F4853">
      <w:pPr>
        <w:spacing w:line="360" w:lineRule="auto"/>
        <w:jc w:val="both"/>
        <w:rPr>
          <w:rFonts w:ascii="Arial" w:hAnsi="Arial" w:cs="Arial"/>
        </w:rPr>
      </w:pPr>
    </w:p>
    <w:p w14:paraId="0168F286" w14:textId="044549A9" w:rsidR="002F4853" w:rsidRPr="002F4853" w:rsidRDefault="002F4853" w:rsidP="002F4853">
      <w:pPr>
        <w:spacing w:line="360" w:lineRule="auto"/>
        <w:jc w:val="both"/>
        <w:rPr>
          <w:rFonts w:ascii="Arial" w:hAnsi="Arial" w:cs="Arial"/>
        </w:rPr>
      </w:pPr>
      <w:r w:rsidRPr="002F4853">
        <w:rPr>
          <w:rFonts w:ascii="Arial" w:hAnsi="Arial" w:cs="Arial"/>
        </w:rPr>
        <w:t>Angwin, D.N. and Meadows, M.</w:t>
      </w:r>
      <w:r w:rsidR="00990235">
        <w:rPr>
          <w:rFonts w:ascii="Arial" w:hAnsi="Arial" w:cs="Arial"/>
        </w:rPr>
        <w:t xml:space="preserve"> (</w:t>
      </w:r>
      <w:r w:rsidRPr="002F4853">
        <w:rPr>
          <w:rFonts w:ascii="Arial" w:hAnsi="Arial" w:cs="Arial"/>
        </w:rPr>
        <w:t>2015</w:t>
      </w:r>
      <w:r w:rsidR="00990235">
        <w:rPr>
          <w:rFonts w:ascii="Arial" w:hAnsi="Arial" w:cs="Arial"/>
        </w:rPr>
        <w:t>)</w:t>
      </w:r>
      <w:r w:rsidRPr="002F4853">
        <w:rPr>
          <w:rFonts w:ascii="Arial" w:hAnsi="Arial" w:cs="Arial"/>
        </w:rPr>
        <w:t xml:space="preserve">. </w:t>
      </w:r>
      <w:r w:rsidRPr="00990235">
        <w:rPr>
          <w:rFonts w:ascii="Arial" w:hAnsi="Arial" w:cs="Arial"/>
          <w:i/>
          <w:iCs/>
        </w:rPr>
        <w:t>New integration strategies for post-acquisition management</w:t>
      </w:r>
      <w:r w:rsidRPr="002F4853">
        <w:rPr>
          <w:rFonts w:ascii="Arial" w:hAnsi="Arial" w:cs="Arial"/>
        </w:rPr>
        <w:t>. Long Range Planning, 48(4), pp.235-251.</w:t>
      </w:r>
    </w:p>
    <w:p w14:paraId="322CB621" w14:textId="77777777" w:rsidR="002F4853" w:rsidRPr="002F4853" w:rsidRDefault="002F4853" w:rsidP="002F4853">
      <w:pPr>
        <w:spacing w:line="360" w:lineRule="auto"/>
        <w:jc w:val="both"/>
        <w:rPr>
          <w:rFonts w:ascii="Arial" w:hAnsi="Arial" w:cs="Arial"/>
        </w:rPr>
      </w:pPr>
      <w:r w:rsidRPr="002F4853">
        <w:rPr>
          <w:rFonts w:ascii="Arial" w:hAnsi="Arial" w:cs="Arial"/>
        </w:rPr>
        <w:t xml:space="preserve">Buchanan, D. A., &amp; Huczynski, A. A. (2019). </w:t>
      </w:r>
      <w:r w:rsidRPr="00990235">
        <w:rPr>
          <w:rFonts w:ascii="Arial" w:hAnsi="Arial" w:cs="Arial"/>
          <w:i/>
          <w:iCs/>
        </w:rPr>
        <w:t>Organizational behaviour</w:t>
      </w:r>
      <w:r w:rsidRPr="002F4853">
        <w:rPr>
          <w:rFonts w:ascii="Arial" w:hAnsi="Arial" w:cs="Arial"/>
        </w:rPr>
        <w:t>. Pearson UK.</w:t>
      </w:r>
    </w:p>
    <w:p w14:paraId="7853D359" w14:textId="1B786BB8" w:rsidR="002F4853" w:rsidRPr="002F4853" w:rsidRDefault="002F4853" w:rsidP="002F4853">
      <w:pPr>
        <w:spacing w:line="360" w:lineRule="auto"/>
        <w:jc w:val="both"/>
        <w:rPr>
          <w:rFonts w:ascii="Arial" w:hAnsi="Arial" w:cs="Arial"/>
        </w:rPr>
      </w:pPr>
      <w:r w:rsidRPr="002F4853">
        <w:rPr>
          <w:rFonts w:ascii="Arial" w:hAnsi="Arial" w:cs="Arial"/>
        </w:rPr>
        <w:t>Bukowski, A., &amp; Rudnicki, S. (2019</w:t>
      </w:r>
      <w:r w:rsidR="00A1090D">
        <w:rPr>
          <w:rFonts w:ascii="Arial" w:hAnsi="Arial" w:cs="Arial"/>
          <w:i/>
          <w:iCs/>
        </w:rPr>
        <w:t>)</w:t>
      </w:r>
      <w:r w:rsidRPr="00990235">
        <w:rPr>
          <w:rFonts w:ascii="Arial" w:hAnsi="Arial" w:cs="Arial"/>
          <w:i/>
          <w:iCs/>
        </w:rPr>
        <w:t>. Not only individualism: The effects of long-term orientation and other cultural variables on national innovation success</w:t>
      </w:r>
      <w:r w:rsidRPr="002F4853">
        <w:rPr>
          <w:rFonts w:ascii="Arial" w:hAnsi="Arial" w:cs="Arial"/>
        </w:rPr>
        <w:t>. Cross-Cultural Research, 53(2), 119-162.</w:t>
      </w:r>
    </w:p>
    <w:p w14:paraId="42DFEDFD" w14:textId="77777777" w:rsidR="002F4853" w:rsidRPr="002F4853" w:rsidRDefault="002F4853" w:rsidP="002F4853">
      <w:pPr>
        <w:spacing w:line="360" w:lineRule="auto"/>
        <w:jc w:val="both"/>
        <w:rPr>
          <w:rFonts w:ascii="Arial" w:hAnsi="Arial" w:cs="Arial"/>
        </w:rPr>
      </w:pPr>
      <w:proofErr w:type="spellStart"/>
      <w:r w:rsidRPr="002F4853">
        <w:rPr>
          <w:rFonts w:ascii="Arial" w:hAnsi="Arial" w:cs="Arial"/>
        </w:rPr>
        <w:t>Dabiriyan</w:t>
      </w:r>
      <w:proofErr w:type="spellEnd"/>
      <w:r w:rsidRPr="002F4853">
        <w:rPr>
          <w:rFonts w:ascii="Arial" w:hAnsi="Arial" w:cs="Arial"/>
        </w:rPr>
        <w:t xml:space="preserve"> Tehrani, H., &amp; Yamini, S. (2022). </w:t>
      </w:r>
      <w:r w:rsidRPr="00A1090D">
        <w:rPr>
          <w:rFonts w:ascii="Arial" w:hAnsi="Arial" w:cs="Arial"/>
          <w:i/>
          <w:iCs/>
        </w:rPr>
        <w:t>Gender differences concerning the horizontal and vertical individualism and collectivism: A meta-analysis. Psychological Studies</w:t>
      </w:r>
      <w:r w:rsidRPr="002F4853">
        <w:rPr>
          <w:rFonts w:ascii="Arial" w:hAnsi="Arial" w:cs="Arial"/>
        </w:rPr>
        <w:t>, 67(1), 11-27.</w:t>
      </w:r>
    </w:p>
    <w:p w14:paraId="0D3A030A" w14:textId="5ACF7C82" w:rsidR="001107E0" w:rsidRPr="002F4853" w:rsidRDefault="002F4853" w:rsidP="002F4853">
      <w:pPr>
        <w:spacing w:line="360" w:lineRule="auto"/>
        <w:jc w:val="both"/>
        <w:rPr>
          <w:rFonts w:ascii="Arial" w:hAnsi="Arial" w:cs="Arial"/>
        </w:rPr>
      </w:pPr>
      <w:r w:rsidRPr="002F4853">
        <w:rPr>
          <w:rFonts w:ascii="Arial" w:hAnsi="Arial" w:cs="Arial"/>
        </w:rPr>
        <w:t>Darko,  E.  (2014</w:t>
      </w:r>
      <w:r w:rsidRPr="00A1090D">
        <w:rPr>
          <w:rFonts w:ascii="Arial" w:hAnsi="Arial" w:cs="Arial"/>
          <w:i/>
          <w:iCs/>
        </w:rPr>
        <w:t>) Overseas Development Institute. Short guide summarising the oil and gas industry lifecycle for a non-technical audience</w:t>
      </w:r>
      <w:r w:rsidR="00A1090D">
        <w:rPr>
          <w:rFonts w:ascii="Arial" w:hAnsi="Arial" w:cs="Arial"/>
        </w:rPr>
        <w:t>[online]</w:t>
      </w:r>
      <w:r w:rsidR="00DE3433">
        <w:rPr>
          <w:rFonts w:ascii="Arial" w:hAnsi="Arial" w:cs="Arial"/>
        </w:rPr>
        <w:t>. Available from</w:t>
      </w:r>
      <w:r w:rsidR="00BF4448">
        <w:rPr>
          <w:rFonts w:ascii="Arial" w:hAnsi="Arial" w:cs="Arial"/>
        </w:rPr>
        <w:t xml:space="preserve"> </w:t>
      </w:r>
      <w:hyperlink r:id="rId32" w:history="1">
        <w:r w:rsidR="00BF4448" w:rsidRPr="007F545D">
          <w:rPr>
            <w:rStyle w:val="Hyperlink"/>
            <w:rFonts w:ascii="Arial" w:hAnsi="Arial" w:cs="Arial"/>
          </w:rPr>
          <w:t>https://assets.publishing.service.gov.uk/media/57a089efed915d3cfd0004d4/Short_guide_summarising_the_oil_and_gas_industry_lifecycle-43.pdf</w:t>
        </w:r>
      </w:hyperlink>
      <w:r w:rsidR="00114454">
        <w:rPr>
          <w:rFonts w:ascii="Arial" w:hAnsi="Arial" w:cs="Arial"/>
        </w:rPr>
        <w:t xml:space="preserve"> </w:t>
      </w:r>
      <w:r w:rsidR="00BF4448">
        <w:rPr>
          <w:rFonts w:ascii="Arial" w:hAnsi="Arial" w:cs="Arial"/>
        </w:rPr>
        <w:t>[</w:t>
      </w:r>
      <w:r w:rsidR="00114454">
        <w:rPr>
          <w:rFonts w:ascii="Arial" w:hAnsi="Arial" w:cs="Arial"/>
        </w:rPr>
        <w:t xml:space="preserve"> </w:t>
      </w:r>
      <w:r w:rsidR="00BF4448" w:rsidRPr="00BF4448">
        <w:rPr>
          <w:rFonts w:ascii="Arial" w:hAnsi="Arial" w:cs="Arial"/>
        </w:rPr>
        <w:t>Access: 14/02/2023</w:t>
      </w:r>
      <w:r w:rsidR="00BF4448">
        <w:rPr>
          <w:rFonts w:ascii="Arial" w:hAnsi="Arial" w:cs="Arial"/>
        </w:rPr>
        <w:t>]</w:t>
      </w:r>
    </w:p>
    <w:p w14:paraId="2A065E11" w14:textId="77777777" w:rsidR="002F4853" w:rsidRPr="002F4853" w:rsidRDefault="002F4853" w:rsidP="002F4853">
      <w:pPr>
        <w:spacing w:line="360" w:lineRule="auto"/>
        <w:jc w:val="both"/>
        <w:rPr>
          <w:rFonts w:ascii="Arial" w:hAnsi="Arial" w:cs="Arial"/>
        </w:rPr>
      </w:pPr>
      <w:r w:rsidRPr="002F4853">
        <w:rPr>
          <w:rFonts w:ascii="Arial" w:hAnsi="Arial" w:cs="Arial"/>
        </w:rPr>
        <w:t xml:space="preserve">DiMaggio, P.J. , &amp; Powell, W.W. (1983). </w:t>
      </w:r>
      <w:r w:rsidRPr="00BF4448">
        <w:rPr>
          <w:rFonts w:ascii="Arial" w:hAnsi="Arial" w:cs="Arial"/>
          <w:i/>
          <w:iCs/>
        </w:rPr>
        <w:t>The iron cage revisited: Institutional isomorphism and collective rationality in organizational fields</w:t>
      </w:r>
      <w:r w:rsidRPr="002F4853">
        <w:rPr>
          <w:rFonts w:ascii="Arial" w:hAnsi="Arial" w:cs="Arial"/>
        </w:rPr>
        <w:t>. American  Sociological Review, 48, 147-160.</w:t>
      </w:r>
    </w:p>
    <w:p w14:paraId="51536A26" w14:textId="77777777" w:rsidR="002F4853" w:rsidRPr="00BF4448" w:rsidRDefault="002F4853" w:rsidP="002F4853">
      <w:pPr>
        <w:spacing w:line="360" w:lineRule="auto"/>
        <w:jc w:val="both"/>
        <w:rPr>
          <w:rFonts w:ascii="Arial" w:hAnsi="Arial" w:cs="Arial"/>
          <w:i/>
          <w:iCs/>
        </w:rPr>
      </w:pPr>
      <w:r w:rsidRPr="002F4853">
        <w:rPr>
          <w:rFonts w:ascii="Arial" w:hAnsi="Arial" w:cs="Arial"/>
        </w:rPr>
        <w:t xml:space="preserve">Edwards, T., Almond, P., Murray, G., &amp; Tregaskis, O. (2022). </w:t>
      </w:r>
      <w:r w:rsidRPr="00BF4448">
        <w:rPr>
          <w:rFonts w:ascii="Arial" w:hAnsi="Arial" w:cs="Arial"/>
          <w:i/>
          <w:iCs/>
        </w:rPr>
        <w:t>International human resource management in multinational companies: Global norm making within strategic action fields</w:t>
      </w:r>
      <w:r w:rsidRPr="002F4853">
        <w:rPr>
          <w:rFonts w:ascii="Arial" w:hAnsi="Arial" w:cs="Arial"/>
        </w:rPr>
        <w:t>. Human Resource Management Journal, 32(3), 683-697.</w:t>
      </w:r>
    </w:p>
    <w:p w14:paraId="081C0196" w14:textId="77777777" w:rsidR="002F4853" w:rsidRPr="002F4853" w:rsidRDefault="002F4853" w:rsidP="002F4853">
      <w:pPr>
        <w:spacing w:line="360" w:lineRule="auto"/>
        <w:jc w:val="both"/>
        <w:rPr>
          <w:rFonts w:ascii="Arial" w:hAnsi="Arial" w:cs="Arial"/>
        </w:rPr>
      </w:pPr>
      <w:r w:rsidRPr="00BF4448">
        <w:rPr>
          <w:rFonts w:ascii="Arial" w:hAnsi="Arial" w:cs="Arial"/>
          <w:i/>
          <w:iCs/>
        </w:rPr>
        <w:t xml:space="preserve">Farndale, E., Horak, S., Phillips, J., &amp; </w:t>
      </w:r>
      <w:proofErr w:type="spellStart"/>
      <w:r w:rsidRPr="00BF4448">
        <w:rPr>
          <w:rFonts w:ascii="Arial" w:hAnsi="Arial" w:cs="Arial"/>
          <w:i/>
          <w:iCs/>
        </w:rPr>
        <w:t>Beamond</w:t>
      </w:r>
      <w:proofErr w:type="spellEnd"/>
      <w:r w:rsidRPr="00BF4448">
        <w:rPr>
          <w:rFonts w:ascii="Arial" w:hAnsi="Arial" w:cs="Arial"/>
          <w:i/>
          <w:iCs/>
        </w:rPr>
        <w:t>, M. (2019). Facing complexity, crisis, and risk: Opportunities and challenges in international human resource management</w:t>
      </w:r>
      <w:r w:rsidRPr="002F4853">
        <w:rPr>
          <w:rFonts w:ascii="Arial" w:hAnsi="Arial" w:cs="Arial"/>
        </w:rPr>
        <w:t xml:space="preserve">. Thunderbird International </w:t>
      </w:r>
      <w:proofErr w:type="spellStart"/>
      <w:r w:rsidRPr="002F4853">
        <w:rPr>
          <w:rFonts w:ascii="Arial" w:hAnsi="Arial" w:cs="Arial"/>
        </w:rPr>
        <w:t>Busines</w:t>
      </w:r>
      <w:proofErr w:type="spellEnd"/>
      <w:r w:rsidRPr="002F4853">
        <w:rPr>
          <w:rFonts w:ascii="Arial" w:hAnsi="Arial" w:cs="Arial"/>
        </w:rPr>
        <w:t xml:space="preserve"> </w:t>
      </w:r>
    </w:p>
    <w:p w14:paraId="35757970" w14:textId="382F49EE" w:rsidR="002F4853" w:rsidRPr="002F4853" w:rsidRDefault="002F4853" w:rsidP="002F4853">
      <w:pPr>
        <w:spacing w:line="360" w:lineRule="auto"/>
        <w:jc w:val="both"/>
        <w:rPr>
          <w:rFonts w:ascii="Arial" w:hAnsi="Arial" w:cs="Arial"/>
        </w:rPr>
      </w:pPr>
      <w:r w:rsidRPr="002F4853">
        <w:rPr>
          <w:rFonts w:ascii="Arial" w:hAnsi="Arial" w:cs="Arial"/>
        </w:rPr>
        <w:t>Forbes</w:t>
      </w:r>
      <w:r w:rsidR="00BF4448">
        <w:rPr>
          <w:rFonts w:ascii="Arial" w:hAnsi="Arial" w:cs="Arial"/>
        </w:rPr>
        <w:t>.</w:t>
      </w:r>
      <w:r w:rsidRPr="002F4853">
        <w:rPr>
          <w:rFonts w:ascii="Arial" w:hAnsi="Arial" w:cs="Arial"/>
        </w:rPr>
        <w:t xml:space="preserve"> </w:t>
      </w:r>
      <w:r w:rsidR="001C4C74">
        <w:rPr>
          <w:rFonts w:ascii="Arial" w:hAnsi="Arial" w:cs="Arial"/>
        </w:rPr>
        <w:t>(</w:t>
      </w:r>
      <w:r w:rsidRPr="002F4853">
        <w:rPr>
          <w:rFonts w:ascii="Arial" w:hAnsi="Arial" w:cs="Arial"/>
        </w:rPr>
        <w:t>2023</w:t>
      </w:r>
      <w:r w:rsidR="001C4C74">
        <w:rPr>
          <w:rFonts w:ascii="Arial" w:hAnsi="Arial" w:cs="Arial"/>
        </w:rPr>
        <w:t>)</w:t>
      </w:r>
      <w:r w:rsidRPr="002F4853">
        <w:rPr>
          <w:rFonts w:ascii="Arial" w:hAnsi="Arial" w:cs="Arial"/>
        </w:rPr>
        <w:t xml:space="preserve">. </w:t>
      </w:r>
      <w:r w:rsidRPr="001C4C74">
        <w:rPr>
          <w:rFonts w:ascii="Arial" w:hAnsi="Arial" w:cs="Arial"/>
          <w:i/>
          <w:iCs/>
        </w:rPr>
        <w:t>Forbes Media LLC. Pembina Pipeline Calgary, Canada</w:t>
      </w:r>
      <w:r w:rsidR="001C4C74">
        <w:rPr>
          <w:rFonts w:ascii="Arial" w:hAnsi="Arial" w:cs="Arial"/>
        </w:rPr>
        <w:t xml:space="preserve">[online]. Available from </w:t>
      </w:r>
      <w:hyperlink r:id="rId33" w:history="1">
        <w:r w:rsidR="001C4C74" w:rsidRPr="007F545D">
          <w:rPr>
            <w:rStyle w:val="Hyperlink"/>
            <w:rFonts w:ascii="Arial" w:hAnsi="Arial" w:cs="Arial"/>
          </w:rPr>
          <w:t>https://www.forbes.com/companies/pembina-pipeline/?sh=79212ac22532</w:t>
        </w:r>
      </w:hyperlink>
      <w:r w:rsidR="001C4C74">
        <w:rPr>
          <w:rFonts w:ascii="Arial" w:hAnsi="Arial" w:cs="Arial"/>
        </w:rPr>
        <w:t xml:space="preserve"> [</w:t>
      </w:r>
      <w:r w:rsidRPr="002F4853">
        <w:rPr>
          <w:rFonts w:ascii="Arial" w:hAnsi="Arial" w:cs="Arial"/>
        </w:rPr>
        <w:t xml:space="preserve"> </w:t>
      </w:r>
      <w:r w:rsidR="001C4C74" w:rsidRPr="001C4C74">
        <w:rPr>
          <w:rFonts w:ascii="Arial" w:hAnsi="Arial" w:cs="Arial"/>
        </w:rPr>
        <w:t>Access: 14/02/2023</w:t>
      </w:r>
      <w:r w:rsidR="001C4C74">
        <w:rPr>
          <w:rFonts w:ascii="Arial" w:hAnsi="Arial" w:cs="Arial"/>
        </w:rPr>
        <w:t>]</w:t>
      </w:r>
    </w:p>
    <w:p w14:paraId="76C07C06" w14:textId="1173ADE7" w:rsidR="002F4853" w:rsidRPr="002F4853" w:rsidRDefault="002F4853" w:rsidP="002F4853">
      <w:pPr>
        <w:spacing w:line="360" w:lineRule="auto"/>
        <w:jc w:val="both"/>
        <w:rPr>
          <w:rFonts w:ascii="Arial" w:hAnsi="Arial" w:cs="Arial"/>
        </w:rPr>
      </w:pPr>
      <w:r w:rsidRPr="002F4853">
        <w:rPr>
          <w:rFonts w:ascii="Arial" w:hAnsi="Arial" w:cs="Arial"/>
        </w:rPr>
        <w:t>France Diplomacy</w:t>
      </w:r>
      <w:r w:rsidR="00941822">
        <w:rPr>
          <w:rFonts w:ascii="Arial" w:hAnsi="Arial" w:cs="Arial"/>
        </w:rPr>
        <w:t>.</w:t>
      </w:r>
      <w:r w:rsidRPr="002F4853">
        <w:rPr>
          <w:rFonts w:ascii="Arial" w:hAnsi="Arial" w:cs="Arial"/>
        </w:rPr>
        <w:t xml:space="preserve"> </w:t>
      </w:r>
      <w:r w:rsidR="00941822">
        <w:rPr>
          <w:rFonts w:ascii="Arial" w:hAnsi="Arial" w:cs="Arial"/>
        </w:rPr>
        <w:t>(</w:t>
      </w:r>
      <w:r w:rsidRPr="002F4853">
        <w:rPr>
          <w:rFonts w:ascii="Arial" w:hAnsi="Arial" w:cs="Arial"/>
        </w:rPr>
        <w:t>2023</w:t>
      </w:r>
      <w:r w:rsidR="00941822">
        <w:rPr>
          <w:rFonts w:ascii="Arial" w:hAnsi="Arial" w:cs="Arial"/>
        </w:rPr>
        <w:t>).</w:t>
      </w:r>
      <w:r w:rsidRPr="002F4853">
        <w:rPr>
          <w:rFonts w:ascii="Arial" w:hAnsi="Arial" w:cs="Arial"/>
        </w:rPr>
        <w:t xml:space="preserve"> </w:t>
      </w:r>
      <w:r w:rsidRPr="00941822">
        <w:rPr>
          <w:rFonts w:ascii="Arial" w:hAnsi="Arial" w:cs="Arial"/>
          <w:i/>
          <w:iCs/>
        </w:rPr>
        <w:t>Secularism and Religious Freedom</w:t>
      </w:r>
      <w:r w:rsidR="00F772A5">
        <w:rPr>
          <w:rFonts w:ascii="Arial" w:hAnsi="Arial" w:cs="Arial"/>
        </w:rPr>
        <w:t xml:space="preserve">[online]. Available from </w:t>
      </w:r>
      <w:hyperlink r:id="rId34" w:history="1">
        <w:r w:rsidR="00F772A5" w:rsidRPr="007F545D">
          <w:rPr>
            <w:rStyle w:val="Hyperlink"/>
            <w:rFonts w:ascii="Arial" w:hAnsi="Arial" w:cs="Arial"/>
          </w:rPr>
          <w:t>https://www.diplomatie.gouv.fr/en/coming-to-france/france-facts/secularism-and-religious-freedom-in-france-63815/article/secularism-and-religious-freedom-in-france</w:t>
        </w:r>
      </w:hyperlink>
      <w:r w:rsidR="00F772A5">
        <w:rPr>
          <w:rFonts w:ascii="Arial" w:hAnsi="Arial" w:cs="Arial"/>
        </w:rPr>
        <w:t xml:space="preserve"> [Access:</w:t>
      </w:r>
      <w:r w:rsidR="002379C2">
        <w:rPr>
          <w:rFonts w:ascii="Arial" w:hAnsi="Arial" w:cs="Arial"/>
        </w:rPr>
        <w:t>17/02/2023]</w:t>
      </w:r>
    </w:p>
    <w:p w14:paraId="5162F72D" w14:textId="748F7CA8" w:rsidR="002F4853" w:rsidRPr="002F4853" w:rsidRDefault="002F4853" w:rsidP="002F4853">
      <w:pPr>
        <w:spacing w:line="360" w:lineRule="auto"/>
        <w:jc w:val="both"/>
        <w:rPr>
          <w:rFonts w:ascii="Arial" w:hAnsi="Arial" w:cs="Arial"/>
        </w:rPr>
      </w:pPr>
      <w:proofErr w:type="spellStart"/>
      <w:r w:rsidRPr="002F4853">
        <w:rPr>
          <w:rFonts w:ascii="Arial" w:hAnsi="Arial" w:cs="Arial"/>
        </w:rPr>
        <w:t>GlobalData</w:t>
      </w:r>
      <w:proofErr w:type="spellEnd"/>
      <w:r w:rsidRPr="002F4853">
        <w:rPr>
          <w:rFonts w:ascii="Arial" w:hAnsi="Arial" w:cs="Arial"/>
        </w:rPr>
        <w:t xml:space="preserve">, Plc.  </w:t>
      </w:r>
      <w:r w:rsidR="002379C2">
        <w:rPr>
          <w:rFonts w:ascii="Arial" w:hAnsi="Arial" w:cs="Arial"/>
        </w:rPr>
        <w:t>(</w:t>
      </w:r>
      <w:r w:rsidRPr="002F4853">
        <w:rPr>
          <w:rFonts w:ascii="Arial" w:hAnsi="Arial" w:cs="Arial"/>
        </w:rPr>
        <w:t>2023</w:t>
      </w:r>
      <w:r w:rsidR="002379C2">
        <w:rPr>
          <w:rFonts w:ascii="Arial" w:hAnsi="Arial" w:cs="Arial"/>
        </w:rPr>
        <w:t>)</w:t>
      </w:r>
      <w:r w:rsidRPr="002F4853">
        <w:rPr>
          <w:rFonts w:ascii="Arial" w:hAnsi="Arial" w:cs="Arial"/>
        </w:rPr>
        <w:t xml:space="preserve">. </w:t>
      </w:r>
      <w:r w:rsidRPr="002379C2">
        <w:rPr>
          <w:rFonts w:ascii="Arial" w:hAnsi="Arial" w:cs="Arial"/>
          <w:i/>
          <w:iCs/>
        </w:rPr>
        <w:t xml:space="preserve">Companies. </w:t>
      </w:r>
      <w:proofErr w:type="spellStart"/>
      <w:r w:rsidRPr="002379C2">
        <w:rPr>
          <w:rFonts w:ascii="Arial" w:hAnsi="Arial" w:cs="Arial"/>
          <w:i/>
          <w:iCs/>
        </w:rPr>
        <w:t>TotalEnergies</w:t>
      </w:r>
      <w:proofErr w:type="spellEnd"/>
      <w:r w:rsidRPr="002379C2">
        <w:rPr>
          <w:rFonts w:ascii="Arial" w:hAnsi="Arial" w:cs="Arial"/>
          <w:i/>
          <w:iCs/>
        </w:rPr>
        <w:t xml:space="preserve"> SE: Overview</w:t>
      </w:r>
      <w:r w:rsidR="002379C2">
        <w:rPr>
          <w:rFonts w:ascii="Arial" w:hAnsi="Arial" w:cs="Arial"/>
        </w:rPr>
        <w:t>[online]</w:t>
      </w:r>
      <w:r w:rsidR="00A01E18">
        <w:rPr>
          <w:rFonts w:ascii="Arial" w:hAnsi="Arial" w:cs="Arial"/>
        </w:rPr>
        <w:t>. Available from</w:t>
      </w:r>
      <w:r w:rsidRPr="002F4853">
        <w:rPr>
          <w:rFonts w:ascii="Arial" w:hAnsi="Arial" w:cs="Arial"/>
        </w:rPr>
        <w:t xml:space="preserve"> </w:t>
      </w:r>
      <w:hyperlink r:id="rId35" w:history="1">
        <w:r w:rsidR="00A01E18" w:rsidRPr="007F545D">
          <w:rPr>
            <w:rStyle w:val="Hyperlink"/>
            <w:rFonts w:ascii="Arial" w:hAnsi="Arial" w:cs="Arial"/>
          </w:rPr>
          <w:t>https://www.globaldata.com/company-profile/total-se/</w:t>
        </w:r>
      </w:hyperlink>
      <w:r w:rsidR="00A01E18">
        <w:rPr>
          <w:rFonts w:ascii="Arial" w:hAnsi="Arial" w:cs="Arial"/>
        </w:rPr>
        <w:t xml:space="preserve"> [</w:t>
      </w:r>
      <w:r w:rsidR="00A01E18" w:rsidRPr="00A01E18">
        <w:rPr>
          <w:rFonts w:ascii="Arial" w:hAnsi="Arial" w:cs="Arial"/>
        </w:rPr>
        <w:t>Access:14/02/2023</w:t>
      </w:r>
      <w:r w:rsidR="00A01E18">
        <w:rPr>
          <w:rFonts w:ascii="Arial" w:hAnsi="Arial" w:cs="Arial"/>
        </w:rPr>
        <w:t>]</w:t>
      </w:r>
    </w:p>
    <w:p w14:paraId="5CB16312" w14:textId="4F6FAB71" w:rsidR="002F4853" w:rsidRPr="002F4853" w:rsidRDefault="002F4853" w:rsidP="002F4853">
      <w:pPr>
        <w:spacing w:line="360" w:lineRule="auto"/>
        <w:jc w:val="both"/>
        <w:rPr>
          <w:rFonts w:ascii="Arial" w:hAnsi="Arial" w:cs="Arial"/>
        </w:rPr>
      </w:pPr>
      <w:r w:rsidRPr="002F4853">
        <w:rPr>
          <w:rFonts w:ascii="Arial" w:hAnsi="Arial" w:cs="Arial"/>
        </w:rPr>
        <w:t>Government of Canada</w:t>
      </w:r>
      <w:r w:rsidR="00A01E18">
        <w:rPr>
          <w:rFonts w:ascii="Arial" w:hAnsi="Arial" w:cs="Arial"/>
        </w:rPr>
        <w:t>. (</w:t>
      </w:r>
      <w:r w:rsidRPr="002F4853">
        <w:rPr>
          <w:rFonts w:ascii="Arial" w:hAnsi="Arial" w:cs="Arial"/>
        </w:rPr>
        <w:t>2022</w:t>
      </w:r>
      <w:r w:rsidR="00A01E18">
        <w:rPr>
          <w:rFonts w:ascii="Arial" w:hAnsi="Arial" w:cs="Arial"/>
        </w:rPr>
        <w:t>).</w:t>
      </w:r>
      <w:r w:rsidRPr="002F4853">
        <w:rPr>
          <w:rFonts w:ascii="Arial" w:hAnsi="Arial" w:cs="Arial"/>
        </w:rPr>
        <w:t xml:space="preserve"> </w:t>
      </w:r>
      <w:r w:rsidRPr="00A01E18">
        <w:rPr>
          <w:rFonts w:ascii="Arial" w:hAnsi="Arial" w:cs="Arial"/>
          <w:i/>
          <w:iCs/>
        </w:rPr>
        <w:t>The Canadian Charter of Rights and Freedoms</w:t>
      </w:r>
      <w:r w:rsidR="0065014E">
        <w:rPr>
          <w:rFonts w:ascii="Arial" w:hAnsi="Arial" w:cs="Arial"/>
        </w:rPr>
        <w:t xml:space="preserve">[online]. Available from </w:t>
      </w:r>
      <w:hyperlink r:id="rId36" w:history="1">
        <w:r w:rsidR="0065014E" w:rsidRPr="007F545D">
          <w:rPr>
            <w:rStyle w:val="Hyperlink"/>
            <w:rFonts w:ascii="Arial" w:hAnsi="Arial" w:cs="Arial"/>
          </w:rPr>
          <w:t>https://www.justice.gc.ca/eng/csj-sjc/rfc-dlc/ccrf-ccdl/</w:t>
        </w:r>
      </w:hyperlink>
      <w:r w:rsidR="0065014E">
        <w:rPr>
          <w:rFonts w:ascii="Arial" w:hAnsi="Arial" w:cs="Arial"/>
        </w:rPr>
        <w:t xml:space="preserve"> [Access</w:t>
      </w:r>
      <w:r w:rsidR="00F51206">
        <w:rPr>
          <w:rFonts w:ascii="Arial" w:hAnsi="Arial" w:cs="Arial"/>
        </w:rPr>
        <w:t>:12/02/2023]</w:t>
      </w:r>
    </w:p>
    <w:p w14:paraId="1C328EB2" w14:textId="77777777" w:rsidR="002F4853" w:rsidRPr="002F4853" w:rsidRDefault="002F4853" w:rsidP="002F4853">
      <w:pPr>
        <w:spacing w:line="360" w:lineRule="auto"/>
        <w:jc w:val="both"/>
        <w:rPr>
          <w:rFonts w:ascii="Arial" w:hAnsi="Arial" w:cs="Arial"/>
        </w:rPr>
      </w:pPr>
      <w:proofErr w:type="spellStart"/>
      <w:r w:rsidRPr="002F4853">
        <w:rPr>
          <w:rFonts w:ascii="Arial" w:hAnsi="Arial" w:cs="Arial"/>
        </w:rPr>
        <w:t>Haspeslagh</w:t>
      </w:r>
      <w:proofErr w:type="spellEnd"/>
      <w:r w:rsidRPr="002F4853">
        <w:rPr>
          <w:rFonts w:ascii="Arial" w:hAnsi="Arial" w:cs="Arial"/>
        </w:rPr>
        <w:t xml:space="preserve">, P. and Jemison, D.B. (1991). </w:t>
      </w:r>
      <w:r w:rsidRPr="00F51206">
        <w:rPr>
          <w:rFonts w:ascii="Arial" w:hAnsi="Arial" w:cs="Arial"/>
          <w:i/>
          <w:iCs/>
        </w:rPr>
        <w:t>Managing acquisitions: Creating value through corporate renewal</w:t>
      </w:r>
      <w:r w:rsidRPr="002F4853">
        <w:rPr>
          <w:rFonts w:ascii="Arial" w:hAnsi="Arial" w:cs="Arial"/>
        </w:rPr>
        <w:t>. New York:  The Free Press</w:t>
      </w:r>
    </w:p>
    <w:p w14:paraId="5A98FE61" w14:textId="77777777" w:rsidR="002F4853" w:rsidRPr="002F4853" w:rsidRDefault="002F4853" w:rsidP="002F4853">
      <w:pPr>
        <w:spacing w:line="360" w:lineRule="auto"/>
        <w:jc w:val="both"/>
        <w:rPr>
          <w:rFonts w:ascii="Arial" w:hAnsi="Arial" w:cs="Arial"/>
        </w:rPr>
      </w:pPr>
      <w:r w:rsidRPr="002F4853">
        <w:rPr>
          <w:rFonts w:ascii="Arial" w:hAnsi="Arial" w:cs="Arial"/>
        </w:rPr>
        <w:t xml:space="preserve">Hofstede, G. H., &amp; Hofstede, G. (2001). </w:t>
      </w:r>
      <w:r w:rsidRPr="00F51206">
        <w:rPr>
          <w:rFonts w:ascii="Arial" w:hAnsi="Arial" w:cs="Arial"/>
          <w:i/>
          <w:iCs/>
        </w:rPr>
        <w:t>Culture's consequences: Comparing values, behaviours, institutions and organizations across nations</w:t>
      </w:r>
      <w:r w:rsidRPr="002F4853">
        <w:rPr>
          <w:rFonts w:ascii="Arial" w:hAnsi="Arial" w:cs="Arial"/>
        </w:rPr>
        <w:t>. sage.</w:t>
      </w:r>
    </w:p>
    <w:p w14:paraId="3A63C686" w14:textId="77777777" w:rsidR="002F4853" w:rsidRPr="002F4853" w:rsidRDefault="002F4853" w:rsidP="002F4853">
      <w:pPr>
        <w:spacing w:line="360" w:lineRule="auto"/>
        <w:jc w:val="both"/>
        <w:rPr>
          <w:rFonts w:ascii="Arial" w:hAnsi="Arial" w:cs="Arial"/>
        </w:rPr>
      </w:pPr>
      <w:r w:rsidRPr="002F4853">
        <w:rPr>
          <w:rFonts w:ascii="Arial" w:hAnsi="Arial" w:cs="Arial"/>
        </w:rPr>
        <w:t xml:space="preserve">Huu, N. D. (2022). </w:t>
      </w:r>
      <w:r w:rsidRPr="00F51206">
        <w:rPr>
          <w:rFonts w:ascii="Arial" w:hAnsi="Arial" w:cs="Arial"/>
          <w:i/>
          <w:iCs/>
        </w:rPr>
        <w:t>Information Systems In International Human Resource Management (</w:t>
      </w:r>
      <w:proofErr w:type="spellStart"/>
      <w:r w:rsidRPr="00F51206">
        <w:rPr>
          <w:rFonts w:ascii="Arial" w:hAnsi="Arial" w:cs="Arial"/>
          <w:i/>
          <w:iCs/>
        </w:rPr>
        <w:t>Ihrm</w:t>
      </w:r>
      <w:proofErr w:type="spellEnd"/>
      <w:r w:rsidRPr="00F51206">
        <w:rPr>
          <w:rFonts w:ascii="Arial" w:hAnsi="Arial" w:cs="Arial"/>
          <w:i/>
          <w:iCs/>
        </w:rPr>
        <w:t>)-An Overview</w:t>
      </w:r>
      <w:r w:rsidRPr="002F4853">
        <w:rPr>
          <w:rFonts w:ascii="Arial" w:hAnsi="Arial" w:cs="Arial"/>
        </w:rPr>
        <w:t xml:space="preserve">. </w:t>
      </w:r>
      <w:proofErr w:type="spellStart"/>
      <w:r w:rsidRPr="002F4853">
        <w:rPr>
          <w:rFonts w:ascii="Arial" w:hAnsi="Arial" w:cs="Arial"/>
        </w:rPr>
        <w:t>Webology</w:t>
      </w:r>
      <w:proofErr w:type="spellEnd"/>
      <w:r w:rsidRPr="002F4853">
        <w:rPr>
          <w:rFonts w:ascii="Arial" w:hAnsi="Arial" w:cs="Arial"/>
        </w:rPr>
        <w:t xml:space="preserve"> (ISSN: 1735-188X), 19(2).</w:t>
      </w:r>
    </w:p>
    <w:p w14:paraId="20C3E31D" w14:textId="77777777" w:rsidR="002F4853" w:rsidRPr="002F4853" w:rsidRDefault="002F4853" w:rsidP="002F4853">
      <w:pPr>
        <w:spacing w:line="360" w:lineRule="auto"/>
        <w:jc w:val="both"/>
        <w:rPr>
          <w:rFonts w:ascii="Arial" w:hAnsi="Arial" w:cs="Arial"/>
        </w:rPr>
      </w:pPr>
      <w:r w:rsidRPr="002F4853">
        <w:rPr>
          <w:rFonts w:ascii="Arial" w:hAnsi="Arial" w:cs="Arial"/>
        </w:rPr>
        <w:t xml:space="preserve">Khatri, N. (2009). </w:t>
      </w:r>
      <w:r w:rsidRPr="00F51206">
        <w:rPr>
          <w:rFonts w:ascii="Arial" w:hAnsi="Arial" w:cs="Arial"/>
          <w:i/>
          <w:iCs/>
        </w:rPr>
        <w:t>Consequences of power distance orientation in organisations</w:t>
      </w:r>
      <w:r w:rsidRPr="002F4853">
        <w:rPr>
          <w:rFonts w:ascii="Arial" w:hAnsi="Arial" w:cs="Arial"/>
        </w:rPr>
        <w:t>. Vision, 13(1), 1-9.</w:t>
      </w:r>
    </w:p>
    <w:p w14:paraId="15ECA09C" w14:textId="05876BD7" w:rsidR="002F4853" w:rsidRPr="002F4853" w:rsidRDefault="002F4853" w:rsidP="002F4853">
      <w:pPr>
        <w:spacing w:line="360" w:lineRule="auto"/>
        <w:jc w:val="both"/>
        <w:rPr>
          <w:rFonts w:ascii="Arial" w:hAnsi="Arial" w:cs="Arial"/>
        </w:rPr>
      </w:pPr>
      <w:r w:rsidRPr="002F4853">
        <w:rPr>
          <w:rFonts w:ascii="Arial" w:hAnsi="Arial" w:cs="Arial"/>
        </w:rPr>
        <w:t xml:space="preserve">Mari, S., Gil de Zuniga, H., </w:t>
      </w:r>
      <w:proofErr w:type="spellStart"/>
      <w:r w:rsidRPr="002F4853">
        <w:rPr>
          <w:rFonts w:ascii="Arial" w:hAnsi="Arial" w:cs="Arial"/>
        </w:rPr>
        <w:t>Suerdem</w:t>
      </w:r>
      <w:proofErr w:type="spellEnd"/>
      <w:r w:rsidRPr="002F4853">
        <w:rPr>
          <w:rFonts w:ascii="Arial" w:hAnsi="Arial" w:cs="Arial"/>
        </w:rPr>
        <w:t xml:space="preserve">, A., Hanke, K., Brown, G., Vilar, R.,  &amp; </w:t>
      </w:r>
      <w:proofErr w:type="spellStart"/>
      <w:r w:rsidRPr="002F4853">
        <w:rPr>
          <w:rFonts w:ascii="Arial" w:hAnsi="Arial" w:cs="Arial"/>
        </w:rPr>
        <w:t>Bilewicz</w:t>
      </w:r>
      <w:proofErr w:type="spellEnd"/>
      <w:r w:rsidRPr="002F4853">
        <w:rPr>
          <w:rFonts w:ascii="Arial" w:hAnsi="Arial" w:cs="Arial"/>
        </w:rPr>
        <w:t xml:space="preserve">, M. (2022). </w:t>
      </w:r>
      <w:r w:rsidRPr="009C7966">
        <w:rPr>
          <w:rFonts w:ascii="Arial" w:hAnsi="Arial" w:cs="Arial"/>
          <w:i/>
          <w:iCs/>
        </w:rPr>
        <w:t>Conspiracy theories and institutional trust: examining the role of uncertainty avoidance and active social media use</w:t>
      </w:r>
      <w:r w:rsidRPr="002F4853">
        <w:rPr>
          <w:rFonts w:ascii="Arial" w:hAnsi="Arial" w:cs="Arial"/>
        </w:rPr>
        <w:t>. Political Psychology, 43(2), 277-296.</w:t>
      </w:r>
    </w:p>
    <w:p w14:paraId="31DA48AE" w14:textId="669348DA" w:rsidR="002F4853" w:rsidRPr="002F4853" w:rsidRDefault="002F4853" w:rsidP="002F4853">
      <w:pPr>
        <w:spacing w:line="360" w:lineRule="auto"/>
        <w:jc w:val="both"/>
        <w:rPr>
          <w:rFonts w:ascii="Arial" w:hAnsi="Arial" w:cs="Arial"/>
        </w:rPr>
      </w:pPr>
      <w:r w:rsidRPr="002F4853">
        <w:rPr>
          <w:rFonts w:ascii="Arial" w:hAnsi="Arial" w:cs="Arial"/>
        </w:rPr>
        <w:lastRenderedPageBreak/>
        <w:t xml:space="preserve">Minkov, M. </w:t>
      </w:r>
      <w:r w:rsidR="009C7966">
        <w:rPr>
          <w:rFonts w:ascii="Arial" w:hAnsi="Arial" w:cs="Arial"/>
        </w:rPr>
        <w:t>(</w:t>
      </w:r>
      <w:r w:rsidRPr="002F4853">
        <w:rPr>
          <w:rFonts w:ascii="Arial" w:hAnsi="Arial" w:cs="Arial"/>
        </w:rPr>
        <w:t>2011</w:t>
      </w:r>
      <w:r w:rsidR="009C7966" w:rsidRPr="009C7966">
        <w:rPr>
          <w:rFonts w:ascii="Arial" w:hAnsi="Arial" w:cs="Arial"/>
          <w:i/>
          <w:iCs/>
        </w:rPr>
        <w:t>)</w:t>
      </w:r>
      <w:r w:rsidRPr="009C7966">
        <w:rPr>
          <w:rFonts w:ascii="Arial" w:hAnsi="Arial" w:cs="Arial"/>
          <w:i/>
          <w:iCs/>
        </w:rPr>
        <w:t>. CULTURAL DIFFERENCES IN A GLOBALIZING WORLD. FOREWORD BY GEERT HOFSTEDE</w:t>
      </w:r>
      <w:r w:rsidR="009C7966">
        <w:rPr>
          <w:rFonts w:ascii="Arial" w:hAnsi="Arial" w:cs="Arial"/>
        </w:rPr>
        <w:t xml:space="preserve">. </w:t>
      </w:r>
      <w:r w:rsidRPr="002F4853">
        <w:rPr>
          <w:rFonts w:ascii="Arial" w:hAnsi="Arial" w:cs="Arial"/>
        </w:rPr>
        <w:t>Emerald Group Publishing Limited</w:t>
      </w:r>
      <w:r w:rsidR="0015240A">
        <w:rPr>
          <w:rFonts w:ascii="Arial" w:hAnsi="Arial" w:cs="Arial"/>
        </w:rPr>
        <w:t>, (2011)</w:t>
      </w:r>
    </w:p>
    <w:p w14:paraId="1E23040B" w14:textId="0B65023C" w:rsidR="002F4853" w:rsidRPr="002F4853" w:rsidRDefault="002F4853" w:rsidP="002F4853">
      <w:pPr>
        <w:spacing w:line="360" w:lineRule="auto"/>
        <w:jc w:val="both"/>
        <w:rPr>
          <w:rFonts w:ascii="Arial" w:hAnsi="Arial" w:cs="Arial"/>
        </w:rPr>
      </w:pPr>
      <w:r w:rsidRPr="002F4853">
        <w:rPr>
          <w:rFonts w:ascii="Arial" w:hAnsi="Arial" w:cs="Arial"/>
        </w:rPr>
        <w:t xml:space="preserve">Rebner, S. and Yeganeh, B. </w:t>
      </w:r>
      <w:r w:rsidR="0015240A">
        <w:rPr>
          <w:rFonts w:ascii="Arial" w:hAnsi="Arial" w:cs="Arial"/>
        </w:rPr>
        <w:t>(</w:t>
      </w:r>
      <w:r w:rsidRPr="002F4853">
        <w:rPr>
          <w:rFonts w:ascii="Arial" w:hAnsi="Arial" w:cs="Arial"/>
        </w:rPr>
        <w:t>2019</w:t>
      </w:r>
      <w:r w:rsidR="0015240A">
        <w:rPr>
          <w:rFonts w:ascii="Arial" w:hAnsi="Arial" w:cs="Arial"/>
        </w:rPr>
        <w:t>)</w:t>
      </w:r>
      <w:r w:rsidRPr="002F4853">
        <w:rPr>
          <w:rFonts w:ascii="Arial" w:hAnsi="Arial" w:cs="Arial"/>
        </w:rPr>
        <w:t xml:space="preserve">. </w:t>
      </w:r>
      <w:r w:rsidRPr="0015240A">
        <w:rPr>
          <w:rFonts w:ascii="Arial" w:hAnsi="Arial" w:cs="Arial"/>
          <w:i/>
          <w:iCs/>
        </w:rPr>
        <w:t>Mindful mergers &amp; acquisitions. OD Practitioner</w:t>
      </w:r>
      <w:r w:rsidRPr="002F4853">
        <w:rPr>
          <w:rFonts w:ascii="Arial" w:hAnsi="Arial" w:cs="Arial"/>
        </w:rPr>
        <w:t>, 51(1), pp.11-16.</w:t>
      </w:r>
    </w:p>
    <w:p w14:paraId="405EE2C0" w14:textId="6D5C09D7" w:rsidR="002F4853" w:rsidRPr="002F4853" w:rsidRDefault="002F4853" w:rsidP="002F4853">
      <w:pPr>
        <w:spacing w:line="360" w:lineRule="auto"/>
        <w:jc w:val="both"/>
        <w:rPr>
          <w:rFonts w:ascii="Arial" w:hAnsi="Arial" w:cs="Arial"/>
        </w:rPr>
      </w:pPr>
      <w:r w:rsidRPr="002F4853">
        <w:rPr>
          <w:rFonts w:ascii="Arial" w:hAnsi="Arial" w:cs="Arial"/>
        </w:rPr>
        <w:t>Robert, E.</w:t>
      </w:r>
      <w:r w:rsidR="0015240A">
        <w:rPr>
          <w:rFonts w:ascii="Arial" w:hAnsi="Arial" w:cs="Arial"/>
        </w:rPr>
        <w:t xml:space="preserve"> (</w:t>
      </w:r>
      <w:r w:rsidRPr="002F4853">
        <w:rPr>
          <w:rFonts w:ascii="Arial" w:hAnsi="Arial" w:cs="Arial"/>
        </w:rPr>
        <w:t>2011</w:t>
      </w:r>
      <w:r w:rsidR="0015240A">
        <w:rPr>
          <w:rFonts w:ascii="Arial" w:hAnsi="Arial" w:cs="Arial"/>
        </w:rPr>
        <w:t>)</w:t>
      </w:r>
      <w:r w:rsidRPr="002F4853">
        <w:rPr>
          <w:rFonts w:ascii="Arial" w:hAnsi="Arial" w:cs="Arial"/>
        </w:rPr>
        <w:t xml:space="preserve">. </w:t>
      </w:r>
      <w:r w:rsidRPr="0015240A">
        <w:rPr>
          <w:rFonts w:ascii="Arial" w:hAnsi="Arial" w:cs="Arial"/>
          <w:i/>
          <w:iCs/>
        </w:rPr>
        <w:t>Semi-presidentialism: An increasingly common constitutional choice. Semi-presidentialism and democracy</w:t>
      </w:r>
      <w:r w:rsidRPr="002F4853">
        <w:rPr>
          <w:rFonts w:ascii="Arial" w:hAnsi="Arial" w:cs="Arial"/>
        </w:rPr>
        <w:t>, pp.1-20.</w:t>
      </w:r>
    </w:p>
    <w:p w14:paraId="132DC7E7" w14:textId="77777777" w:rsidR="002F4853" w:rsidRPr="002F4853" w:rsidRDefault="002F4853" w:rsidP="002F4853">
      <w:pPr>
        <w:spacing w:line="360" w:lineRule="auto"/>
        <w:jc w:val="both"/>
        <w:rPr>
          <w:rFonts w:ascii="Arial" w:hAnsi="Arial" w:cs="Arial"/>
        </w:rPr>
      </w:pPr>
      <w:r w:rsidRPr="002F4853">
        <w:rPr>
          <w:rFonts w:ascii="Arial" w:hAnsi="Arial" w:cs="Arial"/>
        </w:rPr>
        <w:t xml:space="preserve">Salcedo, E., &amp; Gupta, M. (2021). </w:t>
      </w:r>
      <w:r w:rsidRPr="0015240A">
        <w:rPr>
          <w:rFonts w:ascii="Arial" w:hAnsi="Arial" w:cs="Arial"/>
          <w:i/>
          <w:iCs/>
        </w:rPr>
        <w:t>The effects of individual-level espoused national cultural values on the willingness to use Bitcoin-like blockchain currencies</w:t>
      </w:r>
      <w:r w:rsidRPr="002F4853">
        <w:rPr>
          <w:rFonts w:ascii="Arial" w:hAnsi="Arial" w:cs="Arial"/>
        </w:rPr>
        <w:t>. International Journal of Information Management, 60, 102388.</w:t>
      </w:r>
    </w:p>
    <w:p w14:paraId="5E5AAED3" w14:textId="127DE79A" w:rsidR="002F4853" w:rsidRPr="002F4853" w:rsidRDefault="002F4853" w:rsidP="002F4853">
      <w:pPr>
        <w:spacing w:line="360" w:lineRule="auto"/>
        <w:jc w:val="both"/>
        <w:rPr>
          <w:rFonts w:ascii="Arial" w:hAnsi="Arial" w:cs="Arial"/>
        </w:rPr>
      </w:pPr>
      <w:r w:rsidRPr="002F4853">
        <w:rPr>
          <w:rFonts w:ascii="Arial" w:hAnsi="Arial" w:cs="Arial"/>
        </w:rPr>
        <w:t>Schein, E. (2010</w:t>
      </w:r>
      <w:r w:rsidRPr="0015240A">
        <w:rPr>
          <w:rFonts w:ascii="Arial" w:hAnsi="Arial" w:cs="Arial"/>
          <w:i/>
          <w:iCs/>
        </w:rPr>
        <w:t>). Organizational culture and leadership</w:t>
      </w:r>
      <w:r w:rsidR="002D0F29">
        <w:rPr>
          <w:rFonts w:ascii="Arial" w:hAnsi="Arial" w:cs="Arial"/>
        </w:rPr>
        <w:t xml:space="preserve">. </w:t>
      </w:r>
      <w:r w:rsidRPr="002F4853">
        <w:rPr>
          <w:rFonts w:ascii="Arial" w:hAnsi="Arial" w:cs="Arial"/>
        </w:rPr>
        <w:t>4th ed. John Wiley &amp; Sons.</w:t>
      </w:r>
    </w:p>
    <w:p w14:paraId="57F1C08C" w14:textId="77777777" w:rsidR="002F4853" w:rsidRPr="002F4853" w:rsidRDefault="002F4853" w:rsidP="002F4853">
      <w:pPr>
        <w:spacing w:line="360" w:lineRule="auto"/>
        <w:jc w:val="both"/>
        <w:rPr>
          <w:rFonts w:ascii="Arial" w:hAnsi="Arial" w:cs="Arial"/>
        </w:rPr>
      </w:pPr>
      <w:r w:rsidRPr="002F4853">
        <w:rPr>
          <w:rFonts w:ascii="Arial" w:hAnsi="Arial" w:cs="Arial"/>
        </w:rPr>
        <w:t xml:space="preserve">Schweiger, D. M., &amp; Weber, Y. (1992). </w:t>
      </w:r>
      <w:r w:rsidRPr="002D0F29">
        <w:rPr>
          <w:rFonts w:ascii="Arial" w:hAnsi="Arial" w:cs="Arial"/>
          <w:i/>
          <w:iCs/>
        </w:rPr>
        <w:t>Strategies for managing human resources during mergers and acquisitions: An empirical investigation</w:t>
      </w:r>
      <w:r w:rsidRPr="002F4853">
        <w:rPr>
          <w:rFonts w:ascii="Arial" w:hAnsi="Arial" w:cs="Arial"/>
        </w:rPr>
        <w:t>. Human Resource Planning: Solutions to Key Business Issues Selected Articles, 101-118.</w:t>
      </w:r>
    </w:p>
    <w:p w14:paraId="7074AA46" w14:textId="6EEF0AF5" w:rsidR="002F4853" w:rsidRPr="002F4853" w:rsidRDefault="002F4853" w:rsidP="002F4853">
      <w:pPr>
        <w:spacing w:line="360" w:lineRule="auto"/>
        <w:jc w:val="both"/>
        <w:rPr>
          <w:rFonts w:ascii="Arial" w:hAnsi="Arial" w:cs="Arial"/>
        </w:rPr>
      </w:pPr>
      <w:r w:rsidRPr="002F4853">
        <w:rPr>
          <w:rFonts w:ascii="Arial" w:hAnsi="Arial" w:cs="Arial"/>
        </w:rPr>
        <w:t xml:space="preserve">Scott, W. R. (2001). </w:t>
      </w:r>
      <w:r w:rsidRPr="002D0F29">
        <w:rPr>
          <w:rFonts w:ascii="Arial" w:hAnsi="Arial" w:cs="Arial"/>
          <w:i/>
          <w:iCs/>
        </w:rPr>
        <w:t>Institutions and organizations</w:t>
      </w:r>
      <w:r w:rsidR="002D0F29">
        <w:rPr>
          <w:rFonts w:ascii="Arial" w:hAnsi="Arial" w:cs="Arial"/>
        </w:rPr>
        <w:t xml:space="preserve">. </w:t>
      </w:r>
      <w:r w:rsidRPr="002F4853">
        <w:rPr>
          <w:rFonts w:ascii="Arial" w:hAnsi="Arial" w:cs="Arial"/>
        </w:rPr>
        <w:t>2nd ed. Thousand Oaks, CA: Sage.</w:t>
      </w:r>
    </w:p>
    <w:p w14:paraId="46B54374" w14:textId="77777777" w:rsidR="002F4853" w:rsidRPr="002F4853" w:rsidRDefault="002F4853" w:rsidP="002F4853">
      <w:pPr>
        <w:spacing w:line="360" w:lineRule="auto"/>
        <w:jc w:val="both"/>
        <w:rPr>
          <w:rFonts w:ascii="Arial" w:hAnsi="Arial" w:cs="Arial"/>
        </w:rPr>
      </w:pPr>
      <w:r w:rsidRPr="002F4853">
        <w:rPr>
          <w:rFonts w:ascii="Arial" w:hAnsi="Arial" w:cs="Arial"/>
        </w:rPr>
        <w:t xml:space="preserve">Shen, J. (2011). </w:t>
      </w:r>
      <w:r w:rsidRPr="002D0F29">
        <w:rPr>
          <w:rFonts w:ascii="Arial" w:hAnsi="Arial" w:cs="Arial"/>
          <w:i/>
          <w:iCs/>
        </w:rPr>
        <w:t>Developing the concept of socially responsible international human resource management</w:t>
      </w:r>
      <w:r w:rsidRPr="002F4853">
        <w:rPr>
          <w:rFonts w:ascii="Arial" w:hAnsi="Arial" w:cs="Arial"/>
        </w:rPr>
        <w:t>. The International Journal of human resource management, 22(06), 1351-1363. s Review, 61(3), 465-470.</w:t>
      </w:r>
    </w:p>
    <w:p w14:paraId="32E99514" w14:textId="403AE448" w:rsidR="002F4853" w:rsidRPr="002F4853" w:rsidRDefault="002F4853" w:rsidP="002F4853">
      <w:pPr>
        <w:spacing w:line="360" w:lineRule="auto"/>
        <w:jc w:val="both"/>
        <w:rPr>
          <w:rFonts w:ascii="Arial" w:hAnsi="Arial" w:cs="Arial"/>
        </w:rPr>
      </w:pPr>
      <w:proofErr w:type="spellStart"/>
      <w:r w:rsidRPr="002F4853">
        <w:rPr>
          <w:rFonts w:ascii="Arial" w:hAnsi="Arial" w:cs="Arial"/>
        </w:rPr>
        <w:t>Stevchevska-Srbinoska</w:t>
      </w:r>
      <w:proofErr w:type="spellEnd"/>
      <w:r w:rsidRPr="002F4853">
        <w:rPr>
          <w:rFonts w:ascii="Arial" w:hAnsi="Arial" w:cs="Arial"/>
        </w:rPr>
        <w:t xml:space="preserve">, D. (2017) </w:t>
      </w:r>
      <w:r w:rsidRPr="002D0F29">
        <w:rPr>
          <w:rFonts w:ascii="Arial" w:hAnsi="Arial" w:cs="Arial"/>
          <w:i/>
          <w:iCs/>
        </w:rPr>
        <w:t>Post-merger Integration Approaches</w:t>
      </w:r>
      <w:r w:rsidRPr="002F4853">
        <w:rPr>
          <w:rFonts w:ascii="Arial" w:hAnsi="Arial" w:cs="Arial"/>
        </w:rPr>
        <w:t xml:space="preserve">: Case Analysis of the One. </w:t>
      </w:r>
      <w:proofErr w:type="spellStart"/>
      <w:r w:rsidRPr="002F4853">
        <w:rPr>
          <w:rFonts w:ascii="Arial" w:hAnsi="Arial" w:cs="Arial"/>
        </w:rPr>
        <w:t>Vip</w:t>
      </w:r>
      <w:proofErr w:type="spellEnd"/>
      <w:r w:rsidRPr="002F4853">
        <w:rPr>
          <w:rFonts w:ascii="Arial" w:hAnsi="Arial" w:cs="Arial"/>
        </w:rPr>
        <w:t xml:space="preserve"> Macedonia Merger</w:t>
      </w:r>
      <w:r w:rsidR="0052159F">
        <w:rPr>
          <w:rFonts w:ascii="Arial" w:hAnsi="Arial" w:cs="Arial"/>
        </w:rPr>
        <w:t>. (</w:t>
      </w:r>
      <w:r w:rsidRPr="002F4853">
        <w:rPr>
          <w:rFonts w:ascii="Arial" w:hAnsi="Arial" w:cs="Arial"/>
        </w:rPr>
        <w:t>2017</w:t>
      </w:r>
      <w:r w:rsidR="0052159F">
        <w:rPr>
          <w:rFonts w:ascii="Arial" w:hAnsi="Arial" w:cs="Arial"/>
        </w:rPr>
        <w:t xml:space="preserve">) </w:t>
      </w:r>
      <w:r w:rsidRPr="002F4853">
        <w:rPr>
          <w:rFonts w:ascii="Arial" w:hAnsi="Arial" w:cs="Arial"/>
        </w:rPr>
        <w:t>Asian Journal of Finance &amp; Accounting 8(2):228 DOI:10.5296/ajfa.v8i2.10288</w:t>
      </w:r>
    </w:p>
    <w:p w14:paraId="4608F53C" w14:textId="14338E97" w:rsidR="002F4853" w:rsidRPr="002F4853" w:rsidRDefault="002F4853" w:rsidP="002F4853">
      <w:pPr>
        <w:spacing w:line="360" w:lineRule="auto"/>
        <w:jc w:val="both"/>
        <w:rPr>
          <w:rFonts w:ascii="Arial" w:hAnsi="Arial" w:cs="Arial"/>
        </w:rPr>
      </w:pPr>
      <w:r w:rsidRPr="002F4853">
        <w:rPr>
          <w:rFonts w:ascii="Arial" w:hAnsi="Arial" w:cs="Arial"/>
        </w:rPr>
        <w:t xml:space="preserve">Taylor, G. and </w:t>
      </w:r>
      <w:proofErr w:type="spellStart"/>
      <w:r w:rsidRPr="002F4853">
        <w:rPr>
          <w:rFonts w:ascii="Arial" w:hAnsi="Arial" w:cs="Arial"/>
        </w:rPr>
        <w:t>DeCillia</w:t>
      </w:r>
      <w:proofErr w:type="spellEnd"/>
      <w:r w:rsidRPr="002F4853">
        <w:rPr>
          <w:rFonts w:ascii="Arial" w:hAnsi="Arial" w:cs="Arial"/>
        </w:rPr>
        <w:t>, B.</w:t>
      </w:r>
      <w:r w:rsidR="00650FB0">
        <w:rPr>
          <w:rFonts w:ascii="Arial" w:hAnsi="Arial" w:cs="Arial"/>
        </w:rPr>
        <w:t xml:space="preserve"> (</w:t>
      </w:r>
      <w:r w:rsidRPr="002F4853">
        <w:rPr>
          <w:rFonts w:ascii="Arial" w:hAnsi="Arial" w:cs="Arial"/>
        </w:rPr>
        <w:t>2021</w:t>
      </w:r>
      <w:r w:rsidR="00650FB0">
        <w:rPr>
          <w:rFonts w:ascii="Arial" w:hAnsi="Arial" w:cs="Arial"/>
        </w:rPr>
        <w:t>)</w:t>
      </w:r>
      <w:r w:rsidRPr="002F4853">
        <w:rPr>
          <w:rFonts w:ascii="Arial" w:hAnsi="Arial" w:cs="Arial"/>
        </w:rPr>
        <w:t xml:space="preserve">. </w:t>
      </w:r>
      <w:r w:rsidRPr="00650FB0">
        <w:rPr>
          <w:rFonts w:ascii="Arial" w:hAnsi="Arial" w:cs="Arial"/>
          <w:i/>
          <w:iCs/>
        </w:rPr>
        <w:t>Canada: A strong foundation with an uncertain future</w:t>
      </w:r>
      <w:r w:rsidRPr="002F4853">
        <w:rPr>
          <w:rFonts w:ascii="Arial" w:hAnsi="Arial" w:cs="Arial"/>
        </w:rPr>
        <w:t>.</w:t>
      </w:r>
    </w:p>
    <w:p w14:paraId="60B4D7E3" w14:textId="7041057C" w:rsidR="002F4853" w:rsidRPr="002F4853" w:rsidRDefault="002F4853" w:rsidP="002F4853">
      <w:pPr>
        <w:spacing w:line="360" w:lineRule="auto"/>
        <w:jc w:val="both"/>
        <w:rPr>
          <w:rFonts w:ascii="Arial" w:hAnsi="Arial" w:cs="Arial"/>
        </w:rPr>
      </w:pPr>
      <w:proofErr w:type="spellStart"/>
      <w:r w:rsidRPr="002F4853">
        <w:rPr>
          <w:rFonts w:ascii="Arial" w:hAnsi="Arial" w:cs="Arial"/>
        </w:rPr>
        <w:t>TotalEnergies</w:t>
      </w:r>
      <w:proofErr w:type="spellEnd"/>
      <w:r w:rsidR="00693D1C">
        <w:rPr>
          <w:rFonts w:ascii="Arial" w:hAnsi="Arial" w:cs="Arial"/>
        </w:rPr>
        <w:t>.</w:t>
      </w:r>
      <w:r w:rsidRPr="002F4853">
        <w:rPr>
          <w:rFonts w:ascii="Arial" w:hAnsi="Arial" w:cs="Arial"/>
        </w:rPr>
        <w:t xml:space="preserve"> </w:t>
      </w:r>
      <w:r w:rsidR="00693D1C">
        <w:rPr>
          <w:rFonts w:ascii="Arial" w:hAnsi="Arial" w:cs="Arial"/>
        </w:rPr>
        <w:t>(</w:t>
      </w:r>
      <w:r w:rsidRPr="002F4853">
        <w:rPr>
          <w:rFonts w:ascii="Arial" w:hAnsi="Arial" w:cs="Arial"/>
        </w:rPr>
        <w:t>2023</w:t>
      </w:r>
      <w:r w:rsidR="00693D1C" w:rsidRPr="00693D1C">
        <w:rPr>
          <w:rFonts w:ascii="Arial" w:hAnsi="Arial" w:cs="Arial"/>
          <w:i/>
          <w:iCs/>
        </w:rPr>
        <w:t>)</w:t>
      </w:r>
      <w:r w:rsidRPr="00693D1C">
        <w:rPr>
          <w:rFonts w:ascii="Arial" w:hAnsi="Arial" w:cs="Arial"/>
          <w:i/>
          <w:iCs/>
        </w:rPr>
        <w:t xml:space="preserve">. Our company. </w:t>
      </w:r>
      <w:proofErr w:type="spellStart"/>
      <w:r w:rsidRPr="00693D1C">
        <w:rPr>
          <w:rFonts w:ascii="Arial" w:hAnsi="Arial" w:cs="Arial"/>
          <w:i/>
          <w:iCs/>
        </w:rPr>
        <w:t>TotalEnergies</w:t>
      </w:r>
      <w:proofErr w:type="spellEnd"/>
      <w:r w:rsidRPr="00693D1C">
        <w:rPr>
          <w:rFonts w:ascii="Arial" w:hAnsi="Arial" w:cs="Arial"/>
          <w:i/>
          <w:iCs/>
        </w:rPr>
        <w:t>, a pioneering spirit</w:t>
      </w:r>
      <w:r w:rsidR="00693D1C">
        <w:rPr>
          <w:rFonts w:ascii="Arial" w:hAnsi="Arial" w:cs="Arial"/>
        </w:rPr>
        <w:t>[online]. Available from</w:t>
      </w:r>
      <w:r w:rsidRPr="002F4853">
        <w:rPr>
          <w:rFonts w:ascii="Arial" w:hAnsi="Arial" w:cs="Arial"/>
        </w:rPr>
        <w:t xml:space="preserve"> </w:t>
      </w:r>
      <w:hyperlink r:id="rId37" w:history="1">
        <w:r w:rsidR="00075B4C" w:rsidRPr="007F545D">
          <w:rPr>
            <w:rStyle w:val="Hyperlink"/>
            <w:rFonts w:ascii="Arial" w:hAnsi="Arial" w:cs="Arial"/>
          </w:rPr>
          <w:t>https://totalenergies.com/group/identity/history</w:t>
        </w:r>
      </w:hyperlink>
      <w:r w:rsidR="00075B4C">
        <w:rPr>
          <w:rFonts w:ascii="Arial" w:hAnsi="Arial" w:cs="Arial"/>
        </w:rPr>
        <w:t xml:space="preserve"> [</w:t>
      </w:r>
      <w:r w:rsidR="00075B4C" w:rsidRPr="00075B4C">
        <w:rPr>
          <w:rFonts w:ascii="Arial" w:hAnsi="Arial" w:cs="Arial"/>
        </w:rPr>
        <w:t>Access:14/02/2023</w:t>
      </w:r>
      <w:r w:rsidR="00075B4C">
        <w:rPr>
          <w:rFonts w:ascii="Arial" w:hAnsi="Arial" w:cs="Arial"/>
        </w:rPr>
        <w:t>]</w:t>
      </w:r>
    </w:p>
    <w:p w14:paraId="14CAF82F" w14:textId="68830074" w:rsidR="002F4853" w:rsidRPr="002F4853" w:rsidRDefault="002F4853" w:rsidP="002F4853">
      <w:pPr>
        <w:spacing w:line="360" w:lineRule="auto"/>
        <w:jc w:val="both"/>
        <w:rPr>
          <w:rFonts w:ascii="Arial" w:hAnsi="Arial" w:cs="Arial"/>
        </w:rPr>
      </w:pPr>
      <w:r w:rsidRPr="002F4853">
        <w:rPr>
          <w:rFonts w:ascii="Arial" w:hAnsi="Arial" w:cs="Arial"/>
        </w:rPr>
        <w:t xml:space="preserve">Tree, F. </w:t>
      </w:r>
      <w:r w:rsidR="00075B4C">
        <w:rPr>
          <w:rFonts w:ascii="Arial" w:hAnsi="Arial" w:cs="Arial"/>
        </w:rPr>
        <w:t>(</w:t>
      </w:r>
      <w:r w:rsidRPr="002F4853">
        <w:rPr>
          <w:rFonts w:ascii="Arial" w:hAnsi="Arial" w:cs="Arial"/>
        </w:rPr>
        <w:t>2019</w:t>
      </w:r>
      <w:r w:rsidR="00075B4C">
        <w:rPr>
          <w:rFonts w:ascii="Arial" w:hAnsi="Arial" w:cs="Arial"/>
        </w:rPr>
        <w:t>)</w:t>
      </w:r>
      <w:r w:rsidRPr="002F4853">
        <w:rPr>
          <w:rFonts w:ascii="Arial" w:hAnsi="Arial" w:cs="Arial"/>
        </w:rPr>
        <w:t xml:space="preserve">. </w:t>
      </w:r>
      <w:r w:rsidRPr="00075B4C">
        <w:rPr>
          <w:rFonts w:ascii="Arial" w:hAnsi="Arial" w:cs="Arial"/>
          <w:i/>
          <w:iCs/>
        </w:rPr>
        <w:t>Energy. A Brief Introductory Guide to the Oil and Gas Industry Segments</w:t>
      </w:r>
      <w:r w:rsidR="0005752D">
        <w:rPr>
          <w:rFonts w:ascii="Arial" w:hAnsi="Arial" w:cs="Arial"/>
        </w:rPr>
        <w:t xml:space="preserve">[online]. Available from </w:t>
      </w:r>
      <w:hyperlink r:id="rId38" w:history="1">
        <w:r w:rsidR="0005752D" w:rsidRPr="007F545D">
          <w:rPr>
            <w:rStyle w:val="Hyperlink"/>
            <w:rFonts w:ascii="Arial" w:hAnsi="Arial" w:cs="Arial"/>
          </w:rPr>
          <w:t>https://www.figtreecapitalventures.com/blog/a-brief-introductory-guide-to-the-oil-and-gas-industry-segments/</w:t>
        </w:r>
      </w:hyperlink>
      <w:r w:rsidR="0005752D">
        <w:rPr>
          <w:rFonts w:ascii="Arial" w:hAnsi="Arial" w:cs="Arial"/>
        </w:rPr>
        <w:t xml:space="preserve"> [</w:t>
      </w:r>
      <w:r w:rsidRPr="002F4853">
        <w:rPr>
          <w:rFonts w:ascii="Arial" w:hAnsi="Arial" w:cs="Arial"/>
        </w:rPr>
        <w:t xml:space="preserve"> </w:t>
      </w:r>
      <w:r w:rsidR="0005752D" w:rsidRPr="0005752D">
        <w:rPr>
          <w:rFonts w:ascii="Arial" w:hAnsi="Arial" w:cs="Arial"/>
        </w:rPr>
        <w:t>Access: 14/02/2023</w:t>
      </w:r>
      <w:r w:rsidR="0005752D">
        <w:rPr>
          <w:rFonts w:ascii="Arial" w:hAnsi="Arial" w:cs="Arial"/>
        </w:rPr>
        <w:t>]</w:t>
      </w:r>
    </w:p>
    <w:p w14:paraId="203ED833" w14:textId="77777777" w:rsidR="00750B76" w:rsidRPr="00750B76" w:rsidRDefault="00750B76" w:rsidP="00750B76">
      <w:pPr>
        <w:spacing w:line="360" w:lineRule="auto"/>
        <w:jc w:val="both"/>
        <w:rPr>
          <w:rFonts w:ascii="Arial" w:hAnsi="Arial" w:cs="Arial"/>
        </w:rPr>
      </w:pPr>
    </w:p>
    <w:p w14:paraId="465DFD67" w14:textId="1ECF29CB" w:rsidR="00750B76" w:rsidRDefault="00750B76" w:rsidP="008F0ECD">
      <w:pPr>
        <w:spacing w:line="360" w:lineRule="auto"/>
        <w:jc w:val="both"/>
        <w:rPr>
          <w:rFonts w:ascii="Arial" w:hAnsi="Arial" w:cs="Arial"/>
        </w:rPr>
      </w:pPr>
    </w:p>
    <w:p w14:paraId="0C830E44" w14:textId="1AC6FF0D" w:rsidR="00750B76" w:rsidRDefault="00750B76" w:rsidP="008F0ECD">
      <w:pPr>
        <w:spacing w:line="360" w:lineRule="auto"/>
        <w:jc w:val="both"/>
        <w:rPr>
          <w:rFonts w:ascii="Arial" w:hAnsi="Arial" w:cs="Arial"/>
        </w:rPr>
      </w:pPr>
    </w:p>
    <w:p w14:paraId="5F335FFA" w14:textId="50F5D3E2" w:rsidR="00750B76" w:rsidRDefault="00750B76" w:rsidP="008F0ECD">
      <w:pPr>
        <w:spacing w:line="360" w:lineRule="auto"/>
        <w:jc w:val="both"/>
        <w:rPr>
          <w:rFonts w:ascii="Arial" w:hAnsi="Arial" w:cs="Arial"/>
        </w:rPr>
      </w:pPr>
    </w:p>
    <w:p w14:paraId="62865683" w14:textId="77777777" w:rsidR="00750B76" w:rsidRPr="008F0ECD" w:rsidRDefault="00750B76" w:rsidP="008F0ECD">
      <w:pPr>
        <w:spacing w:line="360" w:lineRule="auto"/>
        <w:jc w:val="both"/>
        <w:rPr>
          <w:rFonts w:ascii="Arial" w:hAnsi="Arial" w:cs="Arial"/>
        </w:rPr>
      </w:pPr>
    </w:p>
    <w:p w14:paraId="0F8268B7" w14:textId="77777777" w:rsidR="00FA1C6F" w:rsidRPr="00C03250" w:rsidRDefault="00FA1C6F" w:rsidP="00C03250">
      <w:pPr>
        <w:spacing w:line="360" w:lineRule="auto"/>
        <w:jc w:val="both"/>
        <w:rPr>
          <w:rFonts w:ascii="Arial" w:hAnsi="Arial" w:cs="Arial"/>
        </w:rPr>
      </w:pPr>
    </w:p>
    <w:p w14:paraId="399717C4" w14:textId="77777777" w:rsidR="00A33F96" w:rsidRPr="00A33F96" w:rsidRDefault="00A33F96" w:rsidP="00A33F96"/>
    <w:p w14:paraId="55ACD214" w14:textId="77777777" w:rsidR="00E269E8" w:rsidRPr="00E269E8" w:rsidRDefault="00E269E8" w:rsidP="00E269E8">
      <w:pPr>
        <w:rPr>
          <w:rFonts w:ascii="Arial" w:hAnsi="Arial" w:cs="Arial"/>
        </w:rPr>
      </w:pPr>
    </w:p>
    <w:p w14:paraId="7BEA0EFE" w14:textId="5D4E3396" w:rsidR="00F370B0" w:rsidRDefault="00F370B0" w:rsidP="00F370B0">
      <w:pPr>
        <w:spacing w:line="360" w:lineRule="auto"/>
        <w:jc w:val="both"/>
        <w:rPr>
          <w:rFonts w:ascii="Arial" w:hAnsi="Arial" w:cs="Arial"/>
        </w:rPr>
      </w:pPr>
    </w:p>
    <w:p w14:paraId="1C1DF183" w14:textId="43C6F745" w:rsidR="00F370B0" w:rsidRDefault="00F370B0" w:rsidP="00F370B0">
      <w:pPr>
        <w:spacing w:line="360" w:lineRule="auto"/>
        <w:jc w:val="both"/>
        <w:rPr>
          <w:rFonts w:ascii="Arial" w:hAnsi="Arial" w:cs="Arial"/>
        </w:rPr>
      </w:pPr>
    </w:p>
    <w:p w14:paraId="4308F340" w14:textId="4968A847" w:rsidR="00F370B0" w:rsidRDefault="00F370B0" w:rsidP="00F370B0">
      <w:pPr>
        <w:spacing w:line="360" w:lineRule="auto"/>
        <w:jc w:val="both"/>
        <w:rPr>
          <w:rFonts w:ascii="Arial" w:hAnsi="Arial" w:cs="Arial"/>
        </w:rPr>
      </w:pPr>
    </w:p>
    <w:p w14:paraId="4F0C9751" w14:textId="3115CB01" w:rsidR="00F370B0" w:rsidRDefault="00F370B0" w:rsidP="00F370B0">
      <w:pPr>
        <w:spacing w:line="360" w:lineRule="auto"/>
        <w:jc w:val="both"/>
        <w:rPr>
          <w:rFonts w:ascii="Arial" w:hAnsi="Arial" w:cs="Arial"/>
        </w:rPr>
      </w:pPr>
    </w:p>
    <w:p w14:paraId="2C19B144" w14:textId="77777777" w:rsidR="00F370B0" w:rsidRPr="0012167F" w:rsidRDefault="00F370B0" w:rsidP="00F370B0">
      <w:pPr>
        <w:spacing w:line="360" w:lineRule="auto"/>
        <w:jc w:val="both"/>
        <w:rPr>
          <w:rFonts w:ascii="Arial" w:hAnsi="Arial" w:cs="Arial"/>
        </w:rPr>
      </w:pPr>
    </w:p>
    <w:p w14:paraId="4462E68D" w14:textId="77777777" w:rsidR="00FD32CD" w:rsidRDefault="00FD32CD" w:rsidP="00DE4436"/>
    <w:p w14:paraId="2C27BA60" w14:textId="77777777" w:rsidR="00E638B3" w:rsidRDefault="00E638B3" w:rsidP="00DE4436"/>
    <w:p w14:paraId="27C0BE54" w14:textId="77777777" w:rsidR="00A1694A" w:rsidRPr="00DE4436" w:rsidRDefault="00A1694A" w:rsidP="00DE4436"/>
    <w:p w14:paraId="01EE74FF" w14:textId="1E86C0BC" w:rsidR="00C53D59" w:rsidRPr="00C53D59" w:rsidRDefault="004F1792" w:rsidP="00CE7F12">
      <w:pPr>
        <w:pStyle w:val="Heading3"/>
        <w:ind w:left="720"/>
      </w:pPr>
      <w:r>
        <w:t xml:space="preserve"> </w:t>
      </w:r>
    </w:p>
    <w:sectPr w:rsidR="00C53D59" w:rsidRPr="00C53D59" w:rsidSect="00BA687A">
      <w:headerReference w:type="default" r:id="rId3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04D28" w14:textId="77777777" w:rsidR="00E1594C" w:rsidRDefault="00E1594C" w:rsidP="00BA687A">
      <w:pPr>
        <w:spacing w:after="0" w:line="240" w:lineRule="auto"/>
      </w:pPr>
      <w:r>
        <w:separator/>
      </w:r>
    </w:p>
  </w:endnote>
  <w:endnote w:type="continuationSeparator" w:id="0">
    <w:p w14:paraId="4A718A3E" w14:textId="77777777" w:rsidR="00E1594C" w:rsidRDefault="00E1594C" w:rsidP="00BA6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183BB" w14:textId="77777777" w:rsidR="00E1594C" w:rsidRDefault="00E1594C" w:rsidP="00BA687A">
      <w:pPr>
        <w:spacing w:after="0" w:line="240" w:lineRule="auto"/>
      </w:pPr>
      <w:r>
        <w:separator/>
      </w:r>
    </w:p>
  </w:footnote>
  <w:footnote w:type="continuationSeparator" w:id="0">
    <w:p w14:paraId="76046A41" w14:textId="77777777" w:rsidR="00E1594C" w:rsidRDefault="00E1594C" w:rsidP="00BA68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3856692"/>
      <w:docPartObj>
        <w:docPartGallery w:val="Page Numbers (Top of Page)"/>
        <w:docPartUnique/>
      </w:docPartObj>
    </w:sdtPr>
    <w:sdtEndPr>
      <w:rPr>
        <w:noProof/>
      </w:rPr>
    </w:sdtEndPr>
    <w:sdtContent>
      <w:p w14:paraId="1659D1D5" w14:textId="58A0D329" w:rsidR="00BA687A" w:rsidRDefault="00BA687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BEDE816" w14:textId="77777777" w:rsidR="00BA687A" w:rsidRDefault="00BA68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43150"/>
    <w:multiLevelType w:val="multilevel"/>
    <w:tmpl w:val="346EB85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72B51A6"/>
    <w:multiLevelType w:val="hybridMultilevel"/>
    <w:tmpl w:val="0F6AB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140FE8"/>
    <w:multiLevelType w:val="hybridMultilevel"/>
    <w:tmpl w:val="B1B8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9204634">
    <w:abstractNumId w:val="0"/>
  </w:num>
  <w:num w:numId="2" w16cid:durableId="1223563286">
    <w:abstractNumId w:val="1"/>
  </w:num>
  <w:num w:numId="3" w16cid:durableId="4122383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6FB"/>
    <w:rsid w:val="00006A14"/>
    <w:rsid w:val="0001379E"/>
    <w:rsid w:val="0001712C"/>
    <w:rsid w:val="0001788F"/>
    <w:rsid w:val="0002270E"/>
    <w:rsid w:val="00023FCB"/>
    <w:rsid w:val="00025BC2"/>
    <w:rsid w:val="000325A7"/>
    <w:rsid w:val="00034043"/>
    <w:rsid w:val="00034563"/>
    <w:rsid w:val="00036246"/>
    <w:rsid w:val="0003722A"/>
    <w:rsid w:val="00041904"/>
    <w:rsid w:val="00042613"/>
    <w:rsid w:val="00044A23"/>
    <w:rsid w:val="000453EF"/>
    <w:rsid w:val="00050F8A"/>
    <w:rsid w:val="000542DC"/>
    <w:rsid w:val="00054627"/>
    <w:rsid w:val="0005752D"/>
    <w:rsid w:val="000576FF"/>
    <w:rsid w:val="00057E06"/>
    <w:rsid w:val="00075AA4"/>
    <w:rsid w:val="00075B4C"/>
    <w:rsid w:val="00076A68"/>
    <w:rsid w:val="00077495"/>
    <w:rsid w:val="00083979"/>
    <w:rsid w:val="00083C86"/>
    <w:rsid w:val="00083E8C"/>
    <w:rsid w:val="00086C66"/>
    <w:rsid w:val="00087681"/>
    <w:rsid w:val="00091A05"/>
    <w:rsid w:val="00093BEE"/>
    <w:rsid w:val="0009577A"/>
    <w:rsid w:val="00096DFD"/>
    <w:rsid w:val="000A1C85"/>
    <w:rsid w:val="000B6807"/>
    <w:rsid w:val="000C4EAB"/>
    <w:rsid w:val="000D28B2"/>
    <w:rsid w:val="000E44E9"/>
    <w:rsid w:val="000E5A75"/>
    <w:rsid w:val="000E6072"/>
    <w:rsid w:val="000F00D2"/>
    <w:rsid w:val="000F0AF1"/>
    <w:rsid w:val="000F45CA"/>
    <w:rsid w:val="000F5749"/>
    <w:rsid w:val="000F6A7B"/>
    <w:rsid w:val="00101239"/>
    <w:rsid w:val="0010347B"/>
    <w:rsid w:val="0010775F"/>
    <w:rsid w:val="001107E0"/>
    <w:rsid w:val="001130FE"/>
    <w:rsid w:val="00114454"/>
    <w:rsid w:val="0012167F"/>
    <w:rsid w:val="00130CDE"/>
    <w:rsid w:val="00130EE5"/>
    <w:rsid w:val="00134027"/>
    <w:rsid w:val="00135357"/>
    <w:rsid w:val="001408F8"/>
    <w:rsid w:val="001412BB"/>
    <w:rsid w:val="0014175D"/>
    <w:rsid w:val="00144849"/>
    <w:rsid w:val="00145EB2"/>
    <w:rsid w:val="00146337"/>
    <w:rsid w:val="0015240A"/>
    <w:rsid w:val="001663D3"/>
    <w:rsid w:val="0016680E"/>
    <w:rsid w:val="00167AEB"/>
    <w:rsid w:val="00173597"/>
    <w:rsid w:val="001757B8"/>
    <w:rsid w:val="001772FB"/>
    <w:rsid w:val="00177FD3"/>
    <w:rsid w:val="00182E48"/>
    <w:rsid w:val="00186F2C"/>
    <w:rsid w:val="00197EDB"/>
    <w:rsid w:val="001A422C"/>
    <w:rsid w:val="001A4AEF"/>
    <w:rsid w:val="001A4FBA"/>
    <w:rsid w:val="001B23CD"/>
    <w:rsid w:val="001B360E"/>
    <w:rsid w:val="001B61A5"/>
    <w:rsid w:val="001C0BC5"/>
    <w:rsid w:val="001C4C74"/>
    <w:rsid w:val="001C6CCC"/>
    <w:rsid w:val="001E1DB8"/>
    <w:rsid w:val="001E71E4"/>
    <w:rsid w:val="001E72B2"/>
    <w:rsid w:val="001F0A34"/>
    <w:rsid w:val="001F15C5"/>
    <w:rsid w:val="001F4799"/>
    <w:rsid w:val="001F562B"/>
    <w:rsid w:val="00205693"/>
    <w:rsid w:val="00205EC5"/>
    <w:rsid w:val="00210C98"/>
    <w:rsid w:val="00212A79"/>
    <w:rsid w:val="0021349D"/>
    <w:rsid w:val="00224A86"/>
    <w:rsid w:val="00230C32"/>
    <w:rsid w:val="00236289"/>
    <w:rsid w:val="00236CA2"/>
    <w:rsid w:val="002379C2"/>
    <w:rsid w:val="002406FF"/>
    <w:rsid w:val="00242F6B"/>
    <w:rsid w:val="002675FB"/>
    <w:rsid w:val="00267C14"/>
    <w:rsid w:val="002732F8"/>
    <w:rsid w:val="00280BA5"/>
    <w:rsid w:val="00280D14"/>
    <w:rsid w:val="00285E29"/>
    <w:rsid w:val="002A2C69"/>
    <w:rsid w:val="002A5464"/>
    <w:rsid w:val="002A54DA"/>
    <w:rsid w:val="002A6E30"/>
    <w:rsid w:val="002B01B7"/>
    <w:rsid w:val="002B06FF"/>
    <w:rsid w:val="002B15B7"/>
    <w:rsid w:val="002B1CAA"/>
    <w:rsid w:val="002C40E3"/>
    <w:rsid w:val="002D0F29"/>
    <w:rsid w:val="002E5DA5"/>
    <w:rsid w:val="002E7C72"/>
    <w:rsid w:val="002F4853"/>
    <w:rsid w:val="00300AA6"/>
    <w:rsid w:val="00303D32"/>
    <w:rsid w:val="00304C6F"/>
    <w:rsid w:val="0030619B"/>
    <w:rsid w:val="00322C00"/>
    <w:rsid w:val="00325FC0"/>
    <w:rsid w:val="003328B9"/>
    <w:rsid w:val="00333A0C"/>
    <w:rsid w:val="0033780D"/>
    <w:rsid w:val="00351093"/>
    <w:rsid w:val="00363479"/>
    <w:rsid w:val="003646F3"/>
    <w:rsid w:val="00374F32"/>
    <w:rsid w:val="00380BB2"/>
    <w:rsid w:val="00381C9C"/>
    <w:rsid w:val="003868A1"/>
    <w:rsid w:val="00386BDA"/>
    <w:rsid w:val="00386CEF"/>
    <w:rsid w:val="00397BE0"/>
    <w:rsid w:val="003A18C4"/>
    <w:rsid w:val="003A1BDD"/>
    <w:rsid w:val="003B0A7D"/>
    <w:rsid w:val="003B20DC"/>
    <w:rsid w:val="003B2256"/>
    <w:rsid w:val="003C4E55"/>
    <w:rsid w:val="003C69D4"/>
    <w:rsid w:val="003D2C07"/>
    <w:rsid w:val="003F5005"/>
    <w:rsid w:val="003F533A"/>
    <w:rsid w:val="004060F5"/>
    <w:rsid w:val="00411927"/>
    <w:rsid w:val="00414C9C"/>
    <w:rsid w:val="00415CAC"/>
    <w:rsid w:val="00417868"/>
    <w:rsid w:val="00417952"/>
    <w:rsid w:val="004179C9"/>
    <w:rsid w:val="00423DBD"/>
    <w:rsid w:val="00434634"/>
    <w:rsid w:val="00436605"/>
    <w:rsid w:val="00441519"/>
    <w:rsid w:val="0044335F"/>
    <w:rsid w:val="004477AA"/>
    <w:rsid w:val="00454364"/>
    <w:rsid w:val="00454F3A"/>
    <w:rsid w:val="004571EC"/>
    <w:rsid w:val="00460DDB"/>
    <w:rsid w:val="00472CDD"/>
    <w:rsid w:val="00475327"/>
    <w:rsid w:val="00487F1E"/>
    <w:rsid w:val="00492A00"/>
    <w:rsid w:val="00493695"/>
    <w:rsid w:val="004B4065"/>
    <w:rsid w:val="004B46AB"/>
    <w:rsid w:val="004B52E3"/>
    <w:rsid w:val="004B7BDC"/>
    <w:rsid w:val="004D0C2D"/>
    <w:rsid w:val="004D78BF"/>
    <w:rsid w:val="004E503B"/>
    <w:rsid w:val="004E65FB"/>
    <w:rsid w:val="004F1792"/>
    <w:rsid w:val="004F6CD9"/>
    <w:rsid w:val="00502982"/>
    <w:rsid w:val="00507065"/>
    <w:rsid w:val="00513EE7"/>
    <w:rsid w:val="0052159F"/>
    <w:rsid w:val="00523A49"/>
    <w:rsid w:val="005303EB"/>
    <w:rsid w:val="00530451"/>
    <w:rsid w:val="00532862"/>
    <w:rsid w:val="00533891"/>
    <w:rsid w:val="0053624B"/>
    <w:rsid w:val="00540221"/>
    <w:rsid w:val="00542723"/>
    <w:rsid w:val="00565DDC"/>
    <w:rsid w:val="0057477C"/>
    <w:rsid w:val="00575A54"/>
    <w:rsid w:val="0058043F"/>
    <w:rsid w:val="00582C28"/>
    <w:rsid w:val="00591561"/>
    <w:rsid w:val="00592338"/>
    <w:rsid w:val="005947F0"/>
    <w:rsid w:val="00596945"/>
    <w:rsid w:val="005A041B"/>
    <w:rsid w:val="005A4245"/>
    <w:rsid w:val="005C2BCF"/>
    <w:rsid w:val="005C5F4D"/>
    <w:rsid w:val="005D5D28"/>
    <w:rsid w:val="005E296B"/>
    <w:rsid w:val="005F6251"/>
    <w:rsid w:val="005F79F3"/>
    <w:rsid w:val="00613641"/>
    <w:rsid w:val="00617A4D"/>
    <w:rsid w:val="00617FB6"/>
    <w:rsid w:val="00621C5D"/>
    <w:rsid w:val="00623AFE"/>
    <w:rsid w:val="00623C67"/>
    <w:rsid w:val="00641A8C"/>
    <w:rsid w:val="0064635F"/>
    <w:rsid w:val="0065014E"/>
    <w:rsid w:val="00650FB0"/>
    <w:rsid w:val="006534E1"/>
    <w:rsid w:val="00656FEF"/>
    <w:rsid w:val="00665E48"/>
    <w:rsid w:val="00667A3C"/>
    <w:rsid w:val="00667E58"/>
    <w:rsid w:val="0067020E"/>
    <w:rsid w:val="006712D1"/>
    <w:rsid w:val="006759DF"/>
    <w:rsid w:val="00691347"/>
    <w:rsid w:val="006920F9"/>
    <w:rsid w:val="00693D1C"/>
    <w:rsid w:val="00695DCA"/>
    <w:rsid w:val="006A1AE8"/>
    <w:rsid w:val="006A2511"/>
    <w:rsid w:val="006A67AA"/>
    <w:rsid w:val="006B1E38"/>
    <w:rsid w:val="006B4C01"/>
    <w:rsid w:val="006C189F"/>
    <w:rsid w:val="006C406C"/>
    <w:rsid w:val="006D1868"/>
    <w:rsid w:val="006D710B"/>
    <w:rsid w:val="006D71CD"/>
    <w:rsid w:val="006E478D"/>
    <w:rsid w:val="00713BEB"/>
    <w:rsid w:val="007319D0"/>
    <w:rsid w:val="00741FCE"/>
    <w:rsid w:val="00742127"/>
    <w:rsid w:val="00743E92"/>
    <w:rsid w:val="00745005"/>
    <w:rsid w:val="00750B76"/>
    <w:rsid w:val="00751E89"/>
    <w:rsid w:val="00757A07"/>
    <w:rsid w:val="00765D24"/>
    <w:rsid w:val="007700F7"/>
    <w:rsid w:val="00771FA5"/>
    <w:rsid w:val="00771FDA"/>
    <w:rsid w:val="00781E1C"/>
    <w:rsid w:val="007904DC"/>
    <w:rsid w:val="007A05F3"/>
    <w:rsid w:val="007B11C5"/>
    <w:rsid w:val="007B18C0"/>
    <w:rsid w:val="007C2FD4"/>
    <w:rsid w:val="007C5C68"/>
    <w:rsid w:val="007D07E6"/>
    <w:rsid w:val="007D0B26"/>
    <w:rsid w:val="007D41AF"/>
    <w:rsid w:val="007E1DDD"/>
    <w:rsid w:val="007E5B98"/>
    <w:rsid w:val="007F0ED4"/>
    <w:rsid w:val="007F5174"/>
    <w:rsid w:val="00800D15"/>
    <w:rsid w:val="0080639E"/>
    <w:rsid w:val="008076A5"/>
    <w:rsid w:val="00816268"/>
    <w:rsid w:val="00824056"/>
    <w:rsid w:val="0082543D"/>
    <w:rsid w:val="00827E17"/>
    <w:rsid w:val="00830793"/>
    <w:rsid w:val="00830FBE"/>
    <w:rsid w:val="00835D4D"/>
    <w:rsid w:val="00844A33"/>
    <w:rsid w:val="00845E09"/>
    <w:rsid w:val="00851E54"/>
    <w:rsid w:val="00855E60"/>
    <w:rsid w:val="00856048"/>
    <w:rsid w:val="00860FCF"/>
    <w:rsid w:val="00862BD8"/>
    <w:rsid w:val="00865299"/>
    <w:rsid w:val="008707E2"/>
    <w:rsid w:val="0087439A"/>
    <w:rsid w:val="00877D79"/>
    <w:rsid w:val="008804C1"/>
    <w:rsid w:val="00893848"/>
    <w:rsid w:val="0089693D"/>
    <w:rsid w:val="008A5D8A"/>
    <w:rsid w:val="008B2469"/>
    <w:rsid w:val="008B2A40"/>
    <w:rsid w:val="008B4CF1"/>
    <w:rsid w:val="008B58D6"/>
    <w:rsid w:val="008C058D"/>
    <w:rsid w:val="008C0A09"/>
    <w:rsid w:val="008D4774"/>
    <w:rsid w:val="008D600F"/>
    <w:rsid w:val="008E068E"/>
    <w:rsid w:val="008E0F04"/>
    <w:rsid w:val="008E3905"/>
    <w:rsid w:val="008E52C5"/>
    <w:rsid w:val="008F0ECD"/>
    <w:rsid w:val="008F1CB2"/>
    <w:rsid w:val="008F2796"/>
    <w:rsid w:val="008F3175"/>
    <w:rsid w:val="008F646A"/>
    <w:rsid w:val="008F7965"/>
    <w:rsid w:val="0090059C"/>
    <w:rsid w:val="00905CB1"/>
    <w:rsid w:val="00905D12"/>
    <w:rsid w:val="00906C14"/>
    <w:rsid w:val="00912EC5"/>
    <w:rsid w:val="00914946"/>
    <w:rsid w:val="00914A30"/>
    <w:rsid w:val="00916EC3"/>
    <w:rsid w:val="009214AF"/>
    <w:rsid w:val="009227B9"/>
    <w:rsid w:val="00924E31"/>
    <w:rsid w:val="009316C3"/>
    <w:rsid w:val="00935CE1"/>
    <w:rsid w:val="009374AD"/>
    <w:rsid w:val="00941822"/>
    <w:rsid w:val="00947767"/>
    <w:rsid w:val="00947985"/>
    <w:rsid w:val="00947C47"/>
    <w:rsid w:val="009604FE"/>
    <w:rsid w:val="00962D18"/>
    <w:rsid w:val="00966B3D"/>
    <w:rsid w:val="0096716C"/>
    <w:rsid w:val="00990235"/>
    <w:rsid w:val="00991CF9"/>
    <w:rsid w:val="00995184"/>
    <w:rsid w:val="00995BAB"/>
    <w:rsid w:val="00995D0E"/>
    <w:rsid w:val="009A05D9"/>
    <w:rsid w:val="009A2EE1"/>
    <w:rsid w:val="009A4429"/>
    <w:rsid w:val="009A55DA"/>
    <w:rsid w:val="009B22A1"/>
    <w:rsid w:val="009B360F"/>
    <w:rsid w:val="009C4D00"/>
    <w:rsid w:val="009C678F"/>
    <w:rsid w:val="009C7966"/>
    <w:rsid w:val="009E6DA3"/>
    <w:rsid w:val="009F4B18"/>
    <w:rsid w:val="009F6104"/>
    <w:rsid w:val="009F750E"/>
    <w:rsid w:val="00A01E18"/>
    <w:rsid w:val="00A02338"/>
    <w:rsid w:val="00A05B2C"/>
    <w:rsid w:val="00A07434"/>
    <w:rsid w:val="00A07615"/>
    <w:rsid w:val="00A1090D"/>
    <w:rsid w:val="00A13065"/>
    <w:rsid w:val="00A1694A"/>
    <w:rsid w:val="00A202CA"/>
    <w:rsid w:val="00A20F8D"/>
    <w:rsid w:val="00A23606"/>
    <w:rsid w:val="00A23C3C"/>
    <w:rsid w:val="00A27CCA"/>
    <w:rsid w:val="00A30EC2"/>
    <w:rsid w:val="00A33F96"/>
    <w:rsid w:val="00A357D9"/>
    <w:rsid w:val="00A455BD"/>
    <w:rsid w:val="00A47406"/>
    <w:rsid w:val="00A528E7"/>
    <w:rsid w:val="00A5603C"/>
    <w:rsid w:val="00A6351C"/>
    <w:rsid w:val="00A66ED7"/>
    <w:rsid w:val="00A7328E"/>
    <w:rsid w:val="00A829A0"/>
    <w:rsid w:val="00A9003A"/>
    <w:rsid w:val="00A962AF"/>
    <w:rsid w:val="00AA7E87"/>
    <w:rsid w:val="00AB2686"/>
    <w:rsid w:val="00AB75B0"/>
    <w:rsid w:val="00AC00B2"/>
    <w:rsid w:val="00AC45CC"/>
    <w:rsid w:val="00AC68DD"/>
    <w:rsid w:val="00AD55CD"/>
    <w:rsid w:val="00AD5BE2"/>
    <w:rsid w:val="00AD76FB"/>
    <w:rsid w:val="00AE53AA"/>
    <w:rsid w:val="00AE5770"/>
    <w:rsid w:val="00AE5ACE"/>
    <w:rsid w:val="00AE69FE"/>
    <w:rsid w:val="00AE7BDB"/>
    <w:rsid w:val="00AE7E9B"/>
    <w:rsid w:val="00AF42D4"/>
    <w:rsid w:val="00AF6075"/>
    <w:rsid w:val="00B02DE3"/>
    <w:rsid w:val="00B079FB"/>
    <w:rsid w:val="00B1098A"/>
    <w:rsid w:val="00B21A74"/>
    <w:rsid w:val="00B245A9"/>
    <w:rsid w:val="00B26595"/>
    <w:rsid w:val="00B272F8"/>
    <w:rsid w:val="00B32868"/>
    <w:rsid w:val="00B32E92"/>
    <w:rsid w:val="00B335CB"/>
    <w:rsid w:val="00B46855"/>
    <w:rsid w:val="00B65338"/>
    <w:rsid w:val="00B65CA1"/>
    <w:rsid w:val="00B66425"/>
    <w:rsid w:val="00B67BEB"/>
    <w:rsid w:val="00B72438"/>
    <w:rsid w:val="00B75432"/>
    <w:rsid w:val="00B92F18"/>
    <w:rsid w:val="00B95AF3"/>
    <w:rsid w:val="00BA033C"/>
    <w:rsid w:val="00BA0BD0"/>
    <w:rsid w:val="00BA1804"/>
    <w:rsid w:val="00BA687A"/>
    <w:rsid w:val="00BB2D72"/>
    <w:rsid w:val="00BB500F"/>
    <w:rsid w:val="00BB698D"/>
    <w:rsid w:val="00BC3734"/>
    <w:rsid w:val="00BD4DE1"/>
    <w:rsid w:val="00BE0214"/>
    <w:rsid w:val="00BE23B5"/>
    <w:rsid w:val="00BE28BD"/>
    <w:rsid w:val="00BF0F43"/>
    <w:rsid w:val="00BF4448"/>
    <w:rsid w:val="00BF5EB1"/>
    <w:rsid w:val="00C03250"/>
    <w:rsid w:val="00C078F3"/>
    <w:rsid w:val="00C26FAD"/>
    <w:rsid w:val="00C37535"/>
    <w:rsid w:val="00C415AA"/>
    <w:rsid w:val="00C42AF6"/>
    <w:rsid w:val="00C53D59"/>
    <w:rsid w:val="00C72858"/>
    <w:rsid w:val="00C82098"/>
    <w:rsid w:val="00C82733"/>
    <w:rsid w:val="00C83FF3"/>
    <w:rsid w:val="00C85F9A"/>
    <w:rsid w:val="00C93437"/>
    <w:rsid w:val="00C95A05"/>
    <w:rsid w:val="00CA3DC2"/>
    <w:rsid w:val="00CA4F1C"/>
    <w:rsid w:val="00CA7114"/>
    <w:rsid w:val="00CA7F17"/>
    <w:rsid w:val="00CB0BE8"/>
    <w:rsid w:val="00CB22CA"/>
    <w:rsid w:val="00CB2C8A"/>
    <w:rsid w:val="00CC4D77"/>
    <w:rsid w:val="00CC5436"/>
    <w:rsid w:val="00CD36C7"/>
    <w:rsid w:val="00CE0B0B"/>
    <w:rsid w:val="00CE1187"/>
    <w:rsid w:val="00CE7F12"/>
    <w:rsid w:val="00CF14AE"/>
    <w:rsid w:val="00CF18EC"/>
    <w:rsid w:val="00CF4143"/>
    <w:rsid w:val="00CF495E"/>
    <w:rsid w:val="00D05BEF"/>
    <w:rsid w:val="00D07A76"/>
    <w:rsid w:val="00D10ED8"/>
    <w:rsid w:val="00D10F40"/>
    <w:rsid w:val="00D1346C"/>
    <w:rsid w:val="00D24C6A"/>
    <w:rsid w:val="00D32FC4"/>
    <w:rsid w:val="00D33A96"/>
    <w:rsid w:val="00D3559B"/>
    <w:rsid w:val="00D3630D"/>
    <w:rsid w:val="00D43B80"/>
    <w:rsid w:val="00D4511A"/>
    <w:rsid w:val="00D46046"/>
    <w:rsid w:val="00D54B7D"/>
    <w:rsid w:val="00D62D05"/>
    <w:rsid w:val="00D66238"/>
    <w:rsid w:val="00D743B3"/>
    <w:rsid w:val="00D761A7"/>
    <w:rsid w:val="00D81B1D"/>
    <w:rsid w:val="00D905C6"/>
    <w:rsid w:val="00DA01F8"/>
    <w:rsid w:val="00DA0CDC"/>
    <w:rsid w:val="00DA466E"/>
    <w:rsid w:val="00DC01ED"/>
    <w:rsid w:val="00DC6737"/>
    <w:rsid w:val="00DD070E"/>
    <w:rsid w:val="00DD561D"/>
    <w:rsid w:val="00DD564B"/>
    <w:rsid w:val="00DD60BF"/>
    <w:rsid w:val="00DD7DD9"/>
    <w:rsid w:val="00DE2BF4"/>
    <w:rsid w:val="00DE3433"/>
    <w:rsid w:val="00DE4436"/>
    <w:rsid w:val="00DE44C1"/>
    <w:rsid w:val="00DE6372"/>
    <w:rsid w:val="00DE6A19"/>
    <w:rsid w:val="00DF5B3F"/>
    <w:rsid w:val="00E007CE"/>
    <w:rsid w:val="00E07788"/>
    <w:rsid w:val="00E14B87"/>
    <w:rsid w:val="00E1594C"/>
    <w:rsid w:val="00E2017D"/>
    <w:rsid w:val="00E202A9"/>
    <w:rsid w:val="00E269E8"/>
    <w:rsid w:val="00E32BAA"/>
    <w:rsid w:val="00E36C6E"/>
    <w:rsid w:val="00E4055F"/>
    <w:rsid w:val="00E50B40"/>
    <w:rsid w:val="00E51765"/>
    <w:rsid w:val="00E51D0F"/>
    <w:rsid w:val="00E61FBB"/>
    <w:rsid w:val="00E638B3"/>
    <w:rsid w:val="00E63C1E"/>
    <w:rsid w:val="00E64C0B"/>
    <w:rsid w:val="00E7015D"/>
    <w:rsid w:val="00E705EB"/>
    <w:rsid w:val="00E713B5"/>
    <w:rsid w:val="00E71A87"/>
    <w:rsid w:val="00E72DAF"/>
    <w:rsid w:val="00E7372D"/>
    <w:rsid w:val="00E7625E"/>
    <w:rsid w:val="00E76962"/>
    <w:rsid w:val="00E777A0"/>
    <w:rsid w:val="00E961BA"/>
    <w:rsid w:val="00EA08F6"/>
    <w:rsid w:val="00EA5CBD"/>
    <w:rsid w:val="00EB1BAB"/>
    <w:rsid w:val="00EB1CAB"/>
    <w:rsid w:val="00EB64E5"/>
    <w:rsid w:val="00EC237B"/>
    <w:rsid w:val="00ED3518"/>
    <w:rsid w:val="00EE1BE0"/>
    <w:rsid w:val="00EF564F"/>
    <w:rsid w:val="00F02EFF"/>
    <w:rsid w:val="00F0403B"/>
    <w:rsid w:val="00F11C84"/>
    <w:rsid w:val="00F14470"/>
    <w:rsid w:val="00F17331"/>
    <w:rsid w:val="00F17841"/>
    <w:rsid w:val="00F24010"/>
    <w:rsid w:val="00F3307B"/>
    <w:rsid w:val="00F34BE0"/>
    <w:rsid w:val="00F36A0F"/>
    <w:rsid w:val="00F370B0"/>
    <w:rsid w:val="00F3710E"/>
    <w:rsid w:val="00F43344"/>
    <w:rsid w:val="00F51206"/>
    <w:rsid w:val="00F521A4"/>
    <w:rsid w:val="00F575EA"/>
    <w:rsid w:val="00F63BDF"/>
    <w:rsid w:val="00F65297"/>
    <w:rsid w:val="00F74843"/>
    <w:rsid w:val="00F772A5"/>
    <w:rsid w:val="00F8536A"/>
    <w:rsid w:val="00F86EE0"/>
    <w:rsid w:val="00F905AC"/>
    <w:rsid w:val="00F94440"/>
    <w:rsid w:val="00F95BA2"/>
    <w:rsid w:val="00FA1C6F"/>
    <w:rsid w:val="00FA69CC"/>
    <w:rsid w:val="00FB3E8E"/>
    <w:rsid w:val="00FB6240"/>
    <w:rsid w:val="00FB71ED"/>
    <w:rsid w:val="00FB7537"/>
    <w:rsid w:val="00FC78E2"/>
    <w:rsid w:val="00FC7EC9"/>
    <w:rsid w:val="00FD0947"/>
    <w:rsid w:val="00FD32CD"/>
    <w:rsid w:val="00FD49CA"/>
    <w:rsid w:val="00FD63EF"/>
    <w:rsid w:val="00FE3BA4"/>
    <w:rsid w:val="00FF05D8"/>
    <w:rsid w:val="00FF0B73"/>
    <w:rsid w:val="00FF3261"/>
    <w:rsid w:val="00FF7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2D584"/>
  <w15:chartTrackingRefBased/>
  <w15:docId w15:val="{0A0761CF-10DE-4D5E-BC88-36996BC52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7C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00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1C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54364"/>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A27CCA"/>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BE23B5"/>
    <w:rPr>
      <w:sz w:val="16"/>
      <w:szCs w:val="16"/>
    </w:rPr>
  </w:style>
  <w:style w:type="paragraph" w:styleId="CommentText">
    <w:name w:val="annotation text"/>
    <w:basedOn w:val="Normal"/>
    <w:link w:val="CommentTextChar"/>
    <w:uiPriority w:val="99"/>
    <w:unhideWhenUsed/>
    <w:rsid w:val="00BE23B5"/>
    <w:pPr>
      <w:spacing w:line="240" w:lineRule="auto"/>
    </w:pPr>
    <w:rPr>
      <w:sz w:val="20"/>
      <w:szCs w:val="20"/>
    </w:rPr>
  </w:style>
  <w:style w:type="character" w:customStyle="1" w:styleId="CommentTextChar">
    <w:name w:val="Comment Text Char"/>
    <w:basedOn w:val="DefaultParagraphFont"/>
    <w:link w:val="CommentText"/>
    <w:uiPriority w:val="99"/>
    <w:rsid w:val="00BE23B5"/>
    <w:rPr>
      <w:sz w:val="20"/>
      <w:szCs w:val="20"/>
    </w:rPr>
  </w:style>
  <w:style w:type="paragraph" w:styleId="CommentSubject">
    <w:name w:val="annotation subject"/>
    <w:basedOn w:val="CommentText"/>
    <w:next w:val="CommentText"/>
    <w:link w:val="CommentSubjectChar"/>
    <w:uiPriority w:val="99"/>
    <w:semiHidden/>
    <w:unhideWhenUsed/>
    <w:rsid w:val="00BE23B5"/>
    <w:rPr>
      <w:b/>
      <w:bCs/>
    </w:rPr>
  </w:style>
  <w:style w:type="character" w:customStyle="1" w:styleId="CommentSubjectChar">
    <w:name w:val="Comment Subject Char"/>
    <w:basedOn w:val="CommentTextChar"/>
    <w:link w:val="CommentSubject"/>
    <w:uiPriority w:val="99"/>
    <w:semiHidden/>
    <w:rsid w:val="00BE23B5"/>
    <w:rPr>
      <w:b/>
      <w:bCs/>
      <w:sz w:val="20"/>
      <w:szCs w:val="20"/>
    </w:rPr>
  </w:style>
  <w:style w:type="character" w:customStyle="1" w:styleId="Heading2Char">
    <w:name w:val="Heading 2 Char"/>
    <w:basedOn w:val="DefaultParagraphFont"/>
    <w:link w:val="Heading2"/>
    <w:uiPriority w:val="9"/>
    <w:rsid w:val="007700F7"/>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830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0A1C85"/>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C53D59"/>
    <w:pPr>
      <w:ind w:left="720"/>
      <w:contextualSpacing/>
    </w:pPr>
  </w:style>
  <w:style w:type="paragraph" w:styleId="TOCHeading">
    <w:name w:val="TOC Heading"/>
    <w:basedOn w:val="Heading1"/>
    <w:next w:val="Normal"/>
    <w:uiPriority w:val="39"/>
    <w:unhideWhenUsed/>
    <w:qFormat/>
    <w:rsid w:val="00533891"/>
    <w:pPr>
      <w:outlineLvl w:val="9"/>
    </w:pPr>
    <w:rPr>
      <w:lang w:val="en-US"/>
    </w:rPr>
  </w:style>
  <w:style w:type="paragraph" w:styleId="TOC1">
    <w:name w:val="toc 1"/>
    <w:basedOn w:val="Normal"/>
    <w:next w:val="Normal"/>
    <w:autoRedefine/>
    <w:uiPriority w:val="39"/>
    <w:unhideWhenUsed/>
    <w:rsid w:val="00533891"/>
    <w:pPr>
      <w:spacing w:after="100"/>
    </w:pPr>
  </w:style>
  <w:style w:type="paragraph" w:styleId="TOC2">
    <w:name w:val="toc 2"/>
    <w:basedOn w:val="Normal"/>
    <w:next w:val="Normal"/>
    <w:autoRedefine/>
    <w:uiPriority w:val="39"/>
    <w:unhideWhenUsed/>
    <w:rsid w:val="00533891"/>
    <w:pPr>
      <w:spacing w:after="100"/>
      <w:ind w:left="220"/>
    </w:pPr>
  </w:style>
  <w:style w:type="paragraph" w:styleId="TOC3">
    <w:name w:val="toc 3"/>
    <w:basedOn w:val="Normal"/>
    <w:next w:val="Normal"/>
    <w:autoRedefine/>
    <w:uiPriority w:val="39"/>
    <w:unhideWhenUsed/>
    <w:rsid w:val="00533891"/>
    <w:pPr>
      <w:spacing w:after="100"/>
      <w:ind w:left="440"/>
    </w:pPr>
  </w:style>
  <w:style w:type="character" w:styleId="Hyperlink">
    <w:name w:val="Hyperlink"/>
    <w:basedOn w:val="DefaultParagraphFont"/>
    <w:uiPriority w:val="99"/>
    <w:unhideWhenUsed/>
    <w:rsid w:val="00533891"/>
    <w:rPr>
      <w:color w:val="0563C1" w:themeColor="hyperlink"/>
      <w:u w:val="single"/>
    </w:rPr>
  </w:style>
  <w:style w:type="paragraph" w:styleId="TableofFigures">
    <w:name w:val="table of figures"/>
    <w:basedOn w:val="Normal"/>
    <w:next w:val="Normal"/>
    <w:uiPriority w:val="99"/>
    <w:unhideWhenUsed/>
    <w:rsid w:val="00D24C6A"/>
    <w:pPr>
      <w:spacing w:after="0"/>
    </w:pPr>
  </w:style>
  <w:style w:type="character" w:styleId="UnresolvedMention">
    <w:name w:val="Unresolved Mention"/>
    <w:basedOn w:val="DefaultParagraphFont"/>
    <w:uiPriority w:val="99"/>
    <w:semiHidden/>
    <w:unhideWhenUsed/>
    <w:rsid w:val="00380BB2"/>
    <w:rPr>
      <w:color w:val="605E5C"/>
      <w:shd w:val="clear" w:color="auto" w:fill="E1DFDD"/>
    </w:rPr>
  </w:style>
  <w:style w:type="paragraph" w:styleId="Header">
    <w:name w:val="header"/>
    <w:basedOn w:val="Normal"/>
    <w:link w:val="HeaderChar"/>
    <w:uiPriority w:val="99"/>
    <w:unhideWhenUsed/>
    <w:rsid w:val="00BA68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87A"/>
  </w:style>
  <w:style w:type="paragraph" w:styleId="Footer">
    <w:name w:val="footer"/>
    <w:basedOn w:val="Normal"/>
    <w:link w:val="FooterChar"/>
    <w:uiPriority w:val="99"/>
    <w:unhideWhenUsed/>
    <w:rsid w:val="00BA68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8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diagramQuickStyle" Target="diagrams/quickStyle1.xml"/><Relationship Id="rId26" Type="http://schemas.microsoft.com/office/2007/relationships/diagramDrawing" Target="diagrams/drawing2.xml"/><Relationship Id="rId39" Type="http://schemas.openxmlformats.org/officeDocument/2006/relationships/header" Target="header1.xml"/><Relationship Id="rId21" Type="http://schemas.openxmlformats.org/officeDocument/2006/relationships/image" Target="media/image6.png"/><Relationship Id="rId34" Type="http://schemas.openxmlformats.org/officeDocument/2006/relationships/hyperlink" Target="https://www.diplomatie.gouv.fr/en/coming-to-france/france-facts/secularism-and-religious-freedom-in-france-63815/article/secularism-and-religious-freedom-in-franc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diagramQuickStyle" Target="diagrams/quickStyle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QuickStyle" Target="diagrams/quickStyle2.xml"/><Relationship Id="rId32" Type="http://schemas.openxmlformats.org/officeDocument/2006/relationships/hyperlink" Target="https://assets.publishing.service.gov.uk/media/57a089efed915d3cfd0004d4/Short_guide_summarising_the_oil_and_gas_industry_lifecycle-43.pdf" TargetMode="External"/><Relationship Id="rId37" Type="http://schemas.openxmlformats.org/officeDocument/2006/relationships/hyperlink" Target="https://totalenergies.com/group/identity/history"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diagramLayout" Target="diagrams/layout2.xml"/><Relationship Id="rId28" Type="http://schemas.openxmlformats.org/officeDocument/2006/relationships/diagramLayout" Target="diagrams/layout3.xml"/><Relationship Id="rId36" Type="http://schemas.openxmlformats.org/officeDocument/2006/relationships/hyperlink" Target="https://www.justice.gc.ca/eng/csj-sjc/rfc-dlc/ccrf-ccdl/" TargetMode="External"/><Relationship Id="rId10" Type="http://schemas.openxmlformats.org/officeDocument/2006/relationships/endnotes" Target="endnotes.xml"/><Relationship Id="rId19" Type="http://schemas.openxmlformats.org/officeDocument/2006/relationships/diagramColors" Target="diagrams/colors1.xml"/><Relationship Id="rId31" Type="http://schemas.microsoft.com/office/2007/relationships/diagramDrawing" Target="diagrams/drawing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diagramData" Target="diagrams/data2.xml"/><Relationship Id="rId27" Type="http://schemas.openxmlformats.org/officeDocument/2006/relationships/diagramData" Target="diagrams/data3.xml"/><Relationship Id="rId30" Type="http://schemas.openxmlformats.org/officeDocument/2006/relationships/diagramColors" Target="diagrams/colors3.xml"/><Relationship Id="rId35" Type="http://schemas.openxmlformats.org/officeDocument/2006/relationships/hyperlink" Target="https://www.globaldata.com/company-profile/total-se/"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diagramLayout" Target="diagrams/layout1.xml"/><Relationship Id="rId25" Type="http://schemas.openxmlformats.org/officeDocument/2006/relationships/diagramColors" Target="diagrams/colors2.xml"/><Relationship Id="rId33" Type="http://schemas.openxmlformats.org/officeDocument/2006/relationships/hyperlink" Target="https://www.forbes.com/companies/pembina-pipeline/?sh=79212ac22532" TargetMode="External"/><Relationship Id="rId38" Type="http://schemas.openxmlformats.org/officeDocument/2006/relationships/hyperlink" Target="https://www.figtreecapitalventures.com/blog/a-brief-introductory-guide-to-the-oil-and-gas-industry-segment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291F29A-3BE2-44C9-8B67-66F2A761EB19}" type="doc">
      <dgm:prSet loTypeId="urn:microsoft.com/office/officeart/2008/layout/VerticalCurvedList" loCatId="list" qsTypeId="urn:microsoft.com/office/officeart/2005/8/quickstyle/simple1" qsCatId="simple" csTypeId="urn:microsoft.com/office/officeart/2005/8/colors/accent1_2" csCatId="accent1" phldr="1"/>
      <dgm:spPr/>
      <dgm:t>
        <a:bodyPr/>
        <a:lstStyle/>
        <a:p>
          <a:endParaRPr lang="en-GB"/>
        </a:p>
      </dgm:t>
    </dgm:pt>
    <dgm:pt modelId="{E1C1C84A-B8C8-49B3-8E53-13D1EE109B3F}">
      <dgm:prSet phldrT="[Text]" custT="1"/>
      <dgm:spPr/>
      <dgm:t>
        <a:bodyPr/>
        <a:lstStyle/>
        <a:p>
          <a:r>
            <a:rPr lang="en-GB" sz="1200">
              <a:latin typeface="Arial" panose="020B0604020202020204" pitchFamily="34" charset="0"/>
              <a:cs typeface="Arial" panose="020B0604020202020204" pitchFamily="34" charset="0"/>
            </a:rPr>
            <a:t>Coercive pressure in both countries due to trade partners competition (US and EU),legislation,taxation </a:t>
          </a:r>
        </a:p>
      </dgm:t>
    </dgm:pt>
    <dgm:pt modelId="{24582934-98B4-464B-A93A-15C8E0A0A33D}" type="parTrans" cxnId="{BC6D7E2C-6D2C-476A-9A6D-5E7CCD914D7B}">
      <dgm:prSet/>
      <dgm:spPr/>
      <dgm:t>
        <a:bodyPr/>
        <a:lstStyle/>
        <a:p>
          <a:endParaRPr lang="en-GB"/>
        </a:p>
      </dgm:t>
    </dgm:pt>
    <dgm:pt modelId="{6CD39492-804A-460F-A6AC-942F4E2CF9EE}" type="sibTrans" cxnId="{BC6D7E2C-6D2C-476A-9A6D-5E7CCD914D7B}">
      <dgm:prSet/>
      <dgm:spPr/>
      <dgm:t>
        <a:bodyPr/>
        <a:lstStyle/>
        <a:p>
          <a:endParaRPr lang="en-GB"/>
        </a:p>
      </dgm:t>
    </dgm:pt>
    <dgm:pt modelId="{AF62F668-3F26-41C4-8F5D-146BFAF51E82}">
      <dgm:prSet phldrT="[Text]" custT="1"/>
      <dgm:spPr/>
      <dgm:t>
        <a:bodyPr/>
        <a:lstStyle/>
        <a:p>
          <a:r>
            <a:rPr lang="en-GB" sz="1200">
              <a:latin typeface="Arial" panose="020B0604020202020204" pitchFamily="34" charset="0"/>
              <a:cs typeface="Arial" panose="020B0604020202020204" pitchFamily="34" charset="0"/>
            </a:rPr>
            <a:t>Mimetic pressure for M&amp;A (acquirer)-adopting traditions,believes,uncertainty avoidance</a:t>
          </a:r>
        </a:p>
      </dgm:t>
    </dgm:pt>
    <dgm:pt modelId="{2858C055-101E-4332-BA8A-B96B8359E5A8}" type="parTrans" cxnId="{7C744BC9-B5DA-42AF-84EF-601734A0AF45}">
      <dgm:prSet/>
      <dgm:spPr/>
      <dgm:t>
        <a:bodyPr/>
        <a:lstStyle/>
        <a:p>
          <a:endParaRPr lang="en-GB"/>
        </a:p>
      </dgm:t>
    </dgm:pt>
    <dgm:pt modelId="{C2D83C75-48EB-4175-A7F1-491AD60AF181}" type="sibTrans" cxnId="{7C744BC9-B5DA-42AF-84EF-601734A0AF45}">
      <dgm:prSet/>
      <dgm:spPr/>
      <dgm:t>
        <a:bodyPr/>
        <a:lstStyle/>
        <a:p>
          <a:endParaRPr lang="en-GB"/>
        </a:p>
      </dgm:t>
    </dgm:pt>
    <dgm:pt modelId="{AFB69CB4-0DFA-4CC8-84E0-7F91785C422A}">
      <dgm:prSet phldrT="[Text]" custT="1"/>
      <dgm:spPr/>
      <dgm:t>
        <a:bodyPr/>
        <a:lstStyle/>
        <a:p>
          <a:r>
            <a:rPr lang="en-GB" sz="1200">
              <a:latin typeface="Arial" panose="020B0604020202020204" pitchFamily="34" charset="0"/>
              <a:cs typeface="Arial" panose="020B0604020202020204" pitchFamily="34" charset="0"/>
            </a:rPr>
            <a:t>Normative Pressure-cultural differences/Long term orientation/Indulgence </a:t>
          </a:r>
        </a:p>
      </dgm:t>
    </dgm:pt>
    <dgm:pt modelId="{B0AB3FE6-49C1-4C54-93B4-4B4DDE50D9BA}" type="parTrans" cxnId="{EE9D37F5-B7CA-4E5D-9882-3785A1D7BC55}">
      <dgm:prSet/>
      <dgm:spPr/>
      <dgm:t>
        <a:bodyPr/>
        <a:lstStyle/>
        <a:p>
          <a:endParaRPr lang="en-GB"/>
        </a:p>
      </dgm:t>
    </dgm:pt>
    <dgm:pt modelId="{7B9D1AEE-24C8-422C-84CC-58BBAF09FA80}" type="sibTrans" cxnId="{EE9D37F5-B7CA-4E5D-9882-3785A1D7BC55}">
      <dgm:prSet/>
      <dgm:spPr/>
      <dgm:t>
        <a:bodyPr/>
        <a:lstStyle/>
        <a:p>
          <a:endParaRPr lang="en-GB"/>
        </a:p>
      </dgm:t>
    </dgm:pt>
    <dgm:pt modelId="{35AAE88A-5FDA-474B-8B9F-785D8404FC42}" type="pres">
      <dgm:prSet presAssocID="{B291F29A-3BE2-44C9-8B67-66F2A761EB19}" presName="Name0" presStyleCnt="0">
        <dgm:presLayoutVars>
          <dgm:chMax val="7"/>
          <dgm:chPref val="7"/>
          <dgm:dir/>
        </dgm:presLayoutVars>
      </dgm:prSet>
      <dgm:spPr/>
    </dgm:pt>
    <dgm:pt modelId="{5092FDDA-8DE2-4D3B-89A1-F88AF023B7B2}" type="pres">
      <dgm:prSet presAssocID="{B291F29A-3BE2-44C9-8B67-66F2A761EB19}" presName="Name1" presStyleCnt="0"/>
      <dgm:spPr/>
    </dgm:pt>
    <dgm:pt modelId="{B3148755-2B4D-47EF-80D2-956D5D7C9867}" type="pres">
      <dgm:prSet presAssocID="{B291F29A-3BE2-44C9-8B67-66F2A761EB19}" presName="cycle" presStyleCnt="0"/>
      <dgm:spPr/>
    </dgm:pt>
    <dgm:pt modelId="{E9B38659-698B-4FB8-8DA2-4DFB7B97BDCD}" type="pres">
      <dgm:prSet presAssocID="{B291F29A-3BE2-44C9-8B67-66F2A761EB19}" presName="srcNode" presStyleLbl="node1" presStyleIdx="0" presStyleCnt="3"/>
      <dgm:spPr/>
    </dgm:pt>
    <dgm:pt modelId="{DF93D428-9056-4D5F-A7E7-4FD8C0E4168D}" type="pres">
      <dgm:prSet presAssocID="{B291F29A-3BE2-44C9-8B67-66F2A761EB19}" presName="conn" presStyleLbl="parChTrans1D2" presStyleIdx="0" presStyleCnt="1"/>
      <dgm:spPr/>
    </dgm:pt>
    <dgm:pt modelId="{8750FE27-744E-491D-A79E-443086411378}" type="pres">
      <dgm:prSet presAssocID="{B291F29A-3BE2-44C9-8B67-66F2A761EB19}" presName="extraNode" presStyleLbl="node1" presStyleIdx="0" presStyleCnt="3"/>
      <dgm:spPr/>
    </dgm:pt>
    <dgm:pt modelId="{5C93211A-B428-4FA3-8B32-900D08AFF9CE}" type="pres">
      <dgm:prSet presAssocID="{B291F29A-3BE2-44C9-8B67-66F2A761EB19}" presName="dstNode" presStyleLbl="node1" presStyleIdx="0" presStyleCnt="3"/>
      <dgm:spPr/>
    </dgm:pt>
    <dgm:pt modelId="{A11F1ADC-6B44-4489-B0AB-42A57BCD6673}" type="pres">
      <dgm:prSet presAssocID="{E1C1C84A-B8C8-49B3-8E53-13D1EE109B3F}" presName="text_1" presStyleLbl="node1" presStyleIdx="0" presStyleCnt="3" custLinFactNeighborX="305" custLinFactNeighborY="5953">
        <dgm:presLayoutVars>
          <dgm:bulletEnabled val="1"/>
        </dgm:presLayoutVars>
      </dgm:prSet>
      <dgm:spPr/>
    </dgm:pt>
    <dgm:pt modelId="{C4212BBD-502E-4325-9A75-E0FB7797FB67}" type="pres">
      <dgm:prSet presAssocID="{E1C1C84A-B8C8-49B3-8E53-13D1EE109B3F}" presName="accent_1" presStyleCnt="0"/>
      <dgm:spPr/>
    </dgm:pt>
    <dgm:pt modelId="{0960B1C7-A9F3-46E4-BBD0-901D8BABD932}" type="pres">
      <dgm:prSet presAssocID="{E1C1C84A-B8C8-49B3-8E53-13D1EE109B3F}" presName="accentRepeatNode" presStyleLbl="solidFgAcc1" presStyleIdx="0" presStyleCnt="3"/>
      <dgm:spPr/>
    </dgm:pt>
    <dgm:pt modelId="{48215575-989E-4B0C-8B3C-F53D08539508}" type="pres">
      <dgm:prSet presAssocID="{AF62F668-3F26-41C4-8F5D-146BFAF51E82}" presName="text_2" presStyleLbl="node1" presStyleIdx="1" presStyleCnt="3">
        <dgm:presLayoutVars>
          <dgm:bulletEnabled val="1"/>
        </dgm:presLayoutVars>
      </dgm:prSet>
      <dgm:spPr/>
    </dgm:pt>
    <dgm:pt modelId="{6F0B9F45-46AE-4509-948E-F466E0D96F17}" type="pres">
      <dgm:prSet presAssocID="{AF62F668-3F26-41C4-8F5D-146BFAF51E82}" presName="accent_2" presStyleCnt="0"/>
      <dgm:spPr/>
    </dgm:pt>
    <dgm:pt modelId="{4BE493A7-9589-47F3-991D-11D11C1BF908}" type="pres">
      <dgm:prSet presAssocID="{AF62F668-3F26-41C4-8F5D-146BFAF51E82}" presName="accentRepeatNode" presStyleLbl="solidFgAcc1" presStyleIdx="1" presStyleCnt="3"/>
      <dgm:spPr/>
    </dgm:pt>
    <dgm:pt modelId="{1774DB62-8805-4175-A213-3696F8B6C4A0}" type="pres">
      <dgm:prSet presAssocID="{AFB69CB4-0DFA-4CC8-84E0-7F91785C422A}" presName="text_3" presStyleLbl="node1" presStyleIdx="2" presStyleCnt="3">
        <dgm:presLayoutVars>
          <dgm:bulletEnabled val="1"/>
        </dgm:presLayoutVars>
      </dgm:prSet>
      <dgm:spPr/>
    </dgm:pt>
    <dgm:pt modelId="{D66196C9-BFCE-4EF5-9693-B2EC71EEF0BA}" type="pres">
      <dgm:prSet presAssocID="{AFB69CB4-0DFA-4CC8-84E0-7F91785C422A}" presName="accent_3" presStyleCnt="0"/>
      <dgm:spPr/>
    </dgm:pt>
    <dgm:pt modelId="{876D759E-01F5-4C62-A087-A6F1BDFFE5AD}" type="pres">
      <dgm:prSet presAssocID="{AFB69CB4-0DFA-4CC8-84E0-7F91785C422A}" presName="accentRepeatNode" presStyleLbl="solidFgAcc1" presStyleIdx="2" presStyleCnt="3"/>
      <dgm:spPr/>
    </dgm:pt>
  </dgm:ptLst>
  <dgm:cxnLst>
    <dgm:cxn modelId="{C6EF3921-BD02-4D34-98E5-26A7A5F17FC9}" type="presOf" srcId="{E1C1C84A-B8C8-49B3-8E53-13D1EE109B3F}" destId="{A11F1ADC-6B44-4489-B0AB-42A57BCD6673}" srcOrd="0" destOrd="0" presId="urn:microsoft.com/office/officeart/2008/layout/VerticalCurvedList"/>
    <dgm:cxn modelId="{BC6D7E2C-6D2C-476A-9A6D-5E7CCD914D7B}" srcId="{B291F29A-3BE2-44C9-8B67-66F2A761EB19}" destId="{E1C1C84A-B8C8-49B3-8E53-13D1EE109B3F}" srcOrd="0" destOrd="0" parTransId="{24582934-98B4-464B-A93A-15C8E0A0A33D}" sibTransId="{6CD39492-804A-460F-A6AC-942F4E2CF9EE}"/>
    <dgm:cxn modelId="{47AEF239-398A-4719-86DB-F5BE0BE08597}" type="presOf" srcId="{AF62F668-3F26-41C4-8F5D-146BFAF51E82}" destId="{48215575-989E-4B0C-8B3C-F53D08539508}" srcOrd="0" destOrd="0" presId="urn:microsoft.com/office/officeart/2008/layout/VerticalCurvedList"/>
    <dgm:cxn modelId="{AB02E37C-0BFC-4978-B1B3-23942D168C01}" type="presOf" srcId="{AFB69CB4-0DFA-4CC8-84E0-7F91785C422A}" destId="{1774DB62-8805-4175-A213-3696F8B6C4A0}" srcOrd="0" destOrd="0" presId="urn:microsoft.com/office/officeart/2008/layout/VerticalCurvedList"/>
    <dgm:cxn modelId="{92C17599-B0F7-44DE-B275-B5CDF805B191}" type="presOf" srcId="{6CD39492-804A-460F-A6AC-942F4E2CF9EE}" destId="{DF93D428-9056-4D5F-A7E7-4FD8C0E4168D}" srcOrd="0" destOrd="0" presId="urn:microsoft.com/office/officeart/2008/layout/VerticalCurvedList"/>
    <dgm:cxn modelId="{201F44B0-AEC0-4E60-9175-5AD08DB9443A}" type="presOf" srcId="{B291F29A-3BE2-44C9-8B67-66F2A761EB19}" destId="{35AAE88A-5FDA-474B-8B9F-785D8404FC42}" srcOrd="0" destOrd="0" presId="urn:microsoft.com/office/officeart/2008/layout/VerticalCurvedList"/>
    <dgm:cxn modelId="{7C744BC9-B5DA-42AF-84EF-601734A0AF45}" srcId="{B291F29A-3BE2-44C9-8B67-66F2A761EB19}" destId="{AF62F668-3F26-41C4-8F5D-146BFAF51E82}" srcOrd="1" destOrd="0" parTransId="{2858C055-101E-4332-BA8A-B96B8359E5A8}" sibTransId="{C2D83C75-48EB-4175-A7F1-491AD60AF181}"/>
    <dgm:cxn modelId="{EE9D37F5-B7CA-4E5D-9882-3785A1D7BC55}" srcId="{B291F29A-3BE2-44C9-8B67-66F2A761EB19}" destId="{AFB69CB4-0DFA-4CC8-84E0-7F91785C422A}" srcOrd="2" destOrd="0" parTransId="{B0AB3FE6-49C1-4C54-93B4-4B4DDE50D9BA}" sibTransId="{7B9D1AEE-24C8-422C-84CC-58BBAF09FA80}"/>
    <dgm:cxn modelId="{C82A68F0-EE99-4892-8F92-1725C80198A4}" type="presParOf" srcId="{35AAE88A-5FDA-474B-8B9F-785D8404FC42}" destId="{5092FDDA-8DE2-4D3B-89A1-F88AF023B7B2}" srcOrd="0" destOrd="0" presId="urn:microsoft.com/office/officeart/2008/layout/VerticalCurvedList"/>
    <dgm:cxn modelId="{47C40622-5A78-4073-807C-A247C0B9EE7B}" type="presParOf" srcId="{5092FDDA-8DE2-4D3B-89A1-F88AF023B7B2}" destId="{B3148755-2B4D-47EF-80D2-956D5D7C9867}" srcOrd="0" destOrd="0" presId="urn:microsoft.com/office/officeart/2008/layout/VerticalCurvedList"/>
    <dgm:cxn modelId="{25219ABF-50FB-4DA9-8FD0-348F026463E7}" type="presParOf" srcId="{B3148755-2B4D-47EF-80D2-956D5D7C9867}" destId="{E9B38659-698B-4FB8-8DA2-4DFB7B97BDCD}" srcOrd="0" destOrd="0" presId="urn:microsoft.com/office/officeart/2008/layout/VerticalCurvedList"/>
    <dgm:cxn modelId="{48C5705A-5F76-4BD2-9D56-05C29FCB342A}" type="presParOf" srcId="{B3148755-2B4D-47EF-80D2-956D5D7C9867}" destId="{DF93D428-9056-4D5F-A7E7-4FD8C0E4168D}" srcOrd="1" destOrd="0" presId="urn:microsoft.com/office/officeart/2008/layout/VerticalCurvedList"/>
    <dgm:cxn modelId="{AB526847-9576-4089-95B2-C7767FF4B556}" type="presParOf" srcId="{B3148755-2B4D-47EF-80D2-956D5D7C9867}" destId="{8750FE27-744E-491D-A79E-443086411378}" srcOrd="2" destOrd="0" presId="urn:microsoft.com/office/officeart/2008/layout/VerticalCurvedList"/>
    <dgm:cxn modelId="{F978E8CA-6D49-4B51-B16C-830FDD5911C0}" type="presParOf" srcId="{B3148755-2B4D-47EF-80D2-956D5D7C9867}" destId="{5C93211A-B428-4FA3-8B32-900D08AFF9CE}" srcOrd="3" destOrd="0" presId="urn:microsoft.com/office/officeart/2008/layout/VerticalCurvedList"/>
    <dgm:cxn modelId="{DEE81B2B-64C4-4759-87EA-2B5402EA3D28}" type="presParOf" srcId="{5092FDDA-8DE2-4D3B-89A1-F88AF023B7B2}" destId="{A11F1ADC-6B44-4489-B0AB-42A57BCD6673}" srcOrd="1" destOrd="0" presId="urn:microsoft.com/office/officeart/2008/layout/VerticalCurvedList"/>
    <dgm:cxn modelId="{66FACC27-C227-48E7-9FF5-6231A50CF090}" type="presParOf" srcId="{5092FDDA-8DE2-4D3B-89A1-F88AF023B7B2}" destId="{C4212BBD-502E-4325-9A75-E0FB7797FB67}" srcOrd="2" destOrd="0" presId="urn:microsoft.com/office/officeart/2008/layout/VerticalCurvedList"/>
    <dgm:cxn modelId="{AC6E147A-34FB-4E14-9A84-BA258F9406E6}" type="presParOf" srcId="{C4212BBD-502E-4325-9A75-E0FB7797FB67}" destId="{0960B1C7-A9F3-46E4-BBD0-901D8BABD932}" srcOrd="0" destOrd="0" presId="urn:microsoft.com/office/officeart/2008/layout/VerticalCurvedList"/>
    <dgm:cxn modelId="{E6493EB8-CDF1-4A55-A2AC-6784002DAA3F}" type="presParOf" srcId="{5092FDDA-8DE2-4D3B-89A1-F88AF023B7B2}" destId="{48215575-989E-4B0C-8B3C-F53D08539508}" srcOrd="3" destOrd="0" presId="urn:microsoft.com/office/officeart/2008/layout/VerticalCurvedList"/>
    <dgm:cxn modelId="{1AFBA682-A995-4CD3-B76D-F0C33ED06B72}" type="presParOf" srcId="{5092FDDA-8DE2-4D3B-89A1-F88AF023B7B2}" destId="{6F0B9F45-46AE-4509-948E-F466E0D96F17}" srcOrd="4" destOrd="0" presId="urn:microsoft.com/office/officeart/2008/layout/VerticalCurvedList"/>
    <dgm:cxn modelId="{D146F63C-B5FE-486D-B283-9BDA8277696F}" type="presParOf" srcId="{6F0B9F45-46AE-4509-948E-F466E0D96F17}" destId="{4BE493A7-9589-47F3-991D-11D11C1BF908}" srcOrd="0" destOrd="0" presId="urn:microsoft.com/office/officeart/2008/layout/VerticalCurvedList"/>
    <dgm:cxn modelId="{C5EE71A4-FB72-492A-B795-239D790DB29D}" type="presParOf" srcId="{5092FDDA-8DE2-4D3B-89A1-F88AF023B7B2}" destId="{1774DB62-8805-4175-A213-3696F8B6C4A0}" srcOrd="5" destOrd="0" presId="urn:microsoft.com/office/officeart/2008/layout/VerticalCurvedList"/>
    <dgm:cxn modelId="{57564BC4-83C1-4126-BFF4-91956BE919D5}" type="presParOf" srcId="{5092FDDA-8DE2-4D3B-89A1-F88AF023B7B2}" destId="{D66196C9-BFCE-4EF5-9693-B2EC71EEF0BA}" srcOrd="6" destOrd="0" presId="urn:microsoft.com/office/officeart/2008/layout/VerticalCurvedList"/>
    <dgm:cxn modelId="{BDCF2F00-0945-4E2C-9A17-C37172E32899}" type="presParOf" srcId="{D66196C9-BFCE-4EF5-9693-B2EC71EEF0BA}" destId="{876D759E-01F5-4C62-A087-A6F1BDFFE5AD}" srcOrd="0" destOrd="0" presId="urn:microsoft.com/office/officeart/2008/layout/VerticalCurvedLis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A06C46B-536F-4BE6-AC6E-E6E2B50D7EE6}" type="doc">
      <dgm:prSet loTypeId="urn:microsoft.com/office/officeart/2005/8/layout/hList9" loCatId="list" qsTypeId="urn:microsoft.com/office/officeart/2005/8/quickstyle/simple1" qsCatId="simple" csTypeId="urn:microsoft.com/office/officeart/2005/8/colors/accent1_2" csCatId="accent1" phldr="1"/>
      <dgm:spPr/>
      <dgm:t>
        <a:bodyPr/>
        <a:lstStyle/>
        <a:p>
          <a:endParaRPr lang="en-GB"/>
        </a:p>
      </dgm:t>
    </dgm:pt>
    <dgm:pt modelId="{B95F8C50-C659-4D86-AFB7-76DFA7EB2625}">
      <dgm:prSet phldrT="[Text]"/>
      <dgm:spPr/>
      <dgm:t>
        <a:bodyPr/>
        <a:lstStyle/>
        <a:p>
          <a:r>
            <a:rPr lang="en-GB"/>
            <a:t>Pre-stage</a:t>
          </a:r>
        </a:p>
      </dgm:t>
    </dgm:pt>
    <dgm:pt modelId="{AAE42992-CE66-4F0A-BE61-1E85430F3F7B}" type="parTrans" cxnId="{A01BA329-5A9D-4EC7-89BF-CCA8D6EAEB5A}">
      <dgm:prSet/>
      <dgm:spPr/>
      <dgm:t>
        <a:bodyPr/>
        <a:lstStyle/>
        <a:p>
          <a:endParaRPr lang="en-GB"/>
        </a:p>
      </dgm:t>
    </dgm:pt>
    <dgm:pt modelId="{72952D37-14FF-4CE9-ACED-311342426F06}" type="sibTrans" cxnId="{A01BA329-5A9D-4EC7-89BF-CCA8D6EAEB5A}">
      <dgm:prSet/>
      <dgm:spPr/>
      <dgm:t>
        <a:bodyPr/>
        <a:lstStyle/>
        <a:p>
          <a:endParaRPr lang="en-GB"/>
        </a:p>
      </dgm:t>
    </dgm:pt>
    <dgm:pt modelId="{B1FE7530-4A57-4EE4-AC00-E7BC88BA282B}">
      <dgm:prSet phldrT="[Text]"/>
      <dgm:spPr/>
      <dgm:t>
        <a:bodyPr/>
        <a:lstStyle/>
        <a:p>
          <a:r>
            <a:rPr lang="en-GB"/>
            <a:t>Post-stage</a:t>
          </a:r>
        </a:p>
      </dgm:t>
    </dgm:pt>
    <dgm:pt modelId="{4556AB33-B342-4C49-82CA-BCA47190DBF7}" type="parTrans" cxnId="{4D7A7520-A905-486C-96B5-1A42920279CF}">
      <dgm:prSet/>
      <dgm:spPr/>
      <dgm:t>
        <a:bodyPr/>
        <a:lstStyle/>
        <a:p>
          <a:endParaRPr lang="en-GB"/>
        </a:p>
      </dgm:t>
    </dgm:pt>
    <dgm:pt modelId="{212BD489-8D83-4C6F-8207-624EB095B3E8}" type="sibTrans" cxnId="{4D7A7520-A905-486C-96B5-1A42920279CF}">
      <dgm:prSet/>
      <dgm:spPr/>
      <dgm:t>
        <a:bodyPr/>
        <a:lstStyle/>
        <a:p>
          <a:endParaRPr lang="en-GB"/>
        </a:p>
      </dgm:t>
    </dgm:pt>
    <dgm:pt modelId="{96E48351-8900-454F-B5F1-617A58666A7A}">
      <dgm:prSet phldrT="[Text]"/>
      <dgm:spPr/>
      <dgm:t>
        <a:bodyPr/>
        <a:lstStyle/>
        <a:p>
          <a:r>
            <a:rPr lang="en-GB"/>
            <a:t>Inconsistencies in performance reviews due to cultural biases or lack of understanding of different cultural norms and values.</a:t>
          </a:r>
        </a:p>
      </dgm:t>
    </dgm:pt>
    <dgm:pt modelId="{03E05F7A-0883-48FA-8E96-439F8DCA9A9B}" type="parTrans" cxnId="{69E56CFC-0D28-469F-AE80-570B9C6D21C5}">
      <dgm:prSet/>
      <dgm:spPr/>
      <dgm:t>
        <a:bodyPr/>
        <a:lstStyle/>
        <a:p>
          <a:endParaRPr lang="en-GB"/>
        </a:p>
      </dgm:t>
    </dgm:pt>
    <dgm:pt modelId="{81C412E2-918B-447B-9141-5C3B7D80EB12}" type="sibTrans" cxnId="{69E56CFC-0D28-469F-AE80-570B9C6D21C5}">
      <dgm:prSet/>
      <dgm:spPr/>
      <dgm:t>
        <a:bodyPr/>
        <a:lstStyle/>
        <a:p>
          <a:endParaRPr lang="en-GB"/>
        </a:p>
      </dgm:t>
    </dgm:pt>
    <dgm:pt modelId="{AF8D3398-040E-463D-8555-86CE7F5FA00F}">
      <dgm:prSet phldrT="[Text]"/>
      <dgm:spPr/>
      <dgm:t>
        <a:bodyPr/>
        <a:lstStyle/>
        <a:p>
          <a:r>
            <a:rPr lang="en-GB"/>
            <a:t>Difficulty in adapting management styles and practices that may be seen as inappropriate for the local culture or environment. </a:t>
          </a:r>
        </a:p>
      </dgm:t>
    </dgm:pt>
    <dgm:pt modelId="{545045B7-70AA-4138-8746-8EDD524CB858}" type="parTrans" cxnId="{D254B523-92A8-42BE-88B1-EF201D7CEB42}">
      <dgm:prSet/>
      <dgm:spPr/>
      <dgm:t>
        <a:bodyPr/>
        <a:lstStyle/>
        <a:p>
          <a:endParaRPr lang="en-GB"/>
        </a:p>
      </dgm:t>
    </dgm:pt>
    <dgm:pt modelId="{D463E8F3-79F3-497C-87EE-1D902AD330E8}" type="sibTrans" cxnId="{D254B523-92A8-42BE-88B1-EF201D7CEB42}">
      <dgm:prSet/>
      <dgm:spPr/>
      <dgm:t>
        <a:bodyPr/>
        <a:lstStyle/>
        <a:p>
          <a:endParaRPr lang="en-GB"/>
        </a:p>
      </dgm:t>
    </dgm:pt>
    <dgm:pt modelId="{9C84A36C-943C-4DF4-9AC9-C95449629872}">
      <dgm:prSet/>
      <dgm:spPr/>
      <dgm:t>
        <a:bodyPr/>
        <a:lstStyle/>
        <a:p>
          <a:r>
            <a:rPr lang="en-GB"/>
            <a:t>Lack of communication and understanding between the HR team and the local culture, leading to misunderstandings and potential conflicts. </a:t>
          </a:r>
        </a:p>
      </dgm:t>
    </dgm:pt>
    <dgm:pt modelId="{AD1D2311-D88C-48A4-9820-499274EEE615}" type="parTrans" cxnId="{DC559596-510F-45BC-B96B-172FCEA9D67B}">
      <dgm:prSet/>
      <dgm:spPr/>
      <dgm:t>
        <a:bodyPr/>
        <a:lstStyle/>
        <a:p>
          <a:endParaRPr lang="en-GB"/>
        </a:p>
      </dgm:t>
    </dgm:pt>
    <dgm:pt modelId="{904A2679-0A74-46BD-BFD2-773171006870}" type="sibTrans" cxnId="{DC559596-510F-45BC-B96B-172FCEA9D67B}">
      <dgm:prSet/>
      <dgm:spPr/>
      <dgm:t>
        <a:bodyPr/>
        <a:lstStyle/>
        <a:p>
          <a:endParaRPr lang="en-GB"/>
        </a:p>
      </dgm:t>
    </dgm:pt>
    <dgm:pt modelId="{1EA92362-CEAC-4092-8F6B-4E10A4BE469C}">
      <dgm:prSet/>
      <dgm:spPr/>
      <dgm:t>
        <a:bodyPr/>
        <a:lstStyle/>
        <a:p>
          <a:r>
            <a:rPr lang="en-GB"/>
            <a:t>Difficulty in assessing the cultural fit of potential candidates due to language barriers or cultural differences. </a:t>
          </a:r>
        </a:p>
      </dgm:t>
    </dgm:pt>
    <dgm:pt modelId="{2F567636-0F47-4552-91AB-BF9522AACE72}" type="parTrans" cxnId="{DC71071A-C190-448B-91C1-B1EAA1186E96}">
      <dgm:prSet/>
      <dgm:spPr/>
      <dgm:t>
        <a:bodyPr/>
        <a:lstStyle/>
        <a:p>
          <a:endParaRPr lang="en-GB"/>
        </a:p>
      </dgm:t>
    </dgm:pt>
    <dgm:pt modelId="{47299CB7-7370-4D89-B997-2F557127D12C}" type="sibTrans" cxnId="{DC71071A-C190-448B-91C1-B1EAA1186E96}">
      <dgm:prSet/>
      <dgm:spPr/>
      <dgm:t>
        <a:bodyPr/>
        <a:lstStyle/>
        <a:p>
          <a:endParaRPr lang="en-GB"/>
        </a:p>
      </dgm:t>
    </dgm:pt>
    <dgm:pt modelId="{25526575-C313-4566-BA40-1FCE17DC2872}">
      <dgm:prSet/>
      <dgm:spPr/>
      <dgm:t>
        <a:bodyPr/>
        <a:lstStyle/>
        <a:p>
          <a:r>
            <a:rPr lang="en-GB"/>
            <a:t>Limited access to local talent pools, resulting in a lack of diversity in hiring decisions.</a:t>
          </a:r>
        </a:p>
      </dgm:t>
    </dgm:pt>
    <dgm:pt modelId="{65480FF8-9665-4190-A786-8EC02F270533}" type="parTrans" cxnId="{482374E7-63E4-47CF-9262-98B3E47CC0A5}">
      <dgm:prSet/>
      <dgm:spPr/>
      <dgm:t>
        <a:bodyPr/>
        <a:lstStyle/>
        <a:p>
          <a:endParaRPr lang="en-GB"/>
        </a:p>
      </dgm:t>
    </dgm:pt>
    <dgm:pt modelId="{F3100D9C-0C18-4C44-B0A7-7C03E36BB317}" type="sibTrans" cxnId="{482374E7-63E4-47CF-9262-98B3E47CC0A5}">
      <dgm:prSet/>
      <dgm:spPr/>
      <dgm:t>
        <a:bodyPr/>
        <a:lstStyle/>
        <a:p>
          <a:endParaRPr lang="en-GB"/>
        </a:p>
      </dgm:t>
    </dgm:pt>
    <dgm:pt modelId="{5130B937-3F60-476C-A601-69D51C8715CA}">
      <dgm:prSet/>
      <dgm:spPr/>
      <dgm:t>
        <a:bodyPr/>
        <a:lstStyle/>
        <a:p>
          <a:r>
            <a:rPr lang="en-GB"/>
            <a:t>Inadequate training for new employees on how to adjust to a new culture, leading to confusion and frustration. </a:t>
          </a:r>
        </a:p>
      </dgm:t>
    </dgm:pt>
    <dgm:pt modelId="{00D1A99C-0E7A-4E4E-920B-591D7E2E4786}" type="parTrans" cxnId="{7DADA605-12E9-4B19-8955-6483B5156A7E}">
      <dgm:prSet/>
      <dgm:spPr/>
      <dgm:t>
        <a:bodyPr/>
        <a:lstStyle/>
        <a:p>
          <a:endParaRPr lang="en-GB"/>
        </a:p>
      </dgm:t>
    </dgm:pt>
    <dgm:pt modelId="{847E1057-86B3-4EFA-97AD-DFC1806F51A3}" type="sibTrans" cxnId="{7DADA605-12E9-4B19-8955-6483B5156A7E}">
      <dgm:prSet/>
      <dgm:spPr/>
      <dgm:t>
        <a:bodyPr/>
        <a:lstStyle/>
        <a:p>
          <a:endParaRPr lang="en-GB"/>
        </a:p>
      </dgm:t>
    </dgm:pt>
    <dgm:pt modelId="{A3C122E4-8747-4BFD-B33A-1763D6163DF5}" type="pres">
      <dgm:prSet presAssocID="{FA06C46B-536F-4BE6-AC6E-E6E2B50D7EE6}" presName="list" presStyleCnt="0">
        <dgm:presLayoutVars>
          <dgm:dir/>
          <dgm:animLvl val="lvl"/>
        </dgm:presLayoutVars>
      </dgm:prSet>
      <dgm:spPr/>
    </dgm:pt>
    <dgm:pt modelId="{3E202A30-F95D-4703-A3ED-15B3F8D614E2}" type="pres">
      <dgm:prSet presAssocID="{B95F8C50-C659-4D86-AFB7-76DFA7EB2625}" presName="posSpace" presStyleCnt="0"/>
      <dgm:spPr/>
    </dgm:pt>
    <dgm:pt modelId="{F75E2118-2519-4B0D-8D90-2B70C00896FB}" type="pres">
      <dgm:prSet presAssocID="{B95F8C50-C659-4D86-AFB7-76DFA7EB2625}" presName="vertFlow" presStyleCnt="0"/>
      <dgm:spPr/>
    </dgm:pt>
    <dgm:pt modelId="{FC46FC11-D494-4EC9-AE68-A5B45B4B578F}" type="pres">
      <dgm:prSet presAssocID="{B95F8C50-C659-4D86-AFB7-76DFA7EB2625}" presName="topSpace" presStyleCnt="0"/>
      <dgm:spPr/>
    </dgm:pt>
    <dgm:pt modelId="{1E18FA29-01E0-452E-9EFD-F35D1CA7306F}" type="pres">
      <dgm:prSet presAssocID="{B95F8C50-C659-4D86-AFB7-76DFA7EB2625}" presName="firstComp" presStyleCnt="0"/>
      <dgm:spPr/>
    </dgm:pt>
    <dgm:pt modelId="{A25870A1-9264-4112-B24F-A8383F7A441E}" type="pres">
      <dgm:prSet presAssocID="{B95F8C50-C659-4D86-AFB7-76DFA7EB2625}" presName="firstChild" presStyleLbl="bgAccFollowNode1" presStyleIdx="0" presStyleCnt="6"/>
      <dgm:spPr/>
    </dgm:pt>
    <dgm:pt modelId="{71DBAFCA-F7D2-49CB-AF8D-DCB2C59FF197}" type="pres">
      <dgm:prSet presAssocID="{B95F8C50-C659-4D86-AFB7-76DFA7EB2625}" presName="firstChildTx" presStyleLbl="bgAccFollowNode1" presStyleIdx="0" presStyleCnt="6">
        <dgm:presLayoutVars>
          <dgm:bulletEnabled val="1"/>
        </dgm:presLayoutVars>
      </dgm:prSet>
      <dgm:spPr/>
    </dgm:pt>
    <dgm:pt modelId="{C313FBCE-93F1-4C42-8ABF-9032721EF6B7}" type="pres">
      <dgm:prSet presAssocID="{9C84A36C-943C-4DF4-9AC9-C95449629872}" presName="comp" presStyleCnt="0"/>
      <dgm:spPr/>
    </dgm:pt>
    <dgm:pt modelId="{5FEC204C-551D-460B-9400-81896D4D566E}" type="pres">
      <dgm:prSet presAssocID="{9C84A36C-943C-4DF4-9AC9-C95449629872}" presName="child" presStyleLbl="bgAccFollowNode1" presStyleIdx="1" presStyleCnt="6"/>
      <dgm:spPr/>
    </dgm:pt>
    <dgm:pt modelId="{7D3710EB-E03E-43EC-9BEA-FA00DA666903}" type="pres">
      <dgm:prSet presAssocID="{9C84A36C-943C-4DF4-9AC9-C95449629872}" presName="childTx" presStyleLbl="bgAccFollowNode1" presStyleIdx="1" presStyleCnt="6">
        <dgm:presLayoutVars>
          <dgm:bulletEnabled val="1"/>
        </dgm:presLayoutVars>
      </dgm:prSet>
      <dgm:spPr/>
    </dgm:pt>
    <dgm:pt modelId="{2ADD4807-6A61-48F9-9843-06F1B98F7693}" type="pres">
      <dgm:prSet presAssocID="{25526575-C313-4566-BA40-1FCE17DC2872}" presName="comp" presStyleCnt="0"/>
      <dgm:spPr/>
    </dgm:pt>
    <dgm:pt modelId="{24C16964-C6D9-4E6A-A642-050B5D8B680F}" type="pres">
      <dgm:prSet presAssocID="{25526575-C313-4566-BA40-1FCE17DC2872}" presName="child" presStyleLbl="bgAccFollowNode1" presStyleIdx="2" presStyleCnt="6"/>
      <dgm:spPr/>
    </dgm:pt>
    <dgm:pt modelId="{BFBFBDFF-F305-4A59-9918-52301CAACB42}" type="pres">
      <dgm:prSet presAssocID="{25526575-C313-4566-BA40-1FCE17DC2872}" presName="childTx" presStyleLbl="bgAccFollowNode1" presStyleIdx="2" presStyleCnt="6">
        <dgm:presLayoutVars>
          <dgm:bulletEnabled val="1"/>
        </dgm:presLayoutVars>
      </dgm:prSet>
      <dgm:spPr/>
    </dgm:pt>
    <dgm:pt modelId="{B1984FE3-C63F-40A5-A2E4-6BDECBCC63C2}" type="pres">
      <dgm:prSet presAssocID="{B95F8C50-C659-4D86-AFB7-76DFA7EB2625}" presName="negSpace" presStyleCnt="0"/>
      <dgm:spPr/>
    </dgm:pt>
    <dgm:pt modelId="{25FC0DE2-1C76-4048-B753-B8B9845AC0B4}" type="pres">
      <dgm:prSet presAssocID="{B95F8C50-C659-4D86-AFB7-76DFA7EB2625}" presName="circle" presStyleLbl="node1" presStyleIdx="0" presStyleCnt="2"/>
      <dgm:spPr/>
    </dgm:pt>
    <dgm:pt modelId="{AB578193-620A-4CE5-A683-0827EC4EF67E}" type="pres">
      <dgm:prSet presAssocID="{72952D37-14FF-4CE9-ACED-311342426F06}" presName="transSpace" presStyleCnt="0"/>
      <dgm:spPr/>
    </dgm:pt>
    <dgm:pt modelId="{80DC0688-3C34-4411-A2FB-D196D5169E6C}" type="pres">
      <dgm:prSet presAssocID="{B1FE7530-4A57-4EE4-AC00-E7BC88BA282B}" presName="posSpace" presStyleCnt="0"/>
      <dgm:spPr/>
    </dgm:pt>
    <dgm:pt modelId="{C1FA52AC-FE54-491E-87DD-930E1D94FFE9}" type="pres">
      <dgm:prSet presAssocID="{B1FE7530-4A57-4EE4-AC00-E7BC88BA282B}" presName="vertFlow" presStyleCnt="0"/>
      <dgm:spPr/>
    </dgm:pt>
    <dgm:pt modelId="{C6ABBB9A-8B25-4BEA-9938-FCD433A690C6}" type="pres">
      <dgm:prSet presAssocID="{B1FE7530-4A57-4EE4-AC00-E7BC88BA282B}" presName="topSpace" presStyleCnt="0"/>
      <dgm:spPr/>
    </dgm:pt>
    <dgm:pt modelId="{3769FCE5-97CB-4278-8824-670C804AA5DC}" type="pres">
      <dgm:prSet presAssocID="{B1FE7530-4A57-4EE4-AC00-E7BC88BA282B}" presName="firstComp" presStyleCnt="0"/>
      <dgm:spPr/>
    </dgm:pt>
    <dgm:pt modelId="{F8A7FC5B-71C0-4B68-87B1-6E8ED11C8EB7}" type="pres">
      <dgm:prSet presAssocID="{B1FE7530-4A57-4EE4-AC00-E7BC88BA282B}" presName="firstChild" presStyleLbl="bgAccFollowNode1" presStyleIdx="3" presStyleCnt="6"/>
      <dgm:spPr/>
    </dgm:pt>
    <dgm:pt modelId="{A9FFCFFE-B4F2-4495-AB2C-4B0ABC02F4CE}" type="pres">
      <dgm:prSet presAssocID="{B1FE7530-4A57-4EE4-AC00-E7BC88BA282B}" presName="firstChildTx" presStyleLbl="bgAccFollowNode1" presStyleIdx="3" presStyleCnt="6">
        <dgm:presLayoutVars>
          <dgm:bulletEnabled val="1"/>
        </dgm:presLayoutVars>
      </dgm:prSet>
      <dgm:spPr/>
    </dgm:pt>
    <dgm:pt modelId="{4CEB7ACE-7258-40F7-8CEC-ABAD720FC9BB}" type="pres">
      <dgm:prSet presAssocID="{5130B937-3F60-476C-A601-69D51C8715CA}" presName="comp" presStyleCnt="0"/>
      <dgm:spPr/>
    </dgm:pt>
    <dgm:pt modelId="{347F8202-863F-4208-B529-9F7352757FA6}" type="pres">
      <dgm:prSet presAssocID="{5130B937-3F60-476C-A601-69D51C8715CA}" presName="child" presStyleLbl="bgAccFollowNode1" presStyleIdx="4" presStyleCnt="6"/>
      <dgm:spPr/>
    </dgm:pt>
    <dgm:pt modelId="{04A6ED40-82B2-430F-9C8A-523E7D4073BF}" type="pres">
      <dgm:prSet presAssocID="{5130B937-3F60-476C-A601-69D51C8715CA}" presName="childTx" presStyleLbl="bgAccFollowNode1" presStyleIdx="4" presStyleCnt="6">
        <dgm:presLayoutVars>
          <dgm:bulletEnabled val="1"/>
        </dgm:presLayoutVars>
      </dgm:prSet>
      <dgm:spPr/>
    </dgm:pt>
    <dgm:pt modelId="{3D4E5A63-1379-4263-8AA9-77CDE77612E5}" type="pres">
      <dgm:prSet presAssocID="{AF8D3398-040E-463D-8555-86CE7F5FA00F}" presName="comp" presStyleCnt="0"/>
      <dgm:spPr/>
    </dgm:pt>
    <dgm:pt modelId="{4AC91F73-5BF3-4E87-9984-4AEC08AE5C3B}" type="pres">
      <dgm:prSet presAssocID="{AF8D3398-040E-463D-8555-86CE7F5FA00F}" presName="child" presStyleLbl="bgAccFollowNode1" presStyleIdx="5" presStyleCnt="6"/>
      <dgm:spPr/>
    </dgm:pt>
    <dgm:pt modelId="{C2982116-1984-4B8E-B016-814BB37EE805}" type="pres">
      <dgm:prSet presAssocID="{AF8D3398-040E-463D-8555-86CE7F5FA00F}" presName="childTx" presStyleLbl="bgAccFollowNode1" presStyleIdx="5" presStyleCnt="6">
        <dgm:presLayoutVars>
          <dgm:bulletEnabled val="1"/>
        </dgm:presLayoutVars>
      </dgm:prSet>
      <dgm:spPr/>
    </dgm:pt>
    <dgm:pt modelId="{DE4C324B-558D-45CD-81B3-50B63A849445}" type="pres">
      <dgm:prSet presAssocID="{B1FE7530-4A57-4EE4-AC00-E7BC88BA282B}" presName="negSpace" presStyleCnt="0"/>
      <dgm:spPr/>
    </dgm:pt>
    <dgm:pt modelId="{24518481-924A-4101-8574-A0A23C5B3578}" type="pres">
      <dgm:prSet presAssocID="{B1FE7530-4A57-4EE4-AC00-E7BC88BA282B}" presName="circle" presStyleLbl="node1" presStyleIdx="1" presStyleCnt="2"/>
      <dgm:spPr/>
    </dgm:pt>
  </dgm:ptLst>
  <dgm:cxnLst>
    <dgm:cxn modelId="{7DADA605-12E9-4B19-8955-6483B5156A7E}" srcId="{B1FE7530-4A57-4EE4-AC00-E7BC88BA282B}" destId="{5130B937-3F60-476C-A601-69D51C8715CA}" srcOrd="1" destOrd="0" parTransId="{00D1A99C-0E7A-4E4E-920B-591D7E2E4786}" sibTransId="{847E1057-86B3-4EFA-97AD-DFC1806F51A3}"/>
    <dgm:cxn modelId="{DC71071A-C190-448B-91C1-B1EAA1186E96}" srcId="{B95F8C50-C659-4D86-AFB7-76DFA7EB2625}" destId="{1EA92362-CEAC-4092-8F6B-4E10A4BE469C}" srcOrd="0" destOrd="0" parTransId="{2F567636-0F47-4552-91AB-BF9522AACE72}" sibTransId="{47299CB7-7370-4D89-B997-2F557127D12C}"/>
    <dgm:cxn modelId="{F1A1111A-CF69-498E-B198-82E41D254E4D}" type="presOf" srcId="{FA06C46B-536F-4BE6-AC6E-E6E2B50D7EE6}" destId="{A3C122E4-8747-4BFD-B33A-1763D6163DF5}" srcOrd="0" destOrd="0" presId="urn:microsoft.com/office/officeart/2005/8/layout/hList9"/>
    <dgm:cxn modelId="{4D7A7520-A905-486C-96B5-1A42920279CF}" srcId="{FA06C46B-536F-4BE6-AC6E-E6E2B50D7EE6}" destId="{B1FE7530-4A57-4EE4-AC00-E7BC88BA282B}" srcOrd="1" destOrd="0" parTransId="{4556AB33-B342-4C49-82CA-BCA47190DBF7}" sibTransId="{212BD489-8D83-4C6F-8207-624EB095B3E8}"/>
    <dgm:cxn modelId="{D254B523-92A8-42BE-88B1-EF201D7CEB42}" srcId="{B1FE7530-4A57-4EE4-AC00-E7BC88BA282B}" destId="{AF8D3398-040E-463D-8555-86CE7F5FA00F}" srcOrd="2" destOrd="0" parTransId="{545045B7-70AA-4138-8746-8EDD524CB858}" sibTransId="{D463E8F3-79F3-497C-87EE-1D902AD330E8}"/>
    <dgm:cxn modelId="{A01BA329-5A9D-4EC7-89BF-CCA8D6EAEB5A}" srcId="{FA06C46B-536F-4BE6-AC6E-E6E2B50D7EE6}" destId="{B95F8C50-C659-4D86-AFB7-76DFA7EB2625}" srcOrd="0" destOrd="0" parTransId="{AAE42992-CE66-4F0A-BE61-1E85430F3F7B}" sibTransId="{72952D37-14FF-4CE9-ACED-311342426F06}"/>
    <dgm:cxn modelId="{D2893846-B111-4BA4-A887-DB94338BCBFD}" type="presOf" srcId="{B95F8C50-C659-4D86-AFB7-76DFA7EB2625}" destId="{25FC0DE2-1C76-4048-B753-B8B9845AC0B4}" srcOrd="0" destOrd="0" presId="urn:microsoft.com/office/officeart/2005/8/layout/hList9"/>
    <dgm:cxn modelId="{DEAD6474-B970-4262-86D6-FA944287EA12}" type="presOf" srcId="{5130B937-3F60-476C-A601-69D51C8715CA}" destId="{04A6ED40-82B2-430F-9C8A-523E7D4073BF}" srcOrd="1" destOrd="0" presId="urn:microsoft.com/office/officeart/2005/8/layout/hList9"/>
    <dgm:cxn modelId="{DC5E2357-9BFA-4A44-80F5-62FB55101EE6}" type="presOf" srcId="{1EA92362-CEAC-4092-8F6B-4E10A4BE469C}" destId="{71DBAFCA-F7D2-49CB-AF8D-DCB2C59FF197}" srcOrd="1" destOrd="0" presId="urn:microsoft.com/office/officeart/2005/8/layout/hList9"/>
    <dgm:cxn modelId="{4F429196-7230-42DA-83A2-99FC1E5D19F2}" type="presOf" srcId="{25526575-C313-4566-BA40-1FCE17DC2872}" destId="{BFBFBDFF-F305-4A59-9918-52301CAACB42}" srcOrd="1" destOrd="0" presId="urn:microsoft.com/office/officeart/2005/8/layout/hList9"/>
    <dgm:cxn modelId="{DC559596-510F-45BC-B96B-172FCEA9D67B}" srcId="{B95F8C50-C659-4D86-AFB7-76DFA7EB2625}" destId="{9C84A36C-943C-4DF4-9AC9-C95449629872}" srcOrd="1" destOrd="0" parTransId="{AD1D2311-D88C-48A4-9820-499274EEE615}" sibTransId="{904A2679-0A74-46BD-BFD2-773171006870}"/>
    <dgm:cxn modelId="{CE36B198-6A55-4095-A991-CF4E57E82B0A}" type="presOf" srcId="{9C84A36C-943C-4DF4-9AC9-C95449629872}" destId="{7D3710EB-E03E-43EC-9BEA-FA00DA666903}" srcOrd="1" destOrd="0" presId="urn:microsoft.com/office/officeart/2005/8/layout/hList9"/>
    <dgm:cxn modelId="{7A9BB9A5-9BB6-4C57-B192-4F2272809F25}" type="presOf" srcId="{96E48351-8900-454F-B5F1-617A58666A7A}" destId="{A9FFCFFE-B4F2-4495-AB2C-4B0ABC02F4CE}" srcOrd="1" destOrd="0" presId="urn:microsoft.com/office/officeart/2005/8/layout/hList9"/>
    <dgm:cxn modelId="{1CB92EA9-6F43-4D8E-BF26-AF182974377F}" type="presOf" srcId="{B1FE7530-4A57-4EE4-AC00-E7BC88BA282B}" destId="{24518481-924A-4101-8574-A0A23C5B3578}" srcOrd="0" destOrd="0" presId="urn:microsoft.com/office/officeart/2005/8/layout/hList9"/>
    <dgm:cxn modelId="{45B850AB-A478-497D-8C04-1AF897D56969}" type="presOf" srcId="{1EA92362-CEAC-4092-8F6B-4E10A4BE469C}" destId="{A25870A1-9264-4112-B24F-A8383F7A441E}" srcOrd="0" destOrd="0" presId="urn:microsoft.com/office/officeart/2005/8/layout/hList9"/>
    <dgm:cxn modelId="{FBCC4FAF-D4B4-4A7C-80AC-FEA9759BE1EF}" type="presOf" srcId="{AF8D3398-040E-463D-8555-86CE7F5FA00F}" destId="{4AC91F73-5BF3-4E87-9984-4AEC08AE5C3B}" srcOrd="0" destOrd="0" presId="urn:microsoft.com/office/officeart/2005/8/layout/hList9"/>
    <dgm:cxn modelId="{852F8EB7-EF83-42F4-9C20-FB77EBA5011C}" type="presOf" srcId="{96E48351-8900-454F-B5F1-617A58666A7A}" destId="{F8A7FC5B-71C0-4B68-87B1-6E8ED11C8EB7}" srcOrd="0" destOrd="0" presId="urn:microsoft.com/office/officeart/2005/8/layout/hList9"/>
    <dgm:cxn modelId="{A7960AD0-BBBE-4CC1-9647-109654261150}" type="presOf" srcId="{25526575-C313-4566-BA40-1FCE17DC2872}" destId="{24C16964-C6D9-4E6A-A642-050B5D8B680F}" srcOrd="0" destOrd="0" presId="urn:microsoft.com/office/officeart/2005/8/layout/hList9"/>
    <dgm:cxn modelId="{B9CA87E2-FE83-47CC-824E-41B27649528E}" type="presOf" srcId="{AF8D3398-040E-463D-8555-86CE7F5FA00F}" destId="{C2982116-1984-4B8E-B016-814BB37EE805}" srcOrd="1" destOrd="0" presId="urn:microsoft.com/office/officeart/2005/8/layout/hList9"/>
    <dgm:cxn modelId="{29B5B0E2-2599-455D-ACE6-CEA012D054AE}" type="presOf" srcId="{5130B937-3F60-476C-A601-69D51C8715CA}" destId="{347F8202-863F-4208-B529-9F7352757FA6}" srcOrd="0" destOrd="0" presId="urn:microsoft.com/office/officeart/2005/8/layout/hList9"/>
    <dgm:cxn modelId="{482374E7-63E4-47CF-9262-98B3E47CC0A5}" srcId="{B95F8C50-C659-4D86-AFB7-76DFA7EB2625}" destId="{25526575-C313-4566-BA40-1FCE17DC2872}" srcOrd="2" destOrd="0" parTransId="{65480FF8-9665-4190-A786-8EC02F270533}" sibTransId="{F3100D9C-0C18-4C44-B0A7-7C03E36BB317}"/>
    <dgm:cxn modelId="{CB5295EC-C509-4805-AC0D-B2663BC21C27}" type="presOf" srcId="{9C84A36C-943C-4DF4-9AC9-C95449629872}" destId="{5FEC204C-551D-460B-9400-81896D4D566E}" srcOrd="0" destOrd="0" presId="urn:microsoft.com/office/officeart/2005/8/layout/hList9"/>
    <dgm:cxn modelId="{69E56CFC-0D28-469F-AE80-570B9C6D21C5}" srcId="{B1FE7530-4A57-4EE4-AC00-E7BC88BA282B}" destId="{96E48351-8900-454F-B5F1-617A58666A7A}" srcOrd="0" destOrd="0" parTransId="{03E05F7A-0883-48FA-8E96-439F8DCA9A9B}" sibTransId="{81C412E2-918B-447B-9141-5C3B7D80EB12}"/>
    <dgm:cxn modelId="{CDCDE563-25DF-4F25-A747-952AD9231DB4}" type="presParOf" srcId="{A3C122E4-8747-4BFD-B33A-1763D6163DF5}" destId="{3E202A30-F95D-4703-A3ED-15B3F8D614E2}" srcOrd="0" destOrd="0" presId="urn:microsoft.com/office/officeart/2005/8/layout/hList9"/>
    <dgm:cxn modelId="{4E34ABD6-B979-4AFA-928B-DC2F3DA57411}" type="presParOf" srcId="{A3C122E4-8747-4BFD-B33A-1763D6163DF5}" destId="{F75E2118-2519-4B0D-8D90-2B70C00896FB}" srcOrd="1" destOrd="0" presId="urn:microsoft.com/office/officeart/2005/8/layout/hList9"/>
    <dgm:cxn modelId="{FA1A40DD-3A4A-469A-8F42-E3A002061D03}" type="presParOf" srcId="{F75E2118-2519-4B0D-8D90-2B70C00896FB}" destId="{FC46FC11-D494-4EC9-AE68-A5B45B4B578F}" srcOrd="0" destOrd="0" presId="urn:microsoft.com/office/officeart/2005/8/layout/hList9"/>
    <dgm:cxn modelId="{55E47FDA-8820-4192-9C72-4ECAAD678445}" type="presParOf" srcId="{F75E2118-2519-4B0D-8D90-2B70C00896FB}" destId="{1E18FA29-01E0-452E-9EFD-F35D1CA7306F}" srcOrd="1" destOrd="0" presId="urn:microsoft.com/office/officeart/2005/8/layout/hList9"/>
    <dgm:cxn modelId="{7A1F7389-02DF-4BEF-A317-CF4B432B63E0}" type="presParOf" srcId="{1E18FA29-01E0-452E-9EFD-F35D1CA7306F}" destId="{A25870A1-9264-4112-B24F-A8383F7A441E}" srcOrd="0" destOrd="0" presId="urn:microsoft.com/office/officeart/2005/8/layout/hList9"/>
    <dgm:cxn modelId="{40B32665-2709-46DE-91F5-69E45FDD9CB5}" type="presParOf" srcId="{1E18FA29-01E0-452E-9EFD-F35D1CA7306F}" destId="{71DBAFCA-F7D2-49CB-AF8D-DCB2C59FF197}" srcOrd="1" destOrd="0" presId="urn:microsoft.com/office/officeart/2005/8/layout/hList9"/>
    <dgm:cxn modelId="{33AAE739-314C-411F-82B8-E7F4EDED42D0}" type="presParOf" srcId="{F75E2118-2519-4B0D-8D90-2B70C00896FB}" destId="{C313FBCE-93F1-4C42-8ABF-9032721EF6B7}" srcOrd="2" destOrd="0" presId="urn:microsoft.com/office/officeart/2005/8/layout/hList9"/>
    <dgm:cxn modelId="{C4E7D606-E61B-4865-B43E-F52B223A2972}" type="presParOf" srcId="{C313FBCE-93F1-4C42-8ABF-9032721EF6B7}" destId="{5FEC204C-551D-460B-9400-81896D4D566E}" srcOrd="0" destOrd="0" presId="urn:microsoft.com/office/officeart/2005/8/layout/hList9"/>
    <dgm:cxn modelId="{E3C8A7D3-6A6E-4715-93D3-A4E383A32067}" type="presParOf" srcId="{C313FBCE-93F1-4C42-8ABF-9032721EF6B7}" destId="{7D3710EB-E03E-43EC-9BEA-FA00DA666903}" srcOrd="1" destOrd="0" presId="urn:microsoft.com/office/officeart/2005/8/layout/hList9"/>
    <dgm:cxn modelId="{CA9E3041-70A4-445C-A01B-8E56D710DF82}" type="presParOf" srcId="{F75E2118-2519-4B0D-8D90-2B70C00896FB}" destId="{2ADD4807-6A61-48F9-9843-06F1B98F7693}" srcOrd="3" destOrd="0" presId="urn:microsoft.com/office/officeart/2005/8/layout/hList9"/>
    <dgm:cxn modelId="{AEA5DAB3-8B57-4660-9D48-18095FD0E942}" type="presParOf" srcId="{2ADD4807-6A61-48F9-9843-06F1B98F7693}" destId="{24C16964-C6D9-4E6A-A642-050B5D8B680F}" srcOrd="0" destOrd="0" presId="urn:microsoft.com/office/officeart/2005/8/layout/hList9"/>
    <dgm:cxn modelId="{DA1D3078-1010-45D0-8B74-EC284101839E}" type="presParOf" srcId="{2ADD4807-6A61-48F9-9843-06F1B98F7693}" destId="{BFBFBDFF-F305-4A59-9918-52301CAACB42}" srcOrd="1" destOrd="0" presId="urn:microsoft.com/office/officeart/2005/8/layout/hList9"/>
    <dgm:cxn modelId="{489C535E-4A59-4710-BDFB-ADDF7C57CCE3}" type="presParOf" srcId="{A3C122E4-8747-4BFD-B33A-1763D6163DF5}" destId="{B1984FE3-C63F-40A5-A2E4-6BDECBCC63C2}" srcOrd="2" destOrd="0" presId="urn:microsoft.com/office/officeart/2005/8/layout/hList9"/>
    <dgm:cxn modelId="{65B31EF3-2C69-49C0-9641-DA8D730FE553}" type="presParOf" srcId="{A3C122E4-8747-4BFD-B33A-1763D6163DF5}" destId="{25FC0DE2-1C76-4048-B753-B8B9845AC0B4}" srcOrd="3" destOrd="0" presId="urn:microsoft.com/office/officeart/2005/8/layout/hList9"/>
    <dgm:cxn modelId="{30404B97-C6E8-44AF-A369-24BF241A0E2C}" type="presParOf" srcId="{A3C122E4-8747-4BFD-B33A-1763D6163DF5}" destId="{AB578193-620A-4CE5-A683-0827EC4EF67E}" srcOrd="4" destOrd="0" presId="urn:microsoft.com/office/officeart/2005/8/layout/hList9"/>
    <dgm:cxn modelId="{64DB643D-0FED-45C0-9AB2-75E9EA3B776F}" type="presParOf" srcId="{A3C122E4-8747-4BFD-B33A-1763D6163DF5}" destId="{80DC0688-3C34-4411-A2FB-D196D5169E6C}" srcOrd="5" destOrd="0" presId="urn:microsoft.com/office/officeart/2005/8/layout/hList9"/>
    <dgm:cxn modelId="{F317EA1B-C39C-48D0-9732-EDB48AA4C907}" type="presParOf" srcId="{A3C122E4-8747-4BFD-B33A-1763D6163DF5}" destId="{C1FA52AC-FE54-491E-87DD-930E1D94FFE9}" srcOrd="6" destOrd="0" presId="urn:microsoft.com/office/officeart/2005/8/layout/hList9"/>
    <dgm:cxn modelId="{A9AD6700-B16C-4859-9305-D3CCFEA7CF2B}" type="presParOf" srcId="{C1FA52AC-FE54-491E-87DD-930E1D94FFE9}" destId="{C6ABBB9A-8B25-4BEA-9938-FCD433A690C6}" srcOrd="0" destOrd="0" presId="urn:microsoft.com/office/officeart/2005/8/layout/hList9"/>
    <dgm:cxn modelId="{754C62DD-D4E7-42DC-BF71-0DCDA3314F47}" type="presParOf" srcId="{C1FA52AC-FE54-491E-87DD-930E1D94FFE9}" destId="{3769FCE5-97CB-4278-8824-670C804AA5DC}" srcOrd="1" destOrd="0" presId="urn:microsoft.com/office/officeart/2005/8/layout/hList9"/>
    <dgm:cxn modelId="{49E8ABBE-C693-472D-9493-69A6CDCEF744}" type="presParOf" srcId="{3769FCE5-97CB-4278-8824-670C804AA5DC}" destId="{F8A7FC5B-71C0-4B68-87B1-6E8ED11C8EB7}" srcOrd="0" destOrd="0" presId="urn:microsoft.com/office/officeart/2005/8/layout/hList9"/>
    <dgm:cxn modelId="{335A6F9E-84BF-422C-8F43-CB6CBBDC2B1C}" type="presParOf" srcId="{3769FCE5-97CB-4278-8824-670C804AA5DC}" destId="{A9FFCFFE-B4F2-4495-AB2C-4B0ABC02F4CE}" srcOrd="1" destOrd="0" presId="urn:microsoft.com/office/officeart/2005/8/layout/hList9"/>
    <dgm:cxn modelId="{A350583B-77EF-4706-9887-37CF4F57BA14}" type="presParOf" srcId="{C1FA52AC-FE54-491E-87DD-930E1D94FFE9}" destId="{4CEB7ACE-7258-40F7-8CEC-ABAD720FC9BB}" srcOrd="2" destOrd="0" presId="urn:microsoft.com/office/officeart/2005/8/layout/hList9"/>
    <dgm:cxn modelId="{7C2922B6-2BA3-4958-BD0E-7C914DE2E964}" type="presParOf" srcId="{4CEB7ACE-7258-40F7-8CEC-ABAD720FC9BB}" destId="{347F8202-863F-4208-B529-9F7352757FA6}" srcOrd="0" destOrd="0" presId="urn:microsoft.com/office/officeart/2005/8/layout/hList9"/>
    <dgm:cxn modelId="{B7AC2765-A0C6-4E1F-B33D-60E1E54CD43A}" type="presParOf" srcId="{4CEB7ACE-7258-40F7-8CEC-ABAD720FC9BB}" destId="{04A6ED40-82B2-430F-9C8A-523E7D4073BF}" srcOrd="1" destOrd="0" presId="urn:microsoft.com/office/officeart/2005/8/layout/hList9"/>
    <dgm:cxn modelId="{096791AB-38D3-4CD1-935D-C1F660D181D0}" type="presParOf" srcId="{C1FA52AC-FE54-491E-87DD-930E1D94FFE9}" destId="{3D4E5A63-1379-4263-8AA9-77CDE77612E5}" srcOrd="3" destOrd="0" presId="urn:microsoft.com/office/officeart/2005/8/layout/hList9"/>
    <dgm:cxn modelId="{D69924A4-AB87-4B6B-BB0C-D23CC6837BEA}" type="presParOf" srcId="{3D4E5A63-1379-4263-8AA9-77CDE77612E5}" destId="{4AC91F73-5BF3-4E87-9984-4AEC08AE5C3B}" srcOrd="0" destOrd="0" presId="urn:microsoft.com/office/officeart/2005/8/layout/hList9"/>
    <dgm:cxn modelId="{5A7F72DB-9A1B-4AD1-84F0-4F6B6C9A09B0}" type="presParOf" srcId="{3D4E5A63-1379-4263-8AA9-77CDE77612E5}" destId="{C2982116-1984-4B8E-B016-814BB37EE805}" srcOrd="1" destOrd="0" presId="urn:microsoft.com/office/officeart/2005/8/layout/hList9"/>
    <dgm:cxn modelId="{464DCA25-09BE-4245-85A6-F6EFADE91E6C}" type="presParOf" srcId="{A3C122E4-8747-4BFD-B33A-1763D6163DF5}" destId="{DE4C324B-558D-45CD-81B3-50B63A849445}" srcOrd="7" destOrd="0" presId="urn:microsoft.com/office/officeart/2005/8/layout/hList9"/>
    <dgm:cxn modelId="{4CD4D858-2D6A-4218-ABDF-3C1E7182843B}" type="presParOf" srcId="{A3C122E4-8747-4BFD-B33A-1763D6163DF5}" destId="{24518481-924A-4101-8574-A0A23C5B3578}" srcOrd="8" destOrd="0" presId="urn:microsoft.com/office/officeart/2005/8/layout/hList9"/>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934D56F-B033-4BAB-937B-6E87E50AF410}" type="doc">
      <dgm:prSet loTypeId="urn:microsoft.com/office/officeart/2005/8/layout/hList9" loCatId="list" qsTypeId="urn:microsoft.com/office/officeart/2005/8/quickstyle/simple1" qsCatId="simple" csTypeId="urn:microsoft.com/office/officeart/2005/8/colors/accent1_2" csCatId="accent1" phldr="1"/>
      <dgm:spPr/>
      <dgm:t>
        <a:bodyPr/>
        <a:lstStyle/>
        <a:p>
          <a:endParaRPr lang="en-GB"/>
        </a:p>
      </dgm:t>
    </dgm:pt>
    <dgm:pt modelId="{B233BD85-75F4-410E-B71E-AADE8DC62244}">
      <dgm:prSet phldrT="[Text]"/>
      <dgm:spPr>
        <a:xfrm>
          <a:off x="289092" y="2292"/>
          <a:ext cx="1159069" cy="115906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Pre-stage</a:t>
          </a:r>
        </a:p>
      </dgm:t>
    </dgm:pt>
    <dgm:pt modelId="{A963F1DB-34BA-4056-A686-085AD58E75FF}" type="parTrans" cxnId="{56F699DD-0297-4CD4-B14F-292F09D7CEFC}">
      <dgm:prSet/>
      <dgm:spPr/>
      <dgm:t>
        <a:bodyPr/>
        <a:lstStyle/>
        <a:p>
          <a:endParaRPr lang="en-GB"/>
        </a:p>
      </dgm:t>
    </dgm:pt>
    <dgm:pt modelId="{76B196EB-034F-4026-A8B3-733755659EF7}" type="sibTrans" cxnId="{56F699DD-0297-4CD4-B14F-292F09D7CEFC}">
      <dgm:prSet/>
      <dgm:spPr/>
      <dgm:t>
        <a:bodyPr/>
        <a:lstStyle/>
        <a:p>
          <a:endParaRPr lang="en-GB"/>
        </a:p>
      </dgm:t>
    </dgm:pt>
    <dgm:pt modelId="{02854AC9-96CE-46CF-A867-1954B141B7B3}">
      <dgm:prSet phldrT="[Text]"/>
      <dgm:spPr>
        <a:xfrm>
          <a:off x="3186766" y="2292"/>
          <a:ext cx="1159069" cy="1159069"/>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Post-stage</a:t>
          </a:r>
        </a:p>
      </dgm:t>
    </dgm:pt>
    <dgm:pt modelId="{C53C2713-BB1C-4648-984C-F25973E1C3E4}" type="parTrans" cxnId="{3AA5D2D9-4BF3-4BDB-8161-842AC20CC471}">
      <dgm:prSet/>
      <dgm:spPr/>
      <dgm:t>
        <a:bodyPr/>
        <a:lstStyle/>
        <a:p>
          <a:endParaRPr lang="en-GB"/>
        </a:p>
      </dgm:t>
    </dgm:pt>
    <dgm:pt modelId="{A518419A-7DA5-4BDD-8BE1-436F381F9DAB}" type="sibTrans" cxnId="{3AA5D2D9-4BF3-4BDB-8161-842AC20CC471}">
      <dgm:prSet/>
      <dgm:spPr/>
      <dgm:t>
        <a:bodyPr/>
        <a:lstStyle/>
        <a:p>
          <a:endParaRPr lang="en-GB"/>
        </a:p>
      </dgm:t>
    </dgm:pt>
    <dgm:pt modelId="{F162E57A-0F4D-4EBC-9F19-943DEF2E117B}">
      <dgm:prSet/>
      <dgm:spPr>
        <a:xfrm>
          <a:off x="1216348" y="465920"/>
          <a:ext cx="1738604" cy="1159649"/>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Create an effective employee engagement program to foster an environment of communication and collaboration between departments.</a:t>
          </a:r>
        </a:p>
      </dgm:t>
    </dgm:pt>
    <dgm:pt modelId="{DB8E6C3A-7116-49C0-8088-15981C0E6CD0}" type="parTrans" cxnId="{293FCE70-666E-4642-AB11-284454C65EC6}">
      <dgm:prSet/>
      <dgm:spPr/>
      <dgm:t>
        <a:bodyPr/>
        <a:lstStyle/>
        <a:p>
          <a:endParaRPr lang="en-GB"/>
        </a:p>
      </dgm:t>
    </dgm:pt>
    <dgm:pt modelId="{409C09EF-A33C-4C6C-81DF-A428EB10E7FF}" type="sibTrans" cxnId="{293FCE70-666E-4642-AB11-284454C65EC6}">
      <dgm:prSet/>
      <dgm:spPr/>
      <dgm:t>
        <a:bodyPr/>
        <a:lstStyle/>
        <a:p>
          <a:endParaRPr lang="en-GB"/>
        </a:p>
      </dgm:t>
    </dgm:pt>
    <dgm:pt modelId="{5AB87A43-10DF-4841-8B0E-AE6079F0DB30}">
      <dgm:prSet/>
      <dgm:spPr>
        <a:xfrm>
          <a:off x="1216348" y="1625569"/>
          <a:ext cx="1738604" cy="1159649"/>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Create policies around diversity, equity, and inclusion to ensure that all employees feel valued and respected in the workplace regardless of their background or identity. </a:t>
          </a:r>
        </a:p>
      </dgm:t>
    </dgm:pt>
    <dgm:pt modelId="{511C46AD-E5B9-4734-963C-A3E90A11369F}" type="parTrans" cxnId="{4BFB2130-A667-4E15-94ED-D5781C7F593C}">
      <dgm:prSet/>
      <dgm:spPr/>
      <dgm:t>
        <a:bodyPr/>
        <a:lstStyle/>
        <a:p>
          <a:endParaRPr lang="en-GB"/>
        </a:p>
      </dgm:t>
    </dgm:pt>
    <dgm:pt modelId="{6E79B9FC-F5F3-4EAB-A596-1E580375D0BA}" type="sibTrans" cxnId="{4BFB2130-A667-4E15-94ED-D5781C7F593C}">
      <dgm:prSet/>
      <dgm:spPr/>
      <dgm:t>
        <a:bodyPr/>
        <a:lstStyle/>
        <a:p>
          <a:endParaRPr lang="en-GB"/>
        </a:p>
      </dgm:t>
    </dgm:pt>
    <dgm:pt modelId="{FB90FFC1-3528-4D63-B00A-98EE30CFFBD8}">
      <dgm:prSet/>
      <dgm:spPr>
        <a:xfrm>
          <a:off x="1216348" y="2785218"/>
          <a:ext cx="1738604" cy="1159649"/>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Develop an effective compensation strategy that is both fair and competitive in order to attract top talent from outside of the organization as well as retain existing employees who are performing well in their roles.  </a:t>
          </a:r>
        </a:p>
      </dgm:t>
    </dgm:pt>
    <dgm:pt modelId="{88B0DFA7-403D-44F7-B8DD-EE8AF56998D1}" type="parTrans" cxnId="{94411890-1A50-4D4B-91A9-FF20795D4539}">
      <dgm:prSet/>
      <dgm:spPr/>
      <dgm:t>
        <a:bodyPr/>
        <a:lstStyle/>
        <a:p>
          <a:endParaRPr lang="en-GB"/>
        </a:p>
      </dgm:t>
    </dgm:pt>
    <dgm:pt modelId="{64420272-30C5-4B67-88E7-3EF9B306BD84}" type="sibTrans" cxnId="{94411890-1A50-4D4B-91A9-FF20795D4539}">
      <dgm:prSet/>
      <dgm:spPr/>
      <dgm:t>
        <a:bodyPr/>
        <a:lstStyle/>
        <a:p>
          <a:endParaRPr lang="en-GB"/>
        </a:p>
      </dgm:t>
    </dgm:pt>
    <dgm:pt modelId="{D2F6CC87-96EC-4C0F-8FB4-D4E08D8EC13C}">
      <dgm:prSet/>
      <dgm:spPr>
        <a:xfrm>
          <a:off x="4114022" y="1625569"/>
          <a:ext cx="1738604" cy="1159649"/>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Provide training opportunities for newly hired or transferred employees so they can get up to speed quickly on company policies, procedures, etc., while also having access to resources they need if they have questions or need help understanding something .  </a:t>
          </a:r>
        </a:p>
      </dgm:t>
    </dgm:pt>
    <dgm:pt modelId="{396009F8-2675-4F04-8D2E-A75B94B59584}" type="parTrans" cxnId="{6A005A00-7242-4FD5-AA7F-F3AF4DBCFFD0}">
      <dgm:prSet/>
      <dgm:spPr/>
      <dgm:t>
        <a:bodyPr/>
        <a:lstStyle/>
        <a:p>
          <a:endParaRPr lang="en-GB"/>
        </a:p>
      </dgm:t>
    </dgm:pt>
    <dgm:pt modelId="{ED5A83AC-4750-4C1D-ABC3-D26513E83253}" type="sibTrans" cxnId="{6A005A00-7242-4FD5-AA7F-F3AF4DBCFFD0}">
      <dgm:prSet/>
      <dgm:spPr/>
      <dgm:t>
        <a:bodyPr/>
        <a:lstStyle/>
        <a:p>
          <a:endParaRPr lang="en-GB"/>
        </a:p>
      </dgm:t>
    </dgm:pt>
    <dgm:pt modelId="{02EA9BF8-25AA-437E-864C-24DBCD164FD7}">
      <dgm:prSet/>
      <dgm:spPr>
        <a:xfrm>
          <a:off x="4114022" y="2785218"/>
          <a:ext cx="1738604" cy="1159649"/>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Create a culture of transparency between departments by providing regular updates on company performance, changes in leadership or strategy, etc., so everyone is on the same page about where things stand within the organization at any given time .  </a:t>
          </a:r>
        </a:p>
      </dgm:t>
    </dgm:pt>
    <dgm:pt modelId="{F7DEAE7A-2374-458E-B8AE-7FBB41CE9AB0}" type="parTrans" cxnId="{1C162F62-F64E-4E8B-9851-344AA37A4537}">
      <dgm:prSet/>
      <dgm:spPr/>
      <dgm:t>
        <a:bodyPr/>
        <a:lstStyle/>
        <a:p>
          <a:endParaRPr lang="en-GB"/>
        </a:p>
      </dgm:t>
    </dgm:pt>
    <dgm:pt modelId="{3DBF9945-0A32-41F0-A2C7-7FDAE40DB5A9}" type="sibTrans" cxnId="{1C162F62-F64E-4E8B-9851-344AA37A4537}">
      <dgm:prSet/>
      <dgm:spPr/>
      <dgm:t>
        <a:bodyPr/>
        <a:lstStyle/>
        <a:p>
          <a:endParaRPr lang="en-GB"/>
        </a:p>
      </dgm:t>
    </dgm:pt>
    <dgm:pt modelId="{8D296558-570D-4D06-BD48-16001598CB6B}">
      <dgm:prSet/>
      <dgm:spPr>
        <a:xfrm>
          <a:off x="4114022" y="465920"/>
          <a:ext cx="1738604" cy="1159649"/>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Develop a comprehensive communication plan for integrating teams from both organizations during this transition period so everyone can stay informed about changes taking place throughout the process .  </a:t>
          </a:r>
        </a:p>
      </dgm:t>
    </dgm:pt>
    <dgm:pt modelId="{53A59385-6EEA-4F79-8DED-6D1BE3DAD136}" type="parTrans" cxnId="{DF46A496-3DB1-4CA6-B6C9-EC1757800571}">
      <dgm:prSet/>
      <dgm:spPr/>
      <dgm:t>
        <a:bodyPr/>
        <a:lstStyle/>
        <a:p>
          <a:endParaRPr lang="en-GB"/>
        </a:p>
      </dgm:t>
    </dgm:pt>
    <dgm:pt modelId="{336732EE-FF9F-43EA-AFA8-52398997314D}" type="sibTrans" cxnId="{DF46A496-3DB1-4CA6-B6C9-EC1757800571}">
      <dgm:prSet/>
      <dgm:spPr/>
      <dgm:t>
        <a:bodyPr/>
        <a:lstStyle/>
        <a:p>
          <a:endParaRPr lang="en-GB"/>
        </a:p>
      </dgm:t>
    </dgm:pt>
    <dgm:pt modelId="{D1A73D09-658C-43F4-B368-1C3B3CDBE379}" type="pres">
      <dgm:prSet presAssocID="{4934D56F-B033-4BAB-937B-6E87E50AF410}" presName="list" presStyleCnt="0">
        <dgm:presLayoutVars>
          <dgm:dir/>
          <dgm:animLvl val="lvl"/>
        </dgm:presLayoutVars>
      </dgm:prSet>
      <dgm:spPr/>
    </dgm:pt>
    <dgm:pt modelId="{3D275816-7ACE-4B60-84BA-6F0BE96CC51E}" type="pres">
      <dgm:prSet presAssocID="{B233BD85-75F4-410E-B71E-AADE8DC62244}" presName="posSpace" presStyleCnt="0"/>
      <dgm:spPr/>
    </dgm:pt>
    <dgm:pt modelId="{1C772B59-CA5A-4B13-B237-006B33DF5B17}" type="pres">
      <dgm:prSet presAssocID="{B233BD85-75F4-410E-B71E-AADE8DC62244}" presName="vertFlow" presStyleCnt="0"/>
      <dgm:spPr/>
    </dgm:pt>
    <dgm:pt modelId="{52A6CC59-0914-4FB7-828F-D159B9723F6C}" type="pres">
      <dgm:prSet presAssocID="{B233BD85-75F4-410E-B71E-AADE8DC62244}" presName="topSpace" presStyleCnt="0"/>
      <dgm:spPr/>
    </dgm:pt>
    <dgm:pt modelId="{803A556B-55FA-417D-93F5-5B20D1760CB5}" type="pres">
      <dgm:prSet presAssocID="{B233BD85-75F4-410E-B71E-AADE8DC62244}" presName="firstComp" presStyleCnt="0"/>
      <dgm:spPr/>
    </dgm:pt>
    <dgm:pt modelId="{9225DCA7-2CEA-4345-B65E-E4DD9267177B}" type="pres">
      <dgm:prSet presAssocID="{B233BD85-75F4-410E-B71E-AADE8DC62244}" presName="firstChild" presStyleLbl="bgAccFollowNode1" presStyleIdx="0" presStyleCnt="6"/>
      <dgm:spPr/>
    </dgm:pt>
    <dgm:pt modelId="{60C69F7A-9A7C-4BF0-9454-A0C2B827EB16}" type="pres">
      <dgm:prSet presAssocID="{B233BD85-75F4-410E-B71E-AADE8DC62244}" presName="firstChildTx" presStyleLbl="bgAccFollowNode1" presStyleIdx="0" presStyleCnt="6">
        <dgm:presLayoutVars>
          <dgm:bulletEnabled val="1"/>
        </dgm:presLayoutVars>
      </dgm:prSet>
      <dgm:spPr/>
    </dgm:pt>
    <dgm:pt modelId="{64EB8B7F-E472-4B7D-AC49-E75853C6F3F3}" type="pres">
      <dgm:prSet presAssocID="{5AB87A43-10DF-4841-8B0E-AE6079F0DB30}" presName="comp" presStyleCnt="0"/>
      <dgm:spPr/>
    </dgm:pt>
    <dgm:pt modelId="{F9FDDAD0-BBD7-4266-AF9E-D875E4F6A287}" type="pres">
      <dgm:prSet presAssocID="{5AB87A43-10DF-4841-8B0E-AE6079F0DB30}" presName="child" presStyleLbl="bgAccFollowNode1" presStyleIdx="1" presStyleCnt="6"/>
      <dgm:spPr/>
    </dgm:pt>
    <dgm:pt modelId="{7DCD044B-248B-4E1D-B4CF-7A784F92DE39}" type="pres">
      <dgm:prSet presAssocID="{5AB87A43-10DF-4841-8B0E-AE6079F0DB30}" presName="childTx" presStyleLbl="bgAccFollowNode1" presStyleIdx="1" presStyleCnt="6">
        <dgm:presLayoutVars>
          <dgm:bulletEnabled val="1"/>
        </dgm:presLayoutVars>
      </dgm:prSet>
      <dgm:spPr/>
    </dgm:pt>
    <dgm:pt modelId="{045BBE07-212F-4F5D-BA51-6A61A0A815E4}" type="pres">
      <dgm:prSet presAssocID="{FB90FFC1-3528-4D63-B00A-98EE30CFFBD8}" presName="comp" presStyleCnt="0"/>
      <dgm:spPr/>
    </dgm:pt>
    <dgm:pt modelId="{FC3B28FA-80FA-40C6-B43F-56DED60A8A49}" type="pres">
      <dgm:prSet presAssocID="{FB90FFC1-3528-4D63-B00A-98EE30CFFBD8}" presName="child" presStyleLbl="bgAccFollowNode1" presStyleIdx="2" presStyleCnt="6"/>
      <dgm:spPr/>
    </dgm:pt>
    <dgm:pt modelId="{FE67E852-E124-464F-B333-CE007BACDBD3}" type="pres">
      <dgm:prSet presAssocID="{FB90FFC1-3528-4D63-B00A-98EE30CFFBD8}" presName="childTx" presStyleLbl="bgAccFollowNode1" presStyleIdx="2" presStyleCnt="6">
        <dgm:presLayoutVars>
          <dgm:bulletEnabled val="1"/>
        </dgm:presLayoutVars>
      </dgm:prSet>
      <dgm:spPr/>
    </dgm:pt>
    <dgm:pt modelId="{DC88111D-B02F-4234-A881-4E79A5D7AB8A}" type="pres">
      <dgm:prSet presAssocID="{B233BD85-75F4-410E-B71E-AADE8DC62244}" presName="negSpace" presStyleCnt="0"/>
      <dgm:spPr/>
    </dgm:pt>
    <dgm:pt modelId="{2EBA7989-05E4-4F89-914C-1377ED57CC29}" type="pres">
      <dgm:prSet presAssocID="{B233BD85-75F4-410E-B71E-AADE8DC62244}" presName="circle" presStyleLbl="node1" presStyleIdx="0" presStyleCnt="2"/>
      <dgm:spPr/>
    </dgm:pt>
    <dgm:pt modelId="{7523913B-E922-4F38-B373-C6749AA17CAF}" type="pres">
      <dgm:prSet presAssocID="{76B196EB-034F-4026-A8B3-733755659EF7}" presName="transSpace" presStyleCnt="0"/>
      <dgm:spPr/>
    </dgm:pt>
    <dgm:pt modelId="{C10E2C13-8E2E-482A-B4FF-F638FE0F7D71}" type="pres">
      <dgm:prSet presAssocID="{02854AC9-96CE-46CF-A867-1954B141B7B3}" presName="posSpace" presStyleCnt="0"/>
      <dgm:spPr/>
    </dgm:pt>
    <dgm:pt modelId="{12680270-F905-4F9B-95B8-FB1FD05BDACC}" type="pres">
      <dgm:prSet presAssocID="{02854AC9-96CE-46CF-A867-1954B141B7B3}" presName="vertFlow" presStyleCnt="0"/>
      <dgm:spPr/>
    </dgm:pt>
    <dgm:pt modelId="{F7D20675-1685-462E-AE4E-6603A60E3A77}" type="pres">
      <dgm:prSet presAssocID="{02854AC9-96CE-46CF-A867-1954B141B7B3}" presName="topSpace" presStyleCnt="0"/>
      <dgm:spPr/>
    </dgm:pt>
    <dgm:pt modelId="{C68398BD-C9D5-49E0-9E55-9AF550D2A21E}" type="pres">
      <dgm:prSet presAssocID="{02854AC9-96CE-46CF-A867-1954B141B7B3}" presName="firstComp" presStyleCnt="0"/>
      <dgm:spPr/>
    </dgm:pt>
    <dgm:pt modelId="{63BA321A-DB02-485F-83CB-C7DBAB143062}" type="pres">
      <dgm:prSet presAssocID="{02854AC9-96CE-46CF-A867-1954B141B7B3}" presName="firstChild" presStyleLbl="bgAccFollowNode1" presStyleIdx="3" presStyleCnt="6"/>
      <dgm:spPr/>
    </dgm:pt>
    <dgm:pt modelId="{FAF688D4-8A3B-47A6-A784-E8F0F450D8D0}" type="pres">
      <dgm:prSet presAssocID="{02854AC9-96CE-46CF-A867-1954B141B7B3}" presName="firstChildTx" presStyleLbl="bgAccFollowNode1" presStyleIdx="3" presStyleCnt="6">
        <dgm:presLayoutVars>
          <dgm:bulletEnabled val="1"/>
        </dgm:presLayoutVars>
      </dgm:prSet>
      <dgm:spPr/>
    </dgm:pt>
    <dgm:pt modelId="{20E509E3-9FE1-437E-A68F-C3DAFDEC37EC}" type="pres">
      <dgm:prSet presAssocID="{D2F6CC87-96EC-4C0F-8FB4-D4E08D8EC13C}" presName="comp" presStyleCnt="0"/>
      <dgm:spPr/>
    </dgm:pt>
    <dgm:pt modelId="{8A21F758-1EF8-462A-B1E1-5DE91CA28E77}" type="pres">
      <dgm:prSet presAssocID="{D2F6CC87-96EC-4C0F-8FB4-D4E08D8EC13C}" presName="child" presStyleLbl="bgAccFollowNode1" presStyleIdx="4" presStyleCnt="6"/>
      <dgm:spPr/>
    </dgm:pt>
    <dgm:pt modelId="{965952B4-AF3E-45C9-B7F7-0D650CD3FBCD}" type="pres">
      <dgm:prSet presAssocID="{D2F6CC87-96EC-4C0F-8FB4-D4E08D8EC13C}" presName="childTx" presStyleLbl="bgAccFollowNode1" presStyleIdx="4" presStyleCnt="6">
        <dgm:presLayoutVars>
          <dgm:bulletEnabled val="1"/>
        </dgm:presLayoutVars>
      </dgm:prSet>
      <dgm:spPr/>
    </dgm:pt>
    <dgm:pt modelId="{73889A67-8CD0-4675-8C23-E7B7E18F323A}" type="pres">
      <dgm:prSet presAssocID="{02EA9BF8-25AA-437E-864C-24DBCD164FD7}" presName="comp" presStyleCnt="0"/>
      <dgm:spPr/>
    </dgm:pt>
    <dgm:pt modelId="{D70BF861-28FA-4C99-8D23-A604FBC25E68}" type="pres">
      <dgm:prSet presAssocID="{02EA9BF8-25AA-437E-864C-24DBCD164FD7}" presName="child" presStyleLbl="bgAccFollowNode1" presStyleIdx="5" presStyleCnt="6"/>
      <dgm:spPr/>
    </dgm:pt>
    <dgm:pt modelId="{02964B1A-0973-4FFC-879C-54C9DE406F49}" type="pres">
      <dgm:prSet presAssocID="{02EA9BF8-25AA-437E-864C-24DBCD164FD7}" presName="childTx" presStyleLbl="bgAccFollowNode1" presStyleIdx="5" presStyleCnt="6">
        <dgm:presLayoutVars>
          <dgm:bulletEnabled val="1"/>
        </dgm:presLayoutVars>
      </dgm:prSet>
      <dgm:spPr/>
    </dgm:pt>
    <dgm:pt modelId="{E99E92B7-C915-4D32-AA3E-685DEE21A576}" type="pres">
      <dgm:prSet presAssocID="{02854AC9-96CE-46CF-A867-1954B141B7B3}" presName="negSpace" presStyleCnt="0"/>
      <dgm:spPr/>
    </dgm:pt>
    <dgm:pt modelId="{FCF87963-24A9-4F44-8B3E-F4AF30642143}" type="pres">
      <dgm:prSet presAssocID="{02854AC9-96CE-46CF-A867-1954B141B7B3}" presName="circle" presStyleLbl="node1" presStyleIdx="1" presStyleCnt="2"/>
      <dgm:spPr/>
    </dgm:pt>
  </dgm:ptLst>
  <dgm:cxnLst>
    <dgm:cxn modelId="{6A005A00-7242-4FD5-AA7F-F3AF4DBCFFD0}" srcId="{02854AC9-96CE-46CF-A867-1954B141B7B3}" destId="{D2F6CC87-96EC-4C0F-8FB4-D4E08D8EC13C}" srcOrd="1" destOrd="0" parTransId="{396009F8-2675-4F04-8D2E-A75B94B59584}" sibTransId="{ED5A83AC-4750-4C1D-ABC3-D26513E83253}"/>
    <dgm:cxn modelId="{A02D700A-221D-4AE4-B01C-B9D07B4759E4}" type="presOf" srcId="{8D296558-570D-4D06-BD48-16001598CB6B}" destId="{FAF688D4-8A3B-47A6-A784-E8F0F450D8D0}" srcOrd="1" destOrd="0" presId="urn:microsoft.com/office/officeart/2005/8/layout/hList9"/>
    <dgm:cxn modelId="{A919801C-1415-4FB1-AAC0-13CD6E28020B}" type="presOf" srcId="{B233BD85-75F4-410E-B71E-AADE8DC62244}" destId="{2EBA7989-05E4-4F89-914C-1377ED57CC29}" srcOrd="0" destOrd="0" presId="urn:microsoft.com/office/officeart/2005/8/layout/hList9"/>
    <dgm:cxn modelId="{4BFB2130-A667-4E15-94ED-D5781C7F593C}" srcId="{B233BD85-75F4-410E-B71E-AADE8DC62244}" destId="{5AB87A43-10DF-4841-8B0E-AE6079F0DB30}" srcOrd="1" destOrd="0" parTransId="{511C46AD-E5B9-4734-963C-A3E90A11369F}" sibTransId="{6E79B9FC-F5F3-4EAB-A596-1E580375D0BA}"/>
    <dgm:cxn modelId="{96DE2C5B-B3E5-409C-8445-7A1925E5C501}" type="presOf" srcId="{D2F6CC87-96EC-4C0F-8FB4-D4E08D8EC13C}" destId="{965952B4-AF3E-45C9-B7F7-0D650CD3FBCD}" srcOrd="1" destOrd="0" presId="urn:microsoft.com/office/officeart/2005/8/layout/hList9"/>
    <dgm:cxn modelId="{1C162F62-F64E-4E8B-9851-344AA37A4537}" srcId="{02854AC9-96CE-46CF-A867-1954B141B7B3}" destId="{02EA9BF8-25AA-437E-864C-24DBCD164FD7}" srcOrd="2" destOrd="0" parTransId="{F7DEAE7A-2374-458E-B8AE-7FBB41CE9AB0}" sibTransId="{3DBF9945-0A32-41F0-A2C7-7FDAE40DB5A9}"/>
    <dgm:cxn modelId="{4C5A9447-1A0C-4197-937D-2FDB0FB3BA1E}" type="presOf" srcId="{02EA9BF8-25AA-437E-864C-24DBCD164FD7}" destId="{02964B1A-0973-4FFC-879C-54C9DE406F49}" srcOrd="1" destOrd="0" presId="urn:microsoft.com/office/officeart/2005/8/layout/hList9"/>
    <dgm:cxn modelId="{0E35314B-98EB-43F2-A561-B8F0A85C5B50}" type="presOf" srcId="{FB90FFC1-3528-4D63-B00A-98EE30CFFBD8}" destId="{FE67E852-E124-464F-B333-CE007BACDBD3}" srcOrd="1" destOrd="0" presId="urn:microsoft.com/office/officeart/2005/8/layout/hList9"/>
    <dgm:cxn modelId="{293FCE70-666E-4642-AB11-284454C65EC6}" srcId="{B233BD85-75F4-410E-B71E-AADE8DC62244}" destId="{F162E57A-0F4D-4EBC-9F19-943DEF2E117B}" srcOrd="0" destOrd="0" parTransId="{DB8E6C3A-7116-49C0-8088-15981C0E6CD0}" sibTransId="{409C09EF-A33C-4C6C-81DF-A428EB10E7FF}"/>
    <dgm:cxn modelId="{BB486A73-9616-413A-9A48-81CF31DC22C8}" type="presOf" srcId="{8D296558-570D-4D06-BD48-16001598CB6B}" destId="{63BA321A-DB02-485F-83CB-C7DBAB143062}" srcOrd="0" destOrd="0" presId="urn:microsoft.com/office/officeart/2005/8/layout/hList9"/>
    <dgm:cxn modelId="{7DF8EB55-0130-4B00-8C5C-B5DE69D6AF56}" type="presOf" srcId="{4934D56F-B033-4BAB-937B-6E87E50AF410}" destId="{D1A73D09-658C-43F4-B368-1C3B3CDBE379}" srcOrd="0" destOrd="0" presId="urn:microsoft.com/office/officeart/2005/8/layout/hList9"/>
    <dgm:cxn modelId="{D3B55C57-E71F-4BC5-9C0F-0D91EFE67D33}" type="presOf" srcId="{F162E57A-0F4D-4EBC-9F19-943DEF2E117B}" destId="{9225DCA7-2CEA-4345-B65E-E4DD9267177B}" srcOrd="0" destOrd="0" presId="urn:microsoft.com/office/officeart/2005/8/layout/hList9"/>
    <dgm:cxn modelId="{CAD10181-7133-483D-AE2A-A148DD5C948F}" type="presOf" srcId="{F162E57A-0F4D-4EBC-9F19-943DEF2E117B}" destId="{60C69F7A-9A7C-4BF0-9454-A0C2B827EB16}" srcOrd="1" destOrd="0" presId="urn:microsoft.com/office/officeart/2005/8/layout/hList9"/>
    <dgm:cxn modelId="{B61ED08F-645C-4301-AFC2-D3E3F3B51E4A}" type="presOf" srcId="{02854AC9-96CE-46CF-A867-1954B141B7B3}" destId="{FCF87963-24A9-4F44-8B3E-F4AF30642143}" srcOrd="0" destOrd="0" presId="urn:microsoft.com/office/officeart/2005/8/layout/hList9"/>
    <dgm:cxn modelId="{94411890-1A50-4D4B-91A9-FF20795D4539}" srcId="{B233BD85-75F4-410E-B71E-AADE8DC62244}" destId="{FB90FFC1-3528-4D63-B00A-98EE30CFFBD8}" srcOrd="2" destOrd="0" parTransId="{88B0DFA7-403D-44F7-B8DD-EE8AF56998D1}" sibTransId="{64420272-30C5-4B67-88E7-3EF9B306BD84}"/>
    <dgm:cxn modelId="{DF46A496-3DB1-4CA6-B6C9-EC1757800571}" srcId="{02854AC9-96CE-46CF-A867-1954B141B7B3}" destId="{8D296558-570D-4D06-BD48-16001598CB6B}" srcOrd="0" destOrd="0" parTransId="{53A59385-6EEA-4F79-8DED-6D1BE3DAD136}" sibTransId="{336732EE-FF9F-43EA-AFA8-52398997314D}"/>
    <dgm:cxn modelId="{62C5449A-DBFE-41EE-B52D-3DFAA1374D4D}" type="presOf" srcId="{D2F6CC87-96EC-4C0F-8FB4-D4E08D8EC13C}" destId="{8A21F758-1EF8-462A-B1E1-5DE91CA28E77}" srcOrd="0" destOrd="0" presId="urn:microsoft.com/office/officeart/2005/8/layout/hList9"/>
    <dgm:cxn modelId="{0BABF7B8-BA7D-41B1-A27C-9A2601CEF646}" type="presOf" srcId="{5AB87A43-10DF-4841-8B0E-AE6079F0DB30}" destId="{F9FDDAD0-BBD7-4266-AF9E-D875E4F6A287}" srcOrd="0" destOrd="0" presId="urn:microsoft.com/office/officeart/2005/8/layout/hList9"/>
    <dgm:cxn modelId="{3AA5D2D9-4BF3-4BDB-8161-842AC20CC471}" srcId="{4934D56F-B033-4BAB-937B-6E87E50AF410}" destId="{02854AC9-96CE-46CF-A867-1954B141B7B3}" srcOrd="1" destOrd="0" parTransId="{C53C2713-BB1C-4648-984C-F25973E1C3E4}" sibTransId="{A518419A-7DA5-4BDD-8BE1-436F381F9DAB}"/>
    <dgm:cxn modelId="{56F699DD-0297-4CD4-B14F-292F09D7CEFC}" srcId="{4934D56F-B033-4BAB-937B-6E87E50AF410}" destId="{B233BD85-75F4-410E-B71E-AADE8DC62244}" srcOrd="0" destOrd="0" parTransId="{A963F1DB-34BA-4056-A686-085AD58E75FF}" sibTransId="{76B196EB-034F-4026-A8B3-733755659EF7}"/>
    <dgm:cxn modelId="{466944DE-67B0-4578-9425-A594B086A997}" type="presOf" srcId="{02EA9BF8-25AA-437E-864C-24DBCD164FD7}" destId="{D70BF861-28FA-4C99-8D23-A604FBC25E68}" srcOrd="0" destOrd="0" presId="urn:microsoft.com/office/officeart/2005/8/layout/hList9"/>
    <dgm:cxn modelId="{151968E5-8272-46A9-8228-DD810910F453}" type="presOf" srcId="{FB90FFC1-3528-4D63-B00A-98EE30CFFBD8}" destId="{FC3B28FA-80FA-40C6-B43F-56DED60A8A49}" srcOrd="0" destOrd="0" presId="urn:microsoft.com/office/officeart/2005/8/layout/hList9"/>
    <dgm:cxn modelId="{7707EBEA-6E80-4B85-AF8D-F7AA4841D550}" type="presOf" srcId="{5AB87A43-10DF-4841-8B0E-AE6079F0DB30}" destId="{7DCD044B-248B-4E1D-B4CF-7A784F92DE39}" srcOrd="1" destOrd="0" presId="urn:microsoft.com/office/officeart/2005/8/layout/hList9"/>
    <dgm:cxn modelId="{DDA1F381-32DF-4152-817A-CD7020940CEE}" type="presParOf" srcId="{D1A73D09-658C-43F4-B368-1C3B3CDBE379}" destId="{3D275816-7ACE-4B60-84BA-6F0BE96CC51E}" srcOrd="0" destOrd="0" presId="urn:microsoft.com/office/officeart/2005/8/layout/hList9"/>
    <dgm:cxn modelId="{71EA3033-2A8F-4AF7-B00F-A0864C772744}" type="presParOf" srcId="{D1A73D09-658C-43F4-B368-1C3B3CDBE379}" destId="{1C772B59-CA5A-4B13-B237-006B33DF5B17}" srcOrd="1" destOrd="0" presId="urn:microsoft.com/office/officeart/2005/8/layout/hList9"/>
    <dgm:cxn modelId="{12BCC0F3-4765-42C9-82C7-704DC2AF881C}" type="presParOf" srcId="{1C772B59-CA5A-4B13-B237-006B33DF5B17}" destId="{52A6CC59-0914-4FB7-828F-D159B9723F6C}" srcOrd="0" destOrd="0" presId="urn:microsoft.com/office/officeart/2005/8/layout/hList9"/>
    <dgm:cxn modelId="{27FC2F27-B775-4806-9BDA-57E1EB207ED4}" type="presParOf" srcId="{1C772B59-CA5A-4B13-B237-006B33DF5B17}" destId="{803A556B-55FA-417D-93F5-5B20D1760CB5}" srcOrd="1" destOrd="0" presId="urn:microsoft.com/office/officeart/2005/8/layout/hList9"/>
    <dgm:cxn modelId="{40F4E4CA-87EA-4CE3-8AC5-D971BB965169}" type="presParOf" srcId="{803A556B-55FA-417D-93F5-5B20D1760CB5}" destId="{9225DCA7-2CEA-4345-B65E-E4DD9267177B}" srcOrd="0" destOrd="0" presId="urn:microsoft.com/office/officeart/2005/8/layout/hList9"/>
    <dgm:cxn modelId="{AE7FFAF2-FE06-44A8-8B1F-826FA7683482}" type="presParOf" srcId="{803A556B-55FA-417D-93F5-5B20D1760CB5}" destId="{60C69F7A-9A7C-4BF0-9454-A0C2B827EB16}" srcOrd="1" destOrd="0" presId="urn:microsoft.com/office/officeart/2005/8/layout/hList9"/>
    <dgm:cxn modelId="{2383940D-2E8B-46EF-89BE-F0357011281A}" type="presParOf" srcId="{1C772B59-CA5A-4B13-B237-006B33DF5B17}" destId="{64EB8B7F-E472-4B7D-AC49-E75853C6F3F3}" srcOrd="2" destOrd="0" presId="urn:microsoft.com/office/officeart/2005/8/layout/hList9"/>
    <dgm:cxn modelId="{64814B93-634D-4480-82EA-0462D753A602}" type="presParOf" srcId="{64EB8B7F-E472-4B7D-AC49-E75853C6F3F3}" destId="{F9FDDAD0-BBD7-4266-AF9E-D875E4F6A287}" srcOrd="0" destOrd="0" presId="urn:microsoft.com/office/officeart/2005/8/layout/hList9"/>
    <dgm:cxn modelId="{5A9F0846-657E-40E3-8503-A7C0F187F229}" type="presParOf" srcId="{64EB8B7F-E472-4B7D-AC49-E75853C6F3F3}" destId="{7DCD044B-248B-4E1D-B4CF-7A784F92DE39}" srcOrd="1" destOrd="0" presId="urn:microsoft.com/office/officeart/2005/8/layout/hList9"/>
    <dgm:cxn modelId="{D16D16BD-826D-4B00-BFDC-1C53F59473A8}" type="presParOf" srcId="{1C772B59-CA5A-4B13-B237-006B33DF5B17}" destId="{045BBE07-212F-4F5D-BA51-6A61A0A815E4}" srcOrd="3" destOrd="0" presId="urn:microsoft.com/office/officeart/2005/8/layout/hList9"/>
    <dgm:cxn modelId="{D312274B-5EDC-40D0-8E64-52F5D1F8A225}" type="presParOf" srcId="{045BBE07-212F-4F5D-BA51-6A61A0A815E4}" destId="{FC3B28FA-80FA-40C6-B43F-56DED60A8A49}" srcOrd="0" destOrd="0" presId="urn:microsoft.com/office/officeart/2005/8/layout/hList9"/>
    <dgm:cxn modelId="{1A7F3B54-2C41-4442-BFC4-5B79E0D11D43}" type="presParOf" srcId="{045BBE07-212F-4F5D-BA51-6A61A0A815E4}" destId="{FE67E852-E124-464F-B333-CE007BACDBD3}" srcOrd="1" destOrd="0" presId="urn:microsoft.com/office/officeart/2005/8/layout/hList9"/>
    <dgm:cxn modelId="{6DA22D34-5296-4368-9304-964F7C65FAAC}" type="presParOf" srcId="{D1A73D09-658C-43F4-B368-1C3B3CDBE379}" destId="{DC88111D-B02F-4234-A881-4E79A5D7AB8A}" srcOrd="2" destOrd="0" presId="urn:microsoft.com/office/officeart/2005/8/layout/hList9"/>
    <dgm:cxn modelId="{D1FA63C9-E44F-4075-A1C8-DAFA3644986E}" type="presParOf" srcId="{D1A73D09-658C-43F4-B368-1C3B3CDBE379}" destId="{2EBA7989-05E4-4F89-914C-1377ED57CC29}" srcOrd="3" destOrd="0" presId="urn:microsoft.com/office/officeart/2005/8/layout/hList9"/>
    <dgm:cxn modelId="{5B25F4D7-AD8A-46E7-BF2B-79F53D2E5BFB}" type="presParOf" srcId="{D1A73D09-658C-43F4-B368-1C3B3CDBE379}" destId="{7523913B-E922-4F38-B373-C6749AA17CAF}" srcOrd="4" destOrd="0" presId="urn:microsoft.com/office/officeart/2005/8/layout/hList9"/>
    <dgm:cxn modelId="{B832EC73-6E5C-4146-9534-D983023143F1}" type="presParOf" srcId="{D1A73D09-658C-43F4-B368-1C3B3CDBE379}" destId="{C10E2C13-8E2E-482A-B4FF-F638FE0F7D71}" srcOrd="5" destOrd="0" presId="urn:microsoft.com/office/officeart/2005/8/layout/hList9"/>
    <dgm:cxn modelId="{38DF12BB-237F-4074-B0CB-A277BAF1CB28}" type="presParOf" srcId="{D1A73D09-658C-43F4-B368-1C3B3CDBE379}" destId="{12680270-F905-4F9B-95B8-FB1FD05BDACC}" srcOrd="6" destOrd="0" presId="urn:microsoft.com/office/officeart/2005/8/layout/hList9"/>
    <dgm:cxn modelId="{82ABCF38-1BBC-456E-9F61-F9E194822C78}" type="presParOf" srcId="{12680270-F905-4F9B-95B8-FB1FD05BDACC}" destId="{F7D20675-1685-462E-AE4E-6603A60E3A77}" srcOrd="0" destOrd="0" presId="urn:microsoft.com/office/officeart/2005/8/layout/hList9"/>
    <dgm:cxn modelId="{71410C98-E284-4F9F-86F8-76F3DF230ABF}" type="presParOf" srcId="{12680270-F905-4F9B-95B8-FB1FD05BDACC}" destId="{C68398BD-C9D5-49E0-9E55-9AF550D2A21E}" srcOrd="1" destOrd="0" presId="urn:microsoft.com/office/officeart/2005/8/layout/hList9"/>
    <dgm:cxn modelId="{53C5D559-95B6-4B13-A58D-286C0F351C49}" type="presParOf" srcId="{C68398BD-C9D5-49E0-9E55-9AF550D2A21E}" destId="{63BA321A-DB02-485F-83CB-C7DBAB143062}" srcOrd="0" destOrd="0" presId="urn:microsoft.com/office/officeart/2005/8/layout/hList9"/>
    <dgm:cxn modelId="{528477CD-B11A-4403-B231-9101F9F3B007}" type="presParOf" srcId="{C68398BD-C9D5-49E0-9E55-9AF550D2A21E}" destId="{FAF688D4-8A3B-47A6-A784-E8F0F450D8D0}" srcOrd="1" destOrd="0" presId="urn:microsoft.com/office/officeart/2005/8/layout/hList9"/>
    <dgm:cxn modelId="{15472FFF-3C9E-44B3-A26E-5924484756E4}" type="presParOf" srcId="{12680270-F905-4F9B-95B8-FB1FD05BDACC}" destId="{20E509E3-9FE1-437E-A68F-C3DAFDEC37EC}" srcOrd="2" destOrd="0" presId="urn:microsoft.com/office/officeart/2005/8/layout/hList9"/>
    <dgm:cxn modelId="{BCD8CEB9-70D7-4EAA-A0AD-664D86F2A33B}" type="presParOf" srcId="{20E509E3-9FE1-437E-A68F-C3DAFDEC37EC}" destId="{8A21F758-1EF8-462A-B1E1-5DE91CA28E77}" srcOrd="0" destOrd="0" presId="urn:microsoft.com/office/officeart/2005/8/layout/hList9"/>
    <dgm:cxn modelId="{00AB844C-8DCE-4F3E-9CFE-842C74A06AC8}" type="presParOf" srcId="{20E509E3-9FE1-437E-A68F-C3DAFDEC37EC}" destId="{965952B4-AF3E-45C9-B7F7-0D650CD3FBCD}" srcOrd="1" destOrd="0" presId="urn:microsoft.com/office/officeart/2005/8/layout/hList9"/>
    <dgm:cxn modelId="{6ED8B7F9-6E5C-4C91-A114-AFD25ACA6F86}" type="presParOf" srcId="{12680270-F905-4F9B-95B8-FB1FD05BDACC}" destId="{73889A67-8CD0-4675-8C23-E7B7E18F323A}" srcOrd="3" destOrd="0" presId="urn:microsoft.com/office/officeart/2005/8/layout/hList9"/>
    <dgm:cxn modelId="{C46EF8B1-AC35-416F-8768-D88B21A24AD6}" type="presParOf" srcId="{73889A67-8CD0-4675-8C23-E7B7E18F323A}" destId="{D70BF861-28FA-4C99-8D23-A604FBC25E68}" srcOrd="0" destOrd="0" presId="urn:microsoft.com/office/officeart/2005/8/layout/hList9"/>
    <dgm:cxn modelId="{24803BBF-B580-4A02-859E-3BBE6762C0AB}" type="presParOf" srcId="{73889A67-8CD0-4675-8C23-E7B7E18F323A}" destId="{02964B1A-0973-4FFC-879C-54C9DE406F49}" srcOrd="1" destOrd="0" presId="urn:microsoft.com/office/officeart/2005/8/layout/hList9"/>
    <dgm:cxn modelId="{A7AB719C-CD38-4FFB-B1F4-A1C55304FA84}" type="presParOf" srcId="{D1A73D09-658C-43F4-B368-1C3B3CDBE379}" destId="{E99E92B7-C915-4D32-AA3E-685DEE21A576}" srcOrd="7" destOrd="0" presId="urn:microsoft.com/office/officeart/2005/8/layout/hList9"/>
    <dgm:cxn modelId="{F381E44A-9618-4DD8-929A-A80DC8373EB6}" type="presParOf" srcId="{D1A73D09-658C-43F4-B368-1C3B3CDBE379}" destId="{FCF87963-24A9-4F44-8B3E-F4AF30642143}" srcOrd="8" destOrd="0" presId="urn:microsoft.com/office/officeart/2005/8/layout/hList9"/>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93D428-9056-4D5F-A7E7-4FD8C0E4168D}">
      <dsp:nvSpPr>
        <dsp:cNvPr id="0" name=""/>
        <dsp:cNvSpPr/>
      </dsp:nvSpPr>
      <dsp:spPr>
        <a:xfrm>
          <a:off x="-3617274" y="-555868"/>
          <a:ext cx="4312137" cy="4312137"/>
        </a:xfrm>
        <a:prstGeom prst="blockArc">
          <a:avLst>
            <a:gd name="adj1" fmla="val 18900000"/>
            <a:gd name="adj2" fmla="val 2700000"/>
            <a:gd name="adj3" fmla="val 501"/>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1F1ADC-6B44-4489-B0AB-42A57BCD6673}">
      <dsp:nvSpPr>
        <dsp:cNvPr id="0" name=""/>
        <dsp:cNvSpPr/>
      </dsp:nvSpPr>
      <dsp:spPr>
        <a:xfrm>
          <a:off x="462078" y="358143"/>
          <a:ext cx="4998018" cy="64008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64" tIns="30480" rIns="30480" bIns="30480" numCol="1" spcCol="1270" anchor="ctr" anchorCtr="0">
          <a:noAutofit/>
        </a:bodyPr>
        <a:lstStyle/>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Coercive pressure in both countries due to trade partners competition (US and EU),legislation,taxation </a:t>
          </a:r>
        </a:p>
      </dsp:txBody>
      <dsp:txXfrm>
        <a:off x="462078" y="358143"/>
        <a:ext cx="4998018" cy="640080"/>
      </dsp:txXfrm>
    </dsp:sp>
    <dsp:sp modelId="{0960B1C7-A9F3-46E4-BBD0-901D8BABD932}">
      <dsp:nvSpPr>
        <dsp:cNvPr id="0" name=""/>
        <dsp:cNvSpPr/>
      </dsp:nvSpPr>
      <dsp:spPr>
        <a:xfrm>
          <a:off x="46784" y="240030"/>
          <a:ext cx="800100" cy="800100"/>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8215575-989E-4B0C-8B3C-F53D08539508}">
      <dsp:nvSpPr>
        <dsp:cNvPr id="0" name=""/>
        <dsp:cNvSpPr/>
      </dsp:nvSpPr>
      <dsp:spPr>
        <a:xfrm>
          <a:off x="679503" y="1280160"/>
          <a:ext cx="4765349" cy="64008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64" tIns="30480" rIns="30480" bIns="30480" numCol="1" spcCol="1270" anchor="ctr" anchorCtr="0">
          <a:noAutofit/>
        </a:bodyPr>
        <a:lstStyle/>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Mimetic pressure for M&amp;A (acquirer)-adopting traditions,believes,uncertainty avoidance</a:t>
          </a:r>
        </a:p>
      </dsp:txBody>
      <dsp:txXfrm>
        <a:off x="679503" y="1280160"/>
        <a:ext cx="4765349" cy="640080"/>
      </dsp:txXfrm>
    </dsp:sp>
    <dsp:sp modelId="{4BE493A7-9589-47F3-991D-11D11C1BF908}">
      <dsp:nvSpPr>
        <dsp:cNvPr id="0" name=""/>
        <dsp:cNvSpPr/>
      </dsp:nvSpPr>
      <dsp:spPr>
        <a:xfrm>
          <a:off x="279453" y="1200150"/>
          <a:ext cx="800100" cy="800100"/>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774DB62-8805-4175-A213-3696F8B6C4A0}">
      <dsp:nvSpPr>
        <dsp:cNvPr id="0" name=""/>
        <dsp:cNvSpPr/>
      </dsp:nvSpPr>
      <dsp:spPr>
        <a:xfrm>
          <a:off x="446834" y="2240280"/>
          <a:ext cx="4998018" cy="64008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64" tIns="30480" rIns="30480" bIns="30480" numCol="1" spcCol="1270" anchor="ctr" anchorCtr="0">
          <a:noAutofit/>
        </a:bodyPr>
        <a:lstStyle/>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Normative Pressure-cultural differences/Long term orientation/Indulgence </a:t>
          </a:r>
        </a:p>
      </dsp:txBody>
      <dsp:txXfrm>
        <a:off x="446834" y="2240280"/>
        <a:ext cx="4998018" cy="640080"/>
      </dsp:txXfrm>
    </dsp:sp>
    <dsp:sp modelId="{876D759E-01F5-4C62-A087-A6F1BDFFE5AD}">
      <dsp:nvSpPr>
        <dsp:cNvPr id="0" name=""/>
        <dsp:cNvSpPr/>
      </dsp:nvSpPr>
      <dsp:spPr>
        <a:xfrm>
          <a:off x="46784" y="2160270"/>
          <a:ext cx="800100" cy="800100"/>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5870A1-9264-4112-B24F-A8383F7A441E}">
      <dsp:nvSpPr>
        <dsp:cNvPr id="0" name=""/>
        <dsp:cNvSpPr/>
      </dsp:nvSpPr>
      <dsp:spPr>
        <a:xfrm>
          <a:off x="1194226" y="424448"/>
          <a:ext cx="1584321" cy="1056742"/>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64008" rIns="64008" bIns="64008" numCol="1" spcCol="1270" anchor="ctr" anchorCtr="0">
          <a:noAutofit/>
        </a:bodyPr>
        <a:lstStyle/>
        <a:p>
          <a:pPr marL="0" lvl="0" indent="0" algn="l" defTabSz="400050">
            <a:lnSpc>
              <a:spcPct val="90000"/>
            </a:lnSpc>
            <a:spcBef>
              <a:spcPct val="0"/>
            </a:spcBef>
            <a:spcAft>
              <a:spcPct val="35000"/>
            </a:spcAft>
            <a:buNone/>
          </a:pPr>
          <a:r>
            <a:rPr lang="en-GB" sz="900" kern="1200"/>
            <a:t>Difficulty in assessing the cultural fit of potential candidates due to language barriers or cultural differences. </a:t>
          </a:r>
        </a:p>
      </dsp:txBody>
      <dsp:txXfrm>
        <a:off x="1447718" y="424448"/>
        <a:ext cx="1330830" cy="1056742"/>
      </dsp:txXfrm>
    </dsp:sp>
    <dsp:sp modelId="{5FEC204C-551D-460B-9400-81896D4D566E}">
      <dsp:nvSpPr>
        <dsp:cNvPr id="0" name=""/>
        <dsp:cNvSpPr/>
      </dsp:nvSpPr>
      <dsp:spPr>
        <a:xfrm>
          <a:off x="1194226" y="1481191"/>
          <a:ext cx="1584321" cy="1056742"/>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64008" rIns="64008" bIns="64008" numCol="1" spcCol="1270" anchor="ctr" anchorCtr="0">
          <a:noAutofit/>
        </a:bodyPr>
        <a:lstStyle/>
        <a:p>
          <a:pPr marL="0" lvl="0" indent="0" algn="l" defTabSz="400050">
            <a:lnSpc>
              <a:spcPct val="90000"/>
            </a:lnSpc>
            <a:spcBef>
              <a:spcPct val="0"/>
            </a:spcBef>
            <a:spcAft>
              <a:spcPct val="35000"/>
            </a:spcAft>
            <a:buNone/>
          </a:pPr>
          <a:r>
            <a:rPr lang="en-GB" sz="900" kern="1200"/>
            <a:t>Lack of communication and understanding between the HR team and the local culture, leading to misunderstandings and potential conflicts. </a:t>
          </a:r>
        </a:p>
      </dsp:txBody>
      <dsp:txXfrm>
        <a:off x="1447718" y="1481191"/>
        <a:ext cx="1330830" cy="1056742"/>
      </dsp:txXfrm>
    </dsp:sp>
    <dsp:sp modelId="{24C16964-C6D9-4E6A-A642-050B5D8B680F}">
      <dsp:nvSpPr>
        <dsp:cNvPr id="0" name=""/>
        <dsp:cNvSpPr/>
      </dsp:nvSpPr>
      <dsp:spPr>
        <a:xfrm>
          <a:off x="1194226" y="2537934"/>
          <a:ext cx="1584321" cy="1056742"/>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64008" rIns="64008" bIns="64008" numCol="1" spcCol="1270" anchor="ctr" anchorCtr="0">
          <a:noAutofit/>
        </a:bodyPr>
        <a:lstStyle/>
        <a:p>
          <a:pPr marL="0" lvl="0" indent="0" algn="l" defTabSz="400050">
            <a:lnSpc>
              <a:spcPct val="90000"/>
            </a:lnSpc>
            <a:spcBef>
              <a:spcPct val="0"/>
            </a:spcBef>
            <a:spcAft>
              <a:spcPct val="35000"/>
            </a:spcAft>
            <a:buNone/>
          </a:pPr>
          <a:r>
            <a:rPr lang="en-GB" sz="900" kern="1200"/>
            <a:t>Limited access to local talent pools, resulting in a lack of diversity in hiring decisions.</a:t>
          </a:r>
        </a:p>
      </dsp:txBody>
      <dsp:txXfrm>
        <a:off x="1447718" y="2537934"/>
        <a:ext cx="1330830" cy="1056742"/>
      </dsp:txXfrm>
    </dsp:sp>
    <dsp:sp modelId="{25FC0DE2-1C76-4048-B753-B8B9845AC0B4}">
      <dsp:nvSpPr>
        <dsp:cNvPr id="0" name=""/>
        <dsp:cNvSpPr/>
      </dsp:nvSpPr>
      <dsp:spPr>
        <a:xfrm>
          <a:off x="349254" y="1963"/>
          <a:ext cx="1056214" cy="105621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155700">
            <a:lnSpc>
              <a:spcPct val="90000"/>
            </a:lnSpc>
            <a:spcBef>
              <a:spcPct val="0"/>
            </a:spcBef>
            <a:spcAft>
              <a:spcPct val="35000"/>
            </a:spcAft>
            <a:buNone/>
          </a:pPr>
          <a:r>
            <a:rPr lang="en-GB" sz="2600" kern="1200"/>
            <a:t>Pre-stage</a:t>
          </a:r>
        </a:p>
      </dsp:txBody>
      <dsp:txXfrm>
        <a:off x="503933" y="156642"/>
        <a:ext cx="746856" cy="746856"/>
      </dsp:txXfrm>
    </dsp:sp>
    <dsp:sp modelId="{F8A7FC5B-71C0-4B68-87B1-6E8ED11C8EB7}">
      <dsp:nvSpPr>
        <dsp:cNvPr id="0" name=""/>
        <dsp:cNvSpPr/>
      </dsp:nvSpPr>
      <dsp:spPr>
        <a:xfrm>
          <a:off x="3834763" y="424448"/>
          <a:ext cx="1584321" cy="1056742"/>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64008" rIns="64008" bIns="64008" numCol="1" spcCol="1270" anchor="ctr" anchorCtr="0">
          <a:noAutofit/>
        </a:bodyPr>
        <a:lstStyle/>
        <a:p>
          <a:pPr marL="0" lvl="0" indent="0" algn="l" defTabSz="400050">
            <a:lnSpc>
              <a:spcPct val="90000"/>
            </a:lnSpc>
            <a:spcBef>
              <a:spcPct val="0"/>
            </a:spcBef>
            <a:spcAft>
              <a:spcPct val="35000"/>
            </a:spcAft>
            <a:buNone/>
          </a:pPr>
          <a:r>
            <a:rPr lang="en-GB" sz="900" kern="1200"/>
            <a:t>Inconsistencies in performance reviews due to cultural biases or lack of understanding of different cultural norms and values.</a:t>
          </a:r>
        </a:p>
      </dsp:txBody>
      <dsp:txXfrm>
        <a:off x="4088254" y="424448"/>
        <a:ext cx="1330830" cy="1056742"/>
      </dsp:txXfrm>
    </dsp:sp>
    <dsp:sp modelId="{347F8202-863F-4208-B529-9F7352757FA6}">
      <dsp:nvSpPr>
        <dsp:cNvPr id="0" name=""/>
        <dsp:cNvSpPr/>
      </dsp:nvSpPr>
      <dsp:spPr>
        <a:xfrm>
          <a:off x="3834763" y="1481191"/>
          <a:ext cx="1584321" cy="1056742"/>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64008" rIns="64008" bIns="64008" numCol="1" spcCol="1270" anchor="ctr" anchorCtr="0">
          <a:noAutofit/>
        </a:bodyPr>
        <a:lstStyle/>
        <a:p>
          <a:pPr marL="0" lvl="0" indent="0" algn="l" defTabSz="400050">
            <a:lnSpc>
              <a:spcPct val="90000"/>
            </a:lnSpc>
            <a:spcBef>
              <a:spcPct val="0"/>
            </a:spcBef>
            <a:spcAft>
              <a:spcPct val="35000"/>
            </a:spcAft>
            <a:buNone/>
          </a:pPr>
          <a:r>
            <a:rPr lang="en-GB" sz="900" kern="1200"/>
            <a:t>Inadequate training for new employees on how to adjust to a new culture, leading to confusion and frustration. </a:t>
          </a:r>
        </a:p>
      </dsp:txBody>
      <dsp:txXfrm>
        <a:off x="4088254" y="1481191"/>
        <a:ext cx="1330830" cy="1056742"/>
      </dsp:txXfrm>
    </dsp:sp>
    <dsp:sp modelId="{4AC91F73-5BF3-4E87-9984-4AEC08AE5C3B}">
      <dsp:nvSpPr>
        <dsp:cNvPr id="0" name=""/>
        <dsp:cNvSpPr/>
      </dsp:nvSpPr>
      <dsp:spPr>
        <a:xfrm>
          <a:off x="3834763" y="2537934"/>
          <a:ext cx="1584321" cy="1056742"/>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64008" rIns="64008" bIns="64008" numCol="1" spcCol="1270" anchor="ctr" anchorCtr="0">
          <a:noAutofit/>
        </a:bodyPr>
        <a:lstStyle/>
        <a:p>
          <a:pPr marL="0" lvl="0" indent="0" algn="l" defTabSz="400050">
            <a:lnSpc>
              <a:spcPct val="90000"/>
            </a:lnSpc>
            <a:spcBef>
              <a:spcPct val="0"/>
            </a:spcBef>
            <a:spcAft>
              <a:spcPct val="35000"/>
            </a:spcAft>
            <a:buNone/>
          </a:pPr>
          <a:r>
            <a:rPr lang="en-GB" sz="900" kern="1200"/>
            <a:t>Difficulty in adapting management styles and practices that may be seen as inappropriate for the local culture or environment. </a:t>
          </a:r>
        </a:p>
      </dsp:txBody>
      <dsp:txXfrm>
        <a:off x="4088254" y="2537934"/>
        <a:ext cx="1330830" cy="1056742"/>
      </dsp:txXfrm>
    </dsp:sp>
    <dsp:sp modelId="{24518481-924A-4101-8574-A0A23C5B3578}">
      <dsp:nvSpPr>
        <dsp:cNvPr id="0" name=""/>
        <dsp:cNvSpPr/>
      </dsp:nvSpPr>
      <dsp:spPr>
        <a:xfrm>
          <a:off x="2989791" y="1963"/>
          <a:ext cx="1056214" cy="105621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155700">
            <a:lnSpc>
              <a:spcPct val="90000"/>
            </a:lnSpc>
            <a:spcBef>
              <a:spcPct val="0"/>
            </a:spcBef>
            <a:spcAft>
              <a:spcPct val="35000"/>
            </a:spcAft>
            <a:buNone/>
          </a:pPr>
          <a:r>
            <a:rPr lang="en-GB" sz="2600" kern="1200"/>
            <a:t>Post-stage</a:t>
          </a:r>
        </a:p>
      </dsp:txBody>
      <dsp:txXfrm>
        <a:off x="3144470" y="156642"/>
        <a:ext cx="746856" cy="74685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25DCA7-2CEA-4345-B65E-E4DD9267177B}">
      <dsp:nvSpPr>
        <dsp:cNvPr id="0" name=""/>
        <dsp:cNvSpPr/>
      </dsp:nvSpPr>
      <dsp:spPr>
        <a:xfrm>
          <a:off x="1140710" y="468711"/>
          <a:ext cx="1752960" cy="1169224"/>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56896" rIns="56896" bIns="56896" numCol="1" spcCol="1270" anchor="ctr" anchorCtr="0">
          <a:noAutofit/>
        </a:bodyPr>
        <a:lstStyle/>
        <a:p>
          <a:pPr marL="0" lvl="0" indent="0" algn="l"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Create an effective employee engagement program to foster an environment of communication and collaboration between departments.</a:t>
          </a:r>
        </a:p>
      </dsp:txBody>
      <dsp:txXfrm>
        <a:off x="1421184" y="468711"/>
        <a:ext cx="1472486" cy="1169224"/>
      </dsp:txXfrm>
    </dsp:sp>
    <dsp:sp modelId="{F9FDDAD0-BBD7-4266-AF9E-D875E4F6A287}">
      <dsp:nvSpPr>
        <dsp:cNvPr id="0" name=""/>
        <dsp:cNvSpPr/>
      </dsp:nvSpPr>
      <dsp:spPr>
        <a:xfrm>
          <a:off x="1140710" y="1637935"/>
          <a:ext cx="1752960" cy="1169224"/>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56896" rIns="56896" bIns="56896" numCol="1" spcCol="1270" anchor="ctr" anchorCtr="0">
          <a:noAutofit/>
        </a:bodyPr>
        <a:lstStyle/>
        <a:p>
          <a:pPr marL="0" lvl="0" indent="0" algn="l"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Create policies around diversity, equity, and inclusion to ensure that all employees feel valued and respected in the workplace regardless of their background or identity. </a:t>
          </a:r>
        </a:p>
      </dsp:txBody>
      <dsp:txXfrm>
        <a:off x="1421184" y="1637935"/>
        <a:ext cx="1472486" cy="1169224"/>
      </dsp:txXfrm>
    </dsp:sp>
    <dsp:sp modelId="{FC3B28FA-80FA-40C6-B43F-56DED60A8A49}">
      <dsp:nvSpPr>
        <dsp:cNvPr id="0" name=""/>
        <dsp:cNvSpPr/>
      </dsp:nvSpPr>
      <dsp:spPr>
        <a:xfrm>
          <a:off x="1140710" y="2807160"/>
          <a:ext cx="1752960" cy="1169224"/>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56896" rIns="56896" bIns="56896" numCol="1" spcCol="1270" anchor="ctr" anchorCtr="0">
          <a:noAutofit/>
        </a:bodyPr>
        <a:lstStyle/>
        <a:p>
          <a:pPr marL="0" lvl="0" indent="0" algn="l"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Develop an effective compensation strategy that is both fair and competitive in order to attract top talent from outside of the organization as well as retain existing employees who are performing well in their roles.  </a:t>
          </a:r>
        </a:p>
      </dsp:txBody>
      <dsp:txXfrm>
        <a:off x="1421184" y="2807160"/>
        <a:ext cx="1472486" cy="1169224"/>
      </dsp:txXfrm>
    </dsp:sp>
    <dsp:sp modelId="{2EBA7989-05E4-4F89-914C-1377ED57CC29}">
      <dsp:nvSpPr>
        <dsp:cNvPr id="0" name=""/>
        <dsp:cNvSpPr/>
      </dsp:nvSpPr>
      <dsp:spPr>
        <a:xfrm>
          <a:off x="205798" y="1255"/>
          <a:ext cx="1168640" cy="1168640"/>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289050">
            <a:lnSpc>
              <a:spcPct val="90000"/>
            </a:lnSpc>
            <a:spcBef>
              <a:spcPct val="0"/>
            </a:spcBef>
            <a:spcAft>
              <a:spcPct val="35000"/>
            </a:spcAft>
            <a:buNone/>
          </a:pPr>
          <a:r>
            <a:rPr lang="en-GB" sz="2900" kern="1200">
              <a:solidFill>
                <a:sysClr val="window" lastClr="FFFFFF"/>
              </a:solidFill>
              <a:latin typeface="Calibri" panose="020F0502020204030204"/>
              <a:ea typeface="+mn-ea"/>
              <a:cs typeface="+mn-cs"/>
            </a:rPr>
            <a:t>Pre-stage</a:t>
          </a:r>
        </a:p>
      </dsp:txBody>
      <dsp:txXfrm>
        <a:off x="376941" y="172398"/>
        <a:ext cx="826354" cy="826354"/>
      </dsp:txXfrm>
    </dsp:sp>
    <dsp:sp modelId="{63BA321A-DB02-485F-83CB-C7DBAB143062}">
      <dsp:nvSpPr>
        <dsp:cNvPr id="0" name=""/>
        <dsp:cNvSpPr/>
      </dsp:nvSpPr>
      <dsp:spPr>
        <a:xfrm>
          <a:off x="4062311" y="468711"/>
          <a:ext cx="1752960" cy="1169224"/>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56896" rIns="56896" bIns="56896" numCol="1" spcCol="1270" anchor="ctr" anchorCtr="0">
          <a:noAutofit/>
        </a:bodyPr>
        <a:lstStyle/>
        <a:p>
          <a:pPr marL="0" lvl="0" indent="0" algn="l"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Develop a comprehensive communication plan for integrating teams from both organizations during this transition period so everyone can stay informed about changes taking place throughout the process .  </a:t>
          </a:r>
        </a:p>
      </dsp:txBody>
      <dsp:txXfrm>
        <a:off x="4342784" y="468711"/>
        <a:ext cx="1472486" cy="1169224"/>
      </dsp:txXfrm>
    </dsp:sp>
    <dsp:sp modelId="{8A21F758-1EF8-462A-B1E1-5DE91CA28E77}">
      <dsp:nvSpPr>
        <dsp:cNvPr id="0" name=""/>
        <dsp:cNvSpPr/>
      </dsp:nvSpPr>
      <dsp:spPr>
        <a:xfrm>
          <a:off x="4062311" y="1637935"/>
          <a:ext cx="1752960" cy="1169224"/>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56896" rIns="56896" bIns="56896" numCol="1" spcCol="1270" anchor="ctr" anchorCtr="0">
          <a:noAutofit/>
        </a:bodyPr>
        <a:lstStyle/>
        <a:p>
          <a:pPr marL="0" lvl="0" indent="0" algn="l"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Provide training opportunities for newly hired or transferred employees so they can get up to speed quickly on company policies, procedures, etc., while also having access to resources they need if they have questions or need help understanding something .  </a:t>
          </a:r>
        </a:p>
      </dsp:txBody>
      <dsp:txXfrm>
        <a:off x="4342784" y="1637935"/>
        <a:ext cx="1472486" cy="1169224"/>
      </dsp:txXfrm>
    </dsp:sp>
    <dsp:sp modelId="{D70BF861-28FA-4C99-8D23-A604FBC25E68}">
      <dsp:nvSpPr>
        <dsp:cNvPr id="0" name=""/>
        <dsp:cNvSpPr/>
      </dsp:nvSpPr>
      <dsp:spPr>
        <a:xfrm>
          <a:off x="4062311" y="2807160"/>
          <a:ext cx="1752960" cy="1169224"/>
        </a:xfrm>
        <a:prstGeom prst="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56896" rIns="56896" bIns="56896" numCol="1" spcCol="1270" anchor="ctr" anchorCtr="0">
          <a:noAutofit/>
        </a:bodyPr>
        <a:lstStyle/>
        <a:p>
          <a:pPr marL="0" lvl="0" indent="0" algn="l"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panose="020F0502020204030204"/>
              <a:ea typeface="+mn-ea"/>
              <a:cs typeface="+mn-cs"/>
            </a:rPr>
            <a:t>Create a culture of transparency between departments by providing regular updates on company performance, changes in leadership or strategy, etc., so everyone is on the same page about where things stand within the organization at any given time .  </a:t>
          </a:r>
        </a:p>
      </dsp:txBody>
      <dsp:txXfrm>
        <a:off x="4342784" y="2807160"/>
        <a:ext cx="1472486" cy="1169224"/>
      </dsp:txXfrm>
    </dsp:sp>
    <dsp:sp modelId="{FCF87963-24A9-4F44-8B3E-F4AF30642143}">
      <dsp:nvSpPr>
        <dsp:cNvPr id="0" name=""/>
        <dsp:cNvSpPr/>
      </dsp:nvSpPr>
      <dsp:spPr>
        <a:xfrm>
          <a:off x="3127399" y="1255"/>
          <a:ext cx="1168640" cy="1168640"/>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289050">
            <a:lnSpc>
              <a:spcPct val="90000"/>
            </a:lnSpc>
            <a:spcBef>
              <a:spcPct val="0"/>
            </a:spcBef>
            <a:spcAft>
              <a:spcPct val="35000"/>
            </a:spcAft>
            <a:buNone/>
          </a:pPr>
          <a:r>
            <a:rPr lang="en-GB" sz="2900" kern="1200">
              <a:solidFill>
                <a:sysClr val="window" lastClr="FFFFFF"/>
              </a:solidFill>
              <a:latin typeface="Calibri" panose="020F0502020204030204"/>
              <a:ea typeface="+mn-ea"/>
              <a:cs typeface="+mn-cs"/>
            </a:rPr>
            <a:t>Post-stage</a:t>
          </a:r>
        </a:p>
      </dsp:txBody>
      <dsp:txXfrm>
        <a:off x="3298542" y="172398"/>
        <a:ext cx="826354" cy="826354"/>
      </dsp:txXfrm>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List9">
  <dgm:title val=""/>
  <dgm:desc val=""/>
  <dgm:catLst>
    <dgm:cat type="list" pri="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3" srcId="0" destId="1" srcOrd="0" destOrd="0"/>
        <dgm:cxn modelId="4"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1" destId="2" srcOrd="0" destOrd="0"/>
      </dgm:cxnLst>
      <dgm:bg/>
      <dgm:whole/>
    </dgm:dataModel>
  </dgm:styleData>
  <dgm:clrData>
    <dgm:dataModel>
      <dgm:ptLst>
        <dgm:pt modelId="0" type="doc"/>
        <dgm:pt modelId="1"/>
        <dgm:pt modelId="11"/>
        <dgm:pt modelId="12"/>
        <dgm:pt modelId="13"/>
        <dgm:pt modelId="14"/>
        <dgm:pt modelId="2"/>
        <dgm:pt modelId="21"/>
        <dgm:pt modelId="22"/>
        <dgm:pt modelId="23"/>
        <dgm:pt modelId="24"/>
        <dgm:pt modelId="3"/>
        <dgm:pt modelId="31"/>
        <dgm:pt modelId="32"/>
        <dgm:pt modelId="33"/>
        <dgm:pt modelId="34"/>
      </dgm:ptLst>
      <dgm:cxnLst>
        <dgm:cxn modelId="4" srcId="0" destId="1" srcOrd="0" destOrd="0"/>
        <dgm:cxn modelId="5" srcId="0" destId="2" srcOrd="1" destOrd="0"/>
        <dgm:cxn modelId="6" srcId="0" destId="3" srcOrd="1" destOrd="0"/>
        <dgm:cxn modelId="15" srcId="1" destId="11" srcOrd="0" destOrd="0"/>
        <dgm:cxn modelId="16" srcId="1" destId="12" srcOrd="0" destOrd="0"/>
        <dgm:cxn modelId="17" srcId="1" destId="13" srcOrd="0" destOrd="0"/>
        <dgm:cxn modelId="18" srcId="1" destId="14" srcOrd="0" destOrd="0"/>
        <dgm:cxn modelId="25" srcId="2" destId="21" srcOrd="0" destOrd="0"/>
        <dgm:cxn modelId="26" srcId="2" destId="22" srcOrd="0" destOrd="0"/>
        <dgm:cxn modelId="27" srcId="2" destId="23" srcOrd="0" destOrd="0"/>
        <dgm:cxn modelId="28" srcId="2" destId="24" srcOrd="0" destOrd="0"/>
        <dgm:cxn modelId="35" srcId="3" destId="31" srcOrd="0" destOrd="0"/>
        <dgm:cxn modelId="36" srcId="3" destId="32" srcOrd="0" destOrd="0"/>
        <dgm:cxn modelId="37" srcId="3" destId="33" srcOrd="0" destOrd="0"/>
        <dgm:cxn modelId="38" srcId="3" destId="34" srcOrd="0" destOrd="0"/>
      </dgm:cxnLst>
      <dgm:bg/>
      <dgm:whole/>
    </dgm:dataModel>
  </dgm:clrData>
  <dgm:layoutNode name="list">
    <dgm:varLst>
      <dgm:dir/>
      <dgm:animLvl val="lvl"/>
    </dgm:varLst>
    <dgm:choose name="Name0">
      <dgm:if name="Name1" func="var" arg="dir" op="equ" val="norm">
        <dgm:alg type="lin">
          <dgm:param type="linDir" val="fromL"/>
          <dgm:param type="fallback" val="2D"/>
          <dgm:param type="nodeVertAlign" val="t"/>
        </dgm:alg>
      </dgm:if>
      <dgm:else name="Name2">
        <dgm:alg type="lin">
          <dgm:param type="linDir" val="fromR"/>
          <dgm:param type="fallback" val="2D"/>
          <dgm:param type="nodeVertAlign" val="t"/>
        </dgm:alg>
      </dgm:else>
    </dgm:choose>
    <dgm:shape xmlns:r="http://schemas.openxmlformats.org/officeDocument/2006/relationships" r:blip="">
      <dgm:adjLst/>
    </dgm:shape>
    <dgm:presOf/>
    <dgm:constrLst>
      <dgm:constr type="w" for="ch" forName="circle" refType="w" fact="0.5"/>
      <dgm:constr type="w" for="ch" forName="vertFlow" refType="w" fact="0.75"/>
      <dgm:constr type="h" for="des" forName="firstComp" refType="w" refFor="ch" refForName="vertFlow" fact="0.667"/>
      <dgm:constr type="h" for="des" forName="comp" refType="h" refFor="des" refForName="firstComp" op="equ"/>
      <dgm:constr type="h" for="des" forName="topSpace" refType="w" refFor="ch" refForName="circle" op="equ" fact="0.4"/>
      <dgm:constr type="w" for="ch" forName="posSpace" refType="w" fact="0.4"/>
      <dgm:constr type="w" for="ch" forName="negSpace" refType="w" fact="-1.15"/>
      <dgm:constr type="w" for="ch" forName="transSpace" refType="w" fact="0.75"/>
      <dgm:constr type="primFontSz" for="ch" forName="circle" op="equ" val="65"/>
      <dgm:constr type="primFontSz" for="des" forName="firstChildTx" val="65"/>
      <dgm:constr type="primFontSz" for="des" forName="childTx" refType="primFontSz" refFor="des" refForName="firstChildTx" op="equ"/>
    </dgm:constrLst>
    <dgm:ruleLst/>
    <dgm:forEach name="Name3" axis="ch" ptType="node">
      <dgm:layoutNode name="posSpace">
        <dgm:alg type="sp"/>
        <dgm:shape xmlns:r="http://schemas.openxmlformats.org/officeDocument/2006/relationships" r:blip="">
          <dgm:adjLst/>
        </dgm:shape>
        <dgm:presOf/>
        <dgm:constrLst/>
        <dgm:ruleLst/>
      </dgm:layoutNode>
      <dgm:layoutNode name="vertFlow">
        <dgm:alg type="lin">
          <dgm:param type="linDir" val="fromT"/>
        </dgm:alg>
        <dgm:shape xmlns:r="http://schemas.openxmlformats.org/officeDocument/2006/relationships" r:blip="">
          <dgm:adjLst/>
        </dgm:shape>
        <dgm:presOf/>
        <dgm:constrLst>
          <dgm:constr type="w" for="ch" forName="firstComp" refType="w"/>
          <dgm:constr type="w" for="ch" forName="comp" refType="w"/>
        </dgm:constrLst>
        <dgm:ruleLst/>
        <dgm:layoutNode name="topSpace">
          <dgm:alg type="sp"/>
          <dgm:shape xmlns:r="http://schemas.openxmlformats.org/officeDocument/2006/relationships" r:blip="">
            <dgm:adjLst/>
          </dgm:shape>
          <dgm:presOf/>
          <dgm:constrLst/>
          <dgm:ruleLst/>
        </dgm:layoutNode>
        <dgm:layoutNode name="firstComp">
          <dgm:alg type="composite"/>
          <dgm:shape xmlns:r="http://schemas.openxmlformats.org/officeDocument/2006/relationships" r:blip="">
            <dgm:adjLst/>
          </dgm:shape>
          <dgm:presOf/>
          <dgm:choose name="Name4">
            <dgm:if name="Name5" func="var" arg="dir" op="equ" val="norm">
              <dgm:constrLst>
                <dgm:constr type="l" for="ch" forName="firstChild"/>
                <dgm:constr type="t" for="ch" forName="firstChild"/>
                <dgm:constr type="w" for="ch" forName="firstChild" refType="w"/>
                <dgm:constr type="h" for="ch" forName="firstChild" refType="h"/>
                <dgm:constr type="l" for="ch" forName="firstChildTx" refType="w" fact="0.16"/>
                <dgm:constr type="r" for="ch" forName="firstChildTx" refType="w"/>
                <dgm:constr type="h" for="ch" forName="firstChildTx" refFor="ch" refForName="firstChild" op="equ"/>
              </dgm:constrLst>
            </dgm:if>
            <dgm:else name="Name6">
              <dgm:constrLst>
                <dgm:constr type="l" for="ch" forName="firstChild"/>
                <dgm:constr type="t" for="ch" forName="firstChild"/>
                <dgm:constr type="w" for="ch" forName="firstChild" refType="w"/>
                <dgm:constr type="h" for="ch" forName="firstChild" refType="h"/>
                <dgm:constr type="l" for="ch" forName="firstChildTx"/>
                <dgm:constr type="r" for="ch" forName="firstChildTx" refType="w" fact="0.825"/>
                <dgm:constr type="h" for="ch" forName="firstChildTx" refFor="ch" refForName="firstChild" op="equ"/>
              </dgm:constrLst>
            </dgm:else>
          </dgm:choose>
          <dgm:ruleLst/>
          <dgm:layoutNode name="firstChild" styleLbl="bgAccFollowNode1">
            <dgm:alg type="sp"/>
            <dgm:shape xmlns:r="http://schemas.openxmlformats.org/officeDocument/2006/relationships" type="rect" r:blip="">
              <dgm:adjLst/>
            </dgm:shape>
            <dgm:presOf axis="ch desOrSelf" ptType="node node" cnt="1 0"/>
            <dgm:constrLst/>
            <dgm:ruleLst/>
          </dgm:layoutNode>
          <dgm:layoutNode name="firstChildTx" styleLbl="bgAccFollowNode1">
            <dgm:varLst>
              <dgm:bulletEnabled val="1"/>
            </dgm:varLst>
            <dgm:alg type="tx">
              <dgm:param type="parTxLTRAlign" val="l"/>
            </dgm:alg>
            <dgm:shape xmlns:r="http://schemas.openxmlformats.org/officeDocument/2006/relationships" type="rect" r:blip="" hideGeom="1">
              <dgm:adjLst/>
            </dgm:shape>
            <dgm:presOf axis="ch desOrSelf" ptType="node node" cnt="1 0"/>
            <dgm:choose name="Name7">
              <dgm:if name="Name8" func="var" arg="dir" op="equ" val="norm">
                <dgm:constrLst>
                  <dgm:constr type="primFontSz" val="65"/>
                  <dgm:constr type="lMarg"/>
                </dgm:constrLst>
              </dgm:if>
              <dgm:else name="Name9">
                <dgm:constrLst>
                  <dgm:constr type="primFontSz" val="65"/>
                  <dgm:constr type="rMarg"/>
                </dgm:constrLst>
              </dgm:else>
            </dgm:choose>
            <dgm:ruleLst>
              <dgm:rule type="primFontSz" val="5" fact="NaN" max="NaN"/>
            </dgm:ruleLst>
          </dgm:layoutNode>
        </dgm:layoutNode>
        <dgm:forEach name="Name10" axis="ch" ptType="node" st="2">
          <dgm:layoutNode name="comp">
            <dgm:alg type="composite"/>
            <dgm:shape xmlns:r="http://schemas.openxmlformats.org/officeDocument/2006/relationships" r:blip="">
              <dgm:adjLst/>
            </dgm:shape>
            <dgm:presOf/>
            <dgm:choose name="Name11">
              <dgm:if name="Name12" func="var" arg="dir" op="equ" val="norm">
                <dgm:constrLst>
                  <dgm:constr type="l" for="ch" forName="child"/>
                  <dgm:constr type="t" for="ch" forName="child"/>
                  <dgm:constr type="w" for="ch" forName="child" refType="w"/>
                  <dgm:constr type="h" for="ch" forName="child" refType="h"/>
                  <dgm:constr type="l" for="ch" forName="childTx" refType="w" fact="0.16"/>
                  <dgm:constr type="r" for="ch" forName="childTx" refType="w"/>
                  <dgm:constr type="h" for="ch" forName="childTx" refFor="ch" refForName="child" op="equ"/>
                </dgm:constrLst>
              </dgm:if>
              <dgm:else name="Name13">
                <dgm:constrLst>
                  <dgm:constr type="l" for="ch" forName="child"/>
                  <dgm:constr type="t" for="ch" forName="child"/>
                  <dgm:constr type="w" for="ch" forName="child" refType="w"/>
                  <dgm:constr type="h" for="ch" forName="child" refType="h"/>
                  <dgm:constr type="l" for="ch" forName="childTx"/>
                  <dgm:constr type="r" for="ch" forName="childTx" refType="w" fact="0.825"/>
                  <dgm:constr type="h" for="ch" forName="childTx" refFor="ch" refForName="child" op="equ"/>
                </dgm:constrLst>
              </dgm:else>
            </dgm:choose>
            <dgm:ruleLst/>
            <dgm:layoutNode name="child" styleLbl="bgAccFollowNode1">
              <dgm:alg type="sp"/>
              <dgm:shape xmlns:r="http://schemas.openxmlformats.org/officeDocument/2006/relationships" type="rect" r:blip="">
                <dgm:adjLst/>
              </dgm:shape>
              <dgm:presOf axis="desOrSelf" ptType="node"/>
              <dgm:constrLst/>
              <dgm:ruleLst/>
            </dgm:layoutNode>
            <dgm:layoutNode name="childTx" styleLbl="bgAccFollowNode1">
              <dgm:varLst>
                <dgm:bulletEnabled val="1"/>
              </dgm:varLst>
              <dgm:alg type="tx">
                <dgm:param type="parTxLTRAlign" val="l"/>
              </dgm:alg>
              <dgm:shape xmlns:r="http://schemas.openxmlformats.org/officeDocument/2006/relationships" type="rect" r:blip="" hideGeom="1">
                <dgm:adjLst/>
              </dgm:shape>
              <dgm:presOf axis="desOrSelf" ptType="node"/>
              <dgm:choose name="Name14">
                <dgm:if name="Name15" func="var" arg="dir" op="equ" val="norm">
                  <dgm:constrLst>
                    <dgm:constr type="primFontSz" val="65"/>
                    <dgm:constr type="lMarg"/>
                  </dgm:constrLst>
                </dgm:if>
                <dgm:else name="Name16">
                  <dgm:constrLst>
                    <dgm:constr type="primFontSz" val="65"/>
                    <dgm:constr type="rMarg"/>
                  </dgm:constrLst>
                </dgm:else>
              </dgm:choose>
              <dgm:ruleLst>
                <dgm:rule type="primFontSz" val="5" fact="NaN" max="NaN"/>
              </dgm:ruleLst>
            </dgm:layoutNode>
          </dgm:layoutNode>
        </dgm:forEach>
      </dgm:layoutNode>
      <dgm:layoutNode name="negSpace">
        <dgm:alg type="sp"/>
        <dgm:shape xmlns:r="http://schemas.openxmlformats.org/officeDocument/2006/relationships" r:blip="">
          <dgm:adjLst/>
        </dgm:shape>
        <dgm:presOf/>
        <dgm:constrLst/>
        <dgm:ruleLst/>
      </dgm:layoutNode>
      <dgm:layoutNode name="circle" styleLbl="node1">
        <dgm:alg type="tx"/>
        <dgm:shape xmlns:r="http://schemas.openxmlformats.org/officeDocument/2006/relationships" type="ellipse" r:blip="">
          <dgm:adjLst/>
        </dgm:shape>
        <dgm:presOf axis="self"/>
        <dgm:constrLst>
          <dgm:constr type="lMarg"/>
          <dgm:constr type="rMarg"/>
          <dgm:constr type="tMarg"/>
          <dgm:constr type="bMarg"/>
          <dgm:constr type="h" refType="w"/>
        </dgm:constrLst>
        <dgm:ruleLst>
          <dgm:rule type="primFontSz" val="5" fact="NaN" max="NaN"/>
        </dgm:ruleLst>
      </dgm:layoutNode>
      <dgm:forEach name="Name17" axis="followSib" ptType="sibTrans" cnt="1">
        <dgm:layoutNode name="trans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List9">
  <dgm:title val=""/>
  <dgm:desc val=""/>
  <dgm:catLst>
    <dgm:cat type="list" pri="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3" srcId="0" destId="1" srcOrd="0" destOrd="0"/>
        <dgm:cxn modelId="4"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1" destId="2" srcOrd="0" destOrd="0"/>
      </dgm:cxnLst>
      <dgm:bg/>
      <dgm:whole/>
    </dgm:dataModel>
  </dgm:styleData>
  <dgm:clrData>
    <dgm:dataModel>
      <dgm:ptLst>
        <dgm:pt modelId="0" type="doc"/>
        <dgm:pt modelId="1"/>
        <dgm:pt modelId="11"/>
        <dgm:pt modelId="12"/>
        <dgm:pt modelId="13"/>
        <dgm:pt modelId="14"/>
        <dgm:pt modelId="2"/>
        <dgm:pt modelId="21"/>
        <dgm:pt modelId="22"/>
        <dgm:pt modelId="23"/>
        <dgm:pt modelId="24"/>
        <dgm:pt modelId="3"/>
        <dgm:pt modelId="31"/>
        <dgm:pt modelId="32"/>
        <dgm:pt modelId="33"/>
        <dgm:pt modelId="34"/>
      </dgm:ptLst>
      <dgm:cxnLst>
        <dgm:cxn modelId="4" srcId="0" destId="1" srcOrd="0" destOrd="0"/>
        <dgm:cxn modelId="5" srcId="0" destId="2" srcOrd="1" destOrd="0"/>
        <dgm:cxn modelId="6" srcId="0" destId="3" srcOrd="1" destOrd="0"/>
        <dgm:cxn modelId="15" srcId="1" destId="11" srcOrd="0" destOrd="0"/>
        <dgm:cxn modelId="16" srcId="1" destId="12" srcOrd="0" destOrd="0"/>
        <dgm:cxn modelId="17" srcId="1" destId="13" srcOrd="0" destOrd="0"/>
        <dgm:cxn modelId="18" srcId="1" destId="14" srcOrd="0" destOrd="0"/>
        <dgm:cxn modelId="25" srcId="2" destId="21" srcOrd="0" destOrd="0"/>
        <dgm:cxn modelId="26" srcId="2" destId="22" srcOrd="0" destOrd="0"/>
        <dgm:cxn modelId="27" srcId="2" destId="23" srcOrd="0" destOrd="0"/>
        <dgm:cxn modelId="28" srcId="2" destId="24" srcOrd="0" destOrd="0"/>
        <dgm:cxn modelId="35" srcId="3" destId="31" srcOrd="0" destOrd="0"/>
        <dgm:cxn modelId="36" srcId="3" destId="32" srcOrd="0" destOrd="0"/>
        <dgm:cxn modelId="37" srcId="3" destId="33" srcOrd="0" destOrd="0"/>
        <dgm:cxn modelId="38" srcId="3" destId="34" srcOrd="0" destOrd="0"/>
      </dgm:cxnLst>
      <dgm:bg/>
      <dgm:whole/>
    </dgm:dataModel>
  </dgm:clrData>
  <dgm:layoutNode name="list">
    <dgm:varLst>
      <dgm:dir/>
      <dgm:animLvl val="lvl"/>
    </dgm:varLst>
    <dgm:choose name="Name0">
      <dgm:if name="Name1" func="var" arg="dir" op="equ" val="norm">
        <dgm:alg type="lin">
          <dgm:param type="linDir" val="fromL"/>
          <dgm:param type="fallback" val="2D"/>
          <dgm:param type="nodeVertAlign" val="t"/>
        </dgm:alg>
      </dgm:if>
      <dgm:else name="Name2">
        <dgm:alg type="lin">
          <dgm:param type="linDir" val="fromR"/>
          <dgm:param type="fallback" val="2D"/>
          <dgm:param type="nodeVertAlign" val="t"/>
        </dgm:alg>
      </dgm:else>
    </dgm:choose>
    <dgm:shape xmlns:r="http://schemas.openxmlformats.org/officeDocument/2006/relationships" r:blip="">
      <dgm:adjLst/>
    </dgm:shape>
    <dgm:presOf/>
    <dgm:constrLst>
      <dgm:constr type="w" for="ch" forName="circle" refType="w" fact="0.5"/>
      <dgm:constr type="w" for="ch" forName="vertFlow" refType="w" fact="0.75"/>
      <dgm:constr type="h" for="des" forName="firstComp" refType="w" refFor="ch" refForName="vertFlow" fact="0.667"/>
      <dgm:constr type="h" for="des" forName="comp" refType="h" refFor="des" refForName="firstComp" op="equ"/>
      <dgm:constr type="h" for="des" forName="topSpace" refType="w" refFor="ch" refForName="circle" op="equ" fact="0.4"/>
      <dgm:constr type="w" for="ch" forName="posSpace" refType="w" fact="0.4"/>
      <dgm:constr type="w" for="ch" forName="negSpace" refType="w" fact="-1.15"/>
      <dgm:constr type="w" for="ch" forName="transSpace" refType="w" fact="0.75"/>
      <dgm:constr type="primFontSz" for="ch" forName="circle" op="equ" val="65"/>
      <dgm:constr type="primFontSz" for="des" forName="firstChildTx" val="65"/>
      <dgm:constr type="primFontSz" for="des" forName="childTx" refType="primFontSz" refFor="des" refForName="firstChildTx" op="equ"/>
    </dgm:constrLst>
    <dgm:ruleLst/>
    <dgm:forEach name="Name3" axis="ch" ptType="node">
      <dgm:layoutNode name="posSpace">
        <dgm:alg type="sp"/>
        <dgm:shape xmlns:r="http://schemas.openxmlformats.org/officeDocument/2006/relationships" r:blip="">
          <dgm:adjLst/>
        </dgm:shape>
        <dgm:presOf/>
        <dgm:constrLst/>
        <dgm:ruleLst/>
      </dgm:layoutNode>
      <dgm:layoutNode name="vertFlow">
        <dgm:alg type="lin">
          <dgm:param type="linDir" val="fromT"/>
        </dgm:alg>
        <dgm:shape xmlns:r="http://schemas.openxmlformats.org/officeDocument/2006/relationships" r:blip="">
          <dgm:adjLst/>
        </dgm:shape>
        <dgm:presOf/>
        <dgm:constrLst>
          <dgm:constr type="w" for="ch" forName="firstComp" refType="w"/>
          <dgm:constr type="w" for="ch" forName="comp" refType="w"/>
        </dgm:constrLst>
        <dgm:ruleLst/>
        <dgm:layoutNode name="topSpace">
          <dgm:alg type="sp"/>
          <dgm:shape xmlns:r="http://schemas.openxmlformats.org/officeDocument/2006/relationships" r:blip="">
            <dgm:adjLst/>
          </dgm:shape>
          <dgm:presOf/>
          <dgm:constrLst/>
          <dgm:ruleLst/>
        </dgm:layoutNode>
        <dgm:layoutNode name="firstComp">
          <dgm:alg type="composite"/>
          <dgm:shape xmlns:r="http://schemas.openxmlformats.org/officeDocument/2006/relationships" r:blip="">
            <dgm:adjLst/>
          </dgm:shape>
          <dgm:presOf/>
          <dgm:choose name="Name4">
            <dgm:if name="Name5" func="var" arg="dir" op="equ" val="norm">
              <dgm:constrLst>
                <dgm:constr type="l" for="ch" forName="firstChild"/>
                <dgm:constr type="t" for="ch" forName="firstChild"/>
                <dgm:constr type="w" for="ch" forName="firstChild" refType="w"/>
                <dgm:constr type="h" for="ch" forName="firstChild" refType="h"/>
                <dgm:constr type="l" for="ch" forName="firstChildTx" refType="w" fact="0.16"/>
                <dgm:constr type="r" for="ch" forName="firstChildTx" refType="w"/>
                <dgm:constr type="h" for="ch" forName="firstChildTx" refFor="ch" refForName="firstChild" op="equ"/>
              </dgm:constrLst>
            </dgm:if>
            <dgm:else name="Name6">
              <dgm:constrLst>
                <dgm:constr type="l" for="ch" forName="firstChild"/>
                <dgm:constr type="t" for="ch" forName="firstChild"/>
                <dgm:constr type="w" for="ch" forName="firstChild" refType="w"/>
                <dgm:constr type="h" for="ch" forName="firstChild" refType="h"/>
                <dgm:constr type="l" for="ch" forName="firstChildTx"/>
                <dgm:constr type="r" for="ch" forName="firstChildTx" refType="w" fact="0.825"/>
                <dgm:constr type="h" for="ch" forName="firstChildTx" refFor="ch" refForName="firstChild" op="equ"/>
              </dgm:constrLst>
            </dgm:else>
          </dgm:choose>
          <dgm:ruleLst/>
          <dgm:layoutNode name="firstChild" styleLbl="bgAccFollowNode1">
            <dgm:alg type="sp"/>
            <dgm:shape xmlns:r="http://schemas.openxmlformats.org/officeDocument/2006/relationships" type="rect" r:blip="">
              <dgm:adjLst/>
            </dgm:shape>
            <dgm:presOf axis="ch desOrSelf" ptType="node node" cnt="1 0"/>
            <dgm:constrLst/>
            <dgm:ruleLst/>
          </dgm:layoutNode>
          <dgm:layoutNode name="firstChildTx" styleLbl="bgAccFollowNode1">
            <dgm:varLst>
              <dgm:bulletEnabled val="1"/>
            </dgm:varLst>
            <dgm:alg type="tx">
              <dgm:param type="parTxLTRAlign" val="l"/>
            </dgm:alg>
            <dgm:shape xmlns:r="http://schemas.openxmlformats.org/officeDocument/2006/relationships" type="rect" r:blip="" hideGeom="1">
              <dgm:adjLst/>
            </dgm:shape>
            <dgm:presOf axis="ch desOrSelf" ptType="node node" cnt="1 0"/>
            <dgm:choose name="Name7">
              <dgm:if name="Name8" func="var" arg="dir" op="equ" val="norm">
                <dgm:constrLst>
                  <dgm:constr type="primFontSz" val="65"/>
                  <dgm:constr type="lMarg"/>
                </dgm:constrLst>
              </dgm:if>
              <dgm:else name="Name9">
                <dgm:constrLst>
                  <dgm:constr type="primFontSz" val="65"/>
                  <dgm:constr type="rMarg"/>
                </dgm:constrLst>
              </dgm:else>
            </dgm:choose>
            <dgm:ruleLst>
              <dgm:rule type="primFontSz" val="5" fact="NaN" max="NaN"/>
            </dgm:ruleLst>
          </dgm:layoutNode>
        </dgm:layoutNode>
        <dgm:forEach name="Name10" axis="ch" ptType="node" st="2">
          <dgm:layoutNode name="comp">
            <dgm:alg type="composite"/>
            <dgm:shape xmlns:r="http://schemas.openxmlformats.org/officeDocument/2006/relationships" r:blip="">
              <dgm:adjLst/>
            </dgm:shape>
            <dgm:presOf/>
            <dgm:choose name="Name11">
              <dgm:if name="Name12" func="var" arg="dir" op="equ" val="norm">
                <dgm:constrLst>
                  <dgm:constr type="l" for="ch" forName="child"/>
                  <dgm:constr type="t" for="ch" forName="child"/>
                  <dgm:constr type="w" for="ch" forName="child" refType="w"/>
                  <dgm:constr type="h" for="ch" forName="child" refType="h"/>
                  <dgm:constr type="l" for="ch" forName="childTx" refType="w" fact="0.16"/>
                  <dgm:constr type="r" for="ch" forName="childTx" refType="w"/>
                  <dgm:constr type="h" for="ch" forName="childTx" refFor="ch" refForName="child" op="equ"/>
                </dgm:constrLst>
              </dgm:if>
              <dgm:else name="Name13">
                <dgm:constrLst>
                  <dgm:constr type="l" for="ch" forName="child"/>
                  <dgm:constr type="t" for="ch" forName="child"/>
                  <dgm:constr type="w" for="ch" forName="child" refType="w"/>
                  <dgm:constr type="h" for="ch" forName="child" refType="h"/>
                  <dgm:constr type="l" for="ch" forName="childTx"/>
                  <dgm:constr type="r" for="ch" forName="childTx" refType="w" fact="0.825"/>
                  <dgm:constr type="h" for="ch" forName="childTx" refFor="ch" refForName="child" op="equ"/>
                </dgm:constrLst>
              </dgm:else>
            </dgm:choose>
            <dgm:ruleLst/>
            <dgm:layoutNode name="child" styleLbl="bgAccFollowNode1">
              <dgm:alg type="sp"/>
              <dgm:shape xmlns:r="http://schemas.openxmlformats.org/officeDocument/2006/relationships" type="rect" r:blip="">
                <dgm:adjLst/>
              </dgm:shape>
              <dgm:presOf axis="desOrSelf" ptType="node"/>
              <dgm:constrLst/>
              <dgm:ruleLst/>
            </dgm:layoutNode>
            <dgm:layoutNode name="childTx" styleLbl="bgAccFollowNode1">
              <dgm:varLst>
                <dgm:bulletEnabled val="1"/>
              </dgm:varLst>
              <dgm:alg type="tx">
                <dgm:param type="parTxLTRAlign" val="l"/>
              </dgm:alg>
              <dgm:shape xmlns:r="http://schemas.openxmlformats.org/officeDocument/2006/relationships" type="rect" r:blip="" hideGeom="1">
                <dgm:adjLst/>
              </dgm:shape>
              <dgm:presOf axis="desOrSelf" ptType="node"/>
              <dgm:choose name="Name14">
                <dgm:if name="Name15" func="var" arg="dir" op="equ" val="norm">
                  <dgm:constrLst>
                    <dgm:constr type="primFontSz" val="65"/>
                    <dgm:constr type="lMarg"/>
                  </dgm:constrLst>
                </dgm:if>
                <dgm:else name="Name16">
                  <dgm:constrLst>
                    <dgm:constr type="primFontSz" val="65"/>
                    <dgm:constr type="rMarg"/>
                  </dgm:constrLst>
                </dgm:else>
              </dgm:choose>
              <dgm:ruleLst>
                <dgm:rule type="primFontSz" val="5" fact="NaN" max="NaN"/>
              </dgm:ruleLst>
            </dgm:layoutNode>
          </dgm:layoutNode>
        </dgm:forEach>
      </dgm:layoutNode>
      <dgm:layoutNode name="negSpace">
        <dgm:alg type="sp"/>
        <dgm:shape xmlns:r="http://schemas.openxmlformats.org/officeDocument/2006/relationships" r:blip="">
          <dgm:adjLst/>
        </dgm:shape>
        <dgm:presOf/>
        <dgm:constrLst/>
        <dgm:ruleLst/>
      </dgm:layoutNode>
      <dgm:layoutNode name="circle" styleLbl="node1">
        <dgm:alg type="tx"/>
        <dgm:shape xmlns:r="http://schemas.openxmlformats.org/officeDocument/2006/relationships" type="ellipse" r:blip="">
          <dgm:adjLst/>
        </dgm:shape>
        <dgm:presOf axis="self"/>
        <dgm:constrLst>
          <dgm:constr type="lMarg"/>
          <dgm:constr type="rMarg"/>
          <dgm:constr type="tMarg"/>
          <dgm:constr type="bMarg"/>
          <dgm:constr type="h" refType="w"/>
        </dgm:constrLst>
        <dgm:ruleLst>
          <dgm:rule type="primFontSz" val="5" fact="NaN" max="NaN"/>
        </dgm:ruleLst>
      </dgm:layoutNode>
      <dgm:forEach name="Name17" axis="followSib" ptType="sibTrans" cnt="1">
        <dgm:layoutNode name="trans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3" ma:contentTypeDescription="Create a new document." ma:contentTypeScope="" ma:versionID="808a1fe9832ec0be7ad570cb3bdba7db">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1bf0ebbd5714e73d43d0bf0f1f833202"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1F09929-F114-49D7-A83B-22DC6F5523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C4C070-C06F-40A1-8FFB-DAEFD55376CB}">
  <ds:schemaRefs>
    <ds:schemaRef ds:uri="http://schemas.microsoft.com/sharepoint/v3/contenttype/forms"/>
  </ds:schemaRefs>
</ds:datastoreItem>
</file>

<file path=customXml/itemProps3.xml><?xml version="1.0" encoding="utf-8"?>
<ds:datastoreItem xmlns:ds="http://schemas.openxmlformats.org/officeDocument/2006/customXml" ds:itemID="{462B5989-B4B8-4644-9C49-5280E1B33B3C}">
  <ds:schemaRefs>
    <ds:schemaRef ds:uri="http://purl.org/dc/elements/1.1/"/>
    <ds:schemaRef ds:uri="http://purl.org/dc/terms/"/>
    <ds:schemaRef ds:uri="http://schemas.openxmlformats.org/package/2006/metadata/core-properties"/>
    <ds:schemaRef ds:uri="http://purl.org/dc/dcmitype/"/>
    <ds:schemaRef ds:uri="http://schemas.microsoft.com/office/2006/documentManagement/types"/>
    <ds:schemaRef ds:uri="be49ff73-cec0-4379-9da8-63ff3cc411bb"/>
    <ds:schemaRef ds:uri="http://www.w3.org/XML/1998/namespace"/>
    <ds:schemaRef ds:uri="http://schemas.microsoft.com/office/2006/metadata/properties"/>
    <ds:schemaRef ds:uri="http://schemas.microsoft.com/office/infopath/2007/PartnerControls"/>
    <ds:schemaRef ds:uri="90b58af8-24e5-4252-ab67-b2f2985aee88"/>
  </ds:schemaRefs>
</ds:datastoreItem>
</file>

<file path=customXml/itemProps4.xml><?xml version="1.0" encoding="utf-8"?>
<ds:datastoreItem xmlns:ds="http://schemas.openxmlformats.org/officeDocument/2006/customXml" ds:itemID="{6E7A83B8-06F2-4C47-AE1D-F696CE7A3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3864</Words>
  <Characters>22025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vasilka sarandalieva</dc:creator>
  <cp:keywords/>
  <dc:description/>
  <cp:lastModifiedBy>vasilka</cp:lastModifiedBy>
  <cp:revision>2</cp:revision>
  <dcterms:created xsi:type="dcterms:W3CDTF">2023-03-22T16:33:00Z</dcterms:created>
  <dcterms:modified xsi:type="dcterms:W3CDTF">2023-03-22T16:33:00Z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