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8387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96.4pt;height:54.8pt;mso-position-horizontal-relative:char;mso-position-vertical-relative:line" id="docshapegroup1" coordorigin="0,0" coordsize="1928,1096">
            <v:shape style="position:absolute;left:15;top:719;width:1853;height:377" type="#_x0000_t75" id="docshape2" stroked="false">
              <v:imagedata r:id="rId5" o:title=""/>
            </v:shape>
            <v:shape style="position:absolute;left:-1;top:0;width:1928;height:655" id="docshape3" coordorigin="0,0" coordsize="1928,655" path="m578,542l507,470,466,504,425,530,379,546,325,552,257,540,199,508,155,460,127,398,117,326,127,255,155,193,199,145,257,113,325,102,376,108,422,124,463,149,502,181,574,98,526,59,471,28,405,7,326,0,248,9,178,33,117,72,68,123,31,184,8,253,0,328,8,403,32,472,69,533,118,583,177,621,246,646,322,654,402,646,470,624,527,589,578,542xm748,11l638,11,638,643,748,643,748,11xm1314,223l1303,151,1282,112,1272,93,1222,48,1201,40,1201,224,1191,268,1164,304,1121,329,1065,339,1002,339,947,393,947,183,952,153,965,131,987,117,1018,112,1065,112,1118,120,1161,142,1190,178,1201,224,1201,40,1155,21,1074,11,836,11,836,643,947,643,947,440,1061,440,1141,431,1210,405,1225,393,1265,361,1301,301,1314,223xm1928,326l1919,252,1896,185,1858,127,1842,112,1811,82,1811,328,1801,398,1772,457,1726,503,1665,532,1591,542,1478,542,1478,112,1591,112,1665,123,1726,152,1772,198,1801,258,1811,328,1811,82,1807,79,1745,42,1673,19,1591,11,1366,11,1366,643,1591,643,1673,635,1745,612,1807,575,1841,542,1858,526,1896,467,1919,400,1928,326xe" filled="true" fillcolor="#601c70" stroked="false">
              <v:path arrowok="t"/>
              <v:fill type="solid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2"/>
        </w:rPr>
      </w:pPr>
    </w:p>
    <w:p>
      <w:pPr>
        <w:pStyle w:val="Title"/>
      </w:pPr>
      <w:r>
        <w:rPr>
          <w:color w:val="333333"/>
          <w:spacing w:val="-1"/>
        </w:rPr>
        <w:t>PESTLE</w:t>
      </w:r>
      <w:r>
        <w:rPr>
          <w:color w:val="333333"/>
          <w:spacing w:val="-26"/>
        </w:rPr>
        <w:t> </w:t>
      </w:r>
      <w:r>
        <w:rPr>
          <w:color w:val="333333"/>
        </w:rPr>
        <w:t>template</w:t>
      </w:r>
    </w:p>
    <w:p>
      <w:pPr>
        <w:pStyle w:val="BodyText"/>
        <w:spacing w:before="11"/>
        <w:rPr>
          <w:sz w:val="15"/>
        </w:rPr>
      </w:pPr>
    </w:p>
    <w:tbl>
      <w:tblPr>
        <w:tblW w:w="0" w:type="auto"/>
        <w:jc w:val="left"/>
        <w:tblInd w:w="11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8"/>
        <w:gridCol w:w="1984"/>
        <w:gridCol w:w="3685"/>
        <w:gridCol w:w="2098"/>
      </w:tblGrid>
      <w:tr>
        <w:trPr>
          <w:trHeight w:val="604" w:hRule="atLeast"/>
        </w:trPr>
        <w:tc>
          <w:tcPr>
            <w:tcW w:w="2438" w:type="dxa"/>
            <w:tcBorders>
              <w:top w:val="nil"/>
              <w:left w:val="nil"/>
            </w:tcBorders>
            <w:shd w:val="clear" w:color="auto" w:fill="58595B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58595B"/>
          </w:tcPr>
          <w:p>
            <w:pPr>
              <w:pStyle w:val="TableParagraph"/>
              <w:spacing w:before="73"/>
              <w:ind w:right="209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External</w:t>
            </w:r>
            <w:r>
              <w:rPr>
                <w:color w:val="FFFFFF"/>
                <w:spacing w:val="-12"/>
                <w:sz w:val="20"/>
              </w:rPr>
              <w:t> </w:t>
            </w:r>
            <w:r>
              <w:rPr>
                <w:color w:val="FFFFFF"/>
                <w:spacing w:val="-2"/>
                <w:sz w:val="20"/>
              </w:rPr>
              <w:t>factors</w:t>
            </w:r>
            <w:r>
              <w:rPr>
                <w:color w:val="FFFFFF"/>
                <w:spacing w:val="-11"/>
                <w:sz w:val="20"/>
              </w:rPr>
              <w:t> </w:t>
            </w:r>
            <w:r>
              <w:rPr>
                <w:color w:val="FFFFFF"/>
                <w:spacing w:val="-1"/>
                <w:sz w:val="20"/>
              </w:rPr>
              <w:t>to</w:t>
            </w:r>
            <w:r>
              <w:rPr>
                <w:color w:val="FFFFFF"/>
                <w:spacing w:val="-60"/>
                <w:sz w:val="20"/>
              </w:rPr>
              <w:t> </w:t>
            </w:r>
            <w:r>
              <w:rPr>
                <w:color w:val="FFFFFF"/>
                <w:sz w:val="20"/>
              </w:rPr>
              <w:t>consider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58595B"/>
          </w:tcPr>
          <w:p>
            <w:pPr>
              <w:pStyle w:val="TableParagraph"/>
              <w:spacing w:before="11"/>
              <w:ind w:left="0"/>
              <w:rPr>
                <w:sz w:val="25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color w:val="FFFFFF"/>
                <w:sz w:val="20"/>
              </w:rPr>
              <w:t>Factors</w:t>
            </w:r>
            <w:r>
              <w:rPr>
                <w:color w:val="FFFFFF"/>
                <w:spacing w:val="-16"/>
                <w:sz w:val="20"/>
              </w:rPr>
              <w:t> </w:t>
            </w:r>
            <w:r>
              <w:rPr>
                <w:color w:val="FFFFFF"/>
                <w:sz w:val="20"/>
              </w:rPr>
              <w:t>affected</w:t>
            </w:r>
            <w:r>
              <w:rPr>
                <w:color w:val="FFFFFF"/>
                <w:spacing w:val="-15"/>
                <w:sz w:val="20"/>
              </w:rPr>
              <w:t> </w:t>
            </w:r>
            <w:r>
              <w:rPr>
                <w:color w:val="FFFFFF"/>
                <w:sz w:val="20"/>
              </w:rPr>
              <w:t>within</w:t>
            </w:r>
            <w:r>
              <w:rPr>
                <w:color w:val="FFFFFF"/>
                <w:spacing w:val="-16"/>
                <w:sz w:val="20"/>
              </w:rPr>
              <w:t> </w:t>
            </w:r>
            <w:r>
              <w:rPr>
                <w:color w:val="FFFFFF"/>
                <w:sz w:val="20"/>
              </w:rPr>
              <w:t>my</w:t>
            </w:r>
            <w:r>
              <w:rPr>
                <w:color w:val="FFFFFF"/>
                <w:spacing w:val="-15"/>
                <w:sz w:val="20"/>
              </w:rPr>
              <w:t> </w:t>
            </w:r>
            <w:r>
              <w:rPr>
                <w:color w:val="FFFFFF"/>
                <w:sz w:val="20"/>
              </w:rPr>
              <w:t>industry</w:t>
            </w:r>
          </w:p>
        </w:tc>
        <w:tc>
          <w:tcPr>
            <w:tcW w:w="2098" w:type="dxa"/>
            <w:tcBorders>
              <w:top w:val="nil"/>
              <w:right w:val="nil"/>
            </w:tcBorders>
            <w:shd w:val="clear" w:color="auto" w:fill="58595B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color w:val="FFFFFF"/>
                <w:w w:val="95"/>
                <w:sz w:val="20"/>
              </w:rPr>
              <w:t>Importance to</w:t>
            </w:r>
            <w:r>
              <w:rPr>
                <w:color w:val="FFFFFF"/>
                <w:spacing w:val="-56"/>
                <w:w w:val="95"/>
                <w:sz w:val="20"/>
              </w:rPr>
              <w:t> </w:t>
            </w:r>
            <w:r>
              <w:rPr>
                <w:color w:val="FFFFFF"/>
                <w:sz w:val="20"/>
              </w:rPr>
              <w:t>organisation</w:t>
            </w:r>
          </w:p>
        </w:tc>
      </w:tr>
      <w:tr>
        <w:trPr>
          <w:trHeight w:val="3398" w:hRule="atLeast"/>
        </w:trPr>
        <w:tc>
          <w:tcPr>
            <w:tcW w:w="2438" w:type="dxa"/>
            <w:tcBorders>
              <w:left w:val="nil"/>
            </w:tcBorders>
            <w:shd w:val="clear" w:color="auto" w:fill="520D5D"/>
          </w:tcPr>
          <w:p>
            <w:pPr>
              <w:pStyle w:val="TableParagraph"/>
              <w:spacing w:before="41"/>
              <w:rPr>
                <w:rFonts w:ascii="Verdana"/>
                <w:sz w:val="24"/>
              </w:rPr>
            </w:pPr>
            <w:r>
              <w:rPr>
                <w:rFonts w:ascii="Verdana"/>
                <w:color w:val="FFFFFF"/>
                <w:w w:val="105"/>
                <w:sz w:val="24"/>
              </w:rPr>
              <w:t>POLITICAL</w:t>
            </w:r>
          </w:p>
        </w:tc>
        <w:tc>
          <w:tcPr>
            <w:tcW w:w="1984" w:type="dxa"/>
            <w:shd w:val="clear" w:color="auto" w:fill="E5DBE7"/>
          </w:tcPr>
          <w:p>
            <w:pPr>
              <w:pStyle w:val="TableParagraph"/>
              <w:spacing w:before="50"/>
              <w:ind w:right="209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Government </w:t>
            </w:r>
            <w:r>
              <w:rPr>
                <w:color w:val="333333"/>
                <w:spacing w:val="-1"/>
                <w:sz w:val="20"/>
              </w:rPr>
              <w:t>policy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Political stability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Tax</w:t>
            </w:r>
          </w:p>
          <w:p>
            <w:pPr>
              <w:pStyle w:val="TableParagraph"/>
              <w:spacing w:line="237" w:lineRule="auto"/>
              <w:ind w:right="96"/>
              <w:rPr>
                <w:sz w:val="20"/>
              </w:rPr>
            </w:pPr>
            <w:r>
              <w:rPr>
                <w:color w:val="333333"/>
                <w:w w:val="95"/>
                <w:sz w:val="20"/>
              </w:rPr>
              <w:t>Industry</w:t>
            </w:r>
            <w:r>
              <w:rPr>
                <w:color w:val="333333"/>
                <w:spacing w:val="8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regulations</w:t>
            </w:r>
            <w:r>
              <w:rPr>
                <w:color w:val="333333"/>
                <w:spacing w:val="-56"/>
                <w:w w:val="95"/>
                <w:sz w:val="20"/>
              </w:rPr>
              <w:t> </w:t>
            </w:r>
            <w:r>
              <w:rPr>
                <w:color w:val="333333"/>
                <w:sz w:val="20"/>
              </w:rPr>
              <w:t>Global trade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agreements</w:t>
            </w:r>
            <w:r>
              <w:rPr>
                <w:color w:val="333333"/>
                <w:spacing w:val="4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and</w:t>
            </w:r>
            <w:r>
              <w:rPr>
                <w:color w:val="333333"/>
                <w:spacing w:val="5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or</w:t>
            </w:r>
            <w:r>
              <w:rPr>
                <w:color w:val="333333"/>
                <w:spacing w:val="1"/>
                <w:w w:val="95"/>
                <w:sz w:val="20"/>
              </w:rPr>
              <w:t> </w:t>
            </w:r>
            <w:r>
              <w:rPr>
                <w:color w:val="333333"/>
                <w:sz w:val="20"/>
              </w:rPr>
              <w:t>restrictions</w:t>
            </w:r>
          </w:p>
        </w:tc>
        <w:tc>
          <w:tcPr>
            <w:tcW w:w="3685" w:type="dxa"/>
            <w:shd w:val="clear" w:color="auto" w:fill="E5DBE7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  <w:tcBorders>
              <w:right w:val="nil"/>
            </w:tcBorders>
            <w:shd w:val="clear" w:color="auto" w:fill="E5DBE7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718" w:hRule="atLeast"/>
        </w:trPr>
        <w:tc>
          <w:tcPr>
            <w:tcW w:w="2438" w:type="dxa"/>
            <w:tcBorders>
              <w:left w:val="nil"/>
            </w:tcBorders>
            <w:shd w:val="clear" w:color="auto" w:fill="FFC20E"/>
          </w:tcPr>
          <w:p>
            <w:pPr>
              <w:pStyle w:val="TableParagraph"/>
              <w:spacing w:before="41"/>
              <w:rPr>
                <w:rFonts w:ascii="Verdana"/>
                <w:sz w:val="24"/>
              </w:rPr>
            </w:pPr>
            <w:r>
              <w:rPr>
                <w:rFonts w:ascii="Verdana"/>
                <w:color w:val="333333"/>
                <w:w w:val="105"/>
                <w:sz w:val="24"/>
              </w:rPr>
              <w:t>ECONOMIC</w:t>
            </w:r>
          </w:p>
        </w:tc>
        <w:tc>
          <w:tcPr>
            <w:tcW w:w="1984" w:type="dxa"/>
            <w:shd w:val="clear" w:color="auto" w:fill="FFF6DB"/>
          </w:tcPr>
          <w:p>
            <w:pPr>
              <w:pStyle w:val="TableParagraph"/>
              <w:spacing w:before="50"/>
              <w:ind w:right="241"/>
              <w:rPr>
                <w:sz w:val="20"/>
              </w:rPr>
            </w:pPr>
            <w:r>
              <w:rPr>
                <w:color w:val="333333"/>
                <w:spacing w:val="-1"/>
                <w:sz w:val="20"/>
              </w:rPr>
              <w:t>Exchange rates</w:t>
            </w:r>
            <w:r>
              <w:rPr>
                <w:color w:val="333333"/>
                <w:sz w:val="20"/>
              </w:rPr>
              <w:t> Globalisation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1"/>
                <w:sz w:val="20"/>
              </w:rPr>
              <w:t>Economic </w:t>
            </w:r>
            <w:r>
              <w:rPr>
                <w:color w:val="333333"/>
                <w:sz w:val="20"/>
              </w:rPr>
              <w:t>growth/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decline</w:t>
            </w:r>
          </w:p>
          <w:p>
            <w:pPr>
              <w:pStyle w:val="TableParagraph"/>
              <w:spacing w:line="237" w:lineRule="auto"/>
              <w:ind w:right="704"/>
              <w:rPr>
                <w:sz w:val="20"/>
              </w:rPr>
            </w:pPr>
            <w:r>
              <w:rPr>
                <w:color w:val="333333"/>
                <w:sz w:val="20"/>
              </w:rPr>
              <w:t>Inflation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1"/>
                <w:w w:val="95"/>
                <w:sz w:val="20"/>
              </w:rPr>
              <w:t>Interest </w:t>
            </w:r>
            <w:r>
              <w:rPr>
                <w:color w:val="333333"/>
                <w:w w:val="95"/>
                <w:sz w:val="20"/>
              </w:rPr>
              <w:t>rates</w:t>
            </w:r>
            <w:r>
              <w:rPr>
                <w:color w:val="333333"/>
                <w:spacing w:val="-57"/>
                <w:w w:val="95"/>
                <w:sz w:val="20"/>
              </w:rPr>
              <w:t> </w:t>
            </w:r>
            <w:r>
              <w:rPr>
                <w:color w:val="333333"/>
                <w:sz w:val="20"/>
              </w:rPr>
              <w:t>Cost</w:t>
            </w:r>
            <w:r>
              <w:rPr>
                <w:color w:val="333333"/>
                <w:spacing w:val="-15"/>
                <w:sz w:val="20"/>
              </w:rPr>
              <w:t> </w:t>
            </w:r>
            <w:r>
              <w:rPr>
                <w:color w:val="333333"/>
                <w:sz w:val="20"/>
              </w:rPr>
              <w:t>of</w:t>
            </w:r>
            <w:r>
              <w:rPr>
                <w:color w:val="333333"/>
                <w:spacing w:val="-15"/>
                <w:sz w:val="20"/>
              </w:rPr>
              <w:t> </w:t>
            </w:r>
            <w:r>
              <w:rPr>
                <w:color w:val="333333"/>
                <w:sz w:val="20"/>
              </w:rPr>
              <w:t>living</w:t>
            </w:r>
            <w:r>
              <w:rPr>
                <w:color w:val="333333"/>
                <w:spacing w:val="-59"/>
                <w:sz w:val="20"/>
              </w:rPr>
              <w:t> </w:t>
            </w:r>
            <w:r>
              <w:rPr>
                <w:color w:val="333333"/>
                <w:sz w:val="20"/>
              </w:rPr>
              <w:t>Labour</w:t>
            </w:r>
            <w:r>
              <w:rPr>
                <w:color w:val="333333"/>
                <w:spacing w:val="-14"/>
                <w:sz w:val="20"/>
              </w:rPr>
              <w:t> </w:t>
            </w:r>
            <w:r>
              <w:rPr>
                <w:color w:val="333333"/>
                <w:sz w:val="20"/>
              </w:rPr>
              <w:t>costs</w:t>
            </w:r>
          </w:p>
          <w:p>
            <w:pPr>
              <w:pStyle w:val="TableParagraph"/>
              <w:ind w:right="96"/>
              <w:rPr>
                <w:sz w:val="20"/>
              </w:rPr>
            </w:pPr>
            <w:r>
              <w:rPr>
                <w:color w:val="333333"/>
                <w:w w:val="95"/>
                <w:sz w:val="20"/>
              </w:rPr>
              <w:t>Consumer</w:t>
            </w:r>
            <w:r>
              <w:rPr>
                <w:color w:val="333333"/>
                <w:spacing w:val="1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spending</w:t>
            </w:r>
            <w:r>
              <w:rPr>
                <w:color w:val="333333"/>
                <w:spacing w:val="-58"/>
                <w:w w:val="95"/>
                <w:sz w:val="20"/>
              </w:rPr>
              <w:t> </w:t>
            </w:r>
            <w:r>
              <w:rPr>
                <w:color w:val="333333"/>
                <w:sz w:val="20"/>
              </w:rPr>
              <w:t>habits</w:t>
            </w:r>
          </w:p>
        </w:tc>
        <w:tc>
          <w:tcPr>
            <w:tcW w:w="3685" w:type="dxa"/>
            <w:shd w:val="clear" w:color="auto" w:fill="FFF6DB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  <w:tcBorders>
              <w:right w:val="nil"/>
            </w:tcBorders>
            <w:shd w:val="clear" w:color="auto" w:fill="FFF6DB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660" w:hRule="atLeast"/>
        </w:trPr>
        <w:tc>
          <w:tcPr>
            <w:tcW w:w="2438" w:type="dxa"/>
            <w:tcBorders>
              <w:left w:val="nil"/>
              <w:bottom w:val="nil"/>
            </w:tcBorders>
            <w:shd w:val="clear" w:color="auto" w:fill="00838E"/>
          </w:tcPr>
          <w:p>
            <w:pPr>
              <w:pStyle w:val="TableParagraph"/>
              <w:spacing w:before="41"/>
              <w:rPr>
                <w:rFonts w:ascii="Verdana"/>
                <w:sz w:val="24"/>
              </w:rPr>
            </w:pPr>
            <w:r>
              <w:rPr>
                <w:rFonts w:ascii="Verdana"/>
                <w:color w:val="FFFFFF"/>
                <w:w w:val="105"/>
                <w:sz w:val="24"/>
              </w:rPr>
              <w:t>SOCIAL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D9ECEE"/>
          </w:tcPr>
          <w:p>
            <w:pPr>
              <w:pStyle w:val="TableParagraph"/>
              <w:spacing w:before="50"/>
              <w:ind w:right="280"/>
              <w:rPr>
                <w:sz w:val="20"/>
              </w:rPr>
            </w:pPr>
            <w:r>
              <w:rPr>
                <w:color w:val="333333"/>
                <w:spacing w:val="-2"/>
                <w:sz w:val="20"/>
              </w:rPr>
              <w:t>Consumer trends/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tastes,</w:t>
            </w:r>
          </w:p>
          <w:p>
            <w:pPr>
              <w:pStyle w:val="TableParagraph"/>
              <w:spacing w:line="237" w:lineRule="auto"/>
              <w:ind w:right="320"/>
              <w:rPr>
                <w:sz w:val="20"/>
              </w:rPr>
            </w:pPr>
            <w:r>
              <w:rPr>
                <w:color w:val="333333"/>
                <w:sz w:val="20"/>
              </w:rPr>
              <w:t>Fashions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2"/>
                <w:sz w:val="20"/>
              </w:rPr>
              <w:t>Consumer buying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habits</w:t>
            </w:r>
          </w:p>
          <w:p>
            <w:pPr>
              <w:pStyle w:val="TableParagraph"/>
              <w:spacing w:before="1"/>
              <w:ind w:right="342"/>
              <w:rPr>
                <w:sz w:val="20"/>
              </w:rPr>
            </w:pPr>
            <w:r>
              <w:rPr>
                <w:color w:val="333333"/>
                <w:sz w:val="20"/>
              </w:rPr>
              <w:t>Lifestyle factors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1"/>
                <w:sz w:val="20"/>
              </w:rPr>
              <w:t>Career attitudes</w:t>
            </w:r>
            <w:r>
              <w:rPr>
                <w:color w:val="333333"/>
                <w:sz w:val="20"/>
              </w:rPr>
              <w:t> </w:t>
            </w:r>
            <w:r>
              <w:rPr>
                <w:color w:val="333333"/>
                <w:spacing w:val="-2"/>
                <w:sz w:val="20"/>
              </w:rPr>
              <w:t>Work-life balance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Population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demographics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D9ECEE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  <w:tcBorders>
              <w:bottom w:val="nil"/>
              <w:right w:val="nil"/>
            </w:tcBorders>
            <w:shd w:val="clear" w:color="auto" w:fill="D9ECEE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83"/>
        <w:ind w:right="188"/>
        <w:jc w:val="right"/>
      </w:pPr>
      <w:r>
        <w:rPr>
          <w:color w:val="333333"/>
          <w:w w:val="95"/>
        </w:rPr>
        <w:t>©</w:t>
      </w:r>
      <w:r>
        <w:rPr>
          <w:color w:val="333333"/>
          <w:spacing w:val="-5"/>
          <w:w w:val="95"/>
        </w:rPr>
        <w:t> </w:t>
      </w:r>
      <w:r>
        <w:rPr>
          <w:color w:val="333333"/>
          <w:w w:val="95"/>
        </w:rPr>
        <w:t>CIPD</w:t>
      </w:r>
      <w:r>
        <w:rPr>
          <w:color w:val="333333"/>
          <w:spacing w:val="-4"/>
          <w:w w:val="95"/>
        </w:rPr>
        <w:t> </w:t>
      </w:r>
      <w:r>
        <w:rPr>
          <w:color w:val="333333"/>
          <w:w w:val="95"/>
        </w:rPr>
        <w:t>2020</w:t>
      </w:r>
      <w:r>
        <w:rPr>
          <w:color w:val="333333"/>
          <w:spacing w:val="38"/>
          <w:w w:val="95"/>
        </w:rPr>
        <w:t> </w:t>
      </w:r>
      <w:r>
        <w:rPr>
          <w:color w:val="333333"/>
          <w:w w:val="95"/>
        </w:rPr>
        <w:t>7583</w:t>
      </w:r>
    </w:p>
    <w:p>
      <w:pPr>
        <w:spacing w:after="0"/>
        <w:jc w:val="right"/>
        <w:sectPr>
          <w:type w:val="continuous"/>
          <w:pgSz w:w="11910" w:h="16840"/>
          <w:pgMar w:top="840" w:bottom="280" w:left="740" w:right="740"/>
        </w:sectPr>
      </w:pPr>
    </w:p>
    <w:tbl>
      <w:tblPr>
        <w:tblW w:w="0" w:type="auto"/>
        <w:jc w:val="left"/>
        <w:tblInd w:w="11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8"/>
        <w:gridCol w:w="1984"/>
        <w:gridCol w:w="3685"/>
        <w:gridCol w:w="2098"/>
      </w:tblGrid>
      <w:tr>
        <w:trPr>
          <w:trHeight w:val="604" w:hRule="atLeast"/>
        </w:trPr>
        <w:tc>
          <w:tcPr>
            <w:tcW w:w="2438" w:type="dxa"/>
            <w:tcBorders>
              <w:top w:val="nil"/>
              <w:left w:val="nil"/>
            </w:tcBorders>
            <w:shd w:val="clear" w:color="auto" w:fill="58595B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58595B"/>
          </w:tcPr>
          <w:p>
            <w:pPr>
              <w:pStyle w:val="TableParagraph"/>
              <w:spacing w:before="65"/>
              <w:ind w:right="492"/>
              <w:rPr>
                <w:sz w:val="20"/>
              </w:rPr>
            </w:pPr>
            <w:r>
              <w:rPr>
                <w:color w:val="FFFFFF"/>
                <w:spacing w:val="-3"/>
                <w:sz w:val="20"/>
              </w:rPr>
              <w:t>External </w:t>
            </w:r>
            <w:r>
              <w:rPr>
                <w:color w:val="FFFFFF"/>
                <w:spacing w:val="-2"/>
                <w:sz w:val="20"/>
              </w:rPr>
              <w:t>factors</w:t>
            </w:r>
            <w:r>
              <w:rPr>
                <w:color w:val="FFFFFF"/>
                <w:spacing w:val="-60"/>
                <w:sz w:val="20"/>
              </w:rPr>
              <w:t> </w:t>
            </w:r>
            <w:r>
              <w:rPr>
                <w:color w:val="FFFFFF"/>
                <w:sz w:val="20"/>
              </w:rPr>
              <w:t>to</w:t>
            </w:r>
            <w:r>
              <w:rPr>
                <w:color w:val="FFFFFF"/>
                <w:spacing w:val="-12"/>
                <w:sz w:val="20"/>
              </w:rPr>
              <w:t> </w:t>
            </w:r>
            <w:r>
              <w:rPr>
                <w:color w:val="FFFFFF"/>
                <w:sz w:val="20"/>
              </w:rPr>
              <w:t>consider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58595B"/>
          </w:tcPr>
          <w:p>
            <w:pPr>
              <w:pStyle w:val="TableParagraph"/>
              <w:spacing w:before="3"/>
              <w:ind w:left="0"/>
              <w:rPr>
                <w:sz w:val="25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color w:val="FFFFFF"/>
                <w:sz w:val="20"/>
              </w:rPr>
              <w:t>Factors</w:t>
            </w:r>
            <w:r>
              <w:rPr>
                <w:color w:val="FFFFFF"/>
                <w:spacing w:val="-16"/>
                <w:sz w:val="20"/>
              </w:rPr>
              <w:t> </w:t>
            </w:r>
            <w:r>
              <w:rPr>
                <w:color w:val="FFFFFF"/>
                <w:sz w:val="20"/>
              </w:rPr>
              <w:t>affected</w:t>
            </w:r>
            <w:r>
              <w:rPr>
                <w:color w:val="FFFFFF"/>
                <w:spacing w:val="-15"/>
                <w:sz w:val="20"/>
              </w:rPr>
              <w:t> </w:t>
            </w:r>
            <w:r>
              <w:rPr>
                <w:color w:val="FFFFFF"/>
                <w:sz w:val="20"/>
              </w:rPr>
              <w:t>within</w:t>
            </w:r>
            <w:r>
              <w:rPr>
                <w:color w:val="FFFFFF"/>
                <w:spacing w:val="-16"/>
                <w:sz w:val="20"/>
              </w:rPr>
              <w:t> </w:t>
            </w:r>
            <w:r>
              <w:rPr>
                <w:color w:val="FFFFFF"/>
                <w:sz w:val="20"/>
              </w:rPr>
              <w:t>my</w:t>
            </w:r>
            <w:r>
              <w:rPr>
                <w:color w:val="FFFFFF"/>
                <w:spacing w:val="-15"/>
                <w:sz w:val="20"/>
              </w:rPr>
              <w:t> </w:t>
            </w:r>
            <w:r>
              <w:rPr>
                <w:color w:val="FFFFFF"/>
                <w:sz w:val="20"/>
              </w:rPr>
              <w:t>industry</w:t>
            </w:r>
          </w:p>
        </w:tc>
        <w:tc>
          <w:tcPr>
            <w:tcW w:w="2098" w:type="dxa"/>
            <w:tcBorders>
              <w:top w:val="nil"/>
              <w:right w:val="nil"/>
            </w:tcBorders>
            <w:shd w:val="clear" w:color="auto" w:fill="58595B"/>
          </w:tcPr>
          <w:p>
            <w:pPr>
              <w:pStyle w:val="TableParagraph"/>
              <w:spacing w:before="65"/>
              <w:rPr>
                <w:sz w:val="20"/>
              </w:rPr>
            </w:pPr>
            <w:r>
              <w:rPr>
                <w:color w:val="FFFFFF"/>
                <w:w w:val="95"/>
                <w:sz w:val="20"/>
              </w:rPr>
              <w:t>Importance to</w:t>
            </w:r>
            <w:r>
              <w:rPr>
                <w:color w:val="FFFFFF"/>
                <w:spacing w:val="-56"/>
                <w:w w:val="95"/>
                <w:sz w:val="20"/>
              </w:rPr>
              <w:t> </w:t>
            </w:r>
            <w:r>
              <w:rPr>
                <w:color w:val="FFFFFF"/>
                <w:sz w:val="20"/>
              </w:rPr>
              <w:t>organisation</w:t>
            </w:r>
          </w:p>
        </w:tc>
      </w:tr>
      <w:tr>
        <w:trPr>
          <w:trHeight w:val="5558" w:hRule="atLeast"/>
        </w:trPr>
        <w:tc>
          <w:tcPr>
            <w:tcW w:w="2438" w:type="dxa"/>
            <w:tcBorders>
              <w:left w:val="nil"/>
            </w:tcBorders>
            <w:shd w:val="clear" w:color="auto" w:fill="520D5D"/>
          </w:tcPr>
          <w:p>
            <w:pPr>
              <w:pStyle w:val="TableParagraph"/>
              <w:spacing w:before="33"/>
              <w:rPr>
                <w:rFonts w:ascii="Verdana"/>
                <w:sz w:val="24"/>
              </w:rPr>
            </w:pPr>
            <w:r>
              <w:rPr>
                <w:rFonts w:ascii="Verdana"/>
                <w:color w:val="FFFFFF"/>
                <w:w w:val="105"/>
                <w:sz w:val="24"/>
              </w:rPr>
              <w:t>TECHNOLOGY</w:t>
            </w:r>
          </w:p>
        </w:tc>
        <w:tc>
          <w:tcPr>
            <w:tcW w:w="1984" w:type="dxa"/>
            <w:shd w:val="clear" w:color="auto" w:fill="E5DBE7"/>
          </w:tcPr>
          <w:p>
            <w:pPr>
              <w:pStyle w:val="TableParagraph"/>
              <w:spacing w:before="42"/>
              <w:ind w:right="301"/>
              <w:rPr>
                <w:sz w:val="20"/>
              </w:rPr>
            </w:pPr>
            <w:r>
              <w:rPr>
                <w:color w:val="333333"/>
                <w:sz w:val="20"/>
              </w:rPr>
              <w:t>Automation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Innovation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Disruptive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technologies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2"/>
                <w:sz w:val="20"/>
              </w:rPr>
              <w:t>Social </w:t>
            </w:r>
            <w:r>
              <w:rPr>
                <w:color w:val="333333"/>
                <w:spacing w:val="-1"/>
                <w:sz w:val="20"/>
              </w:rPr>
              <w:t>networking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Upgrades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Robotics</w:t>
            </w:r>
          </w:p>
          <w:p>
            <w:pPr>
              <w:pStyle w:val="TableParagraph"/>
              <w:spacing w:line="237" w:lineRule="auto"/>
              <w:ind w:right="96"/>
              <w:rPr>
                <w:sz w:val="20"/>
              </w:rPr>
            </w:pPr>
            <w:r>
              <w:rPr>
                <w:color w:val="333333"/>
                <w:w w:val="95"/>
                <w:sz w:val="20"/>
              </w:rPr>
              <w:t>Artificial</w:t>
            </w:r>
            <w:r>
              <w:rPr>
                <w:color w:val="333333"/>
                <w:spacing w:val="1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Intelligence</w:t>
            </w:r>
            <w:r>
              <w:rPr>
                <w:color w:val="333333"/>
                <w:spacing w:val="-57"/>
                <w:w w:val="95"/>
                <w:sz w:val="20"/>
              </w:rPr>
              <w:t> </w:t>
            </w:r>
            <w:r>
              <w:rPr>
                <w:color w:val="333333"/>
                <w:sz w:val="20"/>
              </w:rPr>
              <w:t>Security</w:t>
            </w:r>
          </w:p>
        </w:tc>
        <w:tc>
          <w:tcPr>
            <w:tcW w:w="3685" w:type="dxa"/>
            <w:shd w:val="clear" w:color="auto" w:fill="E5DBE7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  <w:tcBorders>
              <w:right w:val="nil"/>
            </w:tcBorders>
            <w:shd w:val="clear" w:color="auto" w:fill="E5DBE7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878" w:hRule="atLeast"/>
        </w:trPr>
        <w:tc>
          <w:tcPr>
            <w:tcW w:w="2438" w:type="dxa"/>
            <w:tcBorders>
              <w:left w:val="nil"/>
            </w:tcBorders>
            <w:shd w:val="clear" w:color="auto" w:fill="FFC20E"/>
          </w:tcPr>
          <w:p>
            <w:pPr>
              <w:pStyle w:val="TableParagraph"/>
              <w:spacing w:before="33"/>
              <w:rPr>
                <w:rFonts w:ascii="Verdana"/>
                <w:sz w:val="24"/>
              </w:rPr>
            </w:pPr>
            <w:r>
              <w:rPr>
                <w:rFonts w:ascii="Verdana"/>
                <w:color w:val="333333"/>
                <w:w w:val="110"/>
                <w:sz w:val="24"/>
              </w:rPr>
              <w:t>LEGAL</w:t>
            </w:r>
          </w:p>
        </w:tc>
        <w:tc>
          <w:tcPr>
            <w:tcW w:w="1984" w:type="dxa"/>
            <w:shd w:val="clear" w:color="auto" w:fill="FFF6DB"/>
          </w:tcPr>
          <w:p>
            <w:pPr>
              <w:pStyle w:val="TableParagraph"/>
              <w:spacing w:before="42"/>
              <w:ind w:right="280"/>
              <w:rPr>
                <w:sz w:val="20"/>
              </w:rPr>
            </w:pPr>
            <w:r>
              <w:rPr>
                <w:color w:val="333333"/>
                <w:sz w:val="20"/>
              </w:rPr>
              <w:t>Employment law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Common law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Local labour law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Health</w:t>
            </w:r>
            <w:r>
              <w:rPr>
                <w:color w:val="333333"/>
                <w:spacing w:val="4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and</w:t>
            </w:r>
            <w:r>
              <w:rPr>
                <w:color w:val="333333"/>
                <w:spacing w:val="5"/>
                <w:w w:val="95"/>
                <w:sz w:val="20"/>
              </w:rPr>
              <w:t> </w:t>
            </w:r>
            <w:r>
              <w:rPr>
                <w:color w:val="333333"/>
                <w:w w:val="95"/>
                <w:sz w:val="20"/>
              </w:rPr>
              <w:t>safety</w:t>
            </w:r>
            <w:r>
              <w:rPr>
                <w:color w:val="333333"/>
                <w:spacing w:val="-56"/>
                <w:w w:val="95"/>
                <w:sz w:val="20"/>
              </w:rPr>
              <w:t> </w:t>
            </w:r>
            <w:r>
              <w:rPr>
                <w:color w:val="333333"/>
                <w:sz w:val="20"/>
              </w:rPr>
              <w:t>regulations</w:t>
            </w:r>
          </w:p>
        </w:tc>
        <w:tc>
          <w:tcPr>
            <w:tcW w:w="3685" w:type="dxa"/>
            <w:shd w:val="clear" w:color="auto" w:fill="FFF6DB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  <w:tcBorders>
              <w:right w:val="nil"/>
            </w:tcBorders>
            <w:shd w:val="clear" w:color="auto" w:fill="FFF6DB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76" w:hRule="atLeast"/>
        </w:trPr>
        <w:tc>
          <w:tcPr>
            <w:tcW w:w="2438" w:type="dxa"/>
            <w:tcBorders>
              <w:left w:val="nil"/>
              <w:bottom w:val="nil"/>
            </w:tcBorders>
            <w:shd w:val="clear" w:color="auto" w:fill="00838E"/>
          </w:tcPr>
          <w:p>
            <w:pPr>
              <w:pStyle w:val="TableParagraph"/>
              <w:spacing w:before="33"/>
              <w:rPr>
                <w:rFonts w:ascii="Verdana"/>
                <w:sz w:val="24"/>
              </w:rPr>
            </w:pPr>
            <w:r>
              <w:rPr>
                <w:rFonts w:ascii="Verdana"/>
                <w:color w:val="FFFFFF"/>
                <w:w w:val="105"/>
                <w:sz w:val="24"/>
              </w:rPr>
              <w:t>ENVIRONMENTAL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D9ECEE"/>
          </w:tcPr>
          <w:p>
            <w:pPr>
              <w:pStyle w:val="TableParagraph"/>
              <w:spacing w:before="42"/>
              <w:ind w:right="96"/>
              <w:rPr>
                <w:sz w:val="20"/>
              </w:rPr>
            </w:pPr>
            <w:r>
              <w:rPr>
                <w:color w:val="333333"/>
                <w:sz w:val="20"/>
              </w:rPr>
              <w:t>Environmental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2"/>
                <w:sz w:val="20"/>
              </w:rPr>
              <w:t>restrictions </w:t>
            </w:r>
            <w:r>
              <w:rPr>
                <w:color w:val="333333"/>
                <w:spacing w:val="-1"/>
                <w:sz w:val="20"/>
              </w:rPr>
              <w:t>imposed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by in-country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governments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Sustainable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resources</w:t>
            </w:r>
          </w:p>
          <w:p>
            <w:pPr>
              <w:pStyle w:val="TableParagraph"/>
              <w:spacing w:line="237" w:lineRule="auto"/>
              <w:ind w:right="79"/>
              <w:rPr>
                <w:sz w:val="20"/>
              </w:rPr>
            </w:pPr>
            <w:r>
              <w:rPr>
                <w:color w:val="333333"/>
                <w:sz w:val="20"/>
              </w:rPr>
              <w:t>CSR (Corporate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1"/>
                <w:sz w:val="20"/>
              </w:rPr>
              <w:t>social responsibility)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Ethical sourcing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Transportation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Procurement</w:t>
            </w:r>
          </w:p>
          <w:p>
            <w:pPr>
              <w:pStyle w:val="TableParagraph"/>
              <w:ind w:right="299"/>
              <w:rPr>
                <w:sz w:val="20"/>
              </w:rPr>
            </w:pPr>
            <w:r>
              <w:rPr>
                <w:color w:val="333333"/>
                <w:sz w:val="20"/>
              </w:rPr>
              <w:t>Supply chain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management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2"/>
                <w:sz w:val="20"/>
              </w:rPr>
              <w:t>Future</w:t>
            </w:r>
            <w:r>
              <w:rPr>
                <w:color w:val="333333"/>
                <w:spacing w:val="-13"/>
                <w:sz w:val="20"/>
              </w:rPr>
              <w:t> </w:t>
            </w:r>
            <w:r>
              <w:rPr>
                <w:color w:val="333333"/>
                <w:spacing w:val="-2"/>
                <w:sz w:val="20"/>
              </w:rPr>
              <w:t>pandemics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D9ECEE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  <w:tcBorders>
              <w:bottom w:val="nil"/>
              <w:right w:val="nil"/>
            </w:tcBorders>
            <w:shd w:val="clear" w:color="auto" w:fill="D9ECEE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102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85" w:lineRule="exact" w:before="73"/>
              <w:ind w:left="0" w:right="78"/>
              <w:jc w:val="right"/>
              <w:rPr>
                <w:sz w:val="16"/>
              </w:rPr>
            </w:pPr>
            <w:r>
              <w:rPr>
                <w:color w:val="333333"/>
                <w:w w:val="95"/>
                <w:sz w:val="16"/>
              </w:rPr>
              <w:t>©</w:t>
            </w:r>
            <w:r>
              <w:rPr>
                <w:color w:val="333333"/>
                <w:spacing w:val="-5"/>
                <w:w w:val="95"/>
                <w:sz w:val="16"/>
              </w:rPr>
              <w:t> </w:t>
            </w:r>
            <w:r>
              <w:rPr>
                <w:color w:val="333333"/>
                <w:w w:val="95"/>
                <w:sz w:val="16"/>
              </w:rPr>
              <w:t>CIPD</w:t>
            </w:r>
            <w:r>
              <w:rPr>
                <w:color w:val="333333"/>
                <w:spacing w:val="-4"/>
                <w:w w:val="95"/>
                <w:sz w:val="16"/>
              </w:rPr>
              <w:t> </w:t>
            </w:r>
            <w:r>
              <w:rPr>
                <w:color w:val="333333"/>
                <w:w w:val="95"/>
                <w:sz w:val="16"/>
              </w:rPr>
              <w:t>2020</w:t>
            </w:r>
            <w:r>
              <w:rPr>
                <w:color w:val="333333"/>
                <w:spacing w:val="38"/>
                <w:w w:val="95"/>
                <w:sz w:val="16"/>
              </w:rPr>
              <w:t> </w:t>
            </w:r>
            <w:r>
              <w:rPr>
                <w:color w:val="333333"/>
                <w:w w:val="95"/>
                <w:sz w:val="16"/>
              </w:rPr>
              <w:t>7583</w:t>
            </w:r>
          </w:p>
        </w:tc>
      </w:tr>
    </w:tbl>
    <w:sectPr>
      <w:pgSz w:w="11910" w:h="16840"/>
      <w:pgMar w:top="1540" w:bottom="280" w:left="7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16"/>
      <w:szCs w:val="16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90"/>
      <w:ind w:left="190"/>
    </w:pPr>
    <w:rPr>
      <w:rFonts w:ascii="Tahoma" w:hAnsi="Tahoma" w:eastAsia="Tahoma" w:cs="Tahoma"/>
      <w:sz w:val="34"/>
      <w:szCs w:val="34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>
      <w:ind w:left="90"/>
    </w:pPr>
    <w:rPr>
      <w:rFonts w:ascii="Tahoma" w:hAnsi="Tahoma" w:eastAsia="Tahoma" w:cs="Tahoma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Chartered Institute of Personnel and Development</dc:creator>
  <dc:title>PESTLE factsheet</dc:title>
  <dcterms:created xsi:type="dcterms:W3CDTF">2021-10-12T14:41:36Z</dcterms:created>
  <dcterms:modified xsi:type="dcterms:W3CDTF">2021-10-12T14:41:36Z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2021-10-12T00:00:00Z</vt:filetime>
  </property>
</Properties>
</file>