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05C407" w14:textId="062AE3B4" w:rsidR="00AB2C33" w:rsidRDefault="00E80DC9" w:rsidP="00E80DC9">
      <w:pPr>
        <w:jc w:val="center"/>
        <w:rPr>
          <w:b/>
          <w:sz w:val="28"/>
          <w:szCs w:val="26"/>
          <w:lang w:val="en-US"/>
        </w:rPr>
      </w:pPr>
      <w:r>
        <w:rPr>
          <w:b/>
          <w:sz w:val="28"/>
          <w:szCs w:val="26"/>
          <w:lang w:val="en-US"/>
        </w:rPr>
        <w:t>DEFORESTATION AND BIODIVERSITY</w:t>
      </w:r>
      <w:r w:rsidR="00252A2D">
        <w:rPr>
          <w:b/>
          <w:sz w:val="28"/>
          <w:szCs w:val="26"/>
          <w:lang w:val="en-US"/>
        </w:rPr>
        <w:t xml:space="preserve"> LOSS</w:t>
      </w:r>
    </w:p>
    <w:p w14:paraId="2DCE335D" w14:textId="30020368" w:rsidR="00E80DC9" w:rsidRPr="00E80DC9" w:rsidRDefault="00E80DC9" w:rsidP="00E80DC9">
      <w:pPr>
        <w:jc w:val="center"/>
        <w:rPr>
          <w:b/>
          <w:sz w:val="26"/>
          <w:szCs w:val="26"/>
          <w:lang w:val="en-US"/>
        </w:rPr>
      </w:pPr>
      <w:r>
        <w:rPr>
          <w:b/>
          <w:sz w:val="26"/>
          <w:szCs w:val="26"/>
          <w:lang w:val="en-US"/>
        </w:rPr>
        <w:t>PROBLEMS AND RESPONSIBILITIES FACED BY THE UNITED KINGDOM</w:t>
      </w:r>
    </w:p>
    <w:p w14:paraId="4550ACC0" w14:textId="77777777" w:rsidR="00AB2C33" w:rsidRDefault="00AB2C33">
      <w:pPr>
        <w:rPr>
          <w:b/>
          <w:sz w:val="26"/>
          <w:szCs w:val="26"/>
          <w:lang w:val="en-US"/>
        </w:rPr>
      </w:pPr>
    </w:p>
    <w:p w14:paraId="5A6CD17A" w14:textId="763E0B9E" w:rsidR="00C939BC" w:rsidRPr="00F66F25" w:rsidRDefault="00C939BC">
      <w:pPr>
        <w:rPr>
          <w:b/>
          <w:sz w:val="26"/>
          <w:szCs w:val="26"/>
          <w:lang w:val="en-US"/>
        </w:rPr>
      </w:pPr>
      <w:r w:rsidRPr="00F66F25">
        <w:rPr>
          <w:b/>
          <w:sz w:val="26"/>
          <w:szCs w:val="26"/>
          <w:lang w:val="en-US"/>
        </w:rPr>
        <w:t>Introduction</w:t>
      </w:r>
    </w:p>
    <w:p w14:paraId="7FCDA883" w14:textId="71D121E2" w:rsidR="00826FE9" w:rsidRDefault="00370C6F" w:rsidP="00826FE9">
      <w:pPr>
        <w:spacing w:after="0"/>
        <w:rPr>
          <w:lang w:val="en-US"/>
        </w:rPr>
      </w:pPr>
      <w:r>
        <w:rPr>
          <w:lang w:val="en-US"/>
        </w:rPr>
        <w:t xml:space="preserve">Deforestation </w:t>
      </w:r>
      <w:r w:rsidR="00855AC5">
        <w:rPr>
          <w:lang w:val="en-US"/>
        </w:rPr>
        <w:t xml:space="preserve">and the consequent reduction in wildlife, clean air and protection against coastal and cliffside erosion is a </w:t>
      </w:r>
      <w:r w:rsidR="00051DF5">
        <w:rPr>
          <w:lang w:val="en-US"/>
        </w:rPr>
        <w:t>major</w:t>
      </w:r>
      <w:r w:rsidR="00855AC5">
        <w:rPr>
          <w:lang w:val="en-US"/>
        </w:rPr>
        <w:t xml:space="preserve"> problem </w:t>
      </w:r>
      <w:r w:rsidR="00051DF5">
        <w:rPr>
          <w:lang w:val="en-US"/>
        </w:rPr>
        <w:t>in</w:t>
      </w:r>
      <w:r w:rsidR="00855AC5">
        <w:rPr>
          <w:lang w:val="en-US"/>
        </w:rPr>
        <w:t xml:space="preserve"> the U</w:t>
      </w:r>
      <w:r w:rsidR="00F66F25">
        <w:rPr>
          <w:lang w:val="en-US"/>
        </w:rPr>
        <w:t xml:space="preserve">nited </w:t>
      </w:r>
      <w:r w:rsidR="00855AC5">
        <w:rPr>
          <w:lang w:val="en-US"/>
        </w:rPr>
        <w:t>K</w:t>
      </w:r>
      <w:r w:rsidR="00F66F25">
        <w:rPr>
          <w:lang w:val="en-US"/>
        </w:rPr>
        <w:t>ingdom</w:t>
      </w:r>
      <w:r w:rsidR="00051DF5">
        <w:rPr>
          <w:lang w:val="en-US"/>
        </w:rPr>
        <w:t xml:space="preserve"> and worldwide</w:t>
      </w:r>
      <w:r w:rsidR="00855AC5">
        <w:rPr>
          <w:lang w:val="en-US"/>
        </w:rPr>
        <w:t>. Policies need to be implemented to protect and maintain the UK’s forests for future generations, and measures put in place to safeguard against the outsourcing of environmental degradation to less developed nations.</w:t>
      </w:r>
    </w:p>
    <w:p w14:paraId="7F0DC1C0" w14:textId="7DF8DDF5" w:rsidR="00826FE9" w:rsidRDefault="00826FE9" w:rsidP="00826FE9">
      <w:pPr>
        <w:spacing w:after="0"/>
        <w:rPr>
          <w:lang w:val="en-US"/>
        </w:rPr>
      </w:pPr>
      <w:r>
        <w:rPr>
          <w:lang w:val="en-US"/>
        </w:rPr>
        <w:t>Biodiversity loss, often resulting from habitat destruction such as deforestation is also a significant challenge for the UK, with several species in decline and many endangered species of wildlife which need to be protected and their populations maintained and recovered.</w:t>
      </w:r>
    </w:p>
    <w:p w14:paraId="140B0638" w14:textId="77777777" w:rsidR="00826FE9" w:rsidRDefault="00826FE9" w:rsidP="00826FE9">
      <w:pPr>
        <w:spacing w:after="0"/>
        <w:rPr>
          <w:lang w:val="en-US"/>
        </w:rPr>
      </w:pPr>
    </w:p>
    <w:p w14:paraId="266F596C" w14:textId="3F6F5D2B" w:rsidR="00C939BC" w:rsidRDefault="002F411A">
      <w:pPr>
        <w:rPr>
          <w:b/>
          <w:sz w:val="26"/>
          <w:szCs w:val="26"/>
          <w:lang w:val="en-US"/>
        </w:rPr>
      </w:pPr>
      <w:r w:rsidRPr="00F66F25">
        <w:rPr>
          <w:b/>
          <w:sz w:val="26"/>
          <w:szCs w:val="26"/>
          <w:lang w:val="en-US"/>
        </w:rPr>
        <w:t>Overview</w:t>
      </w:r>
    </w:p>
    <w:p w14:paraId="211352E8" w14:textId="2E562240" w:rsidR="003636A6" w:rsidRPr="003636A6" w:rsidRDefault="00793EC0" w:rsidP="003636A6">
      <w:pPr>
        <w:rPr>
          <w:b/>
          <w:sz w:val="24"/>
          <w:szCs w:val="26"/>
          <w:lang w:val="en-US"/>
        </w:rPr>
      </w:pPr>
      <w:r>
        <w:rPr>
          <w:noProof/>
          <w:lang w:val="en-US"/>
        </w:rPr>
        <w:drawing>
          <wp:anchor distT="0" distB="0" distL="114300" distR="114300" simplePos="0" relativeHeight="251661312" behindDoc="1" locked="0" layoutInCell="1" allowOverlap="1" wp14:anchorId="21155A93" wp14:editId="5D160B80">
            <wp:simplePos x="0" y="0"/>
            <wp:positionH relativeFrom="column">
              <wp:posOffset>3806825</wp:posOffset>
            </wp:positionH>
            <wp:positionV relativeFrom="paragraph">
              <wp:posOffset>10160</wp:posOffset>
            </wp:positionV>
            <wp:extent cx="3259455" cy="1905000"/>
            <wp:effectExtent l="0" t="0" r="0" b="0"/>
            <wp:wrapTight wrapText="bothSides">
              <wp:wrapPolygon edited="0">
                <wp:start x="0" y="0"/>
                <wp:lineTo x="0" y="21384"/>
                <wp:lineTo x="21461" y="21384"/>
                <wp:lineTo x="2146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259455" cy="1905000"/>
                    </a:xfrm>
                    <a:prstGeom prst="rect">
                      <a:avLst/>
                    </a:prstGeom>
                    <a:noFill/>
                  </pic:spPr>
                </pic:pic>
              </a:graphicData>
            </a:graphic>
            <wp14:sizeRelH relativeFrom="margin">
              <wp14:pctWidth>0</wp14:pctWidth>
            </wp14:sizeRelH>
            <wp14:sizeRelV relativeFrom="margin">
              <wp14:pctHeight>0</wp14:pctHeight>
            </wp14:sizeRelV>
          </wp:anchor>
        </w:drawing>
      </w:r>
      <w:r>
        <w:rPr>
          <w:b/>
          <w:sz w:val="24"/>
          <w:szCs w:val="26"/>
          <w:lang w:val="en-US"/>
        </w:rPr>
        <w:t>The Problem of Deforestation</w:t>
      </w:r>
    </w:p>
    <w:p w14:paraId="38B87C82" w14:textId="1908CD5D" w:rsidR="00FC63B5" w:rsidRDefault="00DC67ED">
      <w:pPr>
        <w:rPr>
          <w:lang w:val="en-US"/>
        </w:rPr>
      </w:pPr>
      <w:r>
        <w:rPr>
          <w:lang w:val="en-US"/>
        </w:rPr>
        <w:t>In 201</w:t>
      </w:r>
      <w:r w:rsidR="00A37BC6">
        <w:rPr>
          <w:lang w:val="en-US"/>
        </w:rPr>
        <w:t>6</w:t>
      </w:r>
      <w:r>
        <w:rPr>
          <w:lang w:val="en-US"/>
        </w:rPr>
        <w:t xml:space="preserve">, </w:t>
      </w:r>
      <w:r w:rsidR="00A37BC6">
        <w:rPr>
          <w:lang w:val="en-US"/>
        </w:rPr>
        <w:t>the UK’s estimated forest cover was 13.1% of land (World Bank, 2019)</w:t>
      </w:r>
      <w:r w:rsidR="009B21DD">
        <w:rPr>
          <w:lang w:val="en-US"/>
        </w:rPr>
        <w:t>.</w:t>
      </w:r>
      <w:r w:rsidR="009E42C5">
        <w:rPr>
          <w:lang w:val="en-US"/>
        </w:rPr>
        <w:t xml:space="preserve"> This falls well below the European average of approximately 30%.</w:t>
      </w:r>
    </w:p>
    <w:p w14:paraId="49E3BA03" w14:textId="08EA5274" w:rsidR="008B3DDE" w:rsidRDefault="008B3DDE" w:rsidP="00826FE9">
      <w:pPr>
        <w:spacing w:after="0"/>
        <w:rPr>
          <w:lang w:val="en-US"/>
        </w:rPr>
      </w:pPr>
      <w:r w:rsidRPr="00372087">
        <w:rPr>
          <w:noProof/>
          <w:lang w:val="en-US"/>
        </w:rPr>
        <mc:AlternateContent>
          <mc:Choice Requires="wps">
            <w:drawing>
              <wp:anchor distT="45720" distB="45720" distL="114300" distR="114300" simplePos="0" relativeHeight="251663360" behindDoc="1" locked="0" layoutInCell="1" allowOverlap="1" wp14:anchorId="18510A5D" wp14:editId="0C0B9154">
                <wp:simplePos x="0" y="0"/>
                <wp:positionH relativeFrom="column">
                  <wp:posOffset>3762375</wp:posOffset>
                </wp:positionH>
                <wp:positionV relativeFrom="page">
                  <wp:posOffset>5429250</wp:posOffset>
                </wp:positionV>
                <wp:extent cx="3257550" cy="601980"/>
                <wp:effectExtent l="0" t="0" r="0" b="0"/>
                <wp:wrapTight wrapText="bothSides">
                  <wp:wrapPolygon edited="0">
                    <wp:start x="379" y="0"/>
                    <wp:lineTo x="379" y="20506"/>
                    <wp:lineTo x="21095" y="20506"/>
                    <wp:lineTo x="21095" y="0"/>
                    <wp:lineTo x="379" y="0"/>
                  </wp:wrapPolygon>
                </wp:wrapTight>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57550" cy="601980"/>
                        </a:xfrm>
                        <a:prstGeom prst="rect">
                          <a:avLst/>
                        </a:prstGeom>
                        <a:noFill/>
                        <a:ln w="9525">
                          <a:noFill/>
                          <a:miter lim="800000"/>
                          <a:headEnd/>
                          <a:tailEnd/>
                        </a:ln>
                      </wps:spPr>
                      <wps:txbx>
                        <w:txbxContent>
                          <w:p w14:paraId="6CE2161B" w14:textId="4429FF09" w:rsidR="00793EC0" w:rsidRPr="00E80DC9" w:rsidRDefault="00793EC0" w:rsidP="00E72F9A">
                            <w:pPr>
                              <w:spacing w:after="0"/>
                              <w:rPr>
                                <w:color w:val="595959" w:themeColor="text1" w:themeTint="A6"/>
                                <w:sz w:val="20"/>
                                <w:lang w:val="en-US"/>
                              </w:rPr>
                            </w:pPr>
                            <w:r w:rsidRPr="00E80DC9">
                              <w:rPr>
                                <w:color w:val="595959" w:themeColor="text1" w:themeTint="A6"/>
                                <w:sz w:val="20"/>
                                <w:lang w:val="en-US"/>
                              </w:rPr>
                              <w:t>Figure 1 – Approximate historical forest cover</w:t>
                            </w:r>
                            <w:r w:rsidR="007D1FC8">
                              <w:rPr>
                                <w:color w:val="595959" w:themeColor="text1" w:themeTint="A6"/>
                                <w:sz w:val="20"/>
                                <w:lang w:val="en-US"/>
                              </w:rPr>
                              <w:t xml:space="preserve"> in Britain</w:t>
                            </w:r>
                          </w:p>
                          <w:p w14:paraId="10FFBAFF" w14:textId="22D381E5" w:rsidR="00793EC0" w:rsidRPr="00E80DC9" w:rsidRDefault="00793EC0" w:rsidP="00E72F9A">
                            <w:pPr>
                              <w:spacing w:after="0"/>
                              <w:rPr>
                                <w:color w:val="595959" w:themeColor="text1" w:themeTint="A6"/>
                                <w:sz w:val="20"/>
                                <w:lang w:val="en-US"/>
                              </w:rPr>
                            </w:pPr>
                            <w:r w:rsidRPr="00E80DC9">
                              <w:rPr>
                                <w:color w:val="595959" w:themeColor="text1" w:themeTint="A6"/>
                                <w:sz w:val="20"/>
                                <w:lang w:val="en-US"/>
                              </w:rPr>
                              <w:t>Based on information from Woodland Trust (2011) and Woodbridge et al. (2012)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18510A5D" id="_x0000_t202" coordsize="21600,21600" o:spt="202" path="m,l,21600r21600,l21600,xe">
                <v:stroke joinstyle="miter"/>
                <v:path gradientshapeok="t" o:connecttype="rect"/>
              </v:shapetype>
              <v:shape id="Text Box 2" o:spid="_x0000_s1026" type="#_x0000_t202" style="position:absolute;margin-left:296.25pt;margin-top:427.5pt;width:256.5pt;height:47.4pt;z-index:-251653120;visibility:visible;mso-wrap-style:square;mso-width-percent:0;mso-height-percent:200;mso-wrap-distance-left:9pt;mso-wrap-distance-top:3.6pt;mso-wrap-distance-right:9pt;mso-wrap-distance-bottom:3.6pt;mso-position-horizontal:absolute;mso-position-horizontal-relative:text;mso-position-vertical:absolute;mso-position-vertical-relative:page;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" filled="f" stroked="f">
                <v:textbox style="mso-fit-shape-to-text:t">
                  <w:txbxContent>
                    <w:p w14:paraId="6CE2161B" w14:textId="4429FF09" w:rsidR="00793EC0" w:rsidRPr="00E80DC9" w:rsidRDefault="00793EC0" w:rsidP="00E72F9A">
                      <w:pPr>
                        <w:spacing w:after="0"/>
                        <w:rPr>
                          <w:color w:val="595959" w:themeColor="text1" w:themeTint="A6"/>
                          <w:sz w:val="20"/>
                          <w:lang w:val="en-US"/>
                        </w:rPr>
                      </w:pPr>
                      <w:r w:rsidRPr="00E80DC9">
                        <w:rPr>
                          <w:color w:val="595959" w:themeColor="text1" w:themeTint="A6"/>
                          <w:sz w:val="20"/>
                          <w:lang w:val="en-US"/>
                        </w:rPr>
                        <w:t>Figure 1 – Approximate historical forest cover</w:t>
                      </w:r>
                      <w:r w:rsidR="007D1FC8">
                        <w:rPr>
                          <w:color w:val="595959" w:themeColor="text1" w:themeTint="A6"/>
                          <w:sz w:val="20"/>
                          <w:lang w:val="en-US"/>
                        </w:rPr>
                        <w:t xml:space="preserve"> in Britain</w:t>
                      </w:r>
                    </w:p>
                    <w:p w14:paraId="10FFBAFF" w14:textId="22D381E5" w:rsidR="00793EC0" w:rsidRPr="00E80DC9" w:rsidRDefault="00793EC0" w:rsidP="00E72F9A">
                      <w:pPr>
                        <w:spacing w:after="0"/>
                        <w:rPr>
                          <w:color w:val="595959" w:themeColor="text1" w:themeTint="A6"/>
                          <w:sz w:val="20"/>
                          <w:lang w:val="en-US"/>
                        </w:rPr>
                      </w:pPr>
                      <w:r w:rsidRPr="00E80DC9">
                        <w:rPr>
                          <w:color w:val="595959" w:themeColor="text1" w:themeTint="A6"/>
                          <w:sz w:val="20"/>
                          <w:lang w:val="en-US"/>
                        </w:rPr>
                        <w:t>Based on information from Woodland Trust (2011) and Woodbridge et al. (2012)</w:t>
                      </w:r>
                    </w:p>
                  </w:txbxContent>
                </v:textbox>
                <w10:wrap type="tight" anchory="page"/>
              </v:shape>
            </w:pict>
          </mc:Fallback>
        </mc:AlternateContent>
      </w:r>
      <w:r w:rsidR="009E42C5">
        <w:rPr>
          <w:lang w:val="en-US"/>
        </w:rPr>
        <w:t>Within the UK and globally, woodland has been and continues to be cleared for various economic practices like commercial agriculture</w:t>
      </w:r>
      <w:r>
        <w:rPr>
          <w:lang w:val="en-US"/>
        </w:rPr>
        <w:t>, as well as for the expansion of towns and cities. This has led to numerous issues, such as the degradation of land and soil, the reduction of the UK’s carbon sink and the depletion of wildlife and biodiversity.</w:t>
      </w:r>
    </w:p>
    <w:p w14:paraId="2F8EF0FB" w14:textId="2069CEE9" w:rsidR="00C939BC" w:rsidRDefault="00E80DC9">
      <w:pPr>
        <w:rPr>
          <w:lang w:val="en-US"/>
        </w:rPr>
      </w:pPr>
      <w:r w:rsidRPr="00A861C9">
        <w:rPr>
          <w:noProof/>
        </w:rPr>
        <w:drawing>
          <wp:anchor distT="0" distB="0" distL="114300" distR="114300" simplePos="0" relativeHeight="251667456" behindDoc="1" locked="0" layoutInCell="1" allowOverlap="1" wp14:anchorId="02883006" wp14:editId="3B9F29B3">
            <wp:simplePos x="0" y="0"/>
            <wp:positionH relativeFrom="margin">
              <wp:posOffset>-9525</wp:posOffset>
            </wp:positionH>
            <wp:positionV relativeFrom="paragraph">
              <wp:posOffset>455930</wp:posOffset>
            </wp:positionV>
            <wp:extent cx="3248025" cy="2428875"/>
            <wp:effectExtent l="0" t="0" r="9525" b="9525"/>
            <wp:wrapTight wrapText="bothSides">
              <wp:wrapPolygon edited="0">
                <wp:start x="0" y="0"/>
                <wp:lineTo x="0" y="21515"/>
                <wp:lineTo x="21537" y="21515"/>
                <wp:lineTo x="21537"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25368" t="19374" r="25760" b="15619"/>
                    <a:stretch/>
                  </pic:blipFill>
                  <pic:spPr bwMode="auto">
                    <a:xfrm>
                      <a:off x="0" y="0"/>
                      <a:ext cx="3248025" cy="242887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8B3DDE">
        <w:rPr>
          <w:lang w:val="en-US"/>
        </w:rPr>
        <w:t>In addition to low forest cover, the UK also has poor forest connectivity compared with the rest of Europe (See Figure 2).</w:t>
      </w:r>
    </w:p>
    <w:p w14:paraId="4048BF98" w14:textId="2D25DAD6" w:rsidR="00372087" w:rsidRDefault="00A861C9">
      <w:pPr>
        <w:rPr>
          <w:lang w:val="en-US"/>
        </w:rPr>
      </w:pPr>
      <w:r>
        <w:rPr>
          <w:lang w:val="en-US"/>
        </w:rPr>
        <w:t>Figure 2 demonstrates that the UK has extremely fragmented forest cover, and is lagging behind the rest of Europe significantly in terms of forest networks. Rectifying this is crucial to the health of the UK’s forests.</w:t>
      </w:r>
    </w:p>
    <w:p w14:paraId="13C59484" w14:textId="75F08D21" w:rsidR="008C05E3" w:rsidRDefault="008C05E3" w:rsidP="008C05E3">
      <w:pPr>
        <w:spacing w:after="0"/>
        <w:rPr>
          <w:lang w:val="en-US"/>
        </w:rPr>
      </w:pPr>
      <w:r>
        <w:rPr>
          <w:b/>
          <w:lang w:val="en-US"/>
        </w:rPr>
        <w:t>Impacts on Biodiversity</w:t>
      </w:r>
    </w:p>
    <w:p w14:paraId="62DA006F" w14:textId="28632114" w:rsidR="008C05E3" w:rsidRDefault="00E80DC9" w:rsidP="003636A6">
      <w:pPr>
        <w:spacing w:after="0"/>
        <w:rPr>
          <w:lang w:val="en-US"/>
        </w:rPr>
      </w:pPr>
      <w:r w:rsidRPr="008B3DDE">
        <w:rPr>
          <w:noProof/>
          <w:lang w:val="en-US"/>
        </w:rPr>
        <mc:AlternateContent>
          <mc:Choice Requires="wps">
            <w:drawing>
              <wp:anchor distT="45720" distB="45720" distL="114300" distR="114300" simplePos="0" relativeHeight="251666432" behindDoc="1" locked="0" layoutInCell="1" allowOverlap="1" wp14:anchorId="7E88202C" wp14:editId="3BDE8BB2">
                <wp:simplePos x="0" y="0"/>
                <wp:positionH relativeFrom="margin">
                  <wp:align>left</wp:align>
                </wp:positionH>
                <wp:positionV relativeFrom="page">
                  <wp:posOffset>8439150</wp:posOffset>
                </wp:positionV>
                <wp:extent cx="3429000" cy="536575"/>
                <wp:effectExtent l="0" t="0" r="0" b="3175"/>
                <wp:wrapTight wrapText="bothSides">
                  <wp:wrapPolygon edited="0">
                    <wp:start x="360" y="0"/>
                    <wp:lineTo x="360" y="20812"/>
                    <wp:lineTo x="21120" y="20812"/>
                    <wp:lineTo x="21120" y="0"/>
                    <wp:lineTo x="360" y="0"/>
                  </wp:wrapPolygon>
                </wp:wrapTight>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29000" cy="536575"/>
                        </a:xfrm>
                        <a:prstGeom prst="rect">
                          <a:avLst/>
                        </a:prstGeom>
                        <a:noFill/>
                        <a:ln w="9525">
                          <a:noFill/>
                          <a:miter lim="800000"/>
                          <a:headEnd/>
                          <a:tailEnd/>
                        </a:ln>
                      </wps:spPr>
                      <wps:txbx>
                        <w:txbxContent>
                          <w:p w14:paraId="2A54067F" w14:textId="77777777" w:rsidR="00793EC0" w:rsidRPr="00E80DC9" w:rsidRDefault="00793EC0" w:rsidP="00594EEE">
                            <w:pPr>
                              <w:spacing w:after="0"/>
                              <w:rPr>
                                <w:color w:val="595959" w:themeColor="text1" w:themeTint="A6"/>
                                <w:sz w:val="20"/>
                              </w:rPr>
                            </w:pPr>
                            <w:r w:rsidRPr="00E80DC9">
                              <w:rPr>
                                <w:color w:val="595959" w:themeColor="text1" w:themeTint="A6"/>
                                <w:sz w:val="20"/>
                              </w:rPr>
                              <w:t>Figure 2 – Map showing forest connectivity in Europe</w:t>
                            </w:r>
                          </w:p>
                          <w:p w14:paraId="710D547A" w14:textId="0AC45DED" w:rsidR="00793EC0" w:rsidRPr="00E80DC9" w:rsidRDefault="00793EC0" w:rsidP="00594EEE">
                            <w:pPr>
                              <w:spacing w:after="0"/>
                              <w:rPr>
                                <w:color w:val="595959" w:themeColor="text1" w:themeTint="A6"/>
                                <w:sz w:val="20"/>
                              </w:rPr>
                            </w:pPr>
                            <w:r w:rsidRPr="00E80DC9">
                              <w:rPr>
                                <w:color w:val="595959" w:themeColor="text1" w:themeTint="A6"/>
                                <w:sz w:val="20"/>
                              </w:rPr>
                              <w:t>(Forest Europe, 2011)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E88202C" id="_x0000_s1027" type="#_x0000_t202" style="position:absolute;margin-left:0;margin-top:664.5pt;width:270pt;height:42.25pt;z-index:-251650048;visibility:visible;mso-wrap-style:square;mso-width-percent:0;mso-height-percent:200;mso-wrap-distance-left:9pt;mso-wrap-distance-top:3.6pt;mso-wrap-distance-right:9pt;mso-wrap-distance-bottom:3.6pt;mso-position-horizontal:left;mso-position-horizontal-relative:margin;mso-position-vertical:absolute;mso-position-vertical-relative:page;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" filled="f" stroked="f">
                <v:textbox style="mso-fit-shape-to-text:t">
                  <w:txbxContent>
                    <w:p w14:paraId="2A54067F" w14:textId="77777777" w:rsidR="00793EC0" w:rsidRPr="00E80DC9" w:rsidRDefault="00793EC0" w:rsidP="00594EEE">
                      <w:pPr>
                        <w:spacing w:after="0"/>
                        <w:rPr>
                          <w:color w:val="595959" w:themeColor="text1" w:themeTint="A6"/>
                          <w:sz w:val="20"/>
                        </w:rPr>
                      </w:pPr>
                      <w:r w:rsidRPr="00E80DC9">
                        <w:rPr>
                          <w:color w:val="595959" w:themeColor="text1" w:themeTint="A6"/>
                          <w:sz w:val="20"/>
                        </w:rPr>
                        <w:t>Figure 2 – Map showing forest connectivity in Europe</w:t>
                      </w:r>
                    </w:p>
                    <w:p w14:paraId="710D547A" w14:textId="0AC45DED" w:rsidR="00793EC0" w:rsidRPr="00E80DC9" w:rsidRDefault="00793EC0" w:rsidP="00594EEE">
                      <w:pPr>
                        <w:spacing w:after="0"/>
                        <w:rPr>
                          <w:color w:val="595959" w:themeColor="text1" w:themeTint="A6"/>
                          <w:sz w:val="20"/>
                        </w:rPr>
                      </w:pPr>
                      <w:r w:rsidRPr="00E80DC9">
                        <w:rPr>
                          <w:color w:val="595959" w:themeColor="text1" w:themeTint="A6"/>
                          <w:sz w:val="20"/>
                        </w:rPr>
                        <w:t>(Forest Europe, 2011)</w:t>
                      </w:r>
                    </w:p>
                  </w:txbxContent>
                </v:textbox>
                <w10:wrap type="tight" anchorx="margin" anchory="page"/>
              </v:shape>
            </w:pict>
          </mc:Fallback>
        </mc:AlternateContent>
      </w:r>
      <w:r w:rsidR="000A1AA7">
        <w:rPr>
          <w:lang w:val="en-US"/>
        </w:rPr>
        <w:t>Over 70,000 species of plant, animal, fungus and single-cell organism live in the UK (NHM, 2019), and 1</w:t>
      </w:r>
      <w:r w:rsidR="00341061">
        <w:rPr>
          <w:lang w:val="en-US"/>
        </w:rPr>
        <w:t>,</w:t>
      </w:r>
      <w:r w:rsidR="000A1AA7">
        <w:rPr>
          <w:lang w:val="en-US"/>
        </w:rPr>
        <w:t>150 were listed as priority species in the UK Biodiversity Action Plan in 2007</w:t>
      </w:r>
      <w:r w:rsidR="00FC535F">
        <w:rPr>
          <w:lang w:val="en-US"/>
        </w:rPr>
        <w:t xml:space="preserve"> (JNCC, 2016). The destruction and fragmentation of forest habitats is a major contributing factor to the problem of species decline. </w:t>
      </w:r>
      <w:r w:rsidR="00594EEE">
        <w:rPr>
          <w:lang w:val="en-US"/>
        </w:rPr>
        <w:t>Among</w:t>
      </w:r>
      <w:r w:rsidR="00FC535F">
        <w:rPr>
          <w:lang w:val="en-US"/>
        </w:rPr>
        <w:t xml:space="preserve"> the species listed as priority according to the UK BAP</w:t>
      </w:r>
      <w:r w:rsidR="00594EEE">
        <w:rPr>
          <w:lang w:val="en-US"/>
        </w:rPr>
        <w:t xml:space="preserve"> are</w:t>
      </w:r>
      <w:r w:rsidR="00FC535F">
        <w:rPr>
          <w:lang w:val="en-US"/>
        </w:rPr>
        <w:t xml:space="preserve"> several </w:t>
      </w:r>
      <w:r w:rsidR="00594EEE">
        <w:rPr>
          <w:lang w:val="en-US"/>
        </w:rPr>
        <w:t>species</w:t>
      </w:r>
      <w:r w:rsidR="00FC535F">
        <w:rPr>
          <w:lang w:val="en-US"/>
        </w:rPr>
        <w:t xml:space="preserve"> of</w:t>
      </w:r>
      <w:r w:rsidR="005A4FC7">
        <w:rPr>
          <w:lang w:val="en-US"/>
        </w:rPr>
        <w:t xml:space="preserve"> </w:t>
      </w:r>
      <w:r w:rsidR="00FC535F">
        <w:rPr>
          <w:lang w:val="en-US"/>
        </w:rPr>
        <w:t xml:space="preserve">moss and lichen, </w:t>
      </w:r>
      <w:r w:rsidR="00594EEE">
        <w:rPr>
          <w:lang w:val="en-US"/>
        </w:rPr>
        <w:t>fungi, beetles, and perhaps most notably, the red squirrel, which rely on woodland habitats.</w:t>
      </w:r>
    </w:p>
    <w:p w14:paraId="1E415693" w14:textId="6D0C36B9" w:rsidR="00161434" w:rsidRPr="008C05E3" w:rsidRDefault="00161434" w:rsidP="00161434">
      <w:pPr>
        <w:rPr>
          <w:lang w:val="en-US"/>
        </w:rPr>
      </w:pPr>
      <w:r>
        <w:rPr>
          <w:lang w:val="en-US"/>
        </w:rPr>
        <w:t>Many woodland animal species are reliant on strong networks of forest habitats, and therefore if forests decline and become disconnected, the populations of animals such as deer, red squirrels and pine marten will be severely impacted.</w:t>
      </w:r>
    </w:p>
    <w:p w14:paraId="234799BB" w14:textId="776EB474" w:rsidR="00161434" w:rsidRDefault="00161434" w:rsidP="00161434">
      <w:pPr>
        <w:spacing w:after="0"/>
        <w:rPr>
          <w:b/>
          <w:lang w:val="en-US"/>
        </w:rPr>
      </w:pPr>
      <w:r>
        <w:rPr>
          <w:b/>
          <w:lang w:val="en-US"/>
        </w:rPr>
        <w:t xml:space="preserve">Impacts on </w:t>
      </w:r>
      <w:r w:rsidR="003636A6">
        <w:rPr>
          <w:b/>
          <w:lang w:val="en-US"/>
        </w:rPr>
        <w:t xml:space="preserve">Air Quality, Climate and </w:t>
      </w:r>
      <w:r>
        <w:rPr>
          <w:b/>
          <w:lang w:val="en-US"/>
        </w:rPr>
        <w:t>Health</w:t>
      </w:r>
    </w:p>
    <w:p w14:paraId="395C52BB" w14:textId="1318CC39" w:rsidR="00161434" w:rsidRDefault="003636A6" w:rsidP="00161434">
      <w:pPr>
        <w:spacing w:after="0"/>
        <w:rPr>
          <w:lang w:val="en-US"/>
        </w:rPr>
      </w:pPr>
      <w:r>
        <w:rPr>
          <w:lang w:val="en-US"/>
        </w:rPr>
        <w:t xml:space="preserve">Forests act as a carbon sink, absorbing greenhouse gases </w:t>
      </w:r>
      <w:r w:rsidR="00793EC0">
        <w:rPr>
          <w:lang w:val="en-US"/>
        </w:rPr>
        <w:t>(GHG’s) like</w:t>
      </w:r>
      <w:r>
        <w:rPr>
          <w:lang w:val="en-US"/>
        </w:rPr>
        <w:t xml:space="preserve"> CO</w:t>
      </w:r>
      <w:r>
        <w:rPr>
          <w:vertAlign w:val="subscript"/>
          <w:lang w:val="en-US"/>
        </w:rPr>
        <w:t>2</w:t>
      </w:r>
      <w:r>
        <w:rPr>
          <w:lang w:val="en-US"/>
        </w:rPr>
        <w:t xml:space="preserve"> and thus offsetting the climatic effects of GHG emissions. </w:t>
      </w:r>
      <w:r w:rsidR="00793EC0">
        <w:rPr>
          <w:lang w:val="en-US"/>
        </w:rPr>
        <w:t>In 2017, the UK</w:t>
      </w:r>
      <w:r w:rsidR="00B8426B">
        <w:rPr>
          <w:lang w:val="en-US"/>
        </w:rPr>
        <w:t xml:space="preserve"> emitted over</w:t>
      </w:r>
      <w:r w:rsidR="00793EC0">
        <w:rPr>
          <w:lang w:val="en-US"/>
        </w:rPr>
        <w:t xml:space="preserve"> 400 million tonnes</w:t>
      </w:r>
      <w:r w:rsidR="00B8426B">
        <w:rPr>
          <w:lang w:val="en-US"/>
        </w:rPr>
        <w:t xml:space="preserve"> of CO</w:t>
      </w:r>
      <w:r w:rsidR="00B8426B">
        <w:rPr>
          <w:vertAlign w:val="subscript"/>
          <w:lang w:val="en-US"/>
        </w:rPr>
        <w:t>2</w:t>
      </w:r>
      <w:r w:rsidR="00793EC0">
        <w:rPr>
          <w:lang w:val="en-US"/>
        </w:rPr>
        <w:t xml:space="preserve"> (BEIS, 2019)</w:t>
      </w:r>
      <w:r w:rsidR="00CD0992">
        <w:rPr>
          <w:lang w:val="en-US"/>
        </w:rPr>
        <w:t>.</w:t>
      </w:r>
      <w:r w:rsidR="00B8426B">
        <w:rPr>
          <w:lang w:val="en-US"/>
        </w:rPr>
        <w:t xml:space="preserve"> </w:t>
      </w:r>
      <w:r w:rsidR="00E15997">
        <w:rPr>
          <w:lang w:val="en-US"/>
        </w:rPr>
        <w:t xml:space="preserve">This accounts for around 11.5% </w:t>
      </w:r>
      <w:r w:rsidR="00E15997">
        <w:rPr>
          <w:lang w:val="en-US"/>
        </w:rPr>
        <w:lastRenderedPageBreak/>
        <w:t>of total EU carbon emissions</w:t>
      </w:r>
      <w:r w:rsidR="005A4FC7">
        <w:rPr>
          <w:lang w:val="en-US"/>
        </w:rPr>
        <w:t>, despite the UK only constituting around 6% of the EU’s land area. However, almost 13% of the EU’s population lives in the UK. And much of the UK’s population lives in towns and cities. As a result, GHG emissions are extremely high.</w:t>
      </w:r>
    </w:p>
    <w:p w14:paraId="3D04169A" w14:textId="31928F72" w:rsidR="00091382" w:rsidRDefault="003D347D" w:rsidP="00091382">
      <w:pPr>
        <w:spacing w:after="0"/>
        <w:rPr>
          <w:lang w:val="en-US"/>
        </w:rPr>
      </w:pPr>
      <w:r>
        <w:rPr>
          <w:lang w:val="en-US"/>
        </w:rPr>
        <w:t>The impacts of GHG emissions and consequent climate change are already being seen across the world and in the UK. The phenomenon of “climate weirding” for example has produced 20</w:t>
      </w:r>
      <w:r>
        <w:rPr>
          <w:rFonts w:cstheme="minorHAnsi"/>
          <w:lang w:val="en-US"/>
        </w:rPr>
        <w:t>°</w:t>
      </w:r>
      <w:r>
        <w:rPr>
          <w:lang w:val="en-US"/>
        </w:rPr>
        <w:t>C February temperatures in Wales, as well as snow flurries in April</w:t>
      </w:r>
      <w:r w:rsidR="00091382">
        <w:rPr>
          <w:lang w:val="en-US"/>
        </w:rPr>
        <w:t xml:space="preserve"> (Met Office, 2019)</w:t>
      </w:r>
      <w:r>
        <w:rPr>
          <w:lang w:val="en-US"/>
        </w:rPr>
        <w:t>. Rising sea levels are also beginning to pose a threat to coastal communities as they have already done significantly in other areas of the world.</w:t>
      </w:r>
    </w:p>
    <w:p w14:paraId="5E95CE3F" w14:textId="2DC3B781" w:rsidR="00091382" w:rsidRDefault="00091382" w:rsidP="00091382">
      <w:pPr>
        <w:spacing w:after="0"/>
        <w:rPr>
          <w:lang w:val="en-US"/>
        </w:rPr>
      </w:pPr>
      <w:r>
        <w:rPr>
          <w:lang w:val="en-US"/>
        </w:rPr>
        <w:t xml:space="preserve">Air pollution and poor air quality leads to respiratory and heart problems. </w:t>
      </w:r>
      <w:r w:rsidR="00380848">
        <w:rPr>
          <w:lang w:val="en-US"/>
        </w:rPr>
        <w:t>For example, in</w:t>
      </w:r>
      <w:r>
        <w:rPr>
          <w:lang w:val="en-US"/>
        </w:rPr>
        <w:t xml:space="preserve"> the UK, around 5.4</w:t>
      </w:r>
      <w:r w:rsidR="00380848">
        <w:rPr>
          <w:lang w:val="en-US"/>
        </w:rPr>
        <w:t xml:space="preserve"> </w:t>
      </w:r>
      <w:r>
        <w:rPr>
          <w:lang w:val="en-US"/>
        </w:rPr>
        <w:t>million people suffer from asthma, with 1</w:t>
      </w:r>
      <w:r w:rsidR="00341061">
        <w:rPr>
          <w:lang w:val="en-US"/>
        </w:rPr>
        <w:t>,</w:t>
      </w:r>
      <w:r>
        <w:rPr>
          <w:lang w:val="en-US"/>
        </w:rPr>
        <w:t>410 deaths from asthma in 2016</w:t>
      </w:r>
      <w:r w:rsidR="00380848">
        <w:rPr>
          <w:lang w:val="en-US"/>
        </w:rPr>
        <w:t xml:space="preserve"> (</w:t>
      </w:r>
      <w:r w:rsidR="002D1C54">
        <w:rPr>
          <w:lang w:val="en-US"/>
        </w:rPr>
        <w:t>an increase from</w:t>
      </w:r>
      <w:r w:rsidR="00380848">
        <w:rPr>
          <w:lang w:val="en-US"/>
        </w:rPr>
        <w:t xml:space="preserve"> 15 years previous), and costing the NHS £1 billion per year</w:t>
      </w:r>
      <w:r>
        <w:rPr>
          <w:lang w:val="en-US"/>
        </w:rPr>
        <w:t xml:space="preserve"> (Asthma UK, 2019)</w:t>
      </w:r>
      <w:r w:rsidR="00380848">
        <w:rPr>
          <w:lang w:val="en-US"/>
        </w:rPr>
        <w:t>.</w:t>
      </w:r>
    </w:p>
    <w:p w14:paraId="014B9BFD" w14:textId="0F84E766" w:rsidR="00380848" w:rsidRDefault="00380848" w:rsidP="00091382">
      <w:pPr>
        <w:spacing w:after="0"/>
        <w:rPr>
          <w:lang w:val="en-US"/>
        </w:rPr>
      </w:pPr>
      <w:r>
        <w:rPr>
          <w:lang w:val="en-US"/>
        </w:rPr>
        <w:t>Research also shows that trees and green spaces have a positive impact on mental health and wellbeing</w:t>
      </w:r>
      <w:r w:rsidR="00D50FAE">
        <w:rPr>
          <w:lang w:val="en-US"/>
        </w:rPr>
        <w:t xml:space="preserve"> (Cox et al. 2019). With rapid urban population growth and a looming mental health crisis in the UK, the potential </w:t>
      </w:r>
      <w:r w:rsidR="000C57F1">
        <w:rPr>
          <w:lang w:val="en-US"/>
        </w:rPr>
        <w:t>benefits</w:t>
      </w:r>
      <w:r w:rsidR="00D50FAE">
        <w:rPr>
          <w:lang w:val="en-US"/>
        </w:rPr>
        <w:t xml:space="preserve"> of addressing environmental degradation </w:t>
      </w:r>
      <w:r w:rsidR="000C57F1">
        <w:rPr>
          <w:lang w:val="en-US"/>
        </w:rPr>
        <w:t>are</w:t>
      </w:r>
      <w:r w:rsidR="00D50FAE">
        <w:rPr>
          <w:lang w:val="en-US"/>
        </w:rPr>
        <w:t xml:space="preserve"> now substantial</w:t>
      </w:r>
      <w:r w:rsidR="000C57F1">
        <w:rPr>
          <w:lang w:val="en-US"/>
        </w:rPr>
        <w:t xml:space="preserve"> and pivotal</w:t>
      </w:r>
      <w:r w:rsidR="00D50FAE">
        <w:rPr>
          <w:lang w:val="en-US"/>
        </w:rPr>
        <w:t>.</w:t>
      </w:r>
    </w:p>
    <w:p w14:paraId="0709127F" w14:textId="77777777" w:rsidR="00091382" w:rsidRDefault="00091382" w:rsidP="00091382">
      <w:pPr>
        <w:spacing w:after="0"/>
        <w:rPr>
          <w:lang w:val="en-US"/>
        </w:rPr>
      </w:pPr>
    </w:p>
    <w:p w14:paraId="65B442AA" w14:textId="7DAA91E4" w:rsidR="00C939BC" w:rsidRPr="00F66F25" w:rsidRDefault="00C939BC">
      <w:pPr>
        <w:rPr>
          <w:b/>
          <w:sz w:val="26"/>
          <w:szCs w:val="26"/>
          <w:lang w:val="en-US"/>
        </w:rPr>
      </w:pPr>
      <w:r w:rsidRPr="00F66F25">
        <w:rPr>
          <w:b/>
          <w:sz w:val="26"/>
          <w:szCs w:val="26"/>
          <w:lang w:val="en-US"/>
        </w:rPr>
        <w:t>Policy Recommendations</w:t>
      </w:r>
    </w:p>
    <w:p w14:paraId="7B2C0648" w14:textId="0ED8A94C" w:rsidR="004363DA" w:rsidRPr="00F66F25" w:rsidRDefault="004363DA" w:rsidP="00FC759A">
      <w:pPr>
        <w:rPr>
          <w:b/>
          <w:sz w:val="24"/>
          <w:lang w:val="en-US"/>
        </w:rPr>
      </w:pPr>
      <w:r w:rsidRPr="00F66F25">
        <w:rPr>
          <w:b/>
          <w:sz w:val="24"/>
          <w:lang w:val="en-US"/>
        </w:rPr>
        <w:t>Afforestation</w:t>
      </w:r>
      <w:r w:rsidR="000415F5">
        <w:rPr>
          <w:b/>
          <w:sz w:val="24"/>
          <w:lang w:val="en-US"/>
        </w:rPr>
        <w:t xml:space="preserve"> (National</w:t>
      </w:r>
      <w:r w:rsidR="004C4532">
        <w:rPr>
          <w:b/>
          <w:sz w:val="24"/>
          <w:lang w:val="en-US"/>
        </w:rPr>
        <w:t xml:space="preserve"> Level</w:t>
      </w:r>
      <w:r w:rsidR="000415F5">
        <w:rPr>
          <w:b/>
          <w:sz w:val="24"/>
          <w:lang w:val="en-US"/>
        </w:rPr>
        <w:t>)</w:t>
      </w:r>
    </w:p>
    <w:p w14:paraId="4889ED3A" w14:textId="0CDF8578" w:rsidR="00F66F25" w:rsidRPr="00F66F25" w:rsidRDefault="00F66F25" w:rsidP="00F66F25">
      <w:pPr>
        <w:spacing w:after="0"/>
        <w:rPr>
          <w:b/>
          <w:lang w:val="en-US"/>
        </w:rPr>
      </w:pPr>
      <w:r>
        <w:rPr>
          <w:b/>
          <w:lang w:val="en-US"/>
        </w:rPr>
        <w:t>Urban Tree Planting and Green Belts</w:t>
      </w:r>
    </w:p>
    <w:p w14:paraId="3DAE3D68" w14:textId="3DA880CC" w:rsidR="00F66F25" w:rsidRDefault="00253815" w:rsidP="00F66F25">
      <w:pPr>
        <w:spacing w:after="0"/>
        <w:rPr>
          <w:lang w:val="en-US"/>
        </w:rPr>
      </w:pPr>
      <w:r>
        <w:rPr>
          <w:lang w:val="en-US"/>
        </w:rPr>
        <w:t>As of 2014, over 80% of the UK’s population live in urban areas (DEFRA, 2019)</w:t>
      </w:r>
      <w:r w:rsidR="00F66F25">
        <w:rPr>
          <w:lang w:val="en-US"/>
        </w:rPr>
        <w:t>. Therefore, maximising green spaces within urban areas is key to improving</w:t>
      </w:r>
      <w:r w:rsidR="004C4532">
        <w:rPr>
          <w:lang w:val="en-US"/>
        </w:rPr>
        <w:t>,</w:t>
      </w:r>
      <w:r w:rsidR="00F66F25">
        <w:rPr>
          <w:lang w:val="en-US"/>
        </w:rPr>
        <w:t xml:space="preserve"> and maintaining improvement in</w:t>
      </w:r>
      <w:r w:rsidR="004C4532">
        <w:rPr>
          <w:lang w:val="en-US"/>
        </w:rPr>
        <w:t>,</w:t>
      </w:r>
      <w:r w:rsidR="00F66F25">
        <w:rPr>
          <w:lang w:val="en-US"/>
        </w:rPr>
        <w:t xml:space="preserve"> the health </w:t>
      </w:r>
      <w:r w:rsidR="003C7600">
        <w:rPr>
          <w:lang w:val="en-US"/>
        </w:rPr>
        <w:t xml:space="preserve">and </w:t>
      </w:r>
      <w:r w:rsidR="00F66F25">
        <w:rPr>
          <w:lang w:val="en-US"/>
        </w:rPr>
        <w:t>quality of life of the overall UK population. In order for reforestation to be fully effective, it is vital that urban areas are considered as tree-planting targets. This means robust and ongoing communication between all levels of government. Communities should be engaged and informed to ensure that well-</w:t>
      </w:r>
      <w:r w:rsidR="00F66F25" w:rsidRPr="000E779D">
        <w:t>organised</w:t>
      </w:r>
      <w:r w:rsidR="00F66F25">
        <w:rPr>
          <w:lang w:val="en-US"/>
        </w:rPr>
        <w:t xml:space="preserve">, inclusive and integrated </w:t>
      </w:r>
      <w:r w:rsidR="00F66F25" w:rsidRPr="000E779D">
        <w:t>programmes</w:t>
      </w:r>
      <w:r w:rsidR="00F66F25">
        <w:rPr>
          <w:lang w:val="en-US"/>
        </w:rPr>
        <w:t xml:space="preserve"> of afforestation can be established within towns and cities as well as their surrounding areas.</w:t>
      </w:r>
      <w:r w:rsidR="00CE4736" w:rsidRPr="00CE4736">
        <w:rPr>
          <w:noProof/>
        </w:rPr>
        <w:t xml:space="preserve"> </w:t>
      </w:r>
    </w:p>
    <w:p w14:paraId="493907DD" w14:textId="3382DD4B" w:rsidR="003A00F4" w:rsidRDefault="00CE4736" w:rsidP="00F66F25">
      <w:pPr>
        <w:spacing w:after="0"/>
        <w:rPr>
          <w:lang w:val="en-US"/>
        </w:rPr>
      </w:pPr>
      <w:r w:rsidRPr="00CE4736">
        <w:rPr>
          <w:noProof/>
        </w:rPr>
        <w:drawing>
          <wp:anchor distT="0" distB="0" distL="114300" distR="114300" simplePos="0" relativeHeight="251668480" behindDoc="1" locked="0" layoutInCell="1" allowOverlap="1" wp14:anchorId="5E49DDC6" wp14:editId="448CF302">
            <wp:simplePos x="0" y="0"/>
            <wp:positionH relativeFrom="margin">
              <wp:align>left</wp:align>
            </wp:positionH>
            <wp:positionV relativeFrom="paragraph">
              <wp:posOffset>27940</wp:posOffset>
            </wp:positionV>
            <wp:extent cx="2630805" cy="2476500"/>
            <wp:effectExtent l="0" t="0" r="0" b="0"/>
            <wp:wrapTight wrapText="bothSides">
              <wp:wrapPolygon edited="0">
                <wp:start x="0" y="0"/>
                <wp:lineTo x="0" y="21434"/>
                <wp:lineTo x="21428" y="21434"/>
                <wp:lineTo x="2142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642927" cy="2487566"/>
                    </a:xfrm>
                    <a:prstGeom prst="rect">
                      <a:avLst/>
                    </a:prstGeom>
                  </pic:spPr>
                </pic:pic>
              </a:graphicData>
            </a:graphic>
            <wp14:sizeRelH relativeFrom="margin">
              <wp14:pctWidth>0</wp14:pctWidth>
            </wp14:sizeRelH>
            <wp14:sizeRelV relativeFrom="margin">
              <wp14:pctHeight>0</wp14:pctHeight>
            </wp14:sizeRelV>
          </wp:anchor>
        </w:drawing>
      </w:r>
      <w:r w:rsidR="003A00F4">
        <w:rPr>
          <w:lang w:val="en-US"/>
        </w:rPr>
        <w:t>In keeping with integrated government at all levels, town planning must address issues of efficiency in the use of space; towns and cities need to be designed and managed with green spaces in mind, allowing for trees to be planted alongside urban developments in order to offset the inevitable expansion of urban areas.</w:t>
      </w:r>
    </w:p>
    <w:p w14:paraId="682C9337" w14:textId="065D2C09" w:rsidR="003A00F4" w:rsidRDefault="003A00F4" w:rsidP="00F66F25">
      <w:pPr>
        <w:spacing w:after="0"/>
        <w:rPr>
          <w:lang w:val="en-US"/>
        </w:rPr>
      </w:pPr>
      <w:r>
        <w:rPr>
          <w:lang w:val="en-US"/>
        </w:rPr>
        <w:t>Moreover, investment ought to be placed into the research of new technologies which will enable urban areas to become green – which will facilitate the utilisation of space efficiently by planting on top of or inside buildings and infrastructure in a sustainable and workable way</w:t>
      </w:r>
      <w:r w:rsidR="004C4532">
        <w:rPr>
          <w:lang w:val="en-US"/>
        </w:rPr>
        <w:t xml:space="preserve"> (See Figure 3)</w:t>
      </w:r>
      <w:r>
        <w:rPr>
          <w:lang w:val="en-US"/>
        </w:rPr>
        <w:t>.</w:t>
      </w:r>
    </w:p>
    <w:p w14:paraId="4DD940DA" w14:textId="77377791" w:rsidR="000E779D" w:rsidRDefault="00CE4736" w:rsidP="004363DA">
      <w:pPr>
        <w:spacing w:after="0"/>
        <w:rPr>
          <w:lang w:val="en-US"/>
        </w:rPr>
      </w:pPr>
      <w:r w:rsidRPr="00CE4736">
        <w:rPr>
          <w:noProof/>
          <w:lang w:val="en-US"/>
        </w:rPr>
        <mc:AlternateContent>
          <mc:Choice Requires="wps">
            <w:drawing>
              <wp:anchor distT="45720" distB="45720" distL="114300" distR="114300" simplePos="0" relativeHeight="251670528" behindDoc="0" locked="0" layoutInCell="1" allowOverlap="1" wp14:anchorId="781CCEA8" wp14:editId="3449148E">
                <wp:simplePos x="0" y="0"/>
                <wp:positionH relativeFrom="margin">
                  <wp:posOffset>-85725</wp:posOffset>
                </wp:positionH>
                <wp:positionV relativeFrom="paragraph">
                  <wp:posOffset>597535</wp:posOffset>
                </wp:positionV>
                <wp:extent cx="2705100" cy="809625"/>
                <wp:effectExtent l="0" t="0" r="0" b="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05100" cy="809625"/>
                        </a:xfrm>
                        <a:prstGeom prst="rect">
                          <a:avLst/>
                        </a:prstGeom>
                        <a:noFill/>
                        <a:ln w="9525">
                          <a:noFill/>
                          <a:miter lim="800000"/>
                          <a:headEnd/>
                          <a:tailEnd/>
                        </a:ln>
                      </wps:spPr>
                      <wps:txbx>
                        <w:txbxContent>
                          <w:p w14:paraId="0AD1207B" w14:textId="77777777" w:rsidR="004C4532" w:rsidRDefault="00CE4736" w:rsidP="00CE4736">
                            <w:pPr>
                              <w:spacing w:after="0"/>
                              <w:rPr>
                                <w:color w:val="595959" w:themeColor="text1" w:themeTint="A6"/>
                                <w:sz w:val="20"/>
                                <w:lang w:val="en-US"/>
                              </w:rPr>
                            </w:pPr>
                            <w:r w:rsidRPr="00E80DC9">
                              <w:rPr>
                                <w:color w:val="595959" w:themeColor="text1" w:themeTint="A6"/>
                                <w:sz w:val="20"/>
                                <w:lang w:val="en-US"/>
                              </w:rPr>
                              <w:t>Figure 3 – The Parkroyal on Pickering hotel in Singapore – an example of how trees can be incorporated into urban architecture</w:t>
                            </w:r>
                          </w:p>
                          <w:p w14:paraId="4822A4A7" w14:textId="735E7C3D" w:rsidR="00CE4736" w:rsidRPr="00E80DC9" w:rsidRDefault="00CE4736" w:rsidP="00CE4736">
                            <w:pPr>
                              <w:spacing w:after="0"/>
                              <w:rPr>
                                <w:color w:val="595959" w:themeColor="text1" w:themeTint="A6"/>
                                <w:sz w:val="20"/>
                                <w:lang w:val="en-US"/>
                              </w:rPr>
                            </w:pPr>
                            <w:r w:rsidRPr="00E80DC9">
                              <w:rPr>
                                <w:color w:val="595959" w:themeColor="text1" w:themeTint="A6"/>
                                <w:sz w:val="20"/>
                                <w:lang w:val="en-US"/>
                              </w:rPr>
                              <w:t>(Treehouse Blog,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1CCEA8" id="_x0000_s1028" type="#_x0000_t202" style="position:absolute;margin-left:-6.75pt;margin-top:47.05pt;width:213pt;height:63.75pt;z-index:2516705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" filled="f" stroked="f">
                <v:textbox>
                  <w:txbxContent>
                    <w:p w14:paraId="0AD1207B" w14:textId="77777777" w:rsidR="004C4532" w:rsidRDefault="00CE4736" w:rsidP="00CE4736">
                      <w:pPr>
                        <w:spacing w:after="0"/>
                        <w:rPr>
                          <w:color w:val="595959" w:themeColor="text1" w:themeTint="A6"/>
                          <w:sz w:val="20"/>
                          <w:lang w:val="en-US"/>
                        </w:rPr>
                      </w:pPr>
                      <w:r w:rsidRPr="00E80DC9">
                        <w:rPr>
                          <w:color w:val="595959" w:themeColor="text1" w:themeTint="A6"/>
                          <w:sz w:val="20"/>
                          <w:lang w:val="en-US"/>
                        </w:rPr>
                        <w:t>Figure 3 – The Parkroyal on Pickering hotel in Singapore – an example of how trees can be incorporated into urban architecture</w:t>
                      </w:r>
                    </w:p>
                    <w:p w14:paraId="4822A4A7" w14:textId="735E7C3D" w:rsidR="00CE4736" w:rsidRPr="00E80DC9" w:rsidRDefault="00CE4736" w:rsidP="00CE4736">
                      <w:pPr>
                        <w:spacing w:after="0"/>
                        <w:rPr>
                          <w:color w:val="595959" w:themeColor="text1" w:themeTint="A6"/>
                          <w:sz w:val="20"/>
                          <w:lang w:val="en-US"/>
                        </w:rPr>
                      </w:pPr>
                      <w:r w:rsidRPr="00E80DC9">
                        <w:rPr>
                          <w:color w:val="595959" w:themeColor="text1" w:themeTint="A6"/>
                          <w:sz w:val="20"/>
                          <w:lang w:val="en-US"/>
                        </w:rPr>
                        <w:t>(Treehouse Blog, 2019)</w:t>
                      </w:r>
                    </w:p>
                  </w:txbxContent>
                </v:textbox>
                <w10:wrap type="square" anchorx="margin"/>
              </v:shape>
            </w:pict>
          </mc:Fallback>
        </mc:AlternateContent>
      </w:r>
      <w:r w:rsidR="0056259E">
        <w:rPr>
          <w:lang w:val="en-US"/>
        </w:rPr>
        <w:t>Additionally, fu</w:t>
      </w:r>
      <w:r w:rsidR="00F66F25">
        <w:rPr>
          <w:lang w:val="en-US"/>
        </w:rPr>
        <w:t>rther attention must be given to managing the expansion of cities. More and larger green belts should be designated to safeguard against the merging of major cities and consequent degradation of the UK’s natural environment.</w:t>
      </w:r>
      <w:r w:rsidR="008B3DDE">
        <w:rPr>
          <w:lang w:val="en-US"/>
        </w:rPr>
        <w:t xml:space="preserve"> This is vital to promote healthy forest networks which will help to sustain the overall natural environment of the UK and maintain forest cover for the future.</w:t>
      </w:r>
    </w:p>
    <w:p w14:paraId="12BBC774" w14:textId="61D29D4C" w:rsidR="00CE4736" w:rsidRDefault="00836951" w:rsidP="004363DA">
      <w:pPr>
        <w:spacing w:after="0"/>
        <w:rPr>
          <w:b/>
          <w:lang w:val="en-US"/>
        </w:rPr>
      </w:pPr>
      <w:r w:rsidRPr="00721EDD">
        <w:rPr>
          <w:noProof/>
        </w:rPr>
        <w:drawing>
          <wp:anchor distT="0" distB="0" distL="114300" distR="114300" simplePos="0" relativeHeight="251658240" behindDoc="1" locked="0" layoutInCell="1" allowOverlap="1" wp14:anchorId="0BABF76C" wp14:editId="5E68A63C">
            <wp:simplePos x="0" y="0"/>
            <wp:positionH relativeFrom="page">
              <wp:posOffset>340360</wp:posOffset>
            </wp:positionH>
            <wp:positionV relativeFrom="paragraph">
              <wp:posOffset>102235</wp:posOffset>
            </wp:positionV>
            <wp:extent cx="3139440" cy="2057400"/>
            <wp:effectExtent l="0" t="0" r="3810" b="0"/>
            <wp:wrapTight wrapText="bothSides">
              <wp:wrapPolygon edited="0">
                <wp:start x="0" y="0"/>
                <wp:lineTo x="0" y="21400"/>
                <wp:lineTo x="21495" y="21400"/>
                <wp:lineTo x="2149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39440" cy="2057400"/>
                    </a:xfrm>
                    <a:prstGeom prst="rect">
                      <a:avLst/>
                    </a:prstGeom>
                  </pic:spPr>
                </pic:pic>
              </a:graphicData>
            </a:graphic>
            <wp14:sizeRelH relativeFrom="page">
              <wp14:pctWidth>0</wp14:pctWidth>
            </wp14:sizeRelH>
            <wp14:sizeRelV relativeFrom="page">
              <wp14:pctHeight>0</wp14:pctHeight>
            </wp14:sizeRelV>
          </wp:anchor>
        </w:drawing>
      </w:r>
    </w:p>
    <w:p w14:paraId="06B22C79" w14:textId="31632E25" w:rsidR="00E80DC9" w:rsidRDefault="0056259E" w:rsidP="004363DA">
      <w:pPr>
        <w:spacing w:after="0"/>
        <w:rPr>
          <w:b/>
          <w:lang w:val="en-US"/>
        </w:rPr>
      </w:pPr>
      <w:r>
        <w:rPr>
          <w:b/>
          <w:lang w:val="en-US"/>
        </w:rPr>
        <w:t>Agroforestry</w:t>
      </w:r>
    </w:p>
    <w:p w14:paraId="749F3CB2" w14:textId="14281C4E" w:rsidR="0056259E" w:rsidRPr="00E80DC9" w:rsidRDefault="00836951" w:rsidP="004363DA">
      <w:pPr>
        <w:spacing w:after="0"/>
        <w:rPr>
          <w:b/>
          <w:lang w:val="en-US"/>
        </w:rPr>
      </w:pPr>
      <w:r w:rsidRPr="00721EDD">
        <w:rPr>
          <w:noProof/>
          <w:lang w:val="en-US"/>
        </w:rPr>
        <mc:AlternateContent>
          <mc:Choice Requires="wps">
            <w:drawing>
              <wp:anchor distT="45720" distB="45720" distL="114300" distR="114300" simplePos="0" relativeHeight="251660288" behindDoc="0" locked="0" layoutInCell="1" allowOverlap="1" wp14:anchorId="4C6557C5" wp14:editId="347C1786">
                <wp:simplePos x="0" y="0"/>
                <wp:positionH relativeFrom="margin">
                  <wp:posOffset>2927350</wp:posOffset>
                </wp:positionH>
                <wp:positionV relativeFrom="paragraph">
                  <wp:posOffset>624205</wp:posOffset>
                </wp:positionV>
                <wp:extent cx="1057275" cy="107632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7275" cy="1076325"/>
                        </a:xfrm>
                        <a:prstGeom prst="rect">
                          <a:avLst/>
                        </a:prstGeom>
                        <a:noFill/>
                        <a:ln w="9525">
                          <a:noFill/>
                          <a:miter lim="800000"/>
                          <a:headEnd/>
                          <a:tailEnd/>
                        </a:ln>
                      </wps:spPr>
                      <wps:txbx>
                        <w:txbxContent>
                          <w:p w14:paraId="123E4C1B" w14:textId="77777777" w:rsidR="004C4532" w:rsidRDefault="00793EC0" w:rsidP="00E72F9A">
                            <w:pPr>
                              <w:spacing w:after="0"/>
                              <w:rPr>
                                <w:color w:val="595959" w:themeColor="text1" w:themeTint="A6"/>
                                <w:sz w:val="20"/>
                                <w:lang w:val="en-US"/>
                              </w:rPr>
                            </w:pPr>
                            <w:r w:rsidRPr="00E80DC9">
                              <w:rPr>
                                <w:color w:val="595959" w:themeColor="text1" w:themeTint="A6"/>
                                <w:sz w:val="20"/>
                                <w:lang w:val="en-US"/>
                              </w:rPr>
                              <w:t xml:space="preserve">Figure </w:t>
                            </w:r>
                            <w:r w:rsidR="00CE4736" w:rsidRPr="00E80DC9">
                              <w:rPr>
                                <w:color w:val="595959" w:themeColor="text1" w:themeTint="A6"/>
                                <w:sz w:val="20"/>
                                <w:lang w:val="en-US"/>
                              </w:rPr>
                              <w:t>4</w:t>
                            </w:r>
                            <w:r w:rsidRPr="00E80DC9">
                              <w:rPr>
                                <w:color w:val="595959" w:themeColor="text1" w:themeTint="A6"/>
                                <w:sz w:val="20"/>
                                <w:lang w:val="en-US"/>
                              </w:rPr>
                              <w:t xml:space="preserve"> – Urban/Rural population of England and Wales</w:t>
                            </w:r>
                          </w:p>
                          <w:p w14:paraId="49AD332D" w14:textId="213F3E1B" w:rsidR="00793EC0" w:rsidRPr="00E80DC9" w:rsidRDefault="00793EC0" w:rsidP="00E72F9A">
                            <w:pPr>
                              <w:spacing w:after="0"/>
                              <w:rPr>
                                <w:color w:val="595959" w:themeColor="text1" w:themeTint="A6"/>
                                <w:sz w:val="20"/>
                                <w:lang w:val="en-US"/>
                              </w:rPr>
                            </w:pPr>
                            <w:r w:rsidRPr="00E80DC9">
                              <w:rPr>
                                <w:color w:val="595959" w:themeColor="text1" w:themeTint="A6"/>
                                <w:sz w:val="20"/>
                                <w:lang w:val="en-US"/>
                              </w:rPr>
                              <w:t>(ONS, 2011)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6557C5" id="_x0000_s1029" type="#_x0000_t202" style="position:absolute;margin-left:230.5pt;margin-top:49.15pt;width:83.25pt;height:84.75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" filled="f" stroked="f">
                <v:textbox>
                  <w:txbxContent>
                    <w:p w14:paraId="123E4C1B" w14:textId="77777777" w:rsidR="004C4532" w:rsidRDefault="00793EC0" w:rsidP="00E72F9A">
                      <w:pPr>
                        <w:spacing w:after="0"/>
                        <w:rPr>
                          <w:color w:val="595959" w:themeColor="text1" w:themeTint="A6"/>
                          <w:sz w:val="20"/>
                          <w:lang w:val="en-US"/>
                        </w:rPr>
                      </w:pPr>
                      <w:r w:rsidRPr="00E80DC9">
                        <w:rPr>
                          <w:color w:val="595959" w:themeColor="text1" w:themeTint="A6"/>
                          <w:sz w:val="20"/>
                          <w:lang w:val="en-US"/>
                        </w:rPr>
                        <w:t xml:space="preserve">Figure </w:t>
                      </w:r>
                      <w:r w:rsidR="00CE4736" w:rsidRPr="00E80DC9">
                        <w:rPr>
                          <w:color w:val="595959" w:themeColor="text1" w:themeTint="A6"/>
                          <w:sz w:val="20"/>
                          <w:lang w:val="en-US"/>
                        </w:rPr>
                        <w:t>4</w:t>
                      </w:r>
                      <w:r w:rsidRPr="00E80DC9">
                        <w:rPr>
                          <w:color w:val="595959" w:themeColor="text1" w:themeTint="A6"/>
                          <w:sz w:val="20"/>
                          <w:lang w:val="en-US"/>
                        </w:rPr>
                        <w:t xml:space="preserve"> – Urban/Rural population of England and Wales</w:t>
                      </w:r>
                    </w:p>
                    <w:p w14:paraId="49AD332D" w14:textId="213F3E1B" w:rsidR="00793EC0" w:rsidRPr="00E80DC9" w:rsidRDefault="00793EC0" w:rsidP="00E72F9A">
                      <w:pPr>
                        <w:spacing w:after="0"/>
                        <w:rPr>
                          <w:color w:val="595959" w:themeColor="text1" w:themeTint="A6"/>
                          <w:sz w:val="20"/>
                          <w:lang w:val="en-US"/>
                        </w:rPr>
                      </w:pPr>
                      <w:r w:rsidRPr="00E80DC9">
                        <w:rPr>
                          <w:color w:val="595959" w:themeColor="text1" w:themeTint="A6"/>
                          <w:sz w:val="20"/>
                          <w:lang w:val="en-US"/>
                        </w:rPr>
                        <w:t>(ONS, 2011)</w:t>
                      </w:r>
                    </w:p>
                  </w:txbxContent>
                </v:textbox>
                <w10:wrap type="square" anchorx="margin"/>
              </v:shape>
            </w:pict>
          </mc:Fallback>
        </mc:AlternateContent>
      </w:r>
      <w:r w:rsidR="00241051">
        <w:rPr>
          <w:lang w:val="en-US"/>
        </w:rPr>
        <w:t>Agroforestry is defined by the Association for Temperate Agrof</w:t>
      </w:r>
      <w:r w:rsidR="00D52429">
        <w:rPr>
          <w:lang w:val="en-US"/>
        </w:rPr>
        <w:t>or</w:t>
      </w:r>
      <w:r w:rsidR="00241051">
        <w:rPr>
          <w:lang w:val="en-US"/>
        </w:rPr>
        <w:t>estry</w:t>
      </w:r>
      <w:r w:rsidR="00241051" w:rsidRPr="00241051">
        <w:rPr>
          <w:lang w:val="en-US"/>
        </w:rPr>
        <w:t xml:space="preserve"> as </w:t>
      </w:r>
      <w:r w:rsidR="00D52429">
        <w:rPr>
          <w:lang w:val="en-US"/>
        </w:rPr>
        <w:t>“</w:t>
      </w:r>
      <w:r w:rsidR="00241051" w:rsidRPr="00241051">
        <w:rPr>
          <w:lang w:val="en-US"/>
        </w:rPr>
        <w:t>an intensive land management system that optimizes the benefits from the biological interactions created when trees and/or shrubs are deliberately combined with crops and/or livestock.</w:t>
      </w:r>
      <w:r w:rsidR="00D52429">
        <w:rPr>
          <w:lang w:val="en-US"/>
        </w:rPr>
        <w:t>”</w:t>
      </w:r>
      <w:r w:rsidR="00241051">
        <w:rPr>
          <w:lang w:val="en-US"/>
        </w:rPr>
        <w:t xml:space="preserve"> (</w:t>
      </w:r>
      <w:r w:rsidR="00D52429">
        <w:rPr>
          <w:lang w:val="en-US"/>
        </w:rPr>
        <w:t>AFTA, 2019)</w:t>
      </w:r>
    </w:p>
    <w:p w14:paraId="50F7CE42" w14:textId="43C38614" w:rsidR="000415F5" w:rsidRDefault="00FF71C9" w:rsidP="004363DA">
      <w:pPr>
        <w:spacing w:after="0"/>
        <w:rPr>
          <w:lang w:val="en-US"/>
        </w:rPr>
      </w:pPr>
      <w:r>
        <w:rPr>
          <w:lang w:val="en-US"/>
        </w:rPr>
        <w:t>In the UK, 17.5 million hectares (72%) of land is utilized for agriculture (DEFRA, 2018)</w:t>
      </w:r>
      <w:r w:rsidR="00D84626">
        <w:rPr>
          <w:lang w:val="en-US"/>
        </w:rPr>
        <w:t xml:space="preserve">. Consequently, increasing the efficiency of </w:t>
      </w:r>
      <w:r w:rsidR="00D84626">
        <w:rPr>
          <w:lang w:val="en-US"/>
        </w:rPr>
        <w:lastRenderedPageBreak/>
        <w:t>agricultural practice is crucial to sustainability. Land used for cereal crop accounts for 3.2 million hectares</w:t>
      </w:r>
      <w:r w:rsidR="00A30015">
        <w:rPr>
          <w:lang w:val="en-US"/>
        </w:rPr>
        <w:t>, making silvoarable farming a well-suited method of boosting the UK’s tree population. This involves growing agricultural crops between rows of trees, and has numerous benefits for both the immediate and wider environment. Growing trees alongside crops can enhance the fertility of soil and the recycling of biomatter (Agroforestry Research Trust, 2019), making a farm more environmentally sustainable and boosting yields over time, as well as fostering biodiversity</w:t>
      </w:r>
      <w:r w:rsidR="0063029A">
        <w:rPr>
          <w:lang w:val="en-US"/>
        </w:rPr>
        <w:t>.</w:t>
      </w:r>
    </w:p>
    <w:p w14:paraId="379133DA" w14:textId="109CCC6A" w:rsidR="007C0AFD" w:rsidRDefault="0063029A" w:rsidP="00FC759A">
      <w:pPr>
        <w:rPr>
          <w:lang w:val="en-US"/>
        </w:rPr>
      </w:pPr>
      <w:r>
        <w:rPr>
          <w:lang w:val="en-US"/>
        </w:rPr>
        <w:t>In order to combat the problem of shading</w:t>
      </w:r>
      <w:r w:rsidR="00F4008A">
        <w:rPr>
          <w:lang w:val="en-US"/>
        </w:rPr>
        <w:t>, silvoarable should be rotated with silvopasture (grazing between trees)</w:t>
      </w:r>
      <w:r w:rsidR="007C0AFD">
        <w:rPr>
          <w:lang w:val="en-US"/>
        </w:rPr>
        <w:t xml:space="preserve"> (</w:t>
      </w:r>
      <w:r w:rsidR="004C4532">
        <w:rPr>
          <w:lang w:val="en-US"/>
        </w:rPr>
        <w:t xml:space="preserve">see </w:t>
      </w:r>
      <w:r w:rsidR="007C0AFD">
        <w:rPr>
          <w:lang w:val="en-US"/>
        </w:rPr>
        <w:t>ART, 2019)</w:t>
      </w:r>
      <w:r w:rsidR="00F4008A">
        <w:rPr>
          <w:lang w:val="en-US"/>
        </w:rPr>
        <w:t>. This will mean that when tree cover interferes with crop yields</w:t>
      </w:r>
      <w:r w:rsidR="00552013">
        <w:rPr>
          <w:lang w:val="en-US"/>
        </w:rPr>
        <w:t xml:space="preserve">, </w:t>
      </w:r>
      <w:r w:rsidR="00E41027">
        <w:rPr>
          <w:lang w:val="en-US"/>
        </w:rPr>
        <w:t>farms can still be productive</w:t>
      </w:r>
      <w:r w:rsidR="0022457A">
        <w:rPr>
          <w:lang w:val="en-US"/>
        </w:rPr>
        <w:t xml:space="preserve"> </w:t>
      </w:r>
      <w:r w:rsidR="00DE2010">
        <w:rPr>
          <w:lang w:val="en-US"/>
        </w:rPr>
        <w:t>until trees can be harvested (felled or picked) themselves</w:t>
      </w:r>
      <w:r w:rsidR="00B45ED9">
        <w:rPr>
          <w:lang w:val="en-US"/>
        </w:rPr>
        <w:t xml:space="preserve">. Naturally, the rotation of pasture and arable will require large-scale diversification. This can be encouraged by </w:t>
      </w:r>
      <w:r w:rsidR="00EE574C">
        <w:rPr>
          <w:lang w:val="en-US"/>
        </w:rPr>
        <w:t>startup</w:t>
      </w:r>
      <w:r w:rsidR="00B45ED9">
        <w:rPr>
          <w:lang w:val="en-US"/>
        </w:rPr>
        <w:t xml:space="preserve"> grants to areas most suited and adapt</w:t>
      </w:r>
      <w:r w:rsidR="00D91D8E">
        <w:rPr>
          <w:lang w:val="en-US"/>
        </w:rPr>
        <w:t>able</w:t>
      </w:r>
      <w:r w:rsidR="00B45ED9">
        <w:rPr>
          <w:lang w:val="en-US"/>
        </w:rPr>
        <w:t xml:space="preserve"> to facilitate silvoarable and silvopastoral agroforestry, in conjunction with ongoing </w:t>
      </w:r>
      <w:r w:rsidR="00EE574C">
        <w:rPr>
          <w:lang w:val="en-US"/>
        </w:rPr>
        <w:t xml:space="preserve">government </w:t>
      </w:r>
      <w:r w:rsidR="00B45ED9">
        <w:rPr>
          <w:lang w:val="en-US"/>
        </w:rPr>
        <w:t>subsidies and investment</w:t>
      </w:r>
      <w:r w:rsidR="005D1C66">
        <w:rPr>
          <w:lang w:val="en-US"/>
        </w:rPr>
        <w:t>.</w:t>
      </w:r>
      <w:r w:rsidR="00EE574C">
        <w:rPr>
          <w:lang w:val="en-US"/>
        </w:rPr>
        <w:t xml:space="preserve"> </w:t>
      </w:r>
      <w:r w:rsidR="00A40894">
        <w:rPr>
          <w:lang w:val="en-US"/>
        </w:rPr>
        <w:t xml:space="preserve">Wales is a particularly </w:t>
      </w:r>
      <w:r w:rsidR="00EB3AB9">
        <w:rPr>
          <w:lang w:val="en-US"/>
        </w:rPr>
        <w:t>practical target for silvopasture, with 75% of its farmland being grassland pasture (Armstrong, 2016).</w:t>
      </w:r>
      <w:r w:rsidR="00EE574C">
        <w:rPr>
          <w:lang w:val="en-US"/>
        </w:rPr>
        <w:t xml:space="preserve"> </w:t>
      </w:r>
      <w:r w:rsidR="00721EDD">
        <w:rPr>
          <w:lang w:val="en-US"/>
        </w:rPr>
        <w:t>According to the most recent UK census, Wales has a higher rural population that any region in England (see Figure</w:t>
      </w:r>
      <w:r w:rsidR="00372087">
        <w:rPr>
          <w:lang w:val="en-US"/>
        </w:rPr>
        <w:t xml:space="preserve"> </w:t>
      </w:r>
      <w:r w:rsidR="00CE4736">
        <w:rPr>
          <w:lang w:val="en-US"/>
        </w:rPr>
        <w:t>4</w:t>
      </w:r>
      <w:r w:rsidR="00721EDD">
        <w:rPr>
          <w:lang w:val="en-US"/>
        </w:rPr>
        <w:t>).</w:t>
      </w:r>
      <w:r w:rsidR="00721EDD" w:rsidRPr="00721EDD">
        <w:rPr>
          <w:lang w:val="en-US"/>
        </w:rPr>
        <w:t xml:space="preserve"> </w:t>
      </w:r>
      <w:r w:rsidR="00664F6C">
        <w:rPr>
          <w:lang w:val="en-US"/>
        </w:rPr>
        <w:t>Wales also has</w:t>
      </w:r>
      <w:r w:rsidR="00075475">
        <w:rPr>
          <w:lang w:val="en-US"/>
        </w:rPr>
        <w:t xml:space="preserve"> a substantial sheep population of over 9 million (triple the human population [Independent, 2016]), which is ideal for silvopasture. </w:t>
      </w:r>
      <w:r w:rsidR="00721EDD">
        <w:rPr>
          <w:lang w:val="en-US"/>
        </w:rPr>
        <w:t>With further investment into rural areas, agriculture can be made more sustainable and Wales can increase its tree cover and thus the health of its environment and population.</w:t>
      </w:r>
    </w:p>
    <w:p w14:paraId="02C38125" w14:textId="4A5B18FC" w:rsidR="00EE574C" w:rsidRDefault="00EE574C" w:rsidP="004363DA">
      <w:pPr>
        <w:spacing w:after="0"/>
        <w:rPr>
          <w:b/>
          <w:lang w:val="en-US"/>
        </w:rPr>
      </w:pPr>
      <w:r>
        <w:rPr>
          <w:b/>
          <w:lang w:val="en-US"/>
        </w:rPr>
        <w:t>Reforestation of ‘Natural’ Areas</w:t>
      </w:r>
    </w:p>
    <w:p w14:paraId="3BF98121" w14:textId="1F9082F5" w:rsidR="00EE574C" w:rsidRDefault="00A93EBD" w:rsidP="004363DA">
      <w:pPr>
        <w:spacing w:after="0"/>
        <w:rPr>
          <w:lang w:val="en-US"/>
        </w:rPr>
      </w:pPr>
      <w:r>
        <w:rPr>
          <w:lang w:val="en-US"/>
        </w:rPr>
        <w:t>While much of Britain’s rural landscape is broadly considered to be natural and healthy, the landscape has in fact been drastically changed over a geologically short period of time. Up until around 3</w:t>
      </w:r>
      <w:r w:rsidR="00341061">
        <w:rPr>
          <w:lang w:val="en-US"/>
        </w:rPr>
        <w:t>,</w:t>
      </w:r>
      <w:r>
        <w:rPr>
          <w:lang w:val="en-US"/>
        </w:rPr>
        <w:t>400 years ago, over 75% of land was covered by deciduous forest (Woodbridge et al.</w:t>
      </w:r>
      <w:r w:rsidR="000E5E86">
        <w:rPr>
          <w:lang w:val="en-US"/>
        </w:rPr>
        <w:t xml:space="preserve"> 2012). </w:t>
      </w:r>
      <w:r w:rsidR="00372087">
        <w:rPr>
          <w:lang w:val="en-US"/>
        </w:rPr>
        <w:t xml:space="preserve">Historically, therefore, the UK’s forests have declined drastically (see Figure </w:t>
      </w:r>
      <w:r w:rsidR="008B3DDE">
        <w:rPr>
          <w:lang w:val="en-US"/>
        </w:rPr>
        <w:t>1</w:t>
      </w:r>
      <w:r w:rsidR="00372087">
        <w:rPr>
          <w:lang w:val="en-US"/>
        </w:rPr>
        <w:t xml:space="preserve">), much of which has been the result of human activity such as farming (Woodbridge et al. 2012). Consequently, there are significant areas of land in Britain which have been stripped of native woodland </w:t>
      </w:r>
      <w:r w:rsidR="000865CC">
        <w:rPr>
          <w:lang w:val="en-US"/>
        </w:rPr>
        <w:t xml:space="preserve">and which should be the target of reforestation </w:t>
      </w:r>
      <w:r w:rsidR="000865CC" w:rsidRPr="000865CC">
        <w:t>programmes</w:t>
      </w:r>
      <w:r w:rsidR="000865CC">
        <w:rPr>
          <w:lang w:val="en-US"/>
        </w:rPr>
        <w:t>. Areas like the Lake District have been looked on as examples of the UK’s natural beauty, but are in fact the product of centuries of extraction and depletion of natural resources through practices of felling, mining and quarrying, and farming. However, now i</w:t>
      </w:r>
      <w:r w:rsidR="00910FC6">
        <w:rPr>
          <w:lang w:val="en-US"/>
        </w:rPr>
        <w:t>s</w:t>
      </w:r>
      <w:r w:rsidR="000865CC">
        <w:rPr>
          <w:lang w:val="en-US"/>
        </w:rPr>
        <w:t xml:space="preserve"> the time to restore such areas to their healthy and natural state through the planting and cultivating of trees.</w:t>
      </w:r>
    </w:p>
    <w:p w14:paraId="07AF9C22" w14:textId="5D33CEB6" w:rsidR="000865CC" w:rsidRDefault="000865CC" w:rsidP="00E72F9A">
      <w:pPr>
        <w:rPr>
          <w:lang w:val="en-US"/>
        </w:rPr>
      </w:pPr>
      <w:r>
        <w:rPr>
          <w:lang w:val="en-US"/>
        </w:rPr>
        <w:t>Corporate bodies can be encouraged to invest in the reforestation of such landscapes through schemes like REDD, which involves converting the carbon sink value of forests into carbon credits which can be traded by businesses (IIED, 2019)</w:t>
      </w:r>
      <w:r w:rsidR="00E72F9A">
        <w:rPr>
          <w:lang w:val="en-US"/>
        </w:rPr>
        <w:t xml:space="preserve">. </w:t>
      </w:r>
      <w:r w:rsidR="00FC759A">
        <w:rPr>
          <w:lang w:val="en-US"/>
        </w:rPr>
        <w:t xml:space="preserve">REDD has been criticised for failing to address indigenous land rights, and so it is by no means a one-size-fits-all method of encouraging afforestation and forest protection. But in the case of the UK, the issue of indigenous rights does not arise, and so such a scheme is certainly feasible and ought to be established. </w:t>
      </w:r>
      <w:r w:rsidR="00E72F9A">
        <w:rPr>
          <w:lang w:val="en-US"/>
        </w:rPr>
        <w:t>In addition to offsetting the cost of reforestation, this will also likely encourage further business investment in the UK.</w:t>
      </w:r>
    </w:p>
    <w:p w14:paraId="4B4E93DF" w14:textId="012C7073" w:rsidR="00E72F9A" w:rsidRDefault="000415F5" w:rsidP="00FC759A">
      <w:pPr>
        <w:rPr>
          <w:b/>
          <w:sz w:val="24"/>
          <w:lang w:val="en-US"/>
        </w:rPr>
      </w:pPr>
      <w:r>
        <w:rPr>
          <w:b/>
          <w:sz w:val="24"/>
          <w:lang w:val="en-US"/>
        </w:rPr>
        <w:t>Preventing Deforestation (International</w:t>
      </w:r>
      <w:r w:rsidR="00D91D8E">
        <w:rPr>
          <w:b/>
          <w:sz w:val="24"/>
          <w:lang w:val="en-US"/>
        </w:rPr>
        <w:t xml:space="preserve"> Level</w:t>
      </w:r>
      <w:r>
        <w:rPr>
          <w:b/>
          <w:sz w:val="24"/>
          <w:lang w:val="en-US"/>
        </w:rPr>
        <w:t>)</w:t>
      </w:r>
    </w:p>
    <w:p w14:paraId="2F13F379" w14:textId="4BD746B7" w:rsidR="000415F5" w:rsidRDefault="000415F5" w:rsidP="004363DA">
      <w:pPr>
        <w:spacing w:after="0"/>
        <w:rPr>
          <w:b/>
          <w:lang w:val="en-US"/>
        </w:rPr>
      </w:pPr>
      <w:r>
        <w:rPr>
          <w:b/>
          <w:lang w:val="en-US"/>
        </w:rPr>
        <w:t>Forest Management Pairing (FMP)</w:t>
      </w:r>
    </w:p>
    <w:p w14:paraId="1CC0AA35" w14:textId="183C0328" w:rsidR="000415F5" w:rsidRDefault="000415F5" w:rsidP="004363DA">
      <w:pPr>
        <w:spacing w:after="0"/>
        <w:rPr>
          <w:lang w:val="en-US"/>
        </w:rPr>
      </w:pPr>
      <w:r>
        <w:rPr>
          <w:lang w:val="en-US"/>
        </w:rPr>
        <w:t xml:space="preserve">As mentioned in the introduction, measures need to be put in place in order to safeguard against the outsourcing of deforestation to less developed nations. This means ensuring that those responsible for deforestation </w:t>
      </w:r>
      <w:r w:rsidR="004D7BD7">
        <w:rPr>
          <w:lang w:val="en-US"/>
        </w:rPr>
        <w:t>are not able to simply avoid measures to prevent deforestation in the UK by moving their operations to other parts of the world. It is the responsibility of the UK Government to ensure that appropriate measures are put in place and kept in check.</w:t>
      </w:r>
    </w:p>
    <w:p w14:paraId="5151DF56" w14:textId="1860E7AB" w:rsidR="004D7BD7" w:rsidRDefault="004D7BD7" w:rsidP="00FC759A">
      <w:pPr>
        <w:rPr>
          <w:lang w:val="en-US"/>
        </w:rPr>
      </w:pPr>
      <w:r>
        <w:rPr>
          <w:lang w:val="en-US"/>
        </w:rPr>
        <w:t>A</w:t>
      </w:r>
      <w:r w:rsidR="00910FC6">
        <w:rPr>
          <w:lang w:val="en-US"/>
        </w:rPr>
        <w:t>n</w:t>
      </w:r>
      <w:r>
        <w:rPr>
          <w:lang w:val="en-US"/>
        </w:rPr>
        <w:t xml:space="preserve"> FMP scheme will involve connecting legally and legislatively areas of forest (and/or afforestation target areas) in the UK with areas of forest elsewhere in the world, and upholding the same standards of protection for both areas. For example, </w:t>
      </w:r>
      <w:r w:rsidR="007A2D25">
        <w:rPr>
          <w:lang w:val="en-US"/>
        </w:rPr>
        <w:t xml:space="preserve">Argyll Forest, Scotland, may be linked with a total area of forest covering </w:t>
      </w:r>
      <w:r w:rsidR="00176226">
        <w:rPr>
          <w:lang w:val="en-US"/>
        </w:rPr>
        <w:t>an equivalent area (</w:t>
      </w:r>
      <w:r w:rsidR="007A2D25">
        <w:rPr>
          <w:lang w:val="en-US"/>
        </w:rPr>
        <w:t>21,000 ha</w:t>
      </w:r>
      <w:r w:rsidR="00176226">
        <w:rPr>
          <w:lang w:val="en-US"/>
        </w:rPr>
        <w:t>)</w:t>
      </w:r>
      <w:r w:rsidR="007A2D25">
        <w:rPr>
          <w:lang w:val="en-US"/>
        </w:rPr>
        <w:t xml:space="preserve"> in developing and environmentally vulnerable countries such as Brazil; any protections given to Argyll must also be given to its paired forest area.</w:t>
      </w:r>
      <w:r w:rsidR="00176226">
        <w:rPr>
          <w:lang w:val="en-US"/>
        </w:rPr>
        <w:t xml:space="preserve"> This scheme can be adjusted to suit specific areas, including thorough assessment of similarity between the needs of different forests. For instance, analysis may show that forests of unequal </w:t>
      </w:r>
      <w:proofErr w:type="gramStart"/>
      <w:r w:rsidR="00176226">
        <w:rPr>
          <w:lang w:val="en-US"/>
        </w:rPr>
        <w:t>area</w:t>
      </w:r>
      <w:proofErr w:type="gramEnd"/>
      <w:r w:rsidR="00176226">
        <w:rPr>
          <w:lang w:val="en-US"/>
        </w:rPr>
        <w:t xml:space="preserve"> but similar characteristics should be paired.</w:t>
      </w:r>
      <w:r w:rsidR="007A2D25">
        <w:rPr>
          <w:lang w:val="en-US"/>
        </w:rPr>
        <w:t xml:space="preserve"> Currently, just over 200,000 ha of forest in the UK are under statutory protection (Woodland Trust, 2011).</w:t>
      </w:r>
    </w:p>
    <w:p w14:paraId="35059B79" w14:textId="03FCBB4F" w:rsidR="007A2D25" w:rsidRDefault="007A2D25" w:rsidP="004363DA">
      <w:pPr>
        <w:spacing w:after="0"/>
        <w:rPr>
          <w:b/>
          <w:lang w:val="en-US"/>
        </w:rPr>
      </w:pPr>
      <w:r>
        <w:rPr>
          <w:b/>
          <w:lang w:val="en-US"/>
        </w:rPr>
        <w:t xml:space="preserve">Imported </w:t>
      </w:r>
      <w:r w:rsidR="00723DEC">
        <w:rPr>
          <w:b/>
          <w:lang w:val="en-US"/>
        </w:rPr>
        <w:t>Beef</w:t>
      </w:r>
      <w:r>
        <w:rPr>
          <w:b/>
          <w:lang w:val="en-US"/>
        </w:rPr>
        <w:t xml:space="preserve"> Tax</w:t>
      </w:r>
    </w:p>
    <w:p w14:paraId="36356DC2" w14:textId="58A45BE5" w:rsidR="00E80DC9" w:rsidRDefault="00723DEC" w:rsidP="00826FE9">
      <w:pPr>
        <w:rPr>
          <w:lang w:val="en-US"/>
        </w:rPr>
      </w:pPr>
      <w:r>
        <w:rPr>
          <w:lang w:val="en-US"/>
        </w:rPr>
        <w:t xml:space="preserve">The production of beef is a major driver of deforestation globally, with cattle ranching accounting for 80% of Amazon deforestation (Global Forest Atlas, 2019). Ergo, reducing the consumption of beef (and dairy) ought to be a global target for sustainability and reducing deforestation. In keeping with the Government’s responsibility to protect </w:t>
      </w:r>
      <w:r>
        <w:rPr>
          <w:lang w:val="en-US"/>
        </w:rPr>
        <w:lastRenderedPageBreak/>
        <w:t>developing countries from increased environmental degradation as a result of boosting sustainability within the UK, measure</w:t>
      </w:r>
      <w:r w:rsidR="00176226">
        <w:rPr>
          <w:lang w:val="en-US"/>
        </w:rPr>
        <w:t>s</w:t>
      </w:r>
      <w:r>
        <w:rPr>
          <w:lang w:val="en-US"/>
        </w:rPr>
        <w:t xml:space="preserve"> should be taken to discourage the consumption of beef – particularly that imported from regions like the Amazon. Therefore, tariffs and taxes on imported beef need to be imposed. This will also help to offset</w:t>
      </w:r>
      <w:r w:rsidR="00F860CE">
        <w:rPr>
          <w:lang w:val="en-US"/>
        </w:rPr>
        <w:t xml:space="preserve"> the implementation</w:t>
      </w:r>
      <w:r>
        <w:rPr>
          <w:lang w:val="en-US"/>
        </w:rPr>
        <w:t xml:space="preserve"> costs of </w:t>
      </w:r>
      <w:r w:rsidR="00F860CE">
        <w:rPr>
          <w:lang w:val="en-US"/>
        </w:rPr>
        <w:t>afforestation and agroforestry policies, as well as potential subsidies for local produce.</w:t>
      </w:r>
    </w:p>
    <w:p w14:paraId="1AAB609F" w14:textId="1C75DFF7" w:rsidR="00F31F59" w:rsidRDefault="00F31F59" w:rsidP="00FC759A">
      <w:pPr>
        <w:rPr>
          <w:b/>
          <w:sz w:val="24"/>
          <w:lang w:val="en-US"/>
        </w:rPr>
      </w:pPr>
      <w:r>
        <w:rPr>
          <w:b/>
          <w:sz w:val="24"/>
          <w:lang w:val="en-US"/>
        </w:rPr>
        <w:t>Reintroduction of Native Species</w:t>
      </w:r>
    </w:p>
    <w:p w14:paraId="5CA52AC1" w14:textId="4F6305B1" w:rsidR="00F31F59" w:rsidRDefault="00F31F59" w:rsidP="00F31F59">
      <w:pPr>
        <w:spacing w:after="0"/>
        <w:rPr>
          <w:b/>
          <w:lang w:val="en-US"/>
        </w:rPr>
      </w:pPr>
      <w:r>
        <w:rPr>
          <w:b/>
          <w:lang w:val="en-US"/>
        </w:rPr>
        <w:t>Red Squirrels</w:t>
      </w:r>
    </w:p>
    <w:p w14:paraId="12B2696F" w14:textId="5DDCABFD" w:rsidR="00F31F59" w:rsidRDefault="00176226" w:rsidP="00FC759A">
      <w:pPr>
        <w:rPr>
          <w:lang w:val="en-US"/>
        </w:rPr>
      </w:pPr>
      <w:r w:rsidRPr="00482FB2">
        <w:rPr>
          <w:b/>
          <w:noProof/>
          <w:lang w:val="en-US"/>
        </w:rPr>
        <mc:AlternateContent>
          <mc:Choice Requires="wps">
            <w:drawing>
              <wp:anchor distT="45720" distB="45720" distL="114300" distR="114300" simplePos="0" relativeHeight="251673600" behindDoc="0" locked="0" layoutInCell="1" allowOverlap="1" wp14:anchorId="6E48AA12" wp14:editId="01E73D9D">
                <wp:simplePos x="0" y="0"/>
                <wp:positionH relativeFrom="page">
                  <wp:posOffset>3600450</wp:posOffset>
                </wp:positionH>
                <wp:positionV relativeFrom="paragraph">
                  <wp:posOffset>1224915</wp:posOffset>
                </wp:positionV>
                <wp:extent cx="1514475" cy="1076325"/>
                <wp:effectExtent l="0" t="0" r="0" b="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14475" cy="1076325"/>
                        </a:xfrm>
                        <a:prstGeom prst="rect">
                          <a:avLst/>
                        </a:prstGeom>
                        <a:noFill/>
                        <a:ln w="9525">
                          <a:noFill/>
                          <a:miter lim="800000"/>
                          <a:headEnd/>
                          <a:tailEnd/>
                        </a:ln>
                      </wps:spPr>
                      <wps:txbx>
                        <w:txbxContent>
                          <w:p w14:paraId="171B1650" w14:textId="12A3A284" w:rsidR="00482FB2" w:rsidRPr="007D1FC8" w:rsidRDefault="00482FB2" w:rsidP="007D1FC8">
                            <w:pPr>
                              <w:spacing w:after="0"/>
                              <w:rPr>
                                <w:color w:val="595959" w:themeColor="text1" w:themeTint="A6"/>
                                <w:sz w:val="20"/>
                                <w:lang w:val="en-US"/>
                              </w:rPr>
                            </w:pPr>
                            <w:r w:rsidRPr="007D1FC8">
                              <w:rPr>
                                <w:color w:val="595959" w:themeColor="text1" w:themeTint="A6"/>
                                <w:sz w:val="20"/>
                                <w:lang w:val="en-US"/>
                              </w:rPr>
                              <w:t xml:space="preserve">Figure 5 – </w:t>
                            </w:r>
                            <w:r w:rsidR="007D1FC8" w:rsidRPr="007D1FC8">
                              <w:rPr>
                                <w:color w:val="595959" w:themeColor="text1" w:themeTint="A6"/>
                                <w:sz w:val="20"/>
                                <w:lang w:val="en-US"/>
                              </w:rPr>
                              <w:t>Distribution of red squirrel populations in the UK and Republic of Ireland (updated 2007)</w:t>
                            </w:r>
                          </w:p>
                          <w:p w14:paraId="55499424" w14:textId="32A6436F" w:rsidR="00482FB2" w:rsidRPr="007D1FC8" w:rsidRDefault="00482FB2" w:rsidP="007D1FC8">
                            <w:pPr>
                              <w:spacing w:after="0"/>
                              <w:rPr>
                                <w:color w:val="595959" w:themeColor="text1" w:themeTint="A6"/>
                                <w:sz w:val="20"/>
                                <w:lang w:val="en-US"/>
                              </w:rPr>
                            </w:pPr>
                            <w:r w:rsidRPr="007D1FC8">
                              <w:rPr>
                                <w:color w:val="595959" w:themeColor="text1" w:themeTint="A6"/>
                                <w:sz w:val="20"/>
                                <w:lang w:val="en-US"/>
                              </w:rPr>
                              <w:t>(</w:t>
                            </w:r>
                            <w:r w:rsidR="007D1FC8" w:rsidRPr="007D1FC8">
                              <w:rPr>
                                <w:color w:val="595959" w:themeColor="text1" w:themeTint="A6"/>
                                <w:sz w:val="20"/>
                                <w:lang w:val="en-US"/>
                              </w:rPr>
                              <w:t>The Mammal Society,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E48AA12" id="_x0000_s1030" type="#_x0000_t202" style="position:absolute;margin-left:283.5pt;margin-top:96.45pt;width:119.25pt;height:84.75pt;z-index:25167360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" filled="f" stroked="f">
                <v:textbox>
                  <w:txbxContent>
                    <w:p w14:paraId="171B1650" w14:textId="12A3A284" w:rsidR="00482FB2" w:rsidRPr="007D1FC8" w:rsidRDefault="00482FB2" w:rsidP="007D1FC8">
                      <w:pPr>
                        <w:spacing w:after="0"/>
                        <w:rPr>
                          <w:color w:val="595959" w:themeColor="text1" w:themeTint="A6"/>
                          <w:sz w:val="20"/>
                          <w:lang w:val="en-US"/>
                        </w:rPr>
                      </w:pPr>
                      <w:r w:rsidRPr="007D1FC8">
                        <w:rPr>
                          <w:color w:val="595959" w:themeColor="text1" w:themeTint="A6"/>
                          <w:sz w:val="20"/>
                          <w:lang w:val="en-US"/>
                        </w:rPr>
                        <w:t xml:space="preserve">Figure 5 – </w:t>
                      </w:r>
                      <w:r w:rsidR="007D1FC8" w:rsidRPr="007D1FC8">
                        <w:rPr>
                          <w:color w:val="595959" w:themeColor="text1" w:themeTint="A6"/>
                          <w:sz w:val="20"/>
                          <w:lang w:val="en-US"/>
                        </w:rPr>
                        <w:t>Distribution of red squirrel populations in the UK and Republic of Ireland (updated 2007)</w:t>
                      </w:r>
                    </w:p>
                    <w:p w14:paraId="55499424" w14:textId="32A6436F" w:rsidR="00482FB2" w:rsidRPr="007D1FC8" w:rsidRDefault="00482FB2" w:rsidP="007D1FC8">
                      <w:pPr>
                        <w:spacing w:after="0"/>
                        <w:rPr>
                          <w:color w:val="595959" w:themeColor="text1" w:themeTint="A6"/>
                          <w:sz w:val="20"/>
                          <w:lang w:val="en-US"/>
                        </w:rPr>
                      </w:pPr>
                      <w:r w:rsidRPr="007D1FC8">
                        <w:rPr>
                          <w:color w:val="595959" w:themeColor="text1" w:themeTint="A6"/>
                          <w:sz w:val="20"/>
                          <w:lang w:val="en-US"/>
                        </w:rPr>
                        <w:t>(</w:t>
                      </w:r>
                      <w:r w:rsidR="007D1FC8" w:rsidRPr="007D1FC8">
                        <w:rPr>
                          <w:color w:val="595959" w:themeColor="text1" w:themeTint="A6"/>
                          <w:sz w:val="20"/>
                          <w:lang w:val="en-US"/>
                        </w:rPr>
                        <w:t>The Mammal Society, 2019)</w:t>
                      </w:r>
                    </w:p>
                  </w:txbxContent>
                </v:textbox>
                <w10:wrap type="square" anchorx="page"/>
              </v:shape>
            </w:pict>
          </mc:Fallback>
        </mc:AlternateContent>
      </w:r>
      <w:r w:rsidRPr="00482FB2">
        <w:rPr>
          <w:noProof/>
        </w:rPr>
        <w:drawing>
          <wp:anchor distT="0" distB="0" distL="114300" distR="114300" simplePos="0" relativeHeight="251674624" behindDoc="1" locked="0" layoutInCell="1" allowOverlap="1" wp14:anchorId="6D38CD30" wp14:editId="5FD2ABAF">
            <wp:simplePos x="0" y="0"/>
            <wp:positionH relativeFrom="margin">
              <wp:align>right</wp:align>
            </wp:positionH>
            <wp:positionV relativeFrom="paragraph">
              <wp:posOffset>5080</wp:posOffset>
            </wp:positionV>
            <wp:extent cx="2008505" cy="2333625"/>
            <wp:effectExtent l="0" t="0" r="0" b="9525"/>
            <wp:wrapTight wrapText="bothSides">
              <wp:wrapPolygon edited="0">
                <wp:start x="0" y="0"/>
                <wp:lineTo x="0" y="21512"/>
                <wp:lineTo x="21306" y="21512"/>
                <wp:lineTo x="21306"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008505" cy="2333625"/>
                    </a:xfrm>
                    <a:prstGeom prst="rect">
                      <a:avLst/>
                    </a:prstGeom>
                  </pic:spPr>
                </pic:pic>
              </a:graphicData>
            </a:graphic>
            <wp14:sizeRelH relativeFrom="margin">
              <wp14:pctWidth>0</wp14:pctWidth>
            </wp14:sizeRelH>
            <wp14:sizeRelV relativeFrom="margin">
              <wp14:pctHeight>0</wp14:pctHeight>
            </wp14:sizeRelV>
          </wp:anchor>
        </w:drawing>
      </w:r>
      <w:r w:rsidR="009501A7">
        <w:rPr>
          <w:lang w:val="en-US"/>
        </w:rPr>
        <w:t xml:space="preserve">Connecting forests throughout Britain will facilitate the enhanced and accelerated reintroduction of red squirrels to UK woodlands – potentially joining </w:t>
      </w:r>
      <w:r w:rsidR="00341061">
        <w:rPr>
          <w:lang w:val="en-US"/>
        </w:rPr>
        <w:t xml:space="preserve">existing </w:t>
      </w:r>
      <w:r w:rsidR="009501A7">
        <w:rPr>
          <w:lang w:val="en-US"/>
        </w:rPr>
        <w:t>isolated populations.</w:t>
      </w:r>
      <w:r w:rsidR="00341061">
        <w:rPr>
          <w:lang w:val="en-US"/>
        </w:rPr>
        <w:t xml:space="preserve"> Furthermore, large-scale reforestation, with appropriate protections and management, will enable reintroduced red squirrel populations to become established with little or no exposure to grey squirrels. With adequate investment and efficient management, areas which have long been depleted of natural forests can be restored to a basic level of established woodland equipped to foster native wildlife within just a few decades.</w:t>
      </w:r>
      <w:r w:rsidR="00E80DC9" w:rsidRPr="00E80DC9">
        <w:rPr>
          <w:noProof/>
        </w:rPr>
        <w:t xml:space="preserve"> </w:t>
      </w:r>
      <w:r w:rsidR="007D1FC8">
        <w:rPr>
          <w:noProof/>
        </w:rPr>
        <w:t>Populations can be expanded from the Scottish border, where they are relatively strong (see Figure 5)</w:t>
      </w:r>
      <w:r w:rsidR="006812AE">
        <w:rPr>
          <w:noProof/>
        </w:rPr>
        <w:t>,</w:t>
      </w:r>
      <w:r w:rsidR="007D1FC8">
        <w:rPr>
          <w:noProof/>
        </w:rPr>
        <w:t xml:space="preserve"> down into the north of England, and potentially brought from Anglesey into parts of mid-Wales.</w:t>
      </w:r>
    </w:p>
    <w:p w14:paraId="4B0257F2" w14:textId="7E575A87" w:rsidR="00341061" w:rsidRDefault="00341061" w:rsidP="00F31F59">
      <w:pPr>
        <w:spacing w:after="0"/>
        <w:rPr>
          <w:b/>
          <w:lang w:val="en-US"/>
        </w:rPr>
      </w:pPr>
      <w:r>
        <w:rPr>
          <w:b/>
          <w:lang w:val="en-US"/>
        </w:rPr>
        <w:t>Lynx</w:t>
      </w:r>
    </w:p>
    <w:p w14:paraId="3DDA5259" w14:textId="300357F4" w:rsidR="00341061" w:rsidRDefault="00341061" w:rsidP="00341061">
      <w:pPr>
        <w:tabs>
          <w:tab w:val="left" w:pos="7905"/>
        </w:tabs>
        <w:spacing w:after="0"/>
        <w:rPr>
          <w:lang w:val="en-US"/>
        </w:rPr>
      </w:pPr>
      <w:r>
        <w:rPr>
          <w:lang w:val="en-US"/>
        </w:rPr>
        <w:t>The Lynx has been extinct in the wild in the UK for just over 1,000 years (Woodland Trust, 2019)</w:t>
      </w:r>
      <w:r w:rsidR="00FA1A96">
        <w:rPr>
          <w:lang w:val="en-US"/>
        </w:rPr>
        <w:t>. Whilst this</w:t>
      </w:r>
      <w:r w:rsidR="006812AE">
        <w:rPr>
          <w:lang w:val="en-US"/>
        </w:rPr>
        <w:t xml:space="preserve"> fact</w:t>
      </w:r>
      <w:r w:rsidR="00FA1A96">
        <w:rPr>
          <w:lang w:val="en-US"/>
        </w:rPr>
        <w:t xml:space="preserve"> is discouraging and may make the reintroduction of lynx seem unfeasible, several other European countries have successfully reintroduced the animal, including France and Germany.</w:t>
      </w:r>
    </w:p>
    <w:p w14:paraId="0E97184F" w14:textId="1C87235A" w:rsidR="00FA1A96" w:rsidRDefault="00FA1A96" w:rsidP="00341061">
      <w:pPr>
        <w:tabs>
          <w:tab w:val="left" w:pos="7905"/>
        </w:tabs>
        <w:spacing w:after="0"/>
        <w:rPr>
          <w:lang w:val="en-US"/>
        </w:rPr>
      </w:pPr>
      <w:r>
        <w:rPr>
          <w:lang w:val="en-US"/>
        </w:rPr>
        <w:t>The reintroduction of lynx in selected areas of Britain will encourage further healthy and sustainable forest management, helping to secure the future of the UK’s native woodland. As with the red squirrel, the lynx will have a fresh and maintained habitat in reforested areas, as well as existing woodland in sparsely populated regions such as the Scottish border and mid Wales. Increased local tourism from the reintroduction of lynx (and other native species) will also boost local economies, leading to savings in localised government funding and making rural economies more stable as they are diversified.</w:t>
      </w:r>
    </w:p>
    <w:p w14:paraId="36BF1FD2" w14:textId="2615B795" w:rsidR="00AB2C33" w:rsidRDefault="00BD11BD" w:rsidP="00FC759A">
      <w:pPr>
        <w:tabs>
          <w:tab w:val="left" w:pos="7905"/>
        </w:tabs>
        <w:rPr>
          <w:lang w:val="en-US"/>
        </w:rPr>
      </w:pPr>
      <w:r>
        <w:rPr>
          <w:lang w:val="en-US"/>
        </w:rPr>
        <w:t>The National Sheep Association opposed proposals to reintroduce Lynx in 2017, but research has shown that lynx attack sheep extremely rarely (and have never attacked humans) (Independent, 2017)</w:t>
      </w:r>
      <w:r w:rsidR="00AB2C33">
        <w:rPr>
          <w:lang w:val="en-US"/>
        </w:rPr>
        <w:t>. And with the defragmentation of forest networks, there will be even less cause for lynx to venture into sparse woodland or open pasture, meaning harm to livestock will be negligible.</w:t>
      </w:r>
    </w:p>
    <w:p w14:paraId="2A30994F" w14:textId="77777777" w:rsidR="00FC759A" w:rsidRDefault="00FC759A" w:rsidP="00FC759A">
      <w:pPr>
        <w:tabs>
          <w:tab w:val="left" w:pos="7905"/>
        </w:tabs>
        <w:rPr>
          <w:lang w:val="en-US"/>
        </w:rPr>
      </w:pPr>
    </w:p>
    <w:p w14:paraId="437B197B" w14:textId="6DA762A1" w:rsidR="00AB2C33" w:rsidRDefault="00AB2C33" w:rsidP="00341061">
      <w:pPr>
        <w:tabs>
          <w:tab w:val="left" w:pos="7905"/>
        </w:tabs>
        <w:spacing w:after="0"/>
        <w:rPr>
          <w:b/>
          <w:sz w:val="26"/>
          <w:szCs w:val="26"/>
          <w:lang w:val="en-US"/>
        </w:rPr>
      </w:pPr>
      <w:r>
        <w:rPr>
          <w:b/>
          <w:sz w:val="26"/>
          <w:szCs w:val="26"/>
          <w:lang w:val="en-US"/>
        </w:rPr>
        <w:t>Policy Conclusions</w:t>
      </w:r>
    </w:p>
    <w:p w14:paraId="497FA689" w14:textId="4EF69146" w:rsidR="00AB2C33" w:rsidRDefault="00AB2C33" w:rsidP="00AB2C33">
      <w:pPr>
        <w:pStyle w:val="ListParagraph"/>
        <w:numPr>
          <w:ilvl w:val="0"/>
          <w:numId w:val="2"/>
        </w:numPr>
        <w:tabs>
          <w:tab w:val="left" w:pos="7905"/>
        </w:tabs>
        <w:spacing w:after="0"/>
        <w:rPr>
          <w:szCs w:val="26"/>
          <w:lang w:val="en-US"/>
        </w:rPr>
      </w:pPr>
      <w:r w:rsidRPr="006812AE">
        <w:rPr>
          <w:b/>
          <w:szCs w:val="26"/>
          <w:lang w:val="en-US"/>
        </w:rPr>
        <w:t>Afforestation</w:t>
      </w:r>
      <w:r>
        <w:rPr>
          <w:szCs w:val="26"/>
          <w:lang w:val="en-US"/>
        </w:rPr>
        <w:t xml:space="preserve"> can be done efficiently and effectively through maximising urban and agricultural spaces</w:t>
      </w:r>
    </w:p>
    <w:p w14:paraId="64300B29" w14:textId="6EF90047" w:rsidR="00AB2C33" w:rsidRDefault="00AB2C33" w:rsidP="00AB2C33">
      <w:pPr>
        <w:pStyle w:val="ListParagraph"/>
        <w:numPr>
          <w:ilvl w:val="0"/>
          <w:numId w:val="2"/>
        </w:numPr>
        <w:tabs>
          <w:tab w:val="left" w:pos="7905"/>
        </w:tabs>
        <w:spacing w:after="0"/>
        <w:rPr>
          <w:szCs w:val="26"/>
          <w:lang w:val="en-US"/>
        </w:rPr>
      </w:pPr>
      <w:r>
        <w:rPr>
          <w:szCs w:val="26"/>
          <w:lang w:val="en-US"/>
        </w:rPr>
        <w:t xml:space="preserve">An active </w:t>
      </w:r>
      <w:r w:rsidRPr="006812AE">
        <w:rPr>
          <w:b/>
          <w:szCs w:val="26"/>
          <w:lang w:val="en-US"/>
        </w:rPr>
        <w:t>restoration of native habitats</w:t>
      </w:r>
      <w:r>
        <w:rPr>
          <w:szCs w:val="26"/>
          <w:lang w:val="en-US"/>
        </w:rPr>
        <w:t xml:space="preserve"> and ecosystems will improve environmental health</w:t>
      </w:r>
    </w:p>
    <w:p w14:paraId="7B4A9F2B" w14:textId="533149B2" w:rsidR="00AB2C33" w:rsidRDefault="00AB2C33" w:rsidP="00AB2C33">
      <w:pPr>
        <w:pStyle w:val="ListParagraph"/>
        <w:numPr>
          <w:ilvl w:val="0"/>
          <w:numId w:val="2"/>
        </w:numPr>
        <w:tabs>
          <w:tab w:val="left" w:pos="7905"/>
        </w:tabs>
        <w:spacing w:after="0"/>
        <w:rPr>
          <w:szCs w:val="26"/>
          <w:lang w:val="en-US"/>
        </w:rPr>
      </w:pPr>
      <w:r>
        <w:rPr>
          <w:szCs w:val="26"/>
          <w:lang w:val="en-US"/>
        </w:rPr>
        <w:t xml:space="preserve">Nationwide, agriculture needs to be made more space- and carbon-efficient through </w:t>
      </w:r>
      <w:r w:rsidRPr="006812AE">
        <w:rPr>
          <w:b/>
          <w:szCs w:val="26"/>
          <w:lang w:val="en-US"/>
        </w:rPr>
        <w:t>agroforestry</w:t>
      </w:r>
    </w:p>
    <w:p w14:paraId="471BC00C" w14:textId="22365B82" w:rsidR="00AB2C33" w:rsidRPr="006812AE" w:rsidRDefault="00AB2C33" w:rsidP="00AB2C33">
      <w:pPr>
        <w:pStyle w:val="ListParagraph"/>
        <w:numPr>
          <w:ilvl w:val="0"/>
          <w:numId w:val="2"/>
        </w:numPr>
        <w:tabs>
          <w:tab w:val="left" w:pos="7905"/>
        </w:tabs>
        <w:spacing w:after="0"/>
        <w:rPr>
          <w:b/>
          <w:szCs w:val="26"/>
          <w:lang w:val="en-US"/>
        </w:rPr>
      </w:pPr>
      <w:r>
        <w:rPr>
          <w:szCs w:val="26"/>
          <w:lang w:val="en-US"/>
        </w:rPr>
        <w:t xml:space="preserve">Firm and committed </w:t>
      </w:r>
      <w:r w:rsidRPr="006812AE">
        <w:rPr>
          <w:b/>
          <w:szCs w:val="26"/>
          <w:lang w:val="en-US"/>
        </w:rPr>
        <w:t>international communication</w:t>
      </w:r>
      <w:r>
        <w:rPr>
          <w:szCs w:val="26"/>
          <w:lang w:val="en-US"/>
        </w:rPr>
        <w:t xml:space="preserve"> is needed to </w:t>
      </w:r>
      <w:r w:rsidRPr="006812AE">
        <w:rPr>
          <w:b/>
          <w:szCs w:val="26"/>
          <w:lang w:val="en-US"/>
        </w:rPr>
        <w:t>protect forests globally</w:t>
      </w:r>
    </w:p>
    <w:p w14:paraId="7D91DF19" w14:textId="77777777" w:rsidR="00AB2C33" w:rsidRPr="006812AE" w:rsidRDefault="00AB2C33" w:rsidP="00AB2C33">
      <w:pPr>
        <w:pStyle w:val="ListParagraph"/>
        <w:numPr>
          <w:ilvl w:val="0"/>
          <w:numId w:val="2"/>
        </w:numPr>
        <w:tabs>
          <w:tab w:val="left" w:pos="7905"/>
        </w:tabs>
        <w:spacing w:after="0"/>
        <w:rPr>
          <w:b/>
          <w:szCs w:val="26"/>
          <w:lang w:val="en-US"/>
        </w:rPr>
      </w:pPr>
      <w:r w:rsidRPr="006812AE">
        <w:rPr>
          <w:b/>
          <w:szCs w:val="26"/>
          <w:lang w:val="en-US"/>
        </w:rPr>
        <w:t>Lifestyle changes</w:t>
      </w:r>
      <w:r>
        <w:rPr>
          <w:szCs w:val="26"/>
          <w:lang w:val="en-US"/>
        </w:rPr>
        <w:t xml:space="preserve"> must be encouraged through policy to </w:t>
      </w:r>
      <w:r w:rsidRPr="006812AE">
        <w:rPr>
          <w:b/>
          <w:szCs w:val="26"/>
          <w:lang w:val="en-US"/>
        </w:rPr>
        <w:t>increase long-term sustainability</w:t>
      </w:r>
    </w:p>
    <w:p w14:paraId="1A615FB9" w14:textId="2FFA6E0C" w:rsidR="00AB2C33" w:rsidRDefault="00AB2C33" w:rsidP="00AB2C33">
      <w:pPr>
        <w:pStyle w:val="ListParagraph"/>
        <w:numPr>
          <w:ilvl w:val="0"/>
          <w:numId w:val="2"/>
        </w:numPr>
        <w:tabs>
          <w:tab w:val="left" w:pos="7905"/>
        </w:tabs>
        <w:spacing w:after="0"/>
        <w:rPr>
          <w:szCs w:val="26"/>
          <w:lang w:val="en-US"/>
        </w:rPr>
      </w:pPr>
      <w:r w:rsidRPr="006812AE">
        <w:rPr>
          <w:b/>
          <w:szCs w:val="26"/>
          <w:lang w:val="en-US"/>
        </w:rPr>
        <w:t>Native biodiversity</w:t>
      </w:r>
      <w:r>
        <w:rPr>
          <w:szCs w:val="26"/>
          <w:lang w:val="en-US"/>
        </w:rPr>
        <w:t xml:space="preserve"> should be fostered and actively encouraged</w:t>
      </w:r>
    </w:p>
    <w:p w14:paraId="2D950D90" w14:textId="0D88D983" w:rsidR="00FC759A" w:rsidRDefault="00AB2C33" w:rsidP="00FC759A">
      <w:pPr>
        <w:pStyle w:val="ListParagraph"/>
        <w:numPr>
          <w:ilvl w:val="0"/>
          <w:numId w:val="2"/>
        </w:numPr>
        <w:tabs>
          <w:tab w:val="left" w:pos="7905"/>
        </w:tabs>
        <w:spacing w:after="0"/>
        <w:rPr>
          <w:szCs w:val="26"/>
          <w:lang w:val="en-US"/>
        </w:rPr>
      </w:pPr>
      <w:r w:rsidRPr="006812AE">
        <w:rPr>
          <w:b/>
          <w:szCs w:val="26"/>
          <w:lang w:val="en-US"/>
        </w:rPr>
        <w:t>Redistribution of funds</w:t>
      </w:r>
      <w:r>
        <w:rPr>
          <w:szCs w:val="26"/>
          <w:lang w:val="en-US"/>
        </w:rPr>
        <w:t xml:space="preserve"> is required to ensure </w:t>
      </w:r>
      <w:r w:rsidRPr="006812AE">
        <w:rPr>
          <w:b/>
          <w:szCs w:val="26"/>
          <w:lang w:val="en-US"/>
        </w:rPr>
        <w:t>fast growth</w:t>
      </w:r>
      <w:r>
        <w:rPr>
          <w:szCs w:val="26"/>
          <w:lang w:val="en-US"/>
        </w:rPr>
        <w:t xml:space="preserve"> and return</w:t>
      </w:r>
    </w:p>
    <w:p w14:paraId="560D3F92" w14:textId="0490DBA8" w:rsidR="00FC759A" w:rsidRDefault="00FC759A" w:rsidP="00FC759A">
      <w:pPr>
        <w:tabs>
          <w:tab w:val="left" w:pos="7905"/>
        </w:tabs>
        <w:spacing w:after="0"/>
        <w:rPr>
          <w:szCs w:val="26"/>
          <w:lang w:val="en-US"/>
        </w:rPr>
      </w:pPr>
    </w:p>
    <w:p w14:paraId="7268E294" w14:textId="77777777" w:rsidR="002D1C54" w:rsidRDefault="002D1C54" w:rsidP="00FC759A">
      <w:pPr>
        <w:tabs>
          <w:tab w:val="left" w:pos="7905"/>
        </w:tabs>
        <w:spacing w:after="0"/>
        <w:rPr>
          <w:szCs w:val="26"/>
          <w:lang w:val="en-US"/>
        </w:rPr>
      </w:pPr>
    </w:p>
    <w:p w14:paraId="52A856B2" w14:textId="3CC92C18" w:rsidR="00FC759A" w:rsidRPr="00836951" w:rsidRDefault="00FC759A" w:rsidP="00FC759A">
      <w:pPr>
        <w:tabs>
          <w:tab w:val="left" w:pos="7905"/>
        </w:tabs>
        <w:spacing w:after="0"/>
        <w:rPr>
          <w:sz w:val="20"/>
          <w:szCs w:val="20"/>
          <w:lang w:val="en-US"/>
        </w:rPr>
      </w:pPr>
      <w:r w:rsidRPr="00836951">
        <w:rPr>
          <w:sz w:val="20"/>
          <w:szCs w:val="20"/>
          <w:lang w:val="en-US"/>
        </w:rPr>
        <w:t>References:</w:t>
      </w:r>
    </w:p>
    <w:p w14:paraId="78442459" w14:textId="1AFBD0BB" w:rsidR="00FC759A" w:rsidRPr="00836951" w:rsidRDefault="00FC759A" w:rsidP="00FC759A">
      <w:pPr>
        <w:tabs>
          <w:tab w:val="left" w:pos="7905"/>
        </w:tabs>
        <w:spacing w:after="0"/>
        <w:rPr>
          <w:sz w:val="20"/>
          <w:szCs w:val="20"/>
        </w:rPr>
      </w:pPr>
      <w:r w:rsidRPr="00836951">
        <w:rPr>
          <w:sz w:val="20"/>
          <w:szCs w:val="20"/>
        </w:rPr>
        <w:t xml:space="preserve">Agroforestry Research Trust (2019) </w:t>
      </w:r>
      <w:r w:rsidRPr="00836951">
        <w:rPr>
          <w:i/>
          <w:sz w:val="20"/>
          <w:szCs w:val="20"/>
        </w:rPr>
        <w:t>Silvoarable</w:t>
      </w:r>
      <w:r w:rsidRPr="00836951">
        <w:rPr>
          <w:sz w:val="20"/>
          <w:szCs w:val="20"/>
        </w:rPr>
        <w:t>. URL: &lt;</w:t>
      </w:r>
      <w:hyperlink r:id="rId10" w:history="1">
        <w:r w:rsidRPr="00836951">
          <w:rPr>
            <w:rStyle w:val="Hyperlink"/>
            <w:sz w:val="20"/>
            <w:szCs w:val="20"/>
          </w:rPr>
          <w:t>https://www.agroforestry.co.uk/about-agroforestry/silvoarable/</w:t>
        </w:r>
      </w:hyperlink>
      <w:r w:rsidRPr="00836951">
        <w:rPr>
          <w:sz w:val="20"/>
          <w:szCs w:val="20"/>
        </w:rPr>
        <w:t>&gt; (Accessed 11 Apr 2019)</w:t>
      </w:r>
    </w:p>
    <w:p w14:paraId="498368BB" w14:textId="1B27461B" w:rsidR="00FC759A" w:rsidRPr="00836951" w:rsidRDefault="00FC759A" w:rsidP="00FC759A">
      <w:pPr>
        <w:tabs>
          <w:tab w:val="left" w:pos="7905"/>
        </w:tabs>
        <w:spacing w:after="0"/>
        <w:rPr>
          <w:sz w:val="20"/>
          <w:szCs w:val="20"/>
        </w:rPr>
      </w:pPr>
      <w:r w:rsidRPr="00836951">
        <w:rPr>
          <w:sz w:val="20"/>
          <w:szCs w:val="20"/>
        </w:rPr>
        <w:t xml:space="preserve">Armstrong, E. (2016) ‘Welsh Farming Facts and Figures’, </w:t>
      </w:r>
      <w:r w:rsidRPr="00836951">
        <w:rPr>
          <w:i/>
          <w:sz w:val="20"/>
          <w:szCs w:val="20"/>
        </w:rPr>
        <w:t>Senedd Research</w:t>
      </w:r>
      <w:r w:rsidRPr="00836951">
        <w:rPr>
          <w:sz w:val="20"/>
          <w:szCs w:val="20"/>
        </w:rPr>
        <w:t xml:space="preserve"> URL: &lt;</w:t>
      </w:r>
      <w:hyperlink r:id="rId11" w:history="1">
        <w:r w:rsidRPr="00836951">
          <w:rPr>
            <w:rStyle w:val="Hyperlink"/>
            <w:sz w:val="20"/>
            <w:szCs w:val="20"/>
          </w:rPr>
          <w:t>https://seneddresearch.blog/2016/09/26/welsh-farming-facts-and-figures/</w:t>
        </w:r>
      </w:hyperlink>
      <w:r w:rsidRPr="00836951">
        <w:rPr>
          <w:sz w:val="20"/>
          <w:szCs w:val="20"/>
        </w:rPr>
        <w:t>&gt; (Accessed 11 Apr 2019)</w:t>
      </w:r>
    </w:p>
    <w:p w14:paraId="4CB94410" w14:textId="5F6683A3" w:rsidR="00FC759A" w:rsidRPr="00836951" w:rsidRDefault="00FC759A" w:rsidP="00FC759A">
      <w:pPr>
        <w:tabs>
          <w:tab w:val="left" w:pos="7905"/>
        </w:tabs>
        <w:spacing w:after="0"/>
        <w:rPr>
          <w:sz w:val="20"/>
          <w:szCs w:val="20"/>
        </w:rPr>
      </w:pPr>
      <w:r w:rsidRPr="00836951">
        <w:rPr>
          <w:sz w:val="20"/>
          <w:szCs w:val="20"/>
        </w:rPr>
        <w:lastRenderedPageBreak/>
        <w:t xml:space="preserve">Association for Temperate Agroforestry (2019) </w:t>
      </w:r>
      <w:r w:rsidRPr="00836951">
        <w:rPr>
          <w:i/>
          <w:sz w:val="20"/>
          <w:szCs w:val="20"/>
        </w:rPr>
        <w:t>What is Agroforestry?</w:t>
      </w:r>
      <w:r w:rsidRPr="00836951">
        <w:rPr>
          <w:sz w:val="20"/>
          <w:szCs w:val="20"/>
        </w:rPr>
        <w:t xml:space="preserve"> URL: &lt;</w:t>
      </w:r>
      <w:hyperlink r:id="rId12" w:history="1">
        <w:r w:rsidRPr="00836951">
          <w:rPr>
            <w:rStyle w:val="Hyperlink"/>
            <w:sz w:val="20"/>
            <w:szCs w:val="20"/>
          </w:rPr>
          <w:t>https://www.aftaweb.org/about/what-is-agroforestry.html</w:t>
        </w:r>
      </w:hyperlink>
      <w:r w:rsidRPr="00836951">
        <w:rPr>
          <w:sz w:val="20"/>
          <w:szCs w:val="20"/>
        </w:rPr>
        <w:t>&gt; (Accessed 11 Apr 2019)</w:t>
      </w:r>
    </w:p>
    <w:p w14:paraId="7AD4F0A2" w14:textId="22C8C765" w:rsidR="00FC759A" w:rsidRDefault="00FC759A" w:rsidP="00FC759A">
      <w:pPr>
        <w:tabs>
          <w:tab w:val="left" w:pos="7905"/>
        </w:tabs>
        <w:spacing w:after="0"/>
        <w:rPr>
          <w:sz w:val="20"/>
          <w:szCs w:val="20"/>
        </w:rPr>
      </w:pPr>
      <w:r w:rsidRPr="00836951">
        <w:rPr>
          <w:sz w:val="20"/>
          <w:szCs w:val="20"/>
        </w:rPr>
        <w:t xml:space="preserve">Asthma UK (2019) </w:t>
      </w:r>
      <w:r w:rsidRPr="00836951">
        <w:rPr>
          <w:i/>
          <w:sz w:val="20"/>
          <w:szCs w:val="20"/>
        </w:rPr>
        <w:t>Asthma facts and statistics</w:t>
      </w:r>
      <w:r w:rsidRPr="00836951">
        <w:rPr>
          <w:sz w:val="20"/>
          <w:szCs w:val="20"/>
        </w:rPr>
        <w:t>. URL: &lt;</w:t>
      </w:r>
      <w:hyperlink r:id="rId13" w:history="1">
        <w:r w:rsidRPr="00836951">
          <w:rPr>
            <w:rStyle w:val="Hyperlink"/>
            <w:sz w:val="20"/>
            <w:szCs w:val="20"/>
          </w:rPr>
          <w:t>https://www.asthma.org.uk/about/media/facts-and-statistics/</w:t>
        </w:r>
      </w:hyperlink>
      <w:r w:rsidRPr="00836951">
        <w:rPr>
          <w:sz w:val="20"/>
          <w:szCs w:val="20"/>
        </w:rPr>
        <w:t>&gt; (Accessed 12 Apr 2019)</w:t>
      </w:r>
    </w:p>
    <w:p w14:paraId="0B9624C4" w14:textId="780A65E0" w:rsidR="00B93392" w:rsidRPr="00B93392" w:rsidRDefault="00B93392" w:rsidP="00FC759A">
      <w:pPr>
        <w:tabs>
          <w:tab w:val="left" w:pos="7905"/>
        </w:tabs>
        <w:spacing w:after="0"/>
        <w:rPr>
          <w:sz w:val="20"/>
          <w:szCs w:val="20"/>
        </w:rPr>
      </w:pPr>
      <w:r>
        <w:rPr>
          <w:sz w:val="20"/>
          <w:szCs w:val="20"/>
        </w:rPr>
        <w:t>Cox, D.T.C. (2019) ‘</w:t>
      </w:r>
      <w:r w:rsidRPr="00B93392">
        <w:rPr>
          <w:sz w:val="20"/>
          <w:szCs w:val="20"/>
        </w:rPr>
        <w:t>Skewed contributions of individual trees to indirect nature experiences</w:t>
      </w:r>
      <w:r>
        <w:rPr>
          <w:sz w:val="20"/>
          <w:szCs w:val="20"/>
        </w:rPr>
        <w:t xml:space="preserve">’, </w:t>
      </w:r>
      <w:r>
        <w:rPr>
          <w:i/>
          <w:sz w:val="20"/>
          <w:szCs w:val="20"/>
        </w:rPr>
        <w:t>Landscape and Urban Planning</w:t>
      </w:r>
      <w:r>
        <w:rPr>
          <w:sz w:val="20"/>
          <w:szCs w:val="20"/>
        </w:rPr>
        <w:t>, 158(1), pp.28-34. URL:</w:t>
      </w:r>
      <w:r w:rsidRPr="00B93392">
        <w:rPr>
          <w:sz w:val="20"/>
          <w:szCs w:val="20"/>
        </w:rPr>
        <w:t xml:space="preserve"> &lt;</w:t>
      </w:r>
      <w:hyperlink r:id="rId14" w:history="1">
        <w:r w:rsidRPr="00B93392">
          <w:rPr>
            <w:rStyle w:val="Hyperlink"/>
            <w:sz w:val="20"/>
            <w:szCs w:val="20"/>
          </w:rPr>
          <w:t>https://www.sciencedirect.com/science/article/pii/S016920461830505X</w:t>
        </w:r>
      </w:hyperlink>
      <w:r w:rsidRPr="00B93392">
        <w:rPr>
          <w:sz w:val="20"/>
          <w:szCs w:val="20"/>
        </w:rPr>
        <w:t>&gt; (Accessed 12 Apr 2019)</w:t>
      </w:r>
    </w:p>
    <w:p w14:paraId="0CAABAC7" w14:textId="623D8533" w:rsidR="00D6278D" w:rsidRPr="00836951" w:rsidRDefault="00D6278D" w:rsidP="00FC759A">
      <w:pPr>
        <w:tabs>
          <w:tab w:val="left" w:pos="7905"/>
        </w:tabs>
        <w:spacing w:after="0"/>
        <w:rPr>
          <w:sz w:val="20"/>
          <w:szCs w:val="20"/>
        </w:rPr>
      </w:pPr>
      <w:r w:rsidRPr="00836951">
        <w:rPr>
          <w:sz w:val="20"/>
          <w:szCs w:val="20"/>
        </w:rPr>
        <w:t xml:space="preserve">Department for Environment, Food and Rural Affairs (2018) </w:t>
      </w:r>
      <w:r w:rsidRPr="00836951">
        <w:rPr>
          <w:i/>
          <w:sz w:val="20"/>
          <w:szCs w:val="20"/>
        </w:rPr>
        <w:t>Agriculture in the United Kingdom 2017</w:t>
      </w:r>
      <w:r w:rsidRPr="00836951">
        <w:rPr>
          <w:sz w:val="20"/>
          <w:szCs w:val="20"/>
        </w:rPr>
        <w:t>. URL: &lt;</w:t>
      </w:r>
      <w:hyperlink r:id="rId15" w:history="1">
        <w:r w:rsidRPr="00836951">
          <w:rPr>
            <w:rStyle w:val="Hyperlink"/>
            <w:sz w:val="20"/>
            <w:szCs w:val="20"/>
          </w:rPr>
          <w:t>https://assets.publishing.service.gov.uk/government/uploads/system/uploads/attachment_data/file/741062/AUK-2017-18sep18.pdf</w:t>
        </w:r>
      </w:hyperlink>
      <w:r w:rsidRPr="00836951">
        <w:rPr>
          <w:sz w:val="20"/>
          <w:szCs w:val="20"/>
        </w:rPr>
        <w:t>&gt; (Accessed 11 Apr 2018)</w:t>
      </w:r>
    </w:p>
    <w:p w14:paraId="6D2BEFBC" w14:textId="1E417F05" w:rsidR="00D6278D" w:rsidRPr="00836951" w:rsidRDefault="00D6278D" w:rsidP="00D6278D">
      <w:pPr>
        <w:tabs>
          <w:tab w:val="left" w:pos="7905"/>
        </w:tabs>
        <w:spacing w:after="0"/>
        <w:rPr>
          <w:sz w:val="20"/>
          <w:szCs w:val="20"/>
        </w:rPr>
      </w:pPr>
      <w:r w:rsidRPr="00836951">
        <w:rPr>
          <w:sz w:val="20"/>
          <w:szCs w:val="20"/>
        </w:rPr>
        <w:t xml:space="preserve">Department for Environment, Food and Rural Affairs (2019) </w:t>
      </w:r>
      <w:r w:rsidRPr="00836951">
        <w:rPr>
          <w:i/>
          <w:sz w:val="20"/>
          <w:szCs w:val="20"/>
        </w:rPr>
        <w:t>Rural Population 2014/15</w:t>
      </w:r>
      <w:r w:rsidRPr="00836951">
        <w:rPr>
          <w:sz w:val="20"/>
          <w:szCs w:val="20"/>
        </w:rPr>
        <w:t>. URL: &lt;</w:t>
      </w:r>
      <w:hyperlink r:id="rId16" w:history="1">
        <w:r w:rsidRPr="00836951">
          <w:rPr>
            <w:rStyle w:val="Hyperlink"/>
            <w:sz w:val="20"/>
            <w:szCs w:val="20"/>
          </w:rPr>
          <w:t>https://www.gov.uk/government/publications/rural-population-and-migration</w:t>
        </w:r>
        <w:r w:rsidRPr="00836951">
          <w:rPr>
            <w:rStyle w:val="Hyperlink"/>
            <w:sz w:val="20"/>
            <w:szCs w:val="20"/>
          </w:rPr>
          <w:t>/rural-population-201415</w:t>
        </w:r>
      </w:hyperlink>
      <w:r w:rsidRPr="00836951">
        <w:rPr>
          <w:sz w:val="20"/>
          <w:szCs w:val="20"/>
        </w:rPr>
        <w:t>&gt; (Accessed 10 Apr 2019)</w:t>
      </w:r>
    </w:p>
    <w:p w14:paraId="51B299E3" w14:textId="469716B3" w:rsidR="00D6278D" w:rsidRPr="00836951" w:rsidRDefault="00D6278D" w:rsidP="00D6278D">
      <w:pPr>
        <w:tabs>
          <w:tab w:val="left" w:pos="7905"/>
        </w:tabs>
        <w:spacing w:after="0"/>
        <w:rPr>
          <w:sz w:val="20"/>
          <w:szCs w:val="20"/>
        </w:rPr>
      </w:pPr>
      <w:r w:rsidRPr="00836951">
        <w:rPr>
          <w:sz w:val="20"/>
          <w:szCs w:val="20"/>
        </w:rPr>
        <w:t xml:space="preserve">Forest Europe (2011) </w:t>
      </w:r>
      <w:r w:rsidRPr="00836951">
        <w:rPr>
          <w:i/>
          <w:sz w:val="20"/>
          <w:szCs w:val="20"/>
        </w:rPr>
        <w:t>State of Europe’s Forests 2011</w:t>
      </w:r>
      <w:r w:rsidRPr="00836951">
        <w:rPr>
          <w:sz w:val="20"/>
          <w:szCs w:val="20"/>
        </w:rPr>
        <w:t>. URL: &lt;</w:t>
      </w:r>
      <w:hyperlink r:id="rId17" w:history="1">
        <w:r w:rsidRPr="00836951">
          <w:rPr>
            <w:rStyle w:val="Hyperlink"/>
            <w:sz w:val="20"/>
            <w:szCs w:val="20"/>
          </w:rPr>
          <w:t>http://www.unece.org/fileadmin/DAM/publications/timber/Forest_Europe_report_2011_web.pdf</w:t>
        </w:r>
      </w:hyperlink>
      <w:r w:rsidRPr="00836951">
        <w:rPr>
          <w:sz w:val="20"/>
          <w:szCs w:val="20"/>
        </w:rPr>
        <w:t>&gt; (Accessed 10 Apr 2019)</w:t>
      </w:r>
    </w:p>
    <w:p w14:paraId="2D4EBA14" w14:textId="5899FDFA" w:rsidR="00D6278D" w:rsidRPr="00836951" w:rsidRDefault="00D6278D" w:rsidP="00D6278D">
      <w:pPr>
        <w:tabs>
          <w:tab w:val="left" w:pos="7905"/>
        </w:tabs>
        <w:spacing w:after="0"/>
        <w:rPr>
          <w:sz w:val="20"/>
          <w:szCs w:val="20"/>
        </w:rPr>
      </w:pPr>
      <w:r w:rsidRPr="00836951">
        <w:rPr>
          <w:sz w:val="20"/>
          <w:szCs w:val="20"/>
        </w:rPr>
        <w:t xml:space="preserve">Global Forest Atlas (2019) </w:t>
      </w:r>
      <w:r w:rsidRPr="00836951">
        <w:rPr>
          <w:i/>
          <w:sz w:val="20"/>
          <w:szCs w:val="20"/>
        </w:rPr>
        <w:t>Cattle Ranching in the Amazon Region</w:t>
      </w:r>
      <w:r w:rsidRPr="00836951">
        <w:rPr>
          <w:sz w:val="20"/>
          <w:szCs w:val="20"/>
        </w:rPr>
        <w:t>. URL: &lt;</w:t>
      </w:r>
      <w:hyperlink r:id="rId18" w:history="1">
        <w:r w:rsidRPr="00836951">
          <w:rPr>
            <w:rStyle w:val="Hyperlink"/>
            <w:sz w:val="20"/>
            <w:szCs w:val="20"/>
          </w:rPr>
          <w:t>htt</w:t>
        </w:r>
        <w:r w:rsidRPr="00836951">
          <w:rPr>
            <w:rStyle w:val="Hyperlink"/>
            <w:sz w:val="20"/>
            <w:szCs w:val="20"/>
          </w:rPr>
          <w:t>ps://globalforestatlas.yale.edu/amazon/land-use/cattle-ranching</w:t>
        </w:r>
      </w:hyperlink>
      <w:r w:rsidRPr="00836951">
        <w:rPr>
          <w:sz w:val="20"/>
          <w:szCs w:val="20"/>
        </w:rPr>
        <w:t>&gt; (Accessed 12 Apr 2019)</w:t>
      </w:r>
    </w:p>
    <w:p w14:paraId="26B15216" w14:textId="130003D3" w:rsidR="00D6278D" w:rsidRPr="00836951" w:rsidRDefault="00D6278D" w:rsidP="00D6278D">
      <w:pPr>
        <w:tabs>
          <w:tab w:val="left" w:pos="7905"/>
        </w:tabs>
        <w:spacing w:after="0"/>
        <w:rPr>
          <w:sz w:val="20"/>
          <w:szCs w:val="20"/>
        </w:rPr>
      </w:pPr>
      <w:r w:rsidRPr="00836951">
        <w:rPr>
          <w:sz w:val="20"/>
          <w:szCs w:val="20"/>
        </w:rPr>
        <w:t>The Independent (2016) ‘Sheep now outnumber people three to one in Wales’, 19</w:t>
      </w:r>
      <w:r w:rsidRPr="00836951">
        <w:rPr>
          <w:sz w:val="20"/>
          <w:szCs w:val="20"/>
          <w:vertAlign w:val="superscript"/>
        </w:rPr>
        <w:t>th</w:t>
      </w:r>
      <w:r w:rsidRPr="00836951">
        <w:rPr>
          <w:sz w:val="20"/>
          <w:szCs w:val="20"/>
        </w:rPr>
        <w:t xml:space="preserve"> December. URL: &lt;</w:t>
      </w:r>
      <w:hyperlink r:id="rId19" w:history="1">
        <w:r w:rsidRPr="00836951">
          <w:rPr>
            <w:rStyle w:val="Hyperlink"/>
            <w:sz w:val="20"/>
            <w:szCs w:val="20"/>
          </w:rPr>
          <w:t>https://www.independent.co.uk/news/uk/home-news/welsh-sheep-outnumber-people-three-to-one-in-wales-annual-census-a7484796.html</w:t>
        </w:r>
      </w:hyperlink>
      <w:r w:rsidRPr="00836951">
        <w:rPr>
          <w:sz w:val="20"/>
          <w:szCs w:val="20"/>
        </w:rPr>
        <w:t>&gt; (Accessed 11 Apr 2019)</w:t>
      </w:r>
    </w:p>
    <w:p w14:paraId="029F6D2E" w14:textId="4D063B33" w:rsidR="00D6278D" w:rsidRPr="00836951" w:rsidRDefault="00D6278D" w:rsidP="00D6278D">
      <w:pPr>
        <w:tabs>
          <w:tab w:val="left" w:pos="7905"/>
        </w:tabs>
        <w:spacing w:after="0"/>
        <w:rPr>
          <w:sz w:val="20"/>
          <w:szCs w:val="20"/>
        </w:rPr>
      </w:pPr>
      <w:r w:rsidRPr="00836951">
        <w:rPr>
          <w:sz w:val="20"/>
          <w:szCs w:val="20"/>
        </w:rPr>
        <w:t>The Independent (2017) ‘The lynx could be reintroduced to the UK within months after a 1,300-year absence’, 9</w:t>
      </w:r>
      <w:r w:rsidRPr="00836951">
        <w:rPr>
          <w:sz w:val="20"/>
          <w:szCs w:val="20"/>
          <w:vertAlign w:val="superscript"/>
        </w:rPr>
        <w:t>th</w:t>
      </w:r>
      <w:r w:rsidRPr="00836951">
        <w:rPr>
          <w:sz w:val="20"/>
          <w:szCs w:val="20"/>
        </w:rPr>
        <w:t xml:space="preserve"> July. URL: &lt;</w:t>
      </w:r>
      <w:hyperlink r:id="rId20" w:history="1">
        <w:r w:rsidRPr="00836951">
          <w:rPr>
            <w:rStyle w:val="Hyperlink"/>
            <w:sz w:val="20"/>
            <w:szCs w:val="20"/>
          </w:rPr>
          <w:t>https://www.independent.co.uk/news/uk/home-news/lynx-1300-years-reintroduced-uk-kielder-forest-a7832036.html</w:t>
        </w:r>
      </w:hyperlink>
      <w:r w:rsidRPr="00836951">
        <w:rPr>
          <w:sz w:val="20"/>
          <w:szCs w:val="20"/>
        </w:rPr>
        <w:t>&gt; (Accessed 12 Apr 2019)</w:t>
      </w:r>
    </w:p>
    <w:p w14:paraId="0319E008" w14:textId="694F4E5E" w:rsidR="00D6278D" w:rsidRPr="00836951" w:rsidRDefault="00D6278D" w:rsidP="00D6278D">
      <w:pPr>
        <w:tabs>
          <w:tab w:val="left" w:pos="7905"/>
        </w:tabs>
        <w:spacing w:after="0"/>
        <w:rPr>
          <w:sz w:val="20"/>
          <w:szCs w:val="20"/>
        </w:rPr>
      </w:pPr>
      <w:r w:rsidRPr="00836951">
        <w:rPr>
          <w:sz w:val="20"/>
          <w:szCs w:val="20"/>
        </w:rPr>
        <w:t xml:space="preserve">International Institute for Environment and Development (2019) </w:t>
      </w:r>
      <w:r w:rsidRPr="00836951">
        <w:rPr>
          <w:i/>
          <w:sz w:val="20"/>
          <w:szCs w:val="20"/>
        </w:rPr>
        <w:t>REDD: Protecting climate, forests and livelihoods</w:t>
      </w:r>
      <w:r w:rsidRPr="00836951">
        <w:rPr>
          <w:sz w:val="20"/>
          <w:szCs w:val="20"/>
        </w:rPr>
        <w:t>. URL: &lt;</w:t>
      </w:r>
      <w:hyperlink r:id="rId21" w:history="1">
        <w:r w:rsidRPr="00836951">
          <w:rPr>
            <w:rStyle w:val="Hyperlink"/>
            <w:sz w:val="20"/>
            <w:szCs w:val="20"/>
          </w:rPr>
          <w:t>https://www.iied.org/redd-protecting-climate-forests-livelih</w:t>
        </w:r>
        <w:r w:rsidRPr="00836951">
          <w:rPr>
            <w:rStyle w:val="Hyperlink"/>
            <w:sz w:val="20"/>
            <w:szCs w:val="20"/>
          </w:rPr>
          <w:t>oods</w:t>
        </w:r>
      </w:hyperlink>
      <w:r w:rsidRPr="00836951">
        <w:rPr>
          <w:sz w:val="20"/>
          <w:szCs w:val="20"/>
        </w:rPr>
        <w:t>&gt; (Accessed 11 Apr 2019)</w:t>
      </w:r>
    </w:p>
    <w:p w14:paraId="227E5CB1" w14:textId="451ABD43" w:rsidR="00D6278D" w:rsidRPr="00836951" w:rsidRDefault="00D6278D" w:rsidP="00D6278D">
      <w:pPr>
        <w:tabs>
          <w:tab w:val="left" w:pos="7905"/>
        </w:tabs>
        <w:spacing w:after="0"/>
        <w:rPr>
          <w:sz w:val="20"/>
          <w:szCs w:val="20"/>
        </w:rPr>
      </w:pPr>
      <w:r w:rsidRPr="00836951">
        <w:rPr>
          <w:sz w:val="20"/>
          <w:szCs w:val="20"/>
        </w:rPr>
        <w:t xml:space="preserve">Joint Nature Conservation Committee (2016) </w:t>
      </w:r>
      <w:r w:rsidRPr="00836951">
        <w:rPr>
          <w:i/>
          <w:sz w:val="20"/>
          <w:szCs w:val="20"/>
        </w:rPr>
        <w:t>UK BAP priority species</w:t>
      </w:r>
      <w:r w:rsidRPr="00836951">
        <w:rPr>
          <w:sz w:val="20"/>
          <w:szCs w:val="20"/>
        </w:rPr>
        <w:t>. URL: &lt;</w:t>
      </w:r>
      <w:hyperlink r:id="rId22" w:history="1">
        <w:r w:rsidRPr="00836951">
          <w:rPr>
            <w:rStyle w:val="Hyperlink"/>
            <w:sz w:val="20"/>
            <w:szCs w:val="20"/>
          </w:rPr>
          <w:t>http://jncc.defra.gov.uk/page-5717</w:t>
        </w:r>
      </w:hyperlink>
      <w:r w:rsidRPr="00836951">
        <w:rPr>
          <w:sz w:val="20"/>
          <w:szCs w:val="20"/>
        </w:rPr>
        <w:t>&gt; (Accessed 12 Apr 2019)</w:t>
      </w:r>
    </w:p>
    <w:p w14:paraId="2DDB8B15" w14:textId="05B8A05D" w:rsidR="00D6278D" w:rsidRPr="00836951" w:rsidRDefault="00D6278D" w:rsidP="00D6278D">
      <w:pPr>
        <w:tabs>
          <w:tab w:val="left" w:pos="7905"/>
        </w:tabs>
        <w:spacing w:after="0"/>
        <w:rPr>
          <w:sz w:val="20"/>
          <w:szCs w:val="20"/>
        </w:rPr>
      </w:pPr>
      <w:r w:rsidRPr="00836951">
        <w:rPr>
          <w:sz w:val="20"/>
          <w:szCs w:val="20"/>
        </w:rPr>
        <w:t xml:space="preserve">The Mammal Society (2019) </w:t>
      </w:r>
      <w:r w:rsidRPr="00836951">
        <w:rPr>
          <w:i/>
          <w:sz w:val="20"/>
          <w:szCs w:val="20"/>
        </w:rPr>
        <w:t>Red Squirrel</w:t>
      </w:r>
      <w:r w:rsidRPr="00836951">
        <w:rPr>
          <w:sz w:val="20"/>
          <w:szCs w:val="20"/>
        </w:rPr>
        <w:t>. URL: &lt;</w:t>
      </w:r>
      <w:hyperlink r:id="rId23" w:history="1">
        <w:r w:rsidRPr="00836951">
          <w:rPr>
            <w:rStyle w:val="Hyperlink"/>
            <w:sz w:val="20"/>
            <w:szCs w:val="20"/>
          </w:rPr>
          <w:t>https://www.mammal.org.uk/mawse-hub/mawse-rodents/mawse-red-squirrel/</w:t>
        </w:r>
      </w:hyperlink>
      <w:r w:rsidRPr="00836951">
        <w:rPr>
          <w:sz w:val="20"/>
          <w:szCs w:val="20"/>
        </w:rPr>
        <w:t>&gt; (Accessed 12 Apr 2019)</w:t>
      </w:r>
    </w:p>
    <w:p w14:paraId="16ECB913" w14:textId="2805D3BD" w:rsidR="00D6278D" w:rsidRPr="00836951" w:rsidRDefault="00D6278D" w:rsidP="00D6278D">
      <w:pPr>
        <w:tabs>
          <w:tab w:val="left" w:pos="7905"/>
        </w:tabs>
        <w:spacing w:after="0"/>
        <w:rPr>
          <w:sz w:val="20"/>
          <w:szCs w:val="20"/>
        </w:rPr>
      </w:pPr>
      <w:r w:rsidRPr="00836951">
        <w:rPr>
          <w:sz w:val="20"/>
          <w:szCs w:val="20"/>
        </w:rPr>
        <w:t xml:space="preserve">Met Office (2019) </w:t>
      </w:r>
      <w:r w:rsidRPr="00836951">
        <w:rPr>
          <w:i/>
          <w:sz w:val="20"/>
          <w:szCs w:val="20"/>
        </w:rPr>
        <w:t>February 2019</w:t>
      </w:r>
      <w:r w:rsidRPr="00836951">
        <w:rPr>
          <w:sz w:val="20"/>
          <w:szCs w:val="20"/>
        </w:rPr>
        <w:t>. URL: &lt;</w:t>
      </w:r>
      <w:hyperlink r:id="rId24" w:history="1">
        <w:r w:rsidRPr="00836951">
          <w:rPr>
            <w:rStyle w:val="Hyperlink"/>
            <w:sz w:val="20"/>
            <w:szCs w:val="20"/>
          </w:rPr>
          <w:t>https://www.metoffice.gov.uk/climate/uk/summaries/2019/february/february-2019</w:t>
        </w:r>
      </w:hyperlink>
      <w:r w:rsidRPr="00836951">
        <w:rPr>
          <w:sz w:val="20"/>
          <w:szCs w:val="20"/>
        </w:rPr>
        <w:t>&gt; (Accessed 12 Apr 2019)</w:t>
      </w:r>
    </w:p>
    <w:p w14:paraId="0298B17C" w14:textId="24EB15A5" w:rsidR="00D6278D" w:rsidRPr="00836951" w:rsidRDefault="00D6278D" w:rsidP="00D6278D">
      <w:pPr>
        <w:tabs>
          <w:tab w:val="left" w:pos="7905"/>
        </w:tabs>
        <w:spacing w:after="0"/>
        <w:rPr>
          <w:sz w:val="20"/>
          <w:szCs w:val="20"/>
        </w:rPr>
      </w:pPr>
      <w:r w:rsidRPr="00836951">
        <w:rPr>
          <w:sz w:val="20"/>
          <w:szCs w:val="20"/>
        </w:rPr>
        <w:t xml:space="preserve">Natural History Museum (2019) </w:t>
      </w:r>
      <w:r w:rsidRPr="00836951">
        <w:rPr>
          <w:i/>
          <w:sz w:val="20"/>
          <w:szCs w:val="20"/>
        </w:rPr>
        <w:t>UK Species</w:t>
      </w:r>
      <w:r w:rsidRPr="00836951">
        <w:rPr>
          <w:sz w:val="20"/>
          <w:szCs w:val="20"/>
        </w:rPr>
        <w:t>. URL: &lt;</w:t>
      </w:r>
      <w:hyperlink r:id="rId25" w:history="1">
        <w:r w:rsidRPr="00836951">
          <w:rPr>
            <w:rStyle w:val="Hyperlink"/>
            <w:sz w:val="20"/>
            <w:szCs w:val="20"/>
          </w:rPr>
          <w:t>http://www.nhm.ac.uk/our-science/data/uk-species.html</w:t>
        </w:r>
      </w:hyperlink>
      <w:r w:rsidRPr="00836951">
        <w:rPr>
          <w:sz w:val="20"/>
          <w:szCs w:val="20"/>
        </w:rPr>
        <w:t>&gt; (Accessed 12 Apr 2019)</w:t>
      </w:r>
    </w:p>
    <w:p w14:paraId="69AA2CFC" w14:textId="70A1FFE6" w:rsidR="00D6278D" w:rsidRPr="00836951" w:rsidRDefault="00D6278D" w:rsidP="00D6278D">
      <w:pPr>
        <w:tabs>
          <w:tab w:val="left" w:pos="7905"/>
        </w:tabs>
        <w:spacing w:after="0"/>
        <w:rPr>
          <w:sz w:val="20"/>
          <w:szCs w:val="20"/>
        </w:rPr>
      </w:pPr>
      <w:r w:rsidRPr="00836951">
        <w:rPr>
          <w:sz w:val="20"/>
          <w:szCs w:val="20"/>
        </w:rPr>
        <w:t xml:space="preserve">Office for National Statistics (2011) </w:t>
      </w:r>
      <w:r w:rsidRPr="00836951">
        <w:rPr>
          <w:i/>
          <w:sz w:val="20"/>
          <w:szCs w:val="20"/>
        </w:rPr>
        <w:t>Proportion of the usual resident population living in urban and rural areas</w:t>
      </w:r>
      <w:r w:rsidRPr="00836951">
        <w:rPr>
          <w:sz w:val="20"/>
          <w:szCs w:val="20"/>
        </w:rPr>
        <w:t xml:space="preserve"> [graph]. URL: &lt;</w:t>
      </w:r>
      <w:hyperlink r:id="rId26" w:anchor="tab-Rural-and-urban-populations-in-2011" w:history="1">
        <w:r w:rsidRPr="00836951">
          <w:rPr>
            <w:rStyle w:val="Hyperlink"/>
            <w:sz w:val="20"/>
            <w:szCs w:val="20"/>
          </w:rPr>
          <w:t>https://webarchive.nationalarchives.gov.uk/20160105224826/http://www.ons.gov.uk/ons/rel/census/2011-census-analysis/rural-urban-analysis/comparing-rural-and-urban-areas-of-england-and-wales.html#tab-Rural-and-urban-populations-in-2011</w:t>
        </w:r>
      </w:hyperlink>
      <w:r w:rsidRPr="00836951">
        <w:rPr>
          <w:sz w:val="20"/>
          <w:szCs w:val="20"/>
        </w:rPr>
        <w:t>&gt; (Accessed 11 Apr 2019)</w:t>
      </w:r>
    </w:p>
    <w:p w14:paraId="11E313A4" w14:textId="73E74633" w:rsidR="00D6278D" w:rsidRPr="00836951" w:rsidRDefault="00D6278D" w:rsidP="00D6278D">
      <w:pPr>
        <w:tabs>
          <w:tab w:val="left" w:pos="7905"/>
        </w:tabs>
        <w:spacing w:after="0"/>
        <w:rPr>
          <w:sz w:val="20"/>
          <w:szCs w:val="20"/>
        </w:rPr>
      </w:pPr>
      <w:r w:rsidRPr="00836951">
        <w:rPr>
          <w:sz w:val="20"/>
          <w:szCs w:val="20"/>
        </w:rPr>
        <w:t xml:space="preserve">The Treehouse Blog (2019) </w:t>
      </w:r>
      <w:r w:rsidRPr="00836951">
        <w:rPr>
          <w:i/>
          <w:sz w:val="20"/>
          <w:szCs w:val="20"/>
        </w:rPr>
        <w:t>The Park Royal on Pickering, Singapore</w:t>
      </w:r>
      <w:r w:rsidRPr="00836951">
        <w:rPr>
          <w:sz w:val="20"/>
          <w:szCs w:val="20"/>
        </w:rPr>
        <w:t>. URL: &lt;</w:t>
      </w:r>
      <w:hyperlink r:id="rId27" w:history="1">
        <w:r w:rsidRPr="00836951">
          <w:rPr>
            <w:rStyle w:val="Hyperlink"/>
            <w:sz w:val="20"/>
            <w:szCs w:val="20"/>
          </w:rPr>
          <w:t>http://treehouseblog.com/2014/04/the-park-royal-on-pickering-singapore/</w:t>
        </w:r>
      </w:hyperlink>
      <w:r w:rsidRPr="00836951">
        <w:rPr>
          <w:sz w:val="20"/>
          <w:szCs w:val="20"/>
        </w:rPr>
        <w:t>&gt; (Accessed 12 Apr 2019)</w:t>
      </w:r>
    </w:p>
    <w:p w14:paraId="0A7CF7E9" w14:textId="39CA5832" w:rsidR="00D6278D" w:rsidRPr="00836951" w:rsidRDefault="00D6278D" w:rsidP="00D6278D">
      <w:pPr>
        <w:tabs>
          <w:tab w:val="left" w:pos="7905"/>
        </w:tabs>
        <w:spacing w:after="0"/>
        <w:rPr>
          <w:sz w:val="20"/>
          <w:szCs w:val="20"/>
        </w:rPr>
      </w:pPr>
      <w:r w:rsidRPr="00836951">
        <w:rPr>
          <w:sz w:val="20"/>
          <w:szCs w:val="20"/>
        </w:rPr>
        <w:t xml:space="preserve">Woodbridge, J. et al. (2012) ‘The impact of the Neolithic agricultural transition in Britain: a comparison of pollen-based land-cover and archaeological 14C date-inferred population change’, </w:t>
      </w:r>
      <w:r w:rsidRPr="00836951">
        <w:rPr>
          <w:i/>
          <w:sz w:val="20"/>
          <w:szCs w:val="20"/>
        </w:rPr>
        <w:t>Journal of Archaeological Science</w:t>
      </w:r>
      <w:r w:rsidRPr="00836951">
        <w:rPr>
          <w:sz w:val="20"/>
          <w:szCs w:val="20"/>
        </w:rPr>
        <w:t>, 51(1), pp.216-224. URL: &lt;</w:t>
      </w:r>
      <w:hyperlink r:id="rId28" w:history="1">
        <w:r w:rsidRPr="00836951">
          <w:rPr>
            <w:rStyle w:val="Hyperlink"/>
            <w:sz w:val="20"/>
            <w:szCs w:val="20"/>
          </w:rPr>
          <w:t>https://www.sciencedirect.com/science/article/pii/S0305440312004761</w:t>
        </w:r>
      </w:hyperlink>
      <w:r w:rsidRPr="00836951">
        <w:rPr>
          <w:sz w:val="20"/>
          <w:szCs w:val="20"/>
        </w:rPr>
        <w:t>&gt; (Accessed 11 Apr 2019)</w:t>
      </w:r>
    </w:p>
    <w:p w14:paraId="22A6394D" w14:textId="19404863" w:rsidR="00D6278D" w:rsidRPr="00836951" w:rsidRDefault="00D6278D" w:rsidP="00D6278D">
      <w:pPr>
        <w:tabs>
          <w:tab w:val="left" w:pos="7905"/>
        </w:tabs>
        <w:spacing w:after="0"/>
        <w:rPr>
          <w:sz w:val="20"/>
          <w:szCs w:val="20"/>
        </w:rPr>
      </w:pPr>
      <w:r w:rsidRPr="00836951">
        <w:rPr>
          <w:sz w:val="20"/>
          <w:szCs w:val="20"/>
        </w:rPr>
        <w:t xml:space="preserve">Woodland Trust (2011) </w:t>
      </w:r>
      <w:r w:rsidRPr="00836951">
        <w:rPr>
          <w:i/>
          <w:sz w:val="20"/>
          <w:szCs w:val="20"/>
        </w:rPr>
        <w:t>The State of the UK’s Forests, Woods and Trees</w:t>
      </w:r>
      <w:r w:rsidRPr="00836951">
        <w:rPr>
          <w:sz w:val="20"/>
          <w:szCs w:val="20"/>
        </w:rPr>
        <w:t>. URL: &lt;</w:t>
      </w:r>
      <w:hyperlink r:id="rId29" w:history="1">
        <w:r w:rsidRPr="00836951">
          <w:rPr>
            <w:rStyle w:val="Hyperlink"/>
            <w:sz w:val="20"/>
            <w:szCs w:val="20"/>
          </w:rPr>
          <w:t>https://www.woodlandtrust.org.uk/mediafile/100229275/stake-of-uk-forest-report.pdf?cb=58d97f320cab43d78739766e71084f76</w:t>
        </w:r>
      </w:hyperlink>
      <w:r w:rsidRPr="00836951">
        <w:rPr>
          <w:sz w:val="20"/>
          <w:szCs w:val="20"/>
        </w:rPr>
        <w:t>&gt; (Accessed 10 Apr 2019)</w:t>
      </w:r>
    </w:p>
    <w:p w14:paraId="5225BD94" w14:textId="3A99359C" w:rsidR="00D6278D" w:rsidRPr="00836951" w:rsidRDefault="00D6278D" w:rsidP="00D6278D">
      <w:pPr>
        <w:tabs>
          <w:tab w:val="left" w:pos="7905"/>
        </w:tabs>
        <w:spacing w:after="0"/>
        <w:rPr>
          <w:sz w:val="20"/>
          <w:szCs w:val="20"/>
        </w:rPr>
      </w:pPr>
      <w:r w:rsidRPr="00836951">
        <w:rPr>
          <w:sz w:val="20"/>
          <w:szCs w:val="20"/>
        </w:rPr>
        <w:t xml:space="preserve">Woodland Trust (2019) </w:t>
      </w:r>
      <w:r w:rsidRPr="00836951">
        <w:rPr>
          <w:i/>
          <w:sz w:val="20"/>
          <w:szCs w:val="20"/>
        </w:rPr>
        <w:t>Lynx (Lynx Lynx)</w:t>
      </w:r>
      <w:r w:rsidRPr="00836951">
        <w:rPr>
          <w:sz w:val="20"/>
          <w:szCs w:val="20"/>
        </w:rPr>
        <w:t>. URL: &lt;</w:t>
      </w:r>
      <w:hyperlink r:id="rId30" w:history="1">
        <w:r w:rsidRPr="00836951">
          <w:rPr>
            <w:rStyle w:val="Hyperlink"/>
            <w:sz w:val="20"/>
            <w:szCs w:val="20"/>
          </w:rPr>
          <w:t>https://www.woodlandtrust.org.uk/visiting-woods/trees-woods-and-wildlife/animals/mammals/lynx/</w:t>
        </w:r>
      </w:hyperlink>
      <w:r w:rsidRPr="00836951">
        <w:rPr>
          <w:sz w:val="20"/>
          <w:szCs w:val="20"/>
        </w:rPr>
        <w:t>&gt; (Accessed 12 Apr 2019)</w:t>
      </w:r>
    </w:p>
    <w:p w14:paraId="22AA7BF6" w14:textId="7B6CF17D" w:rsidR="00D6278D" w:rsidRPr="00836951" w:rsidRDefault="00836951" w:rsidP="00D6278D">
      <w:pPr>
        <w:tabs>
          <w:tab w:val="left" w:pos="7905"/>
        </w:tabs>
        <w:spacing w:after="0"/>
        <w:rPr>
          <w:sz w:val="20"/>
          <w:szCs w:val="20"/>
          <w:lang w:val="en-US"/>
        </w:rPr>
      </w:pPr>
      <w:r w:rsidRPr="00836951">
        <w:rPr>
          <w:sz w:val="20"/>
          <w:szCs w:val="20"/>
        </w:rPr>
        <w:t xml:space="preserve">World Bank (2019) </w:t>
      </w:r>
      <w:r w:rsidRPr="00836951">
        <w:rPr>
          <w:i/>
          <w:sz w:val="20"/>
          <w:szCs w:val="20"/>
        </w:rPr>
        <w:t>Forest area (% of land area)</w:t>
      </w:r>
      <w:r w:rsidRPr="00836951">
        <w:rPr>
          <w:sz w:val="20"/>
          <w:szCs w:val="20"/>
        </w:rPr>
        <w:t>. URL: &lt;</w:t>
      </w:r>
      <w:hyperlink r:id="rId31" w:history="1">
        <w:r w:rsidRPr="00836951">
          <w:rPr>
            <w:rStyle w:val="Hyperlink"/>
            <w:sz w:val="20"/>
            <w:szCs w:val="20"/>
          </w:rPr>
          <w:t>https://data.worldbank.org/indicator/AG.LND.FRST.ZS</w:t>
        </w:r>
      </w:hyperlink>
      <w:r w:rsidRPr="00836951">
        <w:rPr>
          <w:sz w:val="20"/>
          <w:szCs w:val="20"/>
        </w:rPr>
        <w:t>&gt; (Accessed 10 Apr 2019)</w:t>
      </w:r>
      <w:bookmarkStart w:id="0" w:name="_GoBack"/>
      <w:bookmarkEnd w:id="0"/>
    </w:p>
    <w:sectPr w:rsidR="00D6278D" w:rsidRPr="00836951" w:rsidSect="00712A30">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C55BEE"/>
    <w:multiLevelType w:val="hybridMultilevel"/>
    <w:tmpl w:val="09A2CD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EE0BA8"/>
    <w:multiLevelType w:val="hybridMultilevel"/>
    <w:tmpl w:val="9B4673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2A30"/>
    <w:rsid w:val="00013909"/>
    <w:rsid w:val="000415F5"/>
    <w:rsid w:val="00051DF5"/>
    <w:rsid w:val="00075475"/>
    <w:rsid w:val="000865CC"/>
    <w:rsid w:val="00091382"/>
    <w:rsid w:val="000A1AA7"/>
    <w:rsid w:val="000C57F1"/>
    <w:rsid w:val="000E5E86"/>
    <w:rsid w:val="000E779D"/>
    <w:rsid w:val="00133554"/>
    <w:rsid w:val="00161434"/>
    <w:rsid w:val="00176226"/>
    <w:rsid w:val="0022457A"/>
    <w:rsid w:val="00241051"/>
    <w:rsid w:val="00252A2D"/>
    <w:rsid w:val="00253815"/>
    <w:rsid w:val="00270899"/>
    <w:rsid w:val="002C7693"/>
    <w:rsid w:val="002D1C54"/>
    <w:rsid w:val="002F411A"/>
    <w:rsid w:val="00341061"/>
    <w:rsid w:val="00356CC2"/>
    <w:rsid w:val="003636A6"/>
    <w:rsid w:val="00370C6F"/>
    <w:rsid w:val="00372087"/>
    <w:rsid w:val="003721A2"/>
    <w:rsid w:val="00380848"/>
    <w:rsid w:val="003A00F4"/>
    <w:rsid w:val="003B6D41"/>
    <w:rsid w:val="003C7600"/>
    <w:rsid w:val="003D347D"/>
    <w:rsid w:val="003F2BBF"/>
    <w:rsid w:val="004363DA"/>
    <w:rsid w:val="00482FB2"/>
    <w:rsid w:val="004B63F6"/>
    <w:rsid w:val="004C4532"/>
    <w:rsid w:val="004D7BD7"/>
    <w:rsid w:val="00552013"/>
    <w:rsid w:val="0056259E"/>
    <w:rsid w:val="00585B94"/>
    <w:rsid w:val="00594EEE"/>
    <w:rsid w:val="005A4FC7"/>
    <w:rsid w:val="005D1C66"/>
    <w:rsid w:val="0063029A"/>
    <w:rsid w:val="00664F6C"/>
    <w:rsid w:val="006812AE"/>
    <w:rsid w:val="006A564B"/>
    <w:rsid w:val="00712A30"/>
    <w:rsid w:val="00721EDD"/>
    <w:rsid w:val="00723DEC"/>
    <w:rsid w:val="00793EC0"/>
    <w:rsid w:val="007A2D25"/>
    <w:rsid w:val="007C0AFD"/>
    <w:rsid w:val="007D1FC8"/>
    <w:rsid w:val="00826FE9"/>
    <w:rsid w:val="00836951"/>
    <w:rsid w:val="0084563A"/>
    <w:rsid w:val="00855AC5"/>
    <w:rsid w:val="00871A27"/>
    <w:rsid w:val="008B3CCD"/>
    <w:rsid w:val="008B3DDE"/>
    <w:rsid w:val="008C05E3"/>
    <w:rsid w:val="00910FC6"/>
    <w:rsid w:val="009501A7"/>
    <w:rsid w:val="009B21DD"/>
    <w:rsid w:val="009E42C5"/>
    <w:rsid w:val="00A30015"/>
    <w:rsid w:val="00A37BC6"/>
    <w:rsid w:val="00A40894"/>
    <w:rsid w:val="00A861C9"/>
    <w:rsid w:val="00A93EBD"/>
    <w:rsid w:val="00AB2C33"/>
    <w:rsid w:val="00AD418A"/>
    <w:rsid w:val="00B32130"/>
    <w:rsid w:val="00B40DC7"/>
    <w:rsid w:val="00B45ED9"/>
    <w:rsid w:val="00B8426B"/>
    <w:rsid w:val="00B93392"/>
    <w:rsid w:val="00BD11BD"/>
    <w:rsid w:val="00C035F3"/>
    <w:rsid w:val="00C27659"/>
    <w:rsid w:val="00C939BC"/>
    <w:rsid w:val="00CC1AE6"/>
    <w:rsid w:val="00CD0992"/>
    <w:rsid w:val="00CE4736"/>
    <w:rsid w:val="00D50FAE"/>
    <w:rsid w:val="00D52429"/>
    <w:rsid w:val="00D6278D"/>
    <w:rsid w:val="00D84626"/>
    <w:rsid w:val="00D91D8E"/>
    <w:rsid w:val="00DA213E"/>
    <w:rsid w:val="00DC67ED"/>
    <w:rsid w:val="00DE2010"/>
    <w:rsid w:val="00E15997"/>
    <w:rsid w:val="00E41027"/>
    <w:rsid w:val="00E72F9A"/>
    <w:rsid w:val="00E80DC9"/>
    <w:rsid w:val="00EB15A8"/>
    <w:rsid w:val="00EB3AB9"/>
    <w:rsid w:val="00EE574C"/>
    <w:rsid w:val="00EF302E"/>
    <w:rsid w:val="00F31F59"/>
    <w:rsid w:val="00F4008A"/>
    <w:rsid w:val="00F66F25"/>
    <w:rsid w:val="00F854AD"/>
    <w:rsid w:val="00F860CE"/>
    <w:rsid w:val="00FA1A96"/>
    <w:rsid w:val="00FC535F"/>
    <w:rsid w:val="00FC63B5"/>
    <w:rsid w:val="00FC759A"/>
    <w:rsid w:val="00FF71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f2dbdb"/>
    </o:shapedefaults>
    <o:shapelayout v:ext="edit">
      <o:idmap v:ext="edit" data="1"/>
    </o:shapelayout>
  </w:shapeDefaults>
  <w:decimalSymbol w:val="."/>
  <w:listSeparator w:val=","/>
  <w14:docId w14:val="3B9707B4"/>
  <w15:chartTrackingRefBased/>
  <w15:docId w15:val="{592C9197-EA3C-4B89-91D5-7C43ECDE0F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8B3CCD"/>
    <w:rPr>
      <w:sz w:val="16"/>
      <w:szCs w:val="16"/>
    </w:rPr>
  </w:style>
  <w:style w:type="paragraph" w:styleId="CommentText">
    <w:name w:val="annotation text"/>
    <w:basedOn w:val="Normal"/>
    <w:link w:val="CommentTextChar"/>
    <w:uiPriority w:val="99"/>
    <w:unhideWhenUsed/>
    <w:rsid w:val="008B3CCD"/>
    <w:pPr>
      <w:spacing w:line="240" w:lineRule="auto"/>
    </w:pPr>
    <w:rPr>
      <w:sz w:val="20"/>
      <w:szCs w:val="20"/>
    </w:rPr>
  </w:style>
  <w:style w:type="character" w:customStyle="1" w:styleId="CommentTextChar">
    <w:name w:val="Comment Text Char"/>
    <w:basedOn w:val="DefaultParagraphFont"/>
    <w:link w:val="CommentText"/>
    <w:uiPriority w:val="99"/>
    <w:rsid w:val="008B3CCD"/>
    <w:rPr>
      <w:sz w:val="20"/>
      <w:szCs w:val="20"/>
    </w:rPr>
  </w:style>
  <w:style w:type="paragraph" w:styleId="CommentSubject">
    <w:name w:val="annotation subject"/>
    <w:basedOn w:val="CommentText"/>
    <w:next w:val="CommentText"/>
    <w:link w:val="CommentSubjectChar"/>
    <w:uiPriority w:val="99"/>
    <w:semiHidden/>
    <w:unhideWhenUsed/>
    <w:rsid w:val="008B3CCD"/>
    <w:rPr>
      <w:b/>
      <w:bCs/>
    </w:rPr>
  </w:style>
  <w:style w:type="character" w:customStyle="1" w:styleId="CommentSubjectChar">
    <w:name w:val="Comment Subject Char"/>
    <w:basedOn w:val="CommentTextChar"/>
    <w:link w:val="CommentSubject"/>
    <w:uiPriority w:val="99"/>
    <w:semiHidden/>
    <w:rsid w:val="008B3CCD"/>
    <w:rPr>
      <w:b/>
      <w:bCs/>
      <w:sz w:val="20"/>
      <w:szCs w:val="20"/>
    </w:rPr>
  </w:style>
  <w:style w:type="paragraph" w:styleId="BalloonText">
    <w:name w:val="Balloon Text"/>
    <w:basedOn w:val="Normal"/>
    <w:link w:val="BalloonTextChar"/>
    <w:uiPriority w:val="99"/>
    <w:semiHidden/>
    <w:unhideWhenUsed/>
    <w:rsid w:val="008B3CC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B3CCD"/>
    <w:rPr>
      <w:rFonts w:ascii="Segoe UI" w:hAnsi="Segoe UI" w:cs="Segoe UI"/>
      <w:sz w:val="18"/>
      <w:szCs w:val="18"/>
    </w:rPr>
  </w:style>
  <w:style w:type="character" w:styleId="Hyperlink">
    <w:name w:val="Hyperlink"/>
    <w:basedOn w:val="DefaultParagraphFont"/>
    <w:uiPriority w:val="99"/>
    <w:unhideWhenUsed/>
    <w:rsid w:val="00A37BC6"/>
    <w:rPr>
      <w:color w:val="0000FF"/>
      <w:u w:val="single"/>
    </w:rPr>
  </w:style>
  <w:style w:type="character" w:styleId="UnresolvedMention">
    <w:name w:val="Unresolved Mention"/>
    <w:basedOn w:val="DefaultParagraphFont"/>
    <w:uiPriority w:val="99"/>
    <w:semiHidden/>
    <w:unhideWhenUsed/>
    <w:rsid w:val="00A37BC6"/>
    <w:rPr>
      <w:color w:val="605E5C"/>
      <w:shd w:val="clear" w:color="auto" w:fill="E1DFDD"/>
    </w:rPr>
  </w:style>
  <w:style w:type="character" w:styleId="FollowedHyperlink">
    <w:name w:val="FollowedHyperlink"/>
    <w:basedOn w:val="DefaultParagraphFont"/>
    <w:uiPriority w:val="99"/>
    <w:semiHidden/>
    <w:unhideWhenUsed/>
    <w:rsid w:val="00594EEE"/>
    <w:rPr>
      <w:color w:val="954F72" w:themeColor="followedHyperlink"/>
      <w:u w:val="single"/>
    </w:rPr>
  </w:style>
  <w:style w:type="paragraph" w:styleId="ListParagraph">
    <w:name w:val="List Paragraph"/>
    <w:basedOn w:val="Normal"/>
    <w:uiPriority w:val="34"/>
    <w:qFormat/>
    <w:rsid w:val="00AB2C3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611576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sthma.org.uk/about/media/facts-and-statistics/" TargetMode="External"/><Relationship Id="rId18" Type="http://schemas.openxmlformats.org/officeDocument/2006/relationships/hyperlink" Target="https://globalforestatlas.yale.edu/amazon/land-use/cattle-ranching" TargetMode="External"/><Relationship Id="rId26" Type="http://schemas.openxmlformats.org/officeDocument/2006/relationships/hyperlink" Target="https://webarchive.nationalarchives.gov.uk/20160105224826/http://www.ons.gov.uk/ons/rel/census/2011-census-analysis/rural-urban-analysis/comparing-rural-and-urban-areas-of-england-and-wales.html" TargetMode="External"/><Relationship Id="rId3" Type="http://schemas.openxmlformats.org/officeDocument/2006/relationships/settings" Target="settings.xml"/><Relationship Id="rId21" Type="http://schemas.openxmlformats.org/officeDocument/2006/relationships/hyperlink" Target="https://www.iied.org/redd-protecting-climate-forests-livelihoods" TargetMode="External"/><Relationship Id="rId7" Type="http://schemas.openxmlformats.org/officeDocument/2006/relationships/image" Target="media/image3.jpeg"/><Relationship Id="rId12" Type="http://schemas.openxmlformats.org/officeDocument/2006/relationships/hyperlink" Target="https://www.aftaweb.org/about/what-is-agroforestry.html" TargetMode="External"/><Relationship Id="rId17" Type="http://schemas.openxmlformats.org/officeDocument/2006/relationships/hyperlink" Target="http://www.unece.org/fileadmin/DAM/publications/timber/Forest_Europe_report_2011_web.pdf" TargetMode="External"/><Relationship Id="rId25" Type="http://schemas.openxmlformats.org/officeDocument/2006/relationships/hyperlink" Target="http://www.nhm.ac.uk/our-science/data/uk-species.html"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gov.uk/government/publications/rural-population-and-migration/rural-population-201415" TargetMode="External"/><Relationship Id="rId20" Type="http://schemas.openxmlformats.org/officeDocument/2006/relationships/hyperlink" Target="https://www.independent.co.uk/news/uk/home-news/lynx-1300-years-reintroduced-uk-kielder-forest-a7832036.html" TargetMode="External"/><Relationship Id="rId29" Type="http://schemas.openxmlformats.org/officeDocument/2006/relationships/hyperlink" Target="https://www.woodlandtrust.org.uk/mediafile/100229275/stake-of-uk-forest-report.pdf?cb=58d97f320cab43d78739766e71084f76"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seneddresearch.blog/2016/09/26/welsh-farming-facts-and-figures/" TargetMode="External"/><Relationship Id="rId24" Type="http://schemas.openxmlformats.org/officeDocument/2006/relationships/hyperlink" Target="https://www.metoffice.gov.uk/climate/uk/summaries/2019/february/february-2019" TargetMode="External"/><Relationship Id="rId32"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assets.publishing.service.gov.uk/government/uploads/system/uploads/attachment_data/file/741062/AUK-2017-18sep18.pdf" TargetMode="External"/><Relationship Id="rId23" Type="http://schemas.openxmlformats.org/officeDocument/2006/relationships/hyperlink" Target="https://www.mammal.org.uk/mawse-hub/mawse-rodents/mawse-red-squirrel/" TargetMode="External"/><Relationship Id="rId28" Type="http://schemas.openxmlformats.org/officeDocument/2006/relationships/hyperlink" Target="https://www.sciencedirect.com/science/article/pii/S0305440312004761" TargetMode="External"/><Relationship Id="rId10" Type="http://schemas.openxmlformats.org/officeDocument/2006/relationships/hyperlink" Target="https://www.agroforestry.co.uk/about-agroforestry/silvoarable/" TargetMode="External"/><Relationship Id="rId19" Type="http://schemas.openxmlformats.org/officeDocument/2006/relationships/hyperlink" Target="https://www.independent.co.uk/news/uk/home-news/welsh-sheep-outnumber-people-three-to-one-in-wales-annual-census-a7484796.html" TargetMode="External"/><Relationship Id="rId31" Type="http://schemas.openxmlformats.org/officeDocument/2006/relationships/hyperlink" Target="https://data.worldbank.org/indicator/AG.LND.FRST.ZS"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sciencedirect.com/science/article/pii/S016920461830505X" TargetMode="External"/><Relationship Id="rId22" Type="http://schemas.openxmlformats.org/officeDocument/2006/relationships/hyperlink" Target="http://jncc.defra.gov.uk/page-5717" TargetMode="External"/><Relationship Id="rId27" Type="http://schemas.openxmlformats.org/officeDocument/2006/relationships/hyperlink" Target="http://treehouseblog.com/2014/04/the-park-royal-on-pickering-singapore/" TargetMode="External"/><Relationship Id="rId30" Type="http://schemas.openxmlformats.org/officeDocument/2006/relationships/hyperlink" Target="https://www.woodlandtrust.org.uk/visiting-woods/trees-woods-and-wildlife/animals/mammals/lynx/" TargetMode="External"/><Relationship Id="rId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3065</TotalTime>
  <Pages>1</Pages>
  <Words>3150</Words>
  <Characters>17958</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Kelly (1700248)</dc:creator>
  <cp:keywords/>
  <dc:description/>
  <cp:lastModifiedBy>Thomas Kelly (1700248)</cp:lastModifiedBy>
  <cp:revision>25</cp:revision>
  <dcterms:created xsi:type="dcterms:W3CDTF">2019-04-09T14:52:00Z</dcterms:created>
  <dcterms:modified xsi:type="dcterms:W3CDTF">2019-04-12T13:12:00Z</dcterms:modified>
</cp:coreProperties>
</file>